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jc w:val="center"/>
        <w:spacing w:line="480" w:lineRule="auto"/>
        <w:rPr>
          <w:rFonts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无锡市政府采购项目</w:t>
      </w:r>
      <w:r/>
    </w:p>
    <w:p>
      <w:pPr>
        <w:jc w:val="center"/>
        <w:spacing w:line="480" w:lineRule="auto"/>
        <w:rPr>
          <w:rFonts w:ascii="Arial" w:hAnsi="Arial"/>
          <w:b/>
          <w:bCs/>
          <w:color w:val="auto"/>
          <w:spacing w:val="20"/>
          <w:sz w:val="56"/>
          <w:szCs w:val="56"/>
          <w:highlight w:val="none"/>
        </w:rPr>
      </w:pPr>
      <w:r>
        <w:rPr>
          <w:rFonts w:hint="eastAsia" w:ascii="Arial" w:hAnsi="Arial"/>
          <w:b/>
          <w:bCs/>
          <w:color w:val="auto"/>
          <w:spacing w:val="20"/>
          <w:sz w:val="56"/>
          <w:szCs w:val="56"/>
          <w:highlight w:val="none"/>
        </w:rPr>
        <w:t xml:space="preserve">公开</w:t>
      </w:r>
      <w:r>
        <w:rPr>
          <w:rFonts w:ascii="Arial" w:hAnsi="Arial"/>
          <w:b/>
          <w:color w:val="auto"/>
          <w:sz w:val="2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6"/>
          <w:szCs w:val="56"/>
          <w:highlight w:val="none"/>
        </w:rPr>
        <w:t xml:space="preserve">招标文件</w:t>
      </w:r>
      <w:r/>
    </w:p>
    <w:p>
      <w:pPr>
        <w:jc w:val="center"/>
        <w:spacing w:line="480" w:lineRule="auto"/>
        <w:rPr>
          <w:rFonts w:hint="eastAsia" w:ascii="Arial" w:hAnsi="Arial" w:eastAsia="宋体"/>
          <w:b/>
          <w:bCs/>
          <w:color w:val="auto"/>
          <w:sz w:val="32"/>
          <w:szCs w:val="24"/>
          <w:highlight w:val="none"/>
        </w:rPr>
      </w:pPr>
      <w:r>
        <w:rPr>
          <w:rFonts w:hint="eastAsia" w:ascii="Arial" w:hAnsi="Arial"/>
          <w:b/>
          <w:bCs/>
          <w:color w:val="auto"/>
          <w:sz w:val="32"/>
          <w:szCs w:val="24"/>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pStyle w:val="799"/>
        <w:rPr>
          <w:color w:val="auto"/>
          <w:highlight w:val="none"/>
        </w:rPr>
      </w:pPr>
      <w:r>
        <w:rPr>
          <w:color w:val="auto"/>
          <w:highlight w:val="none"/>
        </w:rPr>
      </w:r>
      <w:r/>
    </w:p>
    <w:p>
      <w:pPr>
        <w:rPr>
          <w:color w:val="auto"/>
          <w:highlight w:val="none"/>
        </w:rPr>
      </w:pPr>
      <w:r>
        <w:rPr>
          <w:color w:val="auto"/>
          <w:highlight w:val="none"/>
        </w:rPr>
      </w:r>
      <w:r/>
    </w:p>
    <w:p>
      <w:pPr>
        <w:pStyle w:val="799"/>
        <w:rPr>
          <w:color w:val="auto"/>
          <w:highlight w:val="none"/>
        </w:rPr>
      </w:pPr>
      <w:r>
        <w:rPr>
          <w:color w:val="auto"/>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48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采购项目编号：JSZC-320292-WXJH-G2026-0007</w:t>
      </w:r>
      <w:r/>
    </w:p>
    <w:p>
      <w:pPr>
        <w:spacing w:line="48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无锡市一中太湖新城分校体育器材采购项目</w:t>
      </w:r>
      <w:r/>
    </w:p>
    <w:p>
      <w:pPr>
        <w:spacing w:line="480" w:lineRule="auto"/>
        <w:rPr>
          <w:rFonts w:ascii="宋体" w:hAnsi="宋体" w:eastAsia="宋体" w:cs="宋体"/>
          <w:bCs/>
          <w:color w:val="auto"/>
          <w:sz w:val="30"/>
          <w:szCs w:val="30"/>
          <w:highlight w:val="none"/>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rPr>
        <w:t xml:space="preserve">江苏无锡经济开发区发展中心、江苏无锡经济开发区教育局</w:t>
      </w:r>
      <w:r/>
    </w:p>
    <w:p>
      <w:pPr>
        <w:spacing w:line="48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采购代理机构：无锡市建汇建设工程咨询事务所有限公司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月</w:t>
      </w:r>
      <w:r/>
    </w:p>
    <w:p>
      <w:pPr>
        <w:spacing w:line="360" w:lineRule="auto"/>
        <w:rPr>
          <w:rStyle w:val="911"/>
          <w:rFonts w:ascii="Arial" w:hAnsi="Arial"/>
          <w:bCs/>
          <w:color w:val="auto"/>
          <w:sz w:val="48"/>
          <w:highlight w:val="none"/>
        </w:rPr>
      </w:pPr>
      <w:r>
        <w:rPr>
          <w:rFonts w:ascii="Arial" w:hAnsi="Arial"/>
          <w:bCs/>
          <w:color w:val="auto"/>
          <w:sz w:val="48"/>
          <w:highlight w:val="none"/>
        </w:rPr>
      </w:r>
      <w:r/>
    </w:p>
    <w:p>
      <w:pPr>
        <w:jc w:val="center"/>
        <w:spacing w:line="360" w:lineRule="auto"/>
        <w:rPr>
          <w:rStyle w:val="911"/>
          <w:rFonts w:ascii="Arial" w:hAnsi="Arial"/>
          <w:bCs/>
          <w:color w:val="auto"/>
          <w:sz w:val="48"/>
          <w:highlight w:val="none"/>
          <w:u w:val="none"/>
        </w:rPr>
        <w:sectPr>
          <w:headerReference w:type="even" r:id="rId9"/>
          <w:headerReference w:type="first" r:id="rId10"/>
          <w:footerReference w:type="default" r:id="rId13"/>
          <w:footerReference w:type="even"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pStyle w:val="1223"/>
        <w:ind w:firstLine="0"/>
        <w:jc w:val="center"/>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9"/>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9"/>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outlineLvl w:val="0"/>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无锡市建汇建设工程咨询事务所有限公司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rPr>
        <w:t xml:space="preserve">江苏无锡经济开发区发展中心、江苏无锡经济开发区教育局</w:t>
      </w:r>
      <w:r>
        <w:rPr>
          <w:rFonts w:hint="eastAsia" w:ascii="Arial" w:hAnsi="Arial"/>
          <w:bCs/>
          <w:color w:val="auto"/>
          <w:sz w:val="24"/>
          <w:szCs w:val="24"/>
          <w:highlight w:val="none"/>
        </w:rPr>
        <w:t xml:space="preserve">的委托，对</w:t>
      </w:r>
      <w:r>
        <w:rPr>
          <w:rFonts w:hint="eastAsia" w:ascii="宋体" w:hAnsi="宋体" w:eastAsia="宋体" w:cs="宋体"/>
          <w:bCs/>
          <w:color w:val="auto"/>
          <w:sz w:val="24"/>
          <w:szCs w:val="24"/>
          <w:highlight w:val="none"/>
          <w:u w:val="single"/>
          <w:lang w:eastAsia="zh-CN"/>
        </w:rPr>
        <w:t xml:space="preserve">无锡市一中太湖新城分校体育器材采购项目</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u w:val="single"/>
          <w:lang w:eastAsia="zh-CN"/>
        </w:rPr>
        <w:t xml:space="preserve">无锡市一中太湖新城分校体育器材采购项目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09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无锡市一中太湖新城分校体育器材采购项目</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JSZC-320292-WXJH-G2026-0007</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w:t>
      </w:r>
      <w:r>
        <w:rPr>
          <w:rFonts w:hint="eastAsia" w:ascii="宋体" w:hAnsi="宋体" w:eastAsia="宋体" w:cs="宋体"/>
          <w:color w:val="auto"/>
          <w:sz w:val="24"/>
          <w:szCs w:val="24"/>
          <w:highlight w:val="none"/>
          <w:lang w:val="en-US" w:eastAsia="zh-CN"/>
        </w:rPr>
        <w:t xml:space="preserve">135</w:t>
      </w:r>
      <w:r>
        <w:rPr>
          <w:rFonts w:hint="eastAsia" w:ascii="宋体" w:hAnsi="宋体" w:eastAsia="宋体" w:cs="宋体"/>
          <w:color w:val="auto"/>
          <w:sz w:val="24"/>
          <w:szCs w:val="24"/>
          <w:highlight w:val="none"/>
        </w:rPr>
        <w:t xml:space="preserve">万元；</w:t>
      </w:r>
      <w:r/>
    </w:p>
    <w:p>
      <w:pPr>
        <w:ind w:firstLine="480"/>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4.项目最高限价：</w:t>
      </w:r>
      <w:r>
        <w:rPr>
          <w:rFonts w:hint="eastAsia" w:ascii="宋体" w:hAnsi="宋体" w:eastAsia="宋体" w:cs="宋体"/>
          <w:color w:val="auto"/>
          <w:sz w:val="24"/>
          <w:szCs w:val="24"/>
          <w:highlight w:val="none"/>
          <w:lang w:val="en-US" w:eastAsia="zh-CN"/>
        </w:rPr>
        <w:t xml:space="preserve">135</w:t>
      </w:r>
      <w:r>
        <w:rPr>
          <w:rFonts w:hint="eastAsia" w:ascii="宋体" w:hAnsi="宋体" w:eastAsia="宋体" w:cs="宋体"/>
          <w:color w:val="auto"/>
          <w:sz w:val="24"/>
          <w:szCs w:val="24"/>
          <w:highlight w:val="none"/>
        </w:rPr>
        <w:t xml:space="preserve">万元，投标报价高于最高限价的作为无效投标处理</w:t>
      </w:r>
      <w:r>
        <w:rPr>
          <w:rFonts w:hint="eastAsia" w:ascii="宋体" w:hAnsi="宋体" w:eastAsia="宋体" w:cs="宋体"/>
          <w:b w:val="0"/>
          <w:bCs w:val="0"/>
          <w:color w:val="auto"/>
          <w:sz w:val="24"/>
          <w:szCs w:val="24"/>
          <w:highlight w:val="none"/>
        </w:rPr>
        <w:t xml:space="preserve">；</w:t>
      </w:r>
      <w:r/>
    </w:p>
    <w:p>
      <w:pPr>
        <w:ind w:firstLine="480"/>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highlight w:val="none"/>
          <w:lang w:val="en-US" w:eastAsia="zh-CN"/>
        </w:rPr>
        <w:t xml:space="preserve">本项目主要包括学校体育教学相关设施设备及器材，</w:t>
      </w:r>
      <w:r>
        <w:rPr>
          <w:rFonts w:hint="eastAsia" w:ascii="宋体" w:hAnsi="宋体" w:eastAsia="宋体" w:cs="宋体"/>
          <w:color w:val="auto"/>
          <w:sz w:val="24"/>
          <w:highlight w:val="none"/>
          <w:lang w:eastAsia="zh-CN"/>
        </w:rPr>
        <w:t xml:space="preserve">具体</w:t>
      </w:r>
      <w:r>
        <w:rPr>
          <w:rFonts w:hint="eastAsia" w:ascii="宋体" w:hAnsi="宋体" w:cs="宋体"/>
          <w:color w:val="auto"/>
          <w:sz w:val="24"/>
          <w:szCs w:val="24"/>
          <w:highlight w:val="none"/>
        </w:rPr>
        <w:t xml:space="preserve">详见采购文件第四章《采购需求》；</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交货期</w:t>
      </w:r>
      <w:r>
        <w:rPr>
          <w:rFonts w:hint="eastAsia" w:ascii="宋体" w:hAnsi="宋体" w:eastAsia="宋体" w:cs="宋体"/>
          <w:color w:val="auto"/>
          <w:sz w:val="24"/>
          <w:szCs w:val="24"/>
          <w:highlight w:val="none"/>
        </w:rPr>
        <w:t xml:space="preserve">：</w:t>
      </w:r>
      <w:r>
        <w:rPr>
          <w:rFonts w:hint="eastAsia" w:ascii="宋体" w:hAnsi="宋体"/>
          <w:bCs/>
          <w:color w:val="auto"/>
          <w:sz w:val="24"/>
          <w:highlight w:val="none"/>
        </w:rPr>
        <w:t xml:space="preserve">合同签订后，30</w:t>
      </w:r>
      <w:r>
        <w:rPr>
          <w:rFonts w:hint="eastAsia" w:ascii="宋体" w:hAnsi="宋体"/>
          <w:bCs/>
          <w:color w:val="auto"/>
          <w:sz w:val="24"/>
          <w:highlight w:val="none"/>
          <w:shd w:val="clear" w:color="auto" w:fill="auto"/>
        </w:rPr>
        <w:t xml:space="preserve">日历天内完成供货、安装、调试以及与之配套的辅助工作，通过验收后交付采购人使用。</w:t>
      </w:r>
      <w:r>
        <w:rPr>
          <w:rFonts w:hint="eastAsia" w:ascii="宋体" w:hAnsi="宋体"/>
          <w:bCs/>
          <w:color w:val="auto"/>
          <w:sz w:val="24"/>
          <w:highlight w:val="none"/>
        </w:rPr>
        <w:t xml:space="preserve">误期违约金：2000元/天，上限为合同价款的5%。</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质保期</w:t>
      </w:r>
      <w:r>
        <w:rPr>
          <w:rFonts w:hint="eastAsia" w:ascii="宋体" w:hAnsi="宋体" w:eastAsia="宋体" w:cs="宋体"/>
          <w:color w:val="auto"/>
          <w:sz w:val="24"/>
          <w:szCs w:val="24"/>
          <w:highlight w:val="none"/>
        </w:rPr>
        <w:t xml:space="preserve">：</w:t>
      </w:r>
      <w:r>
        <w:rPr>
          <w:rFonts w:hint="eastAsia" w:ascii="宋体" w:hAnsi="宋体"/>
          <w:bCs/>
          <w:color w:val="auto"/>
          <w:sz w:val="24"/>
          <w:highlight w:val="none"/>
        </w:rPr>
        <w:t xml:space="preserve">3年（自终验收双方签署终验收报告之日起开始计算，</w:t>
      </w:r>
      <w:r>
        <w:rPr>
          <w:rFonts w:hint="eastAsia" w:ascii="宋体" w:hAnsi="宋体"/>
          <w:bCs/>
          <w:color w:val="auto"/>
          <w:sz w:val="24"/>
          <w:highlight w:val="none"/>
          <w:lang w:val="zh-CN"/>
        </w:rPr>
        <w:t xml:space="preserve">质保期满后提供终身有偿维修服务</w:t>
      </w:r>
      <w:r>
        <w:rPr>
          <w:rFonts w:hint="eastAsia" w:ascii="宋体" w:hAnsi="宋体"/>
          <w:bCs/>
          <w:color w:val="auto"/>
          <w:sz w:val="24"/>
          <w:highlight w:val="none"/>
        </w:rPr>
        <w:t xml:space="preserve">）</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质量要求：符合国家、地方及相关行业标准。货物的验收包括：数量、外观、质量、性能、质保单、包装和乙方承诺的其他指标；验收标准根据有关规定及技术要求，原则上以通过计量检定或校准合格为准</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本项目标的所属行业：工业</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根据《关于印发中小企业划型标准规定的通知》工信部联企业〔2011〕300号规定，工业</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.本项目是否专门面向中小企业（或监狱企业或残疾人福利性单位）</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是</w:t>
      </w:r>
      <w:r>
        <w:rPr>
          <w:rFonts w:hint="eastAsia" w:ascii="宋体" w:hAnsi="宋体" w:eastAsia="宋体" w:cs="宋体"/>
          <w:b/>
          <w:bCs/>
          <w:color w:val="auto"/>
          <w:sz w:val="24"/>
          <w:szCs w:val="24"/>
          <w:highlight w:val="none"/>
        </w:rPr>
        <w:t xml:space="preserve">。</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rPr>
        <w:t xml:space="preserve">否</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资金来源：</w:t>
      </w:r>
      <w:r>
        <w:rPr>
          <w:rFonts w:hint="eastAsia" w:hAnsi="宋体" w:eastAsia="宋体" w:cs="宋体"/>
          <w:color w:val="auto"/>
          <w:sz w:val="24"/>
          <w:szCs w:val="24"/>
          <w:highlight w:val="none"/>
        </w:rPr>
        <w:t xml:space="preserve">财政资金</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highlight w:val="none"/>
        </w:rPr>
      </w:pPr>
      <w:r>
        <w:rPr>
          <w:rFonts w:hint="eastAsia" w:ascii="宋体" w:hAnsi="宋体" w:eastAsia="宋体" w:cs="宋体"/>
          <w:color w:val="auto"/>
          <w:sz w:val="24"/>
          <w:szCs w:val="24"/>
          <w:highlight w:val="none"/>
        </w:rPr>
        <w:t xml:space="preserve">2.落实政府采购政策需满足的资格要求：本项目专门面向中小微企业采购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如为中小微企业的提供《中小企业声明函》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件；如为残疾人福利性单位的提供《残疾人福利性单位声明函》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numPr>
          <w:ilvl w:val="0"/>
          <w:numId w:val="7"/>
        </w:numPr>
        <w:ind w:firstLine="480"/>
        <w:spacing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p>
    <w:p>
      <w:pPr>
        <w:numPr>
          <w:ilvl w:val="0"/>
          <w:numId w:val="0"/>
        </w:numPr>
        <w:ind w:firstLine="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1）法定代表人授权委托人为本单位在职职工，投标人法定代表人授权代表</w:t>
      </w:r>
      <w:r>
        <w:rPr>
          <w:rFonts w:hint="eastAsia" w:ascii="宋体" w:hAnsi="宋体" w:eastAsia="宋体"/>
          <w:color w:val="auto"/>
          <w:sz w:val="24"/>
          <w:szCs w:val="24"/>
          <w:highlight w:val="none"/>
          <w:lang w:eastAsia="zh-CN"/>
        </w:rPr>
        <w:t xml:space="preserve">应具备</w:t>
      </w:r>
      <w:r>
        <w:rPr>
          <w:rFonts w:hint="eastAsia" w:ascii="宋体" w:hAnsi="宋体"/>
          <w:color w:val="auto"/>
          <w:sz w:val="24"/>
          <w:szCs w:val="24"/>
          <w:highlight w:val="none"/>
        </w:rPr>
        <w:t xml:space="preserve">与本企业签订的劳动合同，</w:t>
      </w:r>
      <w:r>
        <w:rPr>
          <w:rFonts w:hint="eastAsia" w:ascii="宋体" w:hAnsi="宋体" w:eastAsia="宋体"/>
          <w:color w:val="auto"/>
          <w:sz w:val="24"/>
          <w:szCs w:val="24"/>
          <w:highlight w:val="none"/>
          <w:lang w:eastAsia="zh-CN"/>
        </w:rPr>
        <w:t xml:space="preserve">以及</w:t>
      </w:r>
      <w:r>
        <w:rPr>
          <w:rFonts w:hint="eastAsia" w:ascii="宋体" w:hAnsi="宋体"/>
          <w:color w:val="auto"/>
          <w:sz w:val="24"/>
          <w:szCs w:val="24"/>
          <w:highlight w:val="none"/>
        </w:rPr>
        <w:t xml:space="preserve">《职工养老保险手册》（内附近一年中任意一个月份（不含投标当月）的缴费清单）或由社保机构出具</w:t>
      </w:r>
      <w:r>
        <w:rPr>
          <w:rFonts w:hint="eastAsia" w:ascii="宋体" w:hAnsi="宋体" w:eastAsia="宋体"/>
          <w:color w:val="auto"/>
          <w:sz w:val="24"/>
          <w:szCs w:val="24"/>
          <w:highlight w:val="none"/>
          <w:lang w:eastAsia="zh-CN"/>
        </w:rPr>
        <w:t xml:space="preserve">的本</w:t>
      </w:r>
      <w:r>
        <w:rPr>
          <w:rFonts w:hint="eastAsia" w:ascii="宋体" w:hAnsi="宋体"/>
          <w:color w:val="auto"/>
          <w:sz w:val="24"/>
          <w:szCs w:val="24"/>
          <w:highlight w:val="none"/>
        </w:rPr>
        <w:t xml:space="preserve">企业的近一年中任意一个月份（不含投标当月）的缴费证明扫描件（由相关主管部门出具，新成立公司除外、法定代表人亲自参加投标的除外）；</w:t>
      </w:r>
      <w:r/>
    </w:p>
    <w:p>
      <w:pPr>
        <w:numPr>
          <w:ilvl w:val="0"/>
          <w:numId w:val="0"/>
        </w:numPr>
        <w:ind w:firstLine="720"/>
        <w:spacing w:line="360" w:lineRule="auto"/>
        <w:rPr>
          <w:rFonts w:ascii="宋体" w:hAnsi="宋体" w:eastAsia="宋体" w:cs="宋体"/>
          <w:color w:val="auto"/>
          <w:sz w:val="24"/>
          <w:szCs w:val="24"/>
          <w:highlight w:val="none"/>
        </w:rPr>
      </w:pPr>
      <w:r>
        <w:rPr>
          <w:rFonts w:hint="eastAsia" w:ascii="宋体" w:hAnsi="宋体"/>
          <w:color w:val="auto"/>
          <w:sz w:val="24"/>
          <w:szCs w:val="24"/>
          <w:highlight w:val="none"/>
        </w:rPr>
        <w:t xml:space="preserve">2）未被“信用中国”网站、中国政府采购网列入失信被执行人、重大税收违法案件当事人名单、政府采购严重失信行为记录名单。</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日至2026年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日23:59时止（法定假日除外）。</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39"/>
        <w:keepLines w:val="0"/>
        <w:keepNext w:val="0"/>
        <w:pageBreakBefore w:val="0"/>
        <w:spacing w:line="360" w:lineRule="auto"/>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3.方式：潜在投标人如确定投标，必须在苏采云平台（http://jszfcg.jsczt.cn/jszc/login?）中免费下载公开招标文件（“项目参与”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“采购项目”找到需要获取采购文件的项目），点击“我要参与”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“参与投标”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文件”，完成项目参与，将苏采云平台中下载的采购文件（后缀名为“.kedt”）导入到“政府采购客户端”，离线按要求编制并加密投标文件（使用“CA数字证书”），导出加密的投标文件（后缀名为zip）并在苏采云平台上传该加密的投标文件，对采购文件各项内容做出实质性响应，否则其投标文件无效。</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4.售价：投标人应承担其编制投标文件以及递交投标文件所涉及的一切费用。无论投标结果如何，采购人对上述费用不负任何责任。</w:t>
      </w:r>
      <w:r/>
    </w:p>
    <w:p>
      <w:pPr>
        <w:pStyle w:val="799"/>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5.本项目不收取投标保证金。</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（四）现场踏勘、提疑（答疑）、澄清、修改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投标供应商要求澄清招标文件的截止时间：2026年</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日10:00时前，以书面文件和电子邮件形式发送给采购代理机构。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采购人对招标文件答疑、澄清、修改的时间：采购人或者采购代理机构在投标截止时间十五日前以书面文件或电子邮件形式发送给提疑供应商。如涉及澄清或者修改，在原招标公告媒体上发布。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1.网上投标截止时间：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点30分</w:t>
      </w:r>
      <w:r>
        <w:rPr>
          <w:rFonts w:hint="eastAsia" w:ascii="宋体" w:hAnsi="宋体" w:eastAsia="宋体" w:cs="宋体"/>
          <w:bCs/>
          <w:color w:val="auto"/>
          <w:sz w:val="24"/>
          <w:szCs w:val="24"/>
          <w:highlight w:val="none"/>
        </w:rPr>
        <w:t xml:space="preserve">（北京时间），截止时间后上传的任何投标文件恕不接受。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.网上投标解密时间：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点30分</w:t>
      </w:r>
      <w:r>
        <w:rPr>
          <w:rFonts w:hint="eastAsia" w:ascii="宋体" w:hAnsi="宋体" w:eastAsia="宋体" w:cs="宋体"/>
          <w:bCs/>
          <w:color w:val="auto"/>
          <w:sz w:val="24"/>
          <w:szCs w:val="24"/>
          <w:highlight w:val="none"/>
        </w:rPr>
        <w:t xml:space="preserve">（北京时间）；解密时限：开启解密后30分钟。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.地点：</w:t>
      </w:r>
      <w:r>
        <w:rPr>
          <w:rFonts w:hint="eastAsia" w:ascii="宋体" w:hAnsi="宋体" w:eastAsia="宋体" w:cs="宋体"/>
          <w:color w:val="auto"/>
          <w:sz w:val="24"/>
          <w:szCs w:val="24"/>
          <w:highlight w:val="none"/>
        </w:rPr>
        <w:t xml:space="preserve">江苏省政府采购（苏采云）平台投标，线上不见面开标。</w:t>
      </w:r>
      <w:r/>
    </w:p>
    <w:p>
      <w:pPr>
        <w:pStyle w:val="799"/>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特别提醒：</w:t>
      </w:r>
      <w:r/>
    </w:p>
    <w:p>
      <w:pPr>
        <w:pStyle w:val="799"/>
        <w:ind w:left="0" w:firstLine="42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pStyle w:val="799"/>
        <w:ind w:left="0" w:firstLine="42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2）若资格审查中或评审过程中，采购人/代理机构/评标委员会对投标文件存在疑问，投标人被授权代表须在接到在线询标函后15分钟内，在开标界面在线以澄清函回复并签章；若投标人被授权代表未在规定时间内按上述要求作出回复，则视为投标人默认资审结果或评审结果。</w:t>
      </w:r>
      <w:r/>
    </w:p>
    <w:p>
      <w:pPr>
        <w:pStyle w:val="983"/>
        <w:ind w:firstLine="452"/>
        <w:keepLines w:val="0"/>
        <w:keepNext w:val="0"/>
        <w:spacing w:before="0" w:after="0" w:line="360" w:lineRule="auto"/>
        <w:rPr>
          <w:rFonts w:ascii="宋体" w:hAnsi="宋体" w:cs="宋体"/>
          <w:bCs w:val="0"/>
          <w:color w:val="auto"/>
          <w:sz w:val="24"/>
          <w:szCs w:val="24"/>
          <w:highlight w:val="none"/>
        </w:rPr>
        <w:outlineLvl w:val="9"/>
      </w:pP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六</w:t>
      </w:r>
      <w:r>
        <w:rPr>
          <w:rFonts w:hint="eastAsia" w:ascii="宋体" w:hAnsi="宋体" w:cs="宋体"/>
          <w:bCs w:val="0"/>
          <w:color w:val="auto"/>
          <w:sz w:val="24"/>
          <w:szCs w:val="24"/>
          <w:highlight w:val="none"/>
          <w:lang w:eastAsia="zh-CN"/>
        </w:rPr>
        <w:t xml:space="preserve">）公告期限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）评审时间和地点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评审</w:t>
      </w:r>
      <w:r>
        <w:rPr>
          <w:rFonts w:hint="eastAsia" w:ascii="宋体" w:hAnsi="宋体" w:eastAsia="宋体" w:cs="宋体"/>
          <w:bCs/>
          <w:color w:val="auto"/>
          <w:sz w:val="24"/>
          <w:szCs w:val="24"/>
          <w:highlight w:val="none"/>
        </w:rPr>
        <w:t xml:space="preserve">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 7</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日唱标结束后</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评审地点</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“江苏省政府采购（苏采云）平台”网上开标大厅</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确定中标单位时间</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评审结束后</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本项目为线上不见面采购，投标人无需到开标现场及递交纸质文件。中标供应商在收到中标通知书后与采购人签订合同前，必须提供与系统中电子投标文件一致的纸质投标文件正本一份，副本二份。</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本次招标联系方式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名称：无锡市建汇建设工程咨询事务所有限公司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许嘉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电话：0510-82729759、13665170769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地址：无锡市西新街8号建设发展大厦17楼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邮箱：397365607@qq.com</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称：江苏无锡经济开发区发展中心、江苏无锡经济开发区教育局</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址：无锡市滨湖区太湖新城金融三街置业大厦宁波银行23楼、雪丰路96号（无锡市融成实验中学内）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：江威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联系方式：0510-80580159</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人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无锡政府采购网</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江苏政府采购网</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发布的信息。</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本项目为线上不见面采购，投标人无需到开标现场及递交纸质文件。中标供应商在收到中标通知书后与采购人签订合同前，必须提供与系统中电子投标文件一致的纸质投标文件正本一份，副本二份。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jc w:val="center"/>
        <w:spacing w:line="360" w:lineRule="auto"/>
        <w:widowControl/>
        <w:rPr>
          <w:rFonts w:ascii="宋体" w:hAnsi="宋体" w:eastAsia="宋体" w:cs="宋体"/>
          <w:b/>
          <w:bCs/>
          <w:color w:val="auto"/>
          <w:sz w:val="28"/>
          <w:szCs w:val="28"/>
          <w:highlight w:val="none"/>
        </w:rPr>
        <w:outlineLvl w:val="0"/>
      </w:pPr>
      <w:r>
        <w:rPr>
          <w:rFonts w:hint="eastAsia" w:ascii="宋体" w:hAnsi="宋体" w:eastAsia="宋体" w:cs="宋体"/>
          <w:color w:val="auto"/>
          <w:sz w:val="36"/>
          <w:szCs w:val="36"/>
          <w:highlight w:val="none"/>
        </w:rPr>
        <w:t xml:space="preserve">第二章  </w:t>
      </w:r>
      <w:bookmarkEnd w:id="0"/>
      <w:r/>
      <w:bookmarkStart w:id="1" w:name="_Toc20823274"/>
      <w:r/>
      <w:bookmarkStart w:id="2" w:name="_Toc16938518"/>
      <w:r/>
      <w:bookmarkStart w:id="3" w:name="_Toc513029202"/>
      <w:r/>
      <w:bookmarkStart w:id="4" w:name="_Toc120614213"/>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983"/>
        <w:ind w:firstLine="452"/>
        <w:keepLines w:val="0"/>
        <w:keepNext w:val="0"/>
        <w:spacing w:before="0" w:after="0" w:line="360" w:lineRule="auto"/>
        <w:rPr>
          <w:rFonts w:ascii="宋体" w:hAnsi="宋体" w:cs="宋体"/>
          <w:color w:val="auto"/>
          <w:sz w:val="30"/>
          <w:szCs w:val="30"/>
          <w:highlight w:val="none"/>
        </w:rPr>
      </w:pPr>
      <w:r/>
      <w:bookmarkStart w:id="5" w:name="_Toc16938519"/>
      <w:r/>
      <w:bookmarkStart w:id="6" w:name="_Toc20823275"/>
      <w:r/>
      <w:bookmarkStart w:id="7" w:name="_Toc513029203"/>
      <w:r/>
      <w:bookmarkStart w:id="8" w:name="_Toc120614214"/>
      <w:r/>
      <w:bookmarkStart w:id="9" w:name="_Toc16938531"/>
      <w:r/>
      <w:bookmarkStart w:id="10" w:name="_Toc513029215"/>
      <w:r/>
      <w:bookmarkStart w:id="11" w:name="_Toc20823287"/>
      <w:r/>
      <w:bookmarkStart w:id="12" w:name="_Toc462564074"/>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152"/>
        <w:ind w:firstLine="422"/>
        <w:keepLines w:val="0"/>
        <w:keepNext w:val="0"/>
        <w:spacing w:before="0" w:after="0" w:line="360" w:lineRule="auto"/>
        <w:rPr>
          <w:rFonts w:ascii="宋体" w:hAnsi="宋体" w:eastAsia="宋体" w:cs="宋体"/>
          <w:bCs w:val="0"/>
          <w:color w:val="auto"/>
          <w:highlight w:val="none"/>
        </w:rPr>
      </w:pPr>
      <w:r/>
      <w:bookmarkStart w:id="13" w:name="_Hlt16619475"/>
      <w:r/>
      <w:bookmarkEnd w:id="13"/>
      <w:r/>
      <w:bookmarkStart w:id="14" w:name="_Toc513029204"/>
      <w:r/>
      <w:bookmarkStart w:id="15" w:name="_Toc16938520"/>
      <w:r/>
      <w:bookmarkStart w:id="16" w:name="_Toc20823276"/>
      <w:r>
        <w:rPr>
          <w:rFonts w:hint="eastAsia" w:ascii="宋体" w:hAnsi="宋体" w:eastAsia="宋体" w:cs="宋体"/>
          <w:bCs w:val="0"/>
          <w:color w:val="auto"/>
          <w:highlight w:val="none"/>
          <w:lang w:eastAsia="zh-CN"/>
        </w:rPr>
        <w:t xml:space="preserve">1.招标方式</w:t>
      </w:r>
      <w:bookmarkEnd w:id="14"/>
      <w:r/>
      <w:bookmarkEnd w:id="15"/>
      <w:r/>
      <w:bookmarkEnd w:id="16"/>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152"/>
        <w:ind w:firstLine="422"/>
        <w:keepLines w:val="0"/>
        <w:keepNext w:val="0"/>
        <w:spacing w:before="0" w:after="0" w:line="360" w:lineRule="auto"/>
        <w:rPr>
          <w:rFonts w:ascii="宋体" w:hAnsi="宋体" w:eastAsia="宋体" w:cs="宋体"/>
          <w:bCs w:val="0"/>
          <w:color w:val="auto"/>
          <w:highlight w:val="none"/>
        </w:rPr>
      </w:pPr>
      <w:r/>
      <w:bookmarkStart w:id="17" w:name="_Toc20823277"/>
      <w:r/>
      <w:bookmarkStart w:id="18" w:name="_Toc16938521"/>
      <w:r/>
      <w:bookmarkStart w:id="19" w:name="_Toc513029205"/>
      <w:r>
        <w:rPr>
          <w:rFonts w:hint="eastAsia" w:ascii="宋体" w:hAnsi="宋体" w:eastAsia="宋体" w:cs="宋体"/>
          <w:bCs w:val="0"/>
          <w:color w:val="auto"/>
          <w:highlight w:val="none"/>
          <w:lang w:eastAsia="zh-CN"/>
        </w:rPr>
        <w:t xml:space="preserve">2.</w:t>
      </w:r>
      <w:bookmarkEnd w:id="17"/>
      <w:r/>
      <w:bookmarkEnd w:id="18"/>
      <w:r/>
      <w:bookmarkEnd w:id="19"/>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eastAsia="宋体" w:cs="宋体"/>
          <w:b/>
          <w:bCs/>
          <w:color w:val="auto"/>
          <w:sz w:val="24"/>
          <w:szCs w:val="24"/>
          <w:highlight w:val="none"/>
        </w:rPr>
        <w:t xml:space="preserve">本项目不接受联合投标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1152"/>
        <w:ind w:firstLine="422"/>
        <w:keepLines w:val="0"/>
        <w:keepNext w:val="0"/>
        <w:spacing w:before="0" w:after="0" w:line="360" w:lineRule="auto"/>
        <w:rPr>
          <w:rFonts w:ascii="宋体" w:hAnsi="宋体" w:eastAsia="宋体" w:cs="宋体"/>
          <w:bCs w:val="0"/>
          <w:color w:val="auto"/>
          <w:highlight w:val="none"/>
        </w:rPr>
      </w:pPr>
      <w:r/>
      <w:bookmarkStart w:id="20" w:name="_Toc20823278"/>
      <w:r/>
      <w:bookmarkStart w:id="21" w:name="_Toc513029206"/>
      <w:r/>
      <w:bookmarkStart w:id="22" w:name="_Toc16938522"/>
      <w:r>
        <w:rPr>
          <w:rFonts w:hint="eastAsia" w:ascii="宋体" w:hAnsi="宋体" w:eastAsia="宋体" w:cs="宋体"/>
          <w:bCs w:val="0"/>
          <w:color w:val="auto"/>
          <w:highlight w:val="none"/>
          <w:lang w:eastAsia="zh-CN"/>
        </w:rPr>
        <w:t xml:space="preserve">3.适用法律</w:t>
      </w:r>
      <w:bookmarkEnd w:id="20"/>
      <w:r/>
      <w:bookmarkEnd w:id="21"/>
      <w:r/>
      <w:bookmarkEnd w:id="22"/>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1152"/>
        <w:ind w:firstLine="422"/>
        <w:keepLines w:val="0"/>
        <w:keepNext w:val="0"/>
        <w:spacing w:before="0" w:after="0" w:line="360" w:lineRule="auto"/>
        <w:rPr>
          <w:rFonts w:ascii="宋体" w:hAnsi="宋体" w:eastAsia="宋体" w:cs="宋体"/>
          <w:bCs w:val="0"/>
          <w:color w:val="auto"/>
          <w:highlight w:val="none"/>
        </w:rPr>
      </w:pPr>
      <w:r/>
      <w:bookmarkStart w:id="23" w:name="_Toc462564067"/>
      <w:r/>
      <w:bookmarkStart w:id="24" w:name="_Toc513029207"/>
      <w:r/>
      <w:bookmarkStart w:id="25" w:name="_Toc20823279"/>
      <w:r/>
      <w:bookmarkStart w:id="26" w:name="_Toc16938523"/>
      <w:r>
        <w:rPr>
          <w:rFonts w:hint="eastAsia" w:ascii="宋体" w:hAnsi="宋体" w:eastAsia="宋体" w:cs="宋体"/>
          <w:bCs w:val="0"/>
          <w:color w:val="auto"/>
          <w:highlight w:val="none"/>
          <w:lang w:eastAsia="zh-CN"/>
        </w:rPr>
        <w:t xml:space="preserve">4.投标费用</w:t>
      </w:r>
      <w:bookmarkEnd w:id="23"/>
      <w:r/>
      <w:bookmarkEnd w:id="24"/>
      <w:r/>
      <w:bookmarkEnd w:id="25"/>
      <w:r/>
      <w:bookmarkEnd w:id="26"/>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投标人应自行承担所有与参加投标有关的费用，无论投标过程中的做法和结果如何，无锡市建汇建设工程咨询事务所有限公司在任何情况下均无义务和责任承担这些费用。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4.2</w:t>
      </w:r>
      <w:r>
        <w:rPr>
          <w:rFonts w:hint="eastAsia" w:ascii="宋体" w:hAnsi="宋体" w:eastAsia="宋体" w:cs="宋体"/>
          <w:bCs/>
          <w:color w:val="auto"/>
          <w:sz w:val="24"/>
          <w:highlight w:val="none"/>
        </w:rPr>
        <w:t xml:space="preserve">招标代理费由中标供应商支付</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按差额定率累进法，收费标准为：</w:t>
      </w:r>
      <w:r>
        <w:rPr>
          <w:rFonts w:hint="eastAsia" w:ascii="宋体" w:hAnsi="宋体" w:eastAsia="宋体" w:cs="宋体"/>
          <w:bCs/>
          <w:color w:val="auto"/>
          <w:sz w:val="24"/>
          <w:highlight w:val="none"/>
        </w:rPr>
        <w:t xml:space="preserve">以中标价为</w:t>
      </w:r>
      <w:r>
        <w:rPr>
          <w:rFonts w:hint="eastAsia" w:ascii="宋体" w:hAnsi="宋体" w:eastAsia="宋体" w:cs="宋体"/>
          <w:bCs/>
          <w:color w:val="auto"/>
          <w:sz w:val="24"/>
          <w:highlight w:val="none"/>
          <w:lang w:eastAsia="zh-CN"/>
        </w:rPr>
        <w:t xml:space="preserve">计算</w:t>
      </w:r>
      <w:r>
        <w:rPr>
          <w:rFonts w:hint="eastAsia" w:ascii="宋体" w:hAnsi="宋体" w:eastAsia="宋体" w:cs="宋体"/>
          <w:bCs/>
          <w:color w:val="auto"/>
          <w:sz w:val="24"/>
          <w:highlight w:val="none"/>
        </w:rPr>
        <w:t xml:space="preserve">基数</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已含增值税）</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中标金额100万元以下费率为中标金额的1.5%；中标金额100万元—500万元费率为中标金额的</w:t>
      </w:r>
      <w:r>
        <w:rPr>
          <w:rFonts w:hint="eastAsia" w:ascii="宋体" w:hAnsi="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highlight w:val="none"/>
          <w:lang w:val="en-US" w:eastAsia="zh-CN"/>
        </w:rPr>
        <w:t xml:space="preserve">在此基础上打7折计取</w:t>
      </w:r>
      <w:r>
        <w:rPr>
          <w:rFonts w:hint="eastAsia" w:ascii="宋体" w:hAnsi="宋体" w:eastAsia="宋体" w:cs="宋体"/>
          <w:bCs/>
          <w:color w:val="auto"/>
          <w:sz w:val="24"/>
          <w:highlight w:val="none"/>
        </w:rPr>
        <w:t xml:space="preserve">，由中标供应商在领取中标通知书前一次性付清。</w:t>
      </w:r>
      <w:r/>
    </w:p>
    <w:p>
      <w:pPr>
        <w:pStyle w:val="1152"/>
        <w:ind w:firstLine="422"/>
        <w:keepLines w:val="0"/>
        <w:keepNext w:val="0"/>
        <w:spacing w:before="0" w:after="0" w:line="360" w:lineRule="auto"/>
        <w:rPr>
          <w:rFonts w:hint="default"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5.招标文件的</w:t>
      </w:r>
      <w:r>
        <w:rPr>
          <w:rFonts w:hint="eastAsia" w:ascii="宋体" w:hAnsi="宋体" w:eastAsia="宋体" w:cs="宋体"/>
          <w:bCs w:val="0"/>
          <w:color w:val="auto"/>
          <w:highlight w:val="none"/>
          <w:lang w:val="en-US" w:eastAsia="zh-CN"/>
        </w:rPr>
        <w:t xml:space="preserve">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983"/>
        <w:ind w:firstLine="452"/>
        <w:keepLines w:val="0"/>
        <w:keepNext w:val="0"/>
        <w:spacing w:before="0" w:after="0" w:line="360" w:lineRule="auto"/>
        <w:rPr>
          <w:rFonts w:ascii="宋体" w:hAnsi="宋体" w:cs="宋体"/>
          <w:color w:val="auto"/>
          <w:sz w:val="30"/>
          <w:szCs w:val="30"/>
          <w:highlight w:val="none"/>
        </w:rPr>
      </w:pPr>
      <w:r/>
      <w:bookmarkStart w:id="27" w:name="_Toc20823281"/>
      <w:r/>
      <w:bookmarkStart w:id="28" w:name="_Toc16938525"/>
      <w:r/>
      <w:bookmarkStart w:id="29" w:name="_Toc120614215"/>
      <w:r/>
      <w:bookmarkStart w:id="30" w:name="_Toc513029209"/>
      <w:r>
        <w:rPr>
          <w:rFonts w:hint="eastAsia" w:ascii="宋体" w:hAnsi="宋体" w:cs="宋体"/>
          <w:color w:val="auto"/>
          <w:sz w:val="30"/>
          <w:szCs w:val="30"/>
          <w:highlight w:val="none"/>
          <w:lang w:eastAsia="zh-CN"/>
        </w:rPr>
        <w:t xml:space="preserve">二、招标文件</w:t>
      </w:r>
      <w:bookmarkEnd w:id="27"/>
      <w:r/>
      <w:bookmarkEnd w:id="28"/>
      <w:r/>
      <w:bookmarkEnd w:id="29"/>
      <w:r/>
      <w:bookmarkEnd w:id="30"/>
      <w:r/>
      <w:r/>
    </w:p>
    <w:p>
      <w:pPr>
        <w:pStyle w:val="1152"/>
        <w:ind w:firstLine="422"/>
        <w:keepLines w:val="0"/>
        <w:keepNext w:val="0"/>
        <w:spacing w:before="0" w:after="0" w:line="360" w:lineRule="auto"/>
        <w:rPr>
          <w:rFonts w:ascii="宋体" w:hAnsi="宋体" w:eastAsia="宋体" w:cs="宋体"/>
          <w:bCs w:val="0"/>
          <w:color w:val="auto"/>
          <w:highlight w:val="none"/>
        </w:rPr>
      </w:pPr>
      <w:r/>
      <w:bookmarkStart w:id="31" w:name="_Toc16938526"/>
      <w:r/>
      <w:bookmarkStart w:id="32" w:name="_Toc513029210"/>
      <w:r/>
      <w:bookmarkStart w:id="33" w:name="_Toc20823282"/>
      <w:r>
        <w:rPr>
          <w:rFonts w:hint="eastAsia" w:ascii="宋体" w:hAnsi="宋体" w:eastAsia="宋体" w:cs="宋体"/>
          <w:bCs w:val="0"/>
          <w:color w:val="auto"/>
          <w:highlight w:val="none"/>
          <w:lang w:eastAsia="zh-CN"/>
        </w:rPr>
        <w:t xml:space="preserve">6.招标文件构成</w:t>
      </w:r>
      <w:bookmarkEnd w:id="31"/>
      <w:r/>
      <w:bookmarkEnd w:id="32"/>
      <w:r/>
      <w:bookmarkEnd w:id="33"/>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52"/>
        <w:ind w:firstLine="422"/>
        <w:keepLines w:val="0"/>
        <w:keepNext w:val="0"/>
        <w:spacing w:before="0" w:after="0" w:line="360" w:lineRule="auto"/>
        <w:rPr>
          <w:rFonts w:ascii="宋体" w:hAnsi="宋体" w:eastAsia="宋体" w:cs="宋体"/>
          <w:bCs w:val="0"/>
          <w:color w:val="auto"/>
          <w:highlight w:val="none"/>
        </w:rPr>
      </w:pPr>
      <w:r/>
      <w:bookmarkStart w:id="34" w:name="_Toc462564070"/>
      <w:r/>
      <w:bookmarkStart w:id="35" w:name="_Toc16938527"/>
      <w:r/>
      <w:bookmarkStart w:id="36" w:name="_Toc20823283"/>
      <w:r/>
      <w:bookmarkStart w:id="37" w:name="_Toc513029211"/>
      <w:r>
        <w:rPr>
          <w:rFonts w:hint="eastAsia" w:ascii="宋体" w:hAnsi="宋体" w:eastAsia="宋体" w:cs="宋体"/>
          <w:bCs w:val="0"/>
          <w:color w:val="auto"/>
          <w:highlight w:val="none"/>
          <w:lang w:eastAsia="zh-CN"/>
        </w:rPr>
        <w:t xml:space="preserve">7.招标文件的澄清</w:t>
      </w:r>
      <w:bookmarkEnd w:id="34"/>
      <w:r/>
      <w:bookmarkEnd w:id="35"/>
      <w:r/>
      <w:bookmarkEnd w:id="36"/>
      <w:r/>
      <w:bookmarkEnd w:id="37"/>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152"/>
        <w:ind w:firstLine="422"/>
        <w:keepLines w:val="0"/>
        <w:keepNext w:val="0"/>
        <w:spacing w:before="0" w:after="0" w:line="360" w:lineRule="auto"/>
        <w:rPr>
          <w:rFonts w:ascii="宋体" w:hAnsi="宋体" w:eastAsia="宋体" w:cs="宋体"/>
          <w:bCs w:val="0"/>
          <w:color w:val="auto"/>
          <w:highlight w:val="none"/>
        </w:rPr>
      </w:pPr>
      <w:r/>
      <w:bookmarkStart w:id="38" w:name="_Toc16938528"/>
      <w:r/>
      <w:bookmarkStart w:id="39" w:name="_Toc20823284"/>
      <w:r/>
      <w:bookmarkStart w:id="40" w:name="_Toc513029212"/>
      <w:r/>
      <w:bookmarkStart w:id="41" w:name="_Toc462564071"/>
      <w:r>
        <w:rPr>
          <w:rFonts w:hint="eastAsia" w:ascii="宋体" w:hAnsi="宋体" w:eastAsia="宋体" w:cs="宋体"/>
          <w:bCs w:val="0"/>
          <w:color w:val="auto"/>
          <w:highlight w:val="none"/>
          <w:lang w:eastAsia="zh-CN"/>
        </w:rPr>
        <w:t xml:space="preserve">8.招标文件的修改</w:t>
      </w:r>
      <w:bookmarkEnd w:id="38"/>
      <w:r/>
      <w:bookmarkEnd w:id="39"/>
      <w:r/>
      <w:bookmarkEnd w:id="40"/>
      <w:r/>
      <w:bookmarkEnd w:id="41"/>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83"/>
        <w:ind w:firstLine="452"/>
        <w:keepLines w:val="0"/>
        <w:keepNext w:val="0"/>
        <w:spacing w:before="0" w:after="0" w:line="360" w:lineRule="auto"/>
        <w:rPr>
          <w:rFonts w:ascii="宋体" w:hAnsi="宋体" w:cs="宋体"/>
          <w:color w:val="auto"/>
          <w:sz w:val="30"/>
          <w:szCs w:val="30"/>
          <w:highlight w:val="none"/>
        </w:rPr>
      </w:pPr>
      <w:r/>
      <w:bookmarkStart w:id="42" w:name="_Toc20823285"/>
      <w:r/>
      <w:bookmarkStart w:id="43" w:name="_Toc462564072"/>
      <w:r/>
      <w:bookmarkStart w:id="44" w:name="_Toc120614216"/>
      <w:r/>
      <w:bookmarkStart w:id="45" w:name="_Toc16938529"/>
      <w:r/>
      <w:bookmarkStart w:id="46" w:name="_Toc513029213"/>
      <w:r>
        <w:rPr>
          <w:rFonts w:hint="eastAsia" w:ascii="宋体" w:hAnsi="宋体" w:cs="宋体"/>
          <w:color w:val="auto"/>
          <w:sz w:val="30"/>
          <w:szCs w:val="30"/>
          <w:highlight w:val="none"/>
          <w:lang w:eastAsia="zh-CN"/>
        </w:rPr>
        <w:t xml:space="preserve">三、投标文件的编制</w:t>
      </w:r>
      <w:bookmarkEnd w:id="42"/>
      <w:r/>
      <w:bookmarkEnd w:id="43"/>
      <w:r/>
      <w:bookmarkEnd w:id="44"/>
      <w:r/>
      <w:bookmarkEnd w:id="45"/>
      <w:r/>
      <w:bookmarkEnd w:id="46"/>
      <w:r/>
      <w:r/>
    </w:p>
    <w:p>
      <w:pPr>
        <w:pStyle w:val="1152"/>
        <w:ind w:firstLine="422"/>
        <w:keepLines w:val="0"/>
        <w:keepNext w:val="0"/>
        <w:spacing w:before="0" w:after="0" w:line="360" w:lineRule="auto"/>
        <w:rPr>
          <w:rFonts w:ascii="宋体" w:hAnsi="宋体" w:eastAsia="宋体" w:cs="宋体"/>
          <w:bCs w:val="0"/>
          <w:color w:val="auto"/>
          <w:highlight w:val="none"/>
        </w:rPr>
      </w:pPr>
      <w:r/>
      <w:bookmarkStart w:id="47" w:name="_Toc20823286"/>
      <w:r/>
      <w:bookmarkStart w:id="48" w:name="_Toc16938530"/>
      <w:r/>
      <w:bookmarkStart w:id="49" w:name="_Toc462564073"/>
      <w:r/>
      <w:bookmarkStart w:id="50" w:name="_Toc513029214"/>
      <w:r>
        <w:rPr>
          <w:rFonts w:hint="eastAsia" w:ascii="宋体" w:hAnsi="宋体" w:eastAsia="宋体" w:cs="宋体"/>
          <w:bCs w:val="0"/>
          <w:color w:val="auto"/>
          <w:highlight w:val="none"/>
          <w:lang w:eastAsia="zh-CN"/>
        </w:rPr>
        <w:t xml:space="preserve">9.投标文件的语言及度量衡单位</w:t>
      </w:r>
      <w:bookmarkEnd w:id="47"/>
      <w:r/>
      <w:bookmarkEnd w:id="48"/>
      <w:r/>
      <w:bookmarkEnd w:id="49"/>
      <w:r/>
      <w:bookmarkEnd w:id="50"/>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152"/>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10.投标文件构成</w:t>
      </w:r>
      <w:bookmarkEnd w:id="9"/>
      <w:r/>
      <w:bookmarkEnd w:id="10"/>
      <w:r/>
      <w:bookmarkEnd w:id="11"/>
      <w:r/>
      <w:bookmarkEnd w:id="12"/>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10.3如标书制作工具中格式和内容与招标文件不一致的，请以招标文件为准。</w:t>
      </w:r>
      <w:r/>
    </w:p>
    <w:p>
      <w:pPr>
        <w:pStyle w:val="1152"/>
        <w:ind w:firstLine="422"/>
        <w:keepLines w:val="0"/>
        <w:keepNext w:val="0"/>
        <w:spacing w:before="0" w:after="0" w:line="360" w:lineRule="auto"/>
        <w:rPr>
          <w:rFonts w:hint="default" w:ascii="宋体" w:hAnsi="宋体" w:eastAsia="宋体" w:cs="宋体"/>
          <w:bCs w:val="0"/>
          <w:color w:val="auto"/>
          <w:highlight w:val="none"/>
        </w:rPr>
      </w:pPr>
      <w:r/>
      <w:bookmarkStart w:id="51" w:name="_Hlt26954731"/>
      <w:r/>
      <w:bookmarkEnd w:id="51"/>
      <w:r/>
      <w:bookmarkStart w:id="52" w:name="_Hlt26954846"/>
      <w:r/>
      <w:bookmarkEnd w:id="52"/>
      <w:r/>
      <w:bookmarkStart w:id="53" w:name="_Hlt26670486"/>
      <w:r/>
      <w:bookmarkEnd w:id="53"/>
      <w:r/>
      <w:bookmarkStart w:id="54" w:name="_Hlt26954848"/>
      <w:r/>
      <w:bookmarkEnd w:id="54"/>
      <w:r/>
      <w:bookmarkStart w:id="55" w:name="_Hlt26954842"/>
      <w:r/>
      <w:bookmarkEnd w:id="55"/>
      <w:r/>
      <w:bookmarkStart w:id="56" w:name="_Hlt26954838"/>
      <w:r/>
      <w:bookmarkEnd w:id="56"/>
      <w:r/>
      <w:bookmarkStart w:id="57" w:name="_Hlt26670425"/>
      <w:r/>
      <w:bookmarkEnd w:id="57"/>
      <w:r/>
      <w:bookmarkStart w:id="58" w:name="_Hlt26670403"/>
      <w:r/>
      <w:bookmarkEnd w:id="58"/>
      <w:r/>
      <w:bookmarkStart w:id="59" w:name="_Hlt26670482"/>
      <w:r/>
      <w:bookmarkEnd w:id="59"/>
      <w:r/>
      <w:bookmarkStart w:id="60" w:name="_Hlt26668975"/>
      <w:r/>
      <w:bookmarkEnd w:id="60"/>
      <w:r/>
      <w:bookmarkStart w:id="61" w:name="_Hlt26668983"/>
      <w:r/>
      <w:bookmarkEnd w:id="61"/>
      <w:r/>
      <w:bookmarkStart w:id="62" w:name="_Hlt26954844"/>
      <w:r/>
      <w:bookmarkEnd w:id="62"/>
      <w:r/>
      <w:bookmarkStart w:id="63" w:name="_Hlt26670360"/>
      <w:r/>
      <w:bookmarkEnd w:id="63"/>
      <w:r/>
      <w:bookmarkStart w:id="64" w:name="_Toc513029219"/>
      <w:r/>
      <w:bookmarkStart w:id="65" w:name="_Toc49090509"/>
      <w:r/>
      <w:bookmarkStart w:id="66" w:name="_Toc49090507"/>
      <w:r/>
      <w:bookmarkStart w:id="67" w:name="_Toc14577354"/>
      <w:r/>
      <w:bookmarkStart w:id="68" w:name="_Toc513029216"/>
      <w:r/>
      <w:bookmarkStart w:id="69" w:name="_Toc14577357"/>
      <w:r>
        <w:rPr>
          <w:rFonts w:hint="eastAsia" w:ascii="宋体" w:hAnsi="宋体" w:eastAsia="宋体" w:cs="宋体"/>
          <w:bCs w:val="0"/>
          <w:color w:val="auto"/>
          <w:highlight w:val="none"/>
          <w:lang w:eastAsia="zh-CN"/>
        </w:rPr>
        <w:t xml:space="preserve">11.证明文件</w:t>
      </w:r>
      <w:bookmarkEnd w:id="64"/>
      <w:r/>
      <w:bookmarkEnd w:id="65"/>
      <w:r/>
      <w:bookmarkEnd w:id="66"/>
      <w:r/>
      <w:bookmarkEnd w:id="67"/>
      <w:r/>
      <w:bookmarkEnd w:id="68"/>
      <w:r/>
      <w:bookmarkEnd w:id="69"/>
      <w:r>
        <w:rPr>
          <w:rFonts w:hint="eastAsia" w:ascii="宋体" w:hAnsi="宋体" w:eastAsia="宋体" w:cs="宋体"/>
          <w:bCs w:val="0"/>
          <w:color w:val="auto"/>
          <w:highlight w:val="none"/>
          <w:lang w:val="en-US" w:eastAsia="zh-CN"/>
        </w:rPr>
        <w:t xml:space="preserve">部分</w:t>
      </w:r>
      <w:r/>
    </w:p>
    <w:p>
      <w:pPr>
        <w:ind w:firstLine="480"/>
        <w:spacing w:line="360" w:lineRule="auto"/>
        <w:rPr>
          <w:rFonts w:ascii="宋体" w:hAnsi="宋体" w:eastAsia="宋体" w:cs="宋体"/>
          <w:bCs/>
          <w:color w:val="auto"/>
          <w:sz w:val="24"/>
          <w:highlight w:val="none"/>
        </w:rPr>
      </w:pPr>
      <w:r/>
      <w:bookmarkStart w:id="70" w:name="_Toc49090508"/>
      <w:r/>
      <w:bookmarkStart w:id="71" w:name="_Toc14577355"/>
      <w:r>
        <w:rPr>
          <w:rFonts w:hint="eastAsia" w:ascii="宋体" w:hAnsi="宋体" w:eastAsia="宋体" w:cs="宋体"/>
          <w:bCs/>
          <w:color w:val="auto"/>
          <w:sz w:val="24"/>
          <w:highlight w:val="none"/>
        </w:rPr>
        <w:t xml:space="preserve">11.1投标人应按照法律法规、规章和规范性文件以及招标文件要求提交证明文件，证明其投标标的符合招标文件的规定。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spacing w:line="360" w:lineRule="auto"/>
        <w:tabs>
          <w:tab w:val="left" w:pos="103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1152"/>
        <w:ind w:firstLine="422"/>
        <w:keepLines w:val="0"/>
        <w:keepNext w:val="0"/>
        <w:spacing w:before="0" w:after="0" w:line="360" w:lineRule="auto"/>
        <w:rPr>
          <w:rFonts w:ascii="宋体" w:hAnsi="宋体" w:eastAsia="宋体" w:cs="宋体"/>
          <w:bCs w:val="0"/>
          <w:color w:val="auto"/>
          <w:highlight w:val="none"/>
        </w:rPr>
      </w:pPr>
      <w:r/>
      <w:bookmarkStart w:id="72" w:name="_Toc14577359"/>
      <w:r/>
      <w:bookmarkStart w:id="73" w:name="_Toc49090510"/>
      <w:r>
        <w:rPr>
          <w:rFonts w:hint="eastAsia" w:ascii="宋体" w:hAnsi="宋体" w:eastAsia="宋体" w:cs="宋体"/>
          <w:bCs w:val="0"/>
          <w:color w:val="auto"/>
          <w:highlight w:val="none"/>
          <w:lang w:eastAsia="zh-CN"/>
        </w:rPr>
        <w:t xml:space="preserve">12.投标函</w:t>
      </w:r>
      <w:r>
        <w:rPr>
          <w:rFonts w:hint="eastAsia" w:ascii="宋体" w:hAnsi="宋体" w:eastAsia="宋体" w:cs="宋体"/>
          <w:bCs w:val="0"/>
          <w:color w:val="auto"/>
          <w:highlight w:val="none"/>
          <w:lang w:val="en-US" w:eastAsia="zh-CN"/>
        </w:rPr>
        <w:t xml:space="preserve">部分（格式见附件）</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12.2对于采用货币报价的项目，开标一览表中的投标总报价应与分项报价表的总额一致，如不一致，不作为无效投标处理，但评标时按开标一览表中的价格为准。</w:t>
      </w:r>
      <w:bookmarkEnd w:id="72"/>
      <w:r/>
      <w:bookmarkEnd w:id="73"/>
      <w:r/>
      <w:r/>
    </w:p>
    <w:p>
      <w:pPr>
        <w:pStyle w:val="1152"/>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13.</w:t>
      </w:r>
      <w:bookmarkEnd w:id="70"/>
      <w:r/>
      <w:bookmarkEnd w:id="71"/>
      <w:r>
        <w:rPr>
          <w:rFonts w:hint="eastAsia" w:ascii="宋体" w:hAnsi="宋体" w:eastAsia="宋体" w:cs="宋体"/>
          <w:bCs w:val="0"/>
          <w:color w:val="auto"/>
          <w:highlight w:val="none"/>
          <w:lang w:val="en-US" w:eastAsia="zh-CN"/>
        </w:rPr>
        <w:t xml:space="preserve">报价部分（格式见附件）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74" w:name="_Hlt26954840"/>
      <w:r/>
      <w:bookmarkEnd w:id="74"/>
      <w:r>
        <w:rPr>
          <w:rFonts w:hint="eastAsia" w:ascii="宋体" w:hAnsi="宋体" w:eastAsia="宋体" w:cs="宋体"/>
          <w:color w:val="auto"/>
          <w:sz w:val="24"/>
          <w:highlight w:val="none"/>
        </w:rPr>
        <w:t xml:space="preserve">标人应按照招标文件规定格式填报</w:t>
      </w:r>
      <w:bookmarkStart w:id="75" w:name="_Hlt26670399"/>
      <w:r/>
      <w:bookmarkEnd w:id="75"/>
      <w:r>
        <w:rPr>
          <w:rFonts w:hint="eastAsia" w:ascii="宋体" w:hAnsi="宋体" w:eastAsia="宋体" w:cs="宋体"/>
          <w:color w:val="auto"/>
          <w:sz w:val="24"/>
          <w:highlight w:val="none"/>
        </w:rPr>
        <w:t xml:space="preserve">报价表。</w:t>
      </w:r>
      <w:r/>
    </w:p>
    <w:p>
      <w:pPr>
        <w:ind w:firstLine="480"/>
        <w:spacing w:line="360" w:lineRule="auto"/>
        <w:rPr>
          <w:rFonts w:ascii="宋体" w:hAnsi="宋体" w:eastAsia="宋体" w:cs="宋体"/>
          <w:bCs w:val="0"/>
          <w:color w:val="auto"/>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152"/>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14.投标偏离表</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14</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zh-CN"/>
        </w:rPr>
        <w:t xml:space="preserve">投标人可在投标文件中提供认为需要的其他技术文件或说明。</w:t>
      </w:r>
      <w:r/>
    </w:p>
    <w:p>
      <w:pPr>
        <w:pStyle w:val="1152"/>
        <w:ind w:firstLine="422"/>
        <w:keepLines w:val="0"/>
        <w:keepNext w:val="0"/>
        <w:spacing w:before="0" w:after="0" w:line="360" w:lineRule="auto"/>
        <w:rPr>
          <w:rFonts w:hint="eastAsia" w:ascii="宋体" w:hAnsi="宋体" w:eastAsia="宋体" w:cs="宋体"/>
          <w:bCs w:val="0"/>
          <w:color w:val="auto"/>
          <w:highlight w:val="none"/>
          <w:lang w:eastAsia="zh-CN"/>
        </w:rPr>
      </w:pPr>
      <w:r/>
      <w:bookmarkStart w:id="76" w:name="_Hlt26954734"/>
      <w:r/>
      <w:bookmarkEnd w:id="76"/>
      <w:r/>
      <w:bookmarkStart w:id="77" w:name="_Hlt26954850"/>
      <w:r/>
      <w:bookmarkEnd w:id="77"/>
      <w:r/>
      <w:bookmarkStart w:id="78" w:name="_Hlt26670489"/>
      <w:r/>
      <w:bookmarkEnd w:id="78"/>
      <w:r/>
      <w:bookmarkStart w:id="79" w:name="_Toc49090511"/>
      <w:r/>
      <w:bookmarkStart w:id="80" w:name="_Toc14577360"/>
      <w:r>
        <w:rPr>
          <w:rFonts w:hint="eastAsia" w:ascii="宋体" w:hAnsi="宋体" w:eastAsia="宋体" w:cs="宋体"/>
          <w:bCs w:val="0"/>
          <w:color w:val="auto"/>
          <w:highlight w:val="none"/>
          <w:lang w:eastAsia="zh-CN"/>
        </w:rPr>
        <w:t xml:space="preserve">15.投标有效期</w:t>
      </w:r>
      <w:bookmarkEnd w:id="79"/>
      <w:r/>
      <w:bookmarkEnd w:id="80"/>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15.1投标有效期为招标文件规定的开标之日后九十（90）天。投标有效期比规定短的将被视为未实质性响应招标文件而予以拒绝。</w:t>
      </w:r>
      <w:r/>
    </w:p>
    <w:p>
      <w:pPr>
        <w:pStyle w:val="1152"/>
        <w:ind w:firstLine="422"/>
        <w:keepLines w:val="0"/>
        <w:keepNext w:val="0"/>
        <w:spacing w:before="0" w:after="0" w:line="360" w:lineRule="auto"/>
        <w:rPr>
          <w:rFonts w:ascii="宋体" w:hAnsi="宋体" w:eastAsia="宋体" w:cs="宋体"/>
          <w:bCs w:val="0"/>
          <w:color w:val="auto"/>
          <w:highlight w:val="none"/>
        </w:rPr>
      </w:pPr>
      <w:r/>
      <w:bookmarkStart w:id="81" w:name="_Toc20823306"/>
      <w:r/>
      <w:bookmarkStart w:id="82" w:name="_Toc513029234"/>
      <w:r/>
      <w:bookmarkStart w:id="83" w:name="_Toc16938550"/>
      <w:r>
        <w:rPr>
          <w:rFonts w:hint="eastAsia" w:ascii="宋体" w:hAnsi="宋体" w:eastAsia="宋体" w:cs="宋体"/>
          <w:bCs w:val="0"/>
          <w:color w:val="auto"/>
          <w:highlight w:val="none"/>
          <w:lang w:eastAsia="zh-CN"/>
        </w:rPr>
        <w:t xml:space="preserve">1</w:t>
      </w:r>
      <w:r>
        <w:rPr>
          <w:rFonts w:hint="eastAsia" w:ascii="宋体" w:hAnsi="宋体" w:eastAsia="宋体" w:cs="宋体"/>
          <w:bCs w:val="0"/>
          <w:color w:val="auto"/>
          <w:highlight w:val="none"/>
          <w:lang w:val="en-US" w:eastAsia="zh-CN"/>
        </w:rPr>
        <w:t xml:space="preserve">6</w:t>
      </w:r>
      <w:r>
        <w:rPr>
          <w:rFonts w:hint="eastAsia" w:ascii="宋体" w:hAnsi="宋体" w:eastAsia="宋体" w:cs="宋体"/>
          <w:bCs w:val="0"/>
          <w:color w:val="auto"/>
          <w:highlight w:val="none"/>
          <w:lang w:eastAsia="zh-CN"/>
        </w:rPr>
        <w:t xml:space="preserve">.投标有效期的延长</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16.</w:t>
      </w:r>
      <w:r>
        <w:rPr>
          <w:rFonts w:hint="eastAsia" w:ascii="宋体" w:hAnsi="宋体" w:eastAsia="宋体" w:cs="宋体"/>
          <w:color w:val="auto"/>
          <w:sz w:val="24"/>
          <w:highlight w:val="none"/>
          <w:lang w:val="en-US" w:eastAsia="zh-CN"/>
        </w:rPr>
        <w:t xml:space="preserve">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983"/>
        <w:ind w:firstLine="452"/>
        <w:keepLines w:val="0"/>
        <w:keepNext w:val="0"/>
        <w:spacing w:before="0" w:after="0" w:line="360" w:lineRule="auto"/>
        <w:rPr>
          <w:rFonts w:ascii="宋体" w:hAnsi="宋体" w:cs="宋体"/>
          <w:color w:val="auto"/>
          <w:sz w:val="30"/>
          <w:szCs w:val="30"/>
          <w:highlight w:val="none"/>
        </w:rPr>
      </w:pPr>
      <w:r/>
      <w:bookmarkStart w:id="84" w:name="_Hlt26954852"/>
      <w:r/>
      <w:bookmarkEnd w:id="84"/>
      <w:r/>
      <w:bookmarkStart w:id="85" w:name="_Hlt26954739"/>
      <w:r/>
      <w:bookmarkEnd w:id="85"/>
      <w:r/>
      <w:bookmarkStart w:id="86" w:name="_Toc513029224"/>
      <w:r/>
      <w:bookmarkStart w:id="87" w:name="_Toc16938540"/>
      <w:r/>
      <w:bookmarkStart w:id="88" w:name="_Toc120614217"/>
      <w:r/>
      <w:bookmarkStart w:id="89" w:name="_Toc20823296"/>
      <w:r>
        <w:rPr>
          <w:rFonts w:hint="eastAsia" w:ascii="宋体" w:hAnsi="宋体" w:cs="宋体"/>
          <w:color w:val="auto"/>
          <w:sz w:val="30"/>
          <w:szCs w:val="30"/>
          <w:highlight w:val="none"/>
          <w:lang w:eastAsia="zh-CN"/>
        </w:rPr>
        <w:t xml:space="preserve">四、投标文件的递交</w:t>
      </w:r>
      <w:bookmarkEnd w:id="86"/>
      <w:r/>
      <w:bookmarkEnd w:id="87"/>
      <w:r/>
      <w:bookmarkEnd w:id="88"/>
      <w:r/>
      <w:bookmarkEnd w:id="89"/>
      <w:r/>
      <w:r/>
    </w:p>
    <w:p>
      <w:pPr>
        <w:pStyle w:val="1152"/>
        <w:ind w:firstLine="422"/>
        <w:keepLines w:val="0"/>
        <w:keepNext w:val="0"/>
        <w:spacing w:before="0" w:after="0" w:line="360" w:lineRule="auto"/>
        <w:rPr>
          <w:rFonts w:ascii="宋体" w:hAnsi="宋体" w:eastAsia="宋体" w:cs="宋体"/>
          <w:bCs w:val="0"/>
          <w:color w:val="auto"/>
          <w:highlight w:val="none"/>
        </w:rPr>
      </w:pPr>
      <w:r/>
      <w:bookmarkStart w:id="90" w:name="_Toc20823297"/>
      <w:r/>
      <w:bookmarkStart w:id="91" w:name="_Toc16938541"/>
      <w:r/>
      <w:bookmarkStart w:id="92" w:name="_Toc513029225"/>
      <w:r/>
      <w:bookmarkStart w:id="93" w:name="_Toc462564084"/>
      <w:r>
        <w:rPr>
          <w:rFonts w:hint="eastAsia" w:ascii="宋体" w:hAnsi="宋体" w:eastAsia="宋体" w:cs="宋体"/>
          <w:bCs w:val="0"/>
          <w:color w:val="auto"/>
          <w:highlight w:val="none"/>
          <w:lang w:eastAsia="zh-CN"/>
        </w:rPr>
        <w:t xml:space="preserve">17.投标文件</w:t>
      </w:r>
      <w:bookmarkEnd w:id="90"/>
      <w:r/>
      <w:bookmarkEnd w:id="91"/>
      <w:r/>
      <w:bookmarkEnd w:id="92"/>
      <w:r/>
      <w:bookmarkEnd w:id="93"/>
      <w:r>
        <w:rPr>
          <w:rFonts w:hint="eastAsia" w:ascii="宋体" w:hAnsi="宋体" w:eastAsia="宋体" w:cs="宋体"/>
          <w:bCs w:val="0"/>
          <w:color w:val="auto"/>
          <w:highlight w:val="none"/>
          <w:lang w:eastAsia="zh-CN"/>
        </w:rPr>
        <w:t xml:space="preserve">的递交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237"/>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4" w:name="_Toc16938542"/>
      <w:r/>
      <w:bookmarkStart w:id="95" w:name="_Toc20823298"/>
      <w:r/>
      <w:bookmarkStart w:id="96" w:name="_Toc513029226"/>
      <w:r/>
      <w:r/>
    </w:p>
    <w:p>
      <w:pPr>
        <w:pStyle w:val="1152"/>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18.投标截止</w:t>
      </w:r>
      <w:bookmarkEnd w:id="94"/>
      <w:r/>
      <w:bookmarkEnd w:id="95"/>
      <w:r/>
      <w:bookmarkEnd w:id="96"/>
      <w:r>
        <w:rPr>
          <w:rFonts w:hint="eastAsia" w:ascii="宋体" w:hAnsi="宋体" w:eastAsia="宋体" w:cs="宋体"/>
          <w:bCs w:val="0"/>
          <w:color w:val="auto"/>
          <w:highlight w:val="none"/>
          <w:lang w:eastAsia="zh-CN"/>
        </w:rPr>
        <w:t xml:space="preserve">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eastAsia="宋体" w:cs="宋体"/>
          <w:bCs/>
          <w:color w:val="auto"/>
          <w:sz w:val="24"/>
          <w:highlight w:val="none"/>
          <w:lang w:eastAsia="zh-CN"/>
        </w:rPr>
        <w:t xml:space="preserve">作</w:t>
      </w:r>
      <w:r>
        <w:rPr>
          <w:rFonts w:hint="eastAsia" w:ascii="宋体" w:hAnsi="宋体" w:eastAsia="宋体" w:cs="宋体"/>
          <w:bCs/>
          <w:color w:val="auto"/>
          <w:sz w:val="24"/>
          <w:highlight w:val="none"/>
        </w:rPr>
        <w:t xml:space="preserve">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152"/>
        <w:ind w:firstLine="422"/>
        <w:keepLines w:val="0"/>
        <w:keepNext w:val="0"/>
        <w:spacing w:before="0" w:after="0" w:line="360" w:lineRule="auto"/>
        <w:rPr>
          <w:rFonts w:ascii="宋体" w:hAnsi="宋体" w:eastAsia="宋体" w:cs="宋体"/>
          <w:bCs w:val="0"/>
          <w:color w:val="auto"/>
          <w:highlight w:val="none"/>
        </w:rPr>
      </w:pPr>
      <w:r/>
      <w:bookmarkStart w:id="97" w:name="_Toc513029227"/>
      <w:r/>
      <w:bookmarkStart w:id="98" w:name="_Toc20823299"/>
      <w:r/>
      <w:bookmarkStart w:id="99" w:name="_Toc16938543"/>
      <w:r>
        <w:rPr>
          <w:rFonts w:hint="eastAsia" w:ascii="宋体" w:hAnsi="宋体" w:eastAsia="宋体" w:cs="宋体"/>
          <w:bCs w:val="0"/>
          <w:color w:val="auto"/>
          <w:highlight w:val="none"/>
          <w:lang w:eastAsia="zh-CN"/>
        </w:rPr>
        <w:t xml:space="preserve">19.投标文件</w:t>
      </w:r>
      <w:bookmarkEnd w:id="97"/>
      <w:r/>
      <w:bookmarkEnd w:id="98"/>
      <w:r/>
      <w:bookmarkEnd w:id="99"/>
      <w:r>
        <w:rPr>
          <w:rFonts w:hint="eastAsia" w:ascii="宋体" w:hAnsi="宋体" w:eastAsia="宋体" w:cs="宋体"/>
          <w:bCs w:val="0"/>
          <w:color w:val="auto"/>
          <w:highlight w:val="none"/>
          <w:lang w:eastAsia="zh-CN"/>
        </w:rPr>
        <w:t xml:space="preserve">的拒收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152"/>
        <w:ind w:firstLine="422"/>
        <w:keepLines w:val="0"/>
        <w:keepNext w:val="0"/>
        <w:spacing w:before="0" w:after="0" w:line="360" w:lineRule="auto"/>
        <w:rPr>
          <w:rFonts w:ascii="宋体" w:hAnsi="宋体" w:eastAsia="宋体" w:cs="宋体"/>
          <w:bCs w:val="0"/>
          <w:color w:val="auto"/>
          <w:highlight w:val="none"/>
        </w:rPr>
      </w:pPr>
      <w:r/>
      <w:bookmarkStart w:id="100" w:name="_Toc16938544"/>
      <w:r/>
      <w:bookmarkStart w:id="101" w:name="_Toc513029228"/>
      <w:r/>
      <w:bookmarkStart w:id="102" w:name="_Toc20823300"/>
      <w:r>
        <w:rPr>
          <w:rFonts w:hint="eastAsia" w:ascii="宋体" w:hAnsi="宋体" w:eastAsia="宋体" w:cs="宋体"/>
          <w:bCs w:val="0"/>
          <w:color w:val="auto"/>
          <w:highlight w:val="none"/>
          <w:lang w:eastAsia="zh-CN"/>
        </w:rPr>
        <w:t xml:space="preserve">20.投标文件的撤回和修改</w:t>
      </w:r>
      <w:bookmarkEnd w:id="100"/>
      <w:r/>
      <w:bookmarkEnd w:id="101"/>
      <w:r/>
      <w:bookmarkEnd w:id="102"/>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983"/>
        <w:ind w:firstLine="452"/>
        <w:keepLines w:val="0"/>
        <w:keepNext w:val="0"/>
        <w:spacing w:before="0" w:after="0" w:line="360" w:lineRule="auto"/>
        <w:rPr>
          <w:rFonts w:ascii="宋体" w:hAnsi="宋体" w:cs="宋体"/>
          <w:color w:val="auto"/>
          <w:sz w:val="30"/>
          <w:szCs w:val="30"/>
          <w:highlight w:val="none"/>
        </w:rPr>
      </w:pPr>
      <w:r/>
      <w:bookmarkStart w:id="103" w:name="_Toc513029229"/>
      <w:r/>
      <w:bookmarkStart w:id="104" w:name="_Toc20823301"/>
      <w:r/>
      <w:bookmarkStart w:id="105" w:name="_Toc16938545"/>
      <w:r/>
      <w:bookmarkStart w:id="106" w:name="_Toc120614218"/>
      <w:r>
        <w:rPr>
          <w:rFonts w:hint="eastAsia" w:ascii="宋体" w:hAnsi="宋体" w:cs="宋体"/>
          <w:color w:val="auto"/>
          <w:sz w:val="30"/>
          <w:szCs w:val="30"/>
          <w:highlight w:val="none"/>
          <w:lang w:eastAsia="zh-CN"/>
        </w:rPr>
        <w:t xml:space="preserve">五、开标与评标</w:t>
      </w:r>
      <w:bookmarkEnd w:id="103"/>
      <w:r/>
      <w:bookmarkEnd w:id="104"/>
      <w:r/>
      <w:bookmarkEnd w:id="105"/>
      <w:r/>
      <w:bookmarkEnd w:id="106"/>
      <w:r/>
      <w:r/>
    </w:p>
    <w:p>
      <w:pPr>
        <w:pStyle w:val="1152"/>
        <w:ind w:firstLine="422"/>
        <w:keepLines w:val="0"/>
        <w:keepNext w:val="0"/>
        <w:spacing w:before="0" w:after="0" w:line="360" w:lineRule="auto"/>
        <w:rPr>
          <w:rFonts w:ascii="宋体" w:hAnsi="宋体" w:eastAsia="宋体" w:cs="宋体"/>
          <w:bCs w:val="0"/>
          <w:color w:val="auto"/>
          <w:highlight w:val="none"/>
        </w:rPr>
      </w:pPr>
      <w:r/>
      <w:bookmarkStart w:id="107" w:name="_Toc16938546"/>
      <w:r/>
      <w:bookmarkStart w:id="108" w:name="_Toc20823302"/>
      <w:r/>
      <w:bookmarkStart w:id="109" w:name="_Toc513029230"/>
      <w:r>
        <w:rPr>
          <w:rFonts w:hint="eastAsia" w:ascii="宋体" w:hAnsi="宋体" w:eastAsia="宋体" w:cs="宋体"/>
          <w:bCs w:val="0"/>
          <w:color w:val="auto"/>
          <w:highlight w:val="none"/>
          <w:lang w:eastAsia="zh-CN"/>
        </w:rPr>
        <w:t xml:space="preserve">21.开标</w:t>
      </w:r>
      <w:bookmarkEnd w:id="107"/>
      <w:r/>
      <w:bookmarkEnd w:id="108"/>
      <w:r/>
      <w:bookmarkEnd w:id="10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152"/>
        <w:ind w:firstLine="422"/>
        <w:keepLines w:val="0"/>
        <w:keepNext w:val="0"/>
        <w:spacing w:before="0" w:after="0" w:line="360" w:lineRule="auto"/>
        <w:rPr>
          <w:rFonts w:ascii="宋体" w:hAnsi="宋体" w:eastAsia="宋体" w:cs="宋体"/>
          <w:bCs w:val="0"/>
          <w:color w:val="auto"/>
          <w:highlight w:val="none"/>
        </w:rPr>
      </w:pPr>
      <w:r/>
      <w:bookmarkStart w:id="110" w:name="_Toc16938547"/>
      <w:r/>
      <w:bookmarkStart w:id="111" w:name="_Toc20823303"/>
      <w:r/>
      <w:bookmarkStart w:id="112" w:name="_Toc513029231"/>
      <w:r>
        <w:rPr>
          <w:rFonts w:hint="eastAsia" w:ascii="宋体" w:hAnsi="宋体" w:eastAsia="宋体" w:cs="宋体"/>
          <w:bCs w:val="0"/>
          <w:color w:val="auto"/>
          <w:highlight w:val="none"/>
          <w:lang w:eastAsia="zh-CN"/>
        </w:rPr>
        <w:t xml:space="preserve">22.评标委员会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152"/>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23.评标过程的保密与公正</w:t>
      </w:r>
      <w:bookmarkEnd w:id="110"/>
      <w:r/>
      <w:bookmarkEnd w:id="111"/>
      <w:r/>
      <w:bookmarkEnd w:id="112"/>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23.1凡</w:t>
      </w:r>
      <w:r>
        <w:rPr>
          <w:rFonts w:hint="eastAsia" w:ascii="宋体" w:hAnsi="宋体" w:eastAsia="宋体" w:cs="宋体"/>
          <w:bCs/>
          <w:color w:val="auto"/>
          <w:sz w:val="24"/>
          <w:highlight w:val="none"/>
        </w:rPr>
        <w:t xml:space="preserve">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152"/>
        <w:ind w:firstLine="422"/>
        <w:keepLines w:val="0"/>
        <w:keepNext w:val="0"/>
        <w:spacing w:before="0" w:after="0" w:line="360" w:lineRule="auto"/>
        <w:rPr>
          <w:rFonts w:ascii="宋体" w:hAnsi="宋体" w:eastAsia="宋体" w:cs="宋体"/>
          <w:bCs w:val="0"/>
          <w:color w:val="auto"/>
          <w:highlight w:val="none"/>
        </w:rPr>
      </w:pPr>
      <w:r/>
      <w:bookmarkStart w:id="113" w:name="_Toc20823304"/>
      <w:r/>
      <w:bookmarkStart w:id="114" w:name="_Toc513029232"/>
      <w:r/>
      <w:bookmarkStart w:id="115" w:name="_Toc16938548"/>
      <w:r>
        <w:rPr>
          <w:rFonts w:hint="eastAsia" w:ascii="宋体" w:hAnsi="宋体" w:eastAsia="宋体" w:cs="宋体"/>
          <w:bCs w:val="0"/>
          <w:color w:val="auto"/>
          <w:highlight w:val="none"/>
          <w:lang w:eastAsia="zh-CN"/>
        </w:rPr>
        <w:t xml:space="preserve">24.投标文件的澄清</w:t>
      </w:r>
      <w:bookmarkEnd w:id="113"/>
      <w:r/>
      <w:bookmarkEnd w:id="114"/>
      <w:r/>
      <w:bookmarkEnd w:id="115"/>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152"/>
        <w:ind w:firstLine="422"/>
        <w:keepLines w:val="0"/>
        <w:keepNext w:val="0"/>
        <w:spacing w:before="0" w:after="0" w:line="360" w:lineRule="auto"/>
        <w:rPr>
          <w:rFonts w:hint="default" w:ascii="宋体" w:hAnsi="宋体" w:eastAsia="宋体" w:cs="宋体"/>
          <w:bCs w:val="0"/>
          <w:color w:val="auto"/>
          <w:highlight w:val="none"/>
        </w:rPr>
      </w:pPr>
      <w:r/>
      <w:bookmarkStart w:id="116" w:name="_Toc20823305"/>
      <w:r/>
      <w:bookmarkStart w:id="117" w:name="_Toc513029233"/>
      <w:r/>
      <w:bookmarkStart w:id="118" w:name="_Toc16938549"/>
      <w:r>
        <w:rPr>
          <w:rFonts w:hint="eastAsia" w:ascii="宋体" w:hAnsi="宋体" w:eastAsia="宋体" w:cs="宋体"/>
          <w:bCs w:val="0"/>
          <w:color w:val="auto"/>
          <w:highlight w:val="none"/>
          <w:lang w:eastAsia="zh-CN"/>
        </w:rPr>
        <w:t xml:space="preserve">25.</w:t>
      </w:r>
      <w:bookmarkEnd w:id="116"/>
      <w:r/>
      <w:bookmarkEnd w:id="117"/>
      <w:r/>
      <w:bookmarkEnd w:id="118"/>
      <w:r>
        <w:rPr>
          <w:rFonts w:hint="eastAsia" w:ascii="宋体" w:hAnsi="宋体" w:eastAsia="宋体" w:cs="宋体"/>
          <w:bCs w:val="0"/>
          <w:color w:val="auto"/>
          <w:highlight w:val="none"/>
          <w:lang w:val="en-US" w:eastAsia="zh-CN"/>
        </w:rPr>
        <w:t xml:space="preserve">投标文件初审</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初审分为资格性检查和符合性检查。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pStyle w:val="1152"/>
        <w:ind w:firstLine="422"/>
        <w:keepLines w:val="0"/>
        <w:keepNext w:val="0"/>
        <w:spacing w:before="0"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25.7评标委员会按照《关于推动解决政府采购异常低价问题的通知》（财库〔202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〕2号）要求，政府采购评审中出现下列情形之一的，评审委员会应当启动异常低价投标（响应）审查程序：</w:t>
      </w:r>
      <w:r/>
    </w:p>
    <w:p>
      <w:pPr>
        <w:pStyle w:val="1152"/>
        <w:ind w:firstLine="422"/>
        <w:keepLines w:val="0"/>
        <w:keepNext w:val="0"/>
        <w:spacing w:before="0"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1）评审过程中出现下列情形之一的，评标委员会应当启动异常低价投标（响应）审查程序：</w:t>
      </w:r>
      <w:r/>
    </w:p>
    <w:p>
      <w:pPr>
        <w:pStyle w:val="1152"/>
        <w:ind w:firstLine="422"/>
        <w:keepLines w:val="0"/>
        <w:keepNext w:val="0"/>
        <w:spacing w:before="0" w:after="0" w:line="360" w:lineRule="auto"/>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1152"/>
        <w:ind w:firstLine="422"/>
        <w:keepLines w:val="0"/>
        <w:keepNext w:val="0"/>
        <w:spacing w:before="0" w:after="0" w:line="360" w:lineRule="auto"/>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pStyle w:val="1152"/>
        <w:ind w:firstLine="420"/>
        <w:keepLines w:val="0"/>
        <w:keepNext w:val="0"/>
        <w:pageBreakBefore w:val="0"/>
        <w:spacing w:before="0" w:after="0" w:line="360" w:lineRule="auto"/>
        <w:widowControl w:val="off"/>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③投标（响应）报价低于采购项目最高限价45%的，即投标（响应）报价&lt;采购项目最高限价×45%；</w:t>
      </w:r>
      <w:r/>
    </w:p>
    <w:p>
      <w:pPr>
        <w:ind w:left="0" w:firstLine="422"/>
        <w:spacing w:line="360" w:lineRule="auto"/>
        <w:rPr>
          <w:rFonts w:hint="eastAsia" w:ascii="宋体" w:hAnsi="宋体" w:eastAsia="宋体" w:cs="宋体"/>
          <w:b/>
          <w:bCs/>
          <w:color w:val="000000" w:themeColor="text1"/>
          <w:sz w:val="24"/>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8"/>
          <w:highlight w:val="none"/>
          <w:lang w:val="en-US" w:eastAsia="zh-CN" w:bidi="ar-SA"/>
          <w14:textFill>
            <w14:solidFill>
              <w14:schemeClr w14:val="tx1"/>
            </w14:solidFill>
          </w14:textFill>
        </w:rPr>
        <w:t xml:space="preserve">④评审委员会基于专业判断，认为供应商报价过低，有可能影响产品质量或者不能诚信履约的其他情形。</w:t>
      </w:r>
      <w:r/>
    </w:p>
    <w:p>
      <w:pPr>
        <w:ind w:left="0" w:firstLine="422"/>
        <w:spacing w:line="360" w:lineRule="auto"/>
        <w:rPr>
          <w:rFonts w:hint="eastAsia" w:ascii="宋体" w:hAnsi="宋体" w:eastAsia="宋体" w:cs="宋体"/>
          <w:b/>
          <w:bCs/>
          <w:color w:val="000000" w:themeColor="text1"/>
          <w:sz w:val="24"/>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8"/>
          <w:highlight w:val="none"/>
          <w:lang w:val="en-US" w:eastAsia="zh-CN" w:bidi="ar-SA"/>
          <w14:textFill>
            <w14:solidFill>
              <w14:schemeClr w14:val="tx1"/>
            </w14:solidFill>
          </w14:textFill>
        </w:rPr>
        <w:t xml:space="preserve">相关法律法规对供应商报价有规定的，从其规定。</w:t>
      </w:r>
      <w:r/>
    </w:p>
    <w:p>
      <w:pPr>
        <w:pStyle w:val="1152"/>
        <w:numPr>
          <w:ilvl w:val="0"/>
          <w:numId w:val="0"/>
        </w:numPr>
        <w:ind w:firstLine="422"/>
        <w:keepLines w:val="0"/>
        <w:keepNext w:val="0"/>
        <w:spacing w:before="0" w:after="0" w:line="360" w:lineRule="auto"/>
        <w:rPr>
          <w:rFonts w:hint="eastAsia" w:ascii="宋体" w:hAnsi="宋体" w:eastAsia="宋体" w:cs="宋体"/>
          <w:color w:val="auto"/>
          <w:sz w:val="24"/>
          <w:highlight w:val="none"/>
        </w:rPr>
        <w:outlineLvl w:val="9"/>
      </w:pPr>
      <w:r>
        <w:rPr>
          <w:rFonts w:hint="eastAsia" w:ascii="宋体" w:hAnsi="宋体" w:eastAsia="宋体" w:cs="宋体"/>
          <w:b/>
          <w:bCs/>
          <w:color w:val="auto"/>
          <w:sz w:val="24"/>
          <w:szCs w:val="28"/>
          <w:lang w:val="en-US" w:eastAsia="en-US" w:bidi="ar-SA"/>
        </w:rPr>
        <w:t xml:space="preserve">2）</w:t>
      </w:r>
      <w:r>
        <w:rPr>
          <w:rFonts w:hint="eastAsia" w:ascii="宋体" w:hAnsi="宋体" w:eastAsia="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30分钟内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。其中，属于第（3）项情形，供应商已随投标（响应）文件一并提交相关书面说明及必要的证明材料的，在评审现场可不再重复提交。</w:t>
      </w:r>
      <w:r/>
    </w:p>
    <w:p>
      <w:pPr>
        <w:pStyle w:val="1152"/>
        <w:numPr>
          <w:ilvl w:val="0"/>
          <w:numId w:val="0"/>
        </w:numPr>
        <w:ind w:firstLine="422"/>
        <w:keepLines w:val="0"/>
        <w:keepNext w:val="0"/>
        <w:spacing w:before="0"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52"/>
        <w:numPr>
          <w:ilvl w:val="0"/>
          <w:numId w:val="0"/>
        </w:numPr>
        <w:ind w:firstLine="422"/>
        <w:keepLines w:val="0"/>
        <w:keepNext w:val="0"/>
        <w:spacing w:before="0"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52"/>
        <w:numPr>
          <w:ilvl w:val="0"/>
          <w:numId w:val="0"/>
        </w:numPr>
        <w:ind w:firstLine="422"/>
        <w:keepLines w:val="0"/>
        <w:keepNext w:val="0"/>
        <w:spacing w:before="0"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财政部门在投诉处理、监督检查中发现评审委员会未按规定对异常低价开展审查的，依法予以纠正并追究评审专家的法律责任。</w:t>
      </w:r>
      <w:r/>
    </w:p>
    <w:p>
      <w:pPr>
        <w:ind w:left="0" w:firstLine="480"/>
        <w:spacing w:line="360" w:lineRule="auto"/>
        <w:rPr>
          <w:rFonts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评标委员会按招标文件中规定的评标方法和标准，对资格性检查和符合性检查合格的投标文件进行商务和技术评估，综合比较与评价。</w:t>
      </w:r>
      <w:bookmarkEnd w:id="81"/>
      <w:r/>
      <w:bookmarkEnd w:id="82"/>
      <w:r/>
      <w:bookmarkEnd w:id="83"/>
      <w:r/>
      <w:r/>
    </w:p>
    <w:p>
      <w:pPr>
        <w:pStyle w:val="1152"/>
        <w:ind w:firstLine="422"/>
        <w:keepLines w:val="0"/>
        <w:keepNext w:val="0"/>
        <w:spacing w:before="0" w:after="0" w:line="360" w:lineRule="auto"/>
        <w:rPr>
          <w:rFonts w:ascii="宋体" w:hAnsi="宋体" w:eastAsia="宋体" w:cs="宋体"/>
          <w:bCs w:val="0"/>
          <w:color w:val="auto"/>
          <w:highlight w:val="none"/>
        </w:rPr>
      </w:pPr>
      <w:r/>
      <w:bookmarkStart w:id="119" w:name="_Toc120614219"/>
      <w:r/>
      <w:bookmarkStart w:id="120" w:name="_Toc16938551"/>
      <w:r/>
      <w:bookmarkStart w:id="121" w:name="_Toc513029235"/>
      <w:r/>
      <w:bookmarkStart w:id="122" w:name="_Toc20823307"/>
      <w:r>
        <w:rPr>
          <w:rFonts w:hint="eastAsia" w:ascii="宋体" w:hAnsi="宋体" w:eastAsia="宋体" w:cs="宋体"/>
          <w:bCs w:val="0"/>
          <w:color w:val="auto"/>
          <w:highlight w:val="none"/>
          <w:lang w:eastAsia="zh-CN"/>
        </w:rPr>
        <w:t xml:space="preserve">26.无效投标条款和废标条款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26.1无效投标条款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电子投标文件未按规定时间上传的，纸质投标文件（如有）未按规定的期限、地点送达的；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2未按《“苏采云”系统供应商操作手册》进行正确操作的；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3电子投标文件未按招标文件要求签章的；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4投标人未按招标文件要求解密电子投标文件的；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26.1.5</w:t>
      </w:r>
      <w:r>
        <w:rPr>
          <w:rFonts w:hint="eastAsia" w:ascii="宋体" w:hAnsi="宋体" w:eastAsia="宋体" w:cs="宋体"/>
          <w:color w:val="auto"/>
          <w:sz w:val="24"/>
          <w:szCs w:val="24"/>
          <w:highlight w:val="none"/>
        </w:rPr>
        <w:t xml:space="preserve">不具备招标文件中规定的资格要求的；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6报价超过招标文件中规定的预算金额或最高限价或最高单项限价的；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26.1.7</w:t>
      </w:r>
      <w:r>
        <w:rPr>
          <w:rFonts w:hint="eastAsia" w:ascii="宋体" w:hAnsi="宋体" w:eastAsia="宋体" w:cs="宋体"/>
          <w:color w:val="auto"/>
          <w:sz w:val="24"/>
          <w:szCs w:val="24"/>
          <w:highlight w:val="none"/>
        </w:rPr>
        <w:t xml:space="preserve">投标人的法定代表人授权代表无法定代表人授权委托书的；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8投标文件含有采购人不能接受的附加条件的；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9投标文件中有招标文件未允许提供的选择性内容的；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10恶意串通其他投标人，故意哄抬价格或压价的；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11提供虚假材料的（包括工商营业执照、财务报表、资格证明文件等）；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12不具备招标文件中规定的资格要求或未按招标文件规定的要求提供资格、资信证明文件的或提供的资格、资信证明文件图片字迹模糊不清、无法辨认的；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13不同投标人投标文件中的项目相关人员出现同一人的；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14不同投标人聘请同一人为其投标提供技术或经济咨询服务的；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15不同投标人的单位负责人为同一人或者存在直接控股、管理关系的；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16不同投标人的投标文件异常一致或者投标报价呈规律性差异；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17投标文件商务标中同一方案有选择性报价且未声明以哪一个为准的；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18投标文件报价出现前后不一致，投标人拒不确认修正后的报价的；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19同一投标人提交两种（含两种）以上不同的投标报价的；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20评标委员会认为投标人的报价明显低于其他通过符合性审查的投标人的报价，有可能影响产品质量或者不能诚信履约的，未能在合理的时间内（自江苏省政府采购（苏采云）平台通知之时起</w:t>
      </w:r>
      <w:r>
        <w:rPr>
          <w:rFonts w:hint="eastAsia" w:ascii="宋体" w:hAnsi="宋体" w:eastAsia="宋体" w:cs="宋体"/>
          <w:color w:val="auto"/>
          <w:sz w:val="24"/>
          <w:szCs w:val="24"/>
          <w:highlight w:val="none"/>
          <w:lang w:val="en-US" w:eastAsia="zh-CN"/>
        </w:rPr>
        <w:t xml:space="preserve">30分钟</w:t>
      </w:r>
      <w:r>
        <w:rPr>
          <w:rFonts w:hint="eastAsia" w:ascii="宋体" w:hAnsi="宋体" w:eastAsia="宋体" w:cs="宋体"/>
          <w:color w:val="auto"/>
          <w:sz w:val="24"/>
          <w:szCs w:val="24"/>
          <w:highlight w:val="none"/>
        </w:rPr>
        <w:t xml:space="preserve">内）提交书面说明或相关证明材料以证明其报价合理性的；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21未通过初步资格性审查、投标文件资格性检查、投标文件符合性检查的；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22未提供技术文件的；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23列入失信被执行人、重大税收违法失信主体、政府采购严重违法失信行为记录名单及其他不符合《中华人民共和国政府采购法》第二十二条规定条件的；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24不同投标人的投标文件存在明显的相似性或一致性，特征显示由同一单位或者同一个人编制的；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25不同投标人投标文件内容存在非正常一致、项目组成员或者联系人员出现同一人、投标文件中错误（或异常）一致或雷同、电子文档信息一致或雷同的；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26不同投标人的委托代理人、项目负责人以及其他相关人员有在同一个单位缴纳社会保险的；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27同一投标文件中单位名称落款与公章不是同一单位的；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28不同投标人委托同一单位或者个人办理投标事宜的；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29投标文件内容不全或不符合法律法规和招标文件中规定的其他实质性要求的。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30不同投标人的投标文件由同一台电脑编制或者同一把数字证书加密锁加密或者同一台附属设备打印的；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31不同投标人的投标文件上传使用的MAC地址和IP地址一致的，其投标无效；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32电子投标文件与招标文件要求格式不一致而无法导入计算机评标系统；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26.1.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其他法律法规及本招标文件规定的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bookmarkEnd w:id="119"/>
      <w:r/>
      <w:bookmarkEnd w:id="120"/>
      <w:r/>
      <w:bookmarkEnd w:id="121"/>
      <w:r/>
      <w:bookmarkEnd w:id="122"/>
      <w:r/>
      <w:r/>
    </w:p>
    <w:p>
      <w:pPr>
        <w:pStyle w:val="983"/>
        <w:ind w:firstLine="452"/>
        <w:keepLines w:val="0"/>
        <w:keepNext w:val="0"/>
        <w:spacing w:before="0" w:after="0" w:line="360" w:lineRule="auto"/>
        <w:rPr>
          <w:rFonts w:ascii="宋体" w:hAnsi="宋体" w:cs="宋体"/>
          <w:color w:val="auto"/>
          <w:sz w:val="30"/>
          <w:szCs w:val="30"/>
          <w:highlight w:val="none"/>
        </w:rPr>
      </w:pPr>
      <w:r>
        <w:rPr>
          <w:rFonts w:hint="eastAsia" w:ascii="宋体" w:hAnsi="宋体" w:cs="宋体"/>
          <w:color w:val="auto"/>
          <w:sz w:val="30"/>
          <w:szCs w:val="30"/>
          <w:highlight w:val="none"/>
          <w:lang w:eastAsia="zh-CN"/>
        </w:rPr>
        <w:t xml:space="preserve">六、定标</w:t>
      </w:r>
      <w:r/>
    </w:p>
    <w:p>
      <w:pPr>
        <w:pStyle w:val="1152"/>
        <w:ind w:firstLine="422"/>
        <w:keepLines w:val="0"/>
        <w:keepNext w:val="0"/>
        <w:spacing w:before="0" w:after="0" w:line="360" w:lineRule="auto"/>
        <w:rPr>
          <w:rFonts w:ascii="宋体" w:hAnsi="宋体" w:eastAsia="宋体" w:cs="宋体"/>
          <w:bCs w:val="0"/>
          <w:color w:val="auto"/>
          <w:highlight w:val="none"/>
        </w:rPr>
      </w:pPr>
      <w:r/>
      <w:bookmarkStart w:id="123" w:name="_Toc513029238"/>
      <w:r/>
      <w:bookmarkStart w:id="124" w:name="_Toc20823310"/>
      <w:r/>
      <w:bookmarkStart w:id="125" w:name="_Toc16938554"/>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819"/>
        <w:ind w:firstLine="480"/>
        <w:spacing w:before="0" w:beforeAutospacing="0" w:after="0" w:afterAutospacing="0" w:line="360" w:lineRule="auto"/>
        <w:rPr>
          <w:rFonts w:eastAsia="宋体" w:cs="宋体"/>
          <w:bCs/>
          <w:color w:val="auto"/>
          <w:highlight w:val="none"/>
        </w:rPr>
      </w:pPr>
      <w:r>
        <w:rPr>
          <w:rStyle w:val="824"/>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152"/>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152"/>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83"/>
        <w:ind w:firstLine="452"/>
        <w:keepLines w:val="0"/>
        <w:keepNext w:val="0"/>
        <w:spacing w:before="0" w:after="0" w:line="360" w:lineRule="auto"/>
        <w:rPr>
          <w:rFonts w:ascii="宋体" w:hAnsi="宋体" w:cs="宋体"/>
          <w:color w:val="auto"/>
          <w:sz w:val="30"/>
          <w:szCs w:val="30"/>
          <w:highlight w:val="none"/>
        </w:rPr>
      </w:pPr>
      <w:r/>
      <w:bookmarkStart w:id="127" w:name="_Toc120614220"/>
      <w:r/>
      <w:bookmarkStart w:id="128" w:name="_Toc20823308"/>
      <w:r/>
      <w:bookmarkStart w:id="129" w:name="_Toc513029236"/>
      <w:r/>
      <w:bookmarkStart w:id="130" w:name="_Toc16938552"/>
      <w:r>
        <w:rPr>
          <w:rFonts w:hint="eastAsia" w:ascii="宋体" w:hAnsi="宋体" w:cs="宋体"/>
          <w:color w:val="auto"/>
          <w:sz w:val="30"/>
          <w:szCs w:val="30"/>
          <w:highlight w:val="none"/>
          <w:lang w:eastAsia="zh-CN"/>
        </w:rPr>
        <w:t xml:space="preserve">七、授予合同</w:t>
      </w:r>
      <w:bookmarkEnd w:id="127"/>
      <w:r/>
      <w:bookmarkEnd w:id="128"/>
      <w:r/>
      <w:bookmarkEnd w:id="129"/>
      <w:r/>
      <w:bookmarkEnd w:id="130"/>
      <w:r/>
      <w:r/>
    </w:p>
    <w:p>
      <w:pPr>
        <w:pStyle w:val="1152"/>
        <w:ind w:firstLine="422"/>
        <w:keepLines w:val="0"/>
        <w:keepNext w:val="0"/>
        <w:spacing w:before="0" w:after="0" w:line="360" w:lineRule="auto"/>
        <w:rPr>
          <w:rFonts w:ascii="宋体" w:hAnsi="宋体" w:eastAsia="宋体" w:cs="宋体"/>
          <w:bCs w:val="0"/>
          <w:color w:val="auto"/>
          <w:highlight w:val="none"/>
        </w:rPr>
      </w:pPr>
      <w:r/>
      <w:bookmarkStart w:id="131" w:name="_Toc20823309"/>
      <w:r/>
      <w:bookmarkStart w:id="132" w:name="_Toc513029237"/>
      <w:r/>
      <w:bookmarkStart w:id="133" w:name="_Toc16938553"/>
      <w:r>
        <w:rPr>
          <w:rFonts w:hint="eastAsia" w:ascii="宋体" w:hAnsi="宋体" w:eastAsia="宋体" w:cs="宋体"/>
          <w:bCs w:val="0"/>
          <w:color w:val="auto"/>
          <w:highlight w:val="none"/>
          <w:lang w:eastAsia="zh-CN"/>
        </w:rPr>
        <w:t xml:space="preserve">30.签订合同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152"/>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r/>
      <w:bookmarkEnd w:id="132"/>
      <w:r/>
      <w:bookmarkEnd w:id="133"/>
      <w:r/>
      <w:r/>
    </w:p>
    <w:p>
      <w:pPr>
        <w:pStyle w:val="1152"/>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3</w:t>
      </w:r>
      <w:r>
        <w:rPr>
          <w:rFonts w:hint="eastAsia" w:ascii="宋体" w:hAnsi="宋体" w:eastAsia="宋体" w:cs="宋体"/>
          <w:bCs w:val="0"/>
          <w:color w:val="auto"/>
          <w:highlight w:val="none"/>
          <w:lang w:val="en-US" w:eastAsia="zh-CN"/>
        </w:rPr>
        <w:t xml:space="preserve">2</w:t>
      </w:r>
      <w:r>
        <w:rPr>
          <w:rFonts w:hint="eastAsia" w:ascii="宋体" w:hAnsi="宋体" w:eastAsia="宋体" w:cs="宋体"/>
          <w:bCs w:val="0"/>
          <w:color w:val="auto"/>
          <w:highlight w:val="none"/>
          <w:lang w:eastAsia="zh-CN"/>
        </w:rPr>
        <w:t xml:space="preserve">.政府采购信用担保（本项目无需缴纳履约保证金）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1.履约担保。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2.融资担保。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合同融资，是指参与政府采购的供应商，凭借中</w:t>
      </w:r>
      <w:r>
        <w:rPr>
          <w:rFonts w:hint="eastAsia" w:ascii="宋体" w:hAnsi="宋体" w:eastAsia="宋体" w:cs="宋体"/>
          <w:color w:val="auto"/>
          <w:sz w:val="24"/>
          <w:szCs w:val="24"/>
          <w:highlight w:val="none"/>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中标、成交供应商可根据自身情况，自行决定是否选择采用合同融资形式，在无锡政府采购网——政采贷专栏提供的银行名录内自主选择合作银行。无锡市政府采购合同融资政策告知函（详见附件）。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3.政府采购信用担保合作担保机构和信用融资合作银行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pStyle w:val="1152"/>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3</w:t>
      </w:r>
      <w:r>
        <w:rPr>
          <w:rFonts w:hint="eastAsia" w:ascii="宋体" w:hAnsi="宋体" w:eastAsia="宋体" w:cs="宋体"/>
          <w:bCs w:val="0"/>
          <w:color w:val="auto"/>
          <w:highlight w:val="none"/>
          <w:lang w:val="en-US" w:eastAsia="zh-CN"/>
        </w:rPr>
        <w:t xml:space="preserve">3</w:t>
      </w:r>
      <w:r>
        <w:rPr>
          <w:rFonts w:hint="eastAsia" w:ascii="宋体" w:hAnsi="宋体" w:eastAsia="宋体" w:cs="宋体"/>
          <w:bCs w:val="0"/>
          <w:color w:val="auto"/>
          <w:highlight w:val="none"/>
          <w:lang w:eastAsia="zh-CN"/>
        </w:rPr>
        <w:t xml:space="preserve">.</w:t>
      </w:r>
      <w:r>
        <w:rPr>
          <w:rFonts w:hint="eastAsia" w:ascii="宋体" w:hAnsi="宋体" w:eastAsia="宋体" w:cs="宋体"/>
          <w:bCs w:val="0"/>
          <w:color w:val="auto"/>
          <w:highlight w:val="none"/>
          <w:lang w:val="en-US" w:eastAsia="zh-CN"/>
        </w:rPr>
        <w:t xml:space="preserve">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.1招标文件的条款必须认真审阅，投标人应自行检查招标文件页数是否齐全。若有遗漏、重复或不清楚，需立刻通知招标人予以更正；凡属对条款的误解所造成的投标价格失误，由投标人负责。</w:t>
      </w:r>
      <w:r/>
    </w:p>
    <w:p>
      <w:pPr>
        <w:pStyle w:val="1152"/>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3</w:t>
      </w:r>
      <w:r>
        <w:rPr>
          <w:rFonts w:hint="eastAsia" w:ascii="宋体" w:hAnsi="宋体" w:eastAsia="宋体" w:cs="宋体"/>
          <w:bCs w:val="0"/>
          <w:color w:val="auto"/>
          <w:highlight w:val="none"/>
          <w:lang w:val="en-US" w:eastAsia="zh-CN"/>
        </w:rPr>
        <w:t xml:space="preserve">4</w:t>
      </w:r>
      <w:r>
        <w:rPr>
          <w:rFonts w:hint="eastAsia" w:ascii="宋体" w:hAnsi="宋体" w:eastAsia="宋体" w:cs="宋体"/>
          <w:bCs w:val="0"/>
          <w:color w:val="auto"/>
          <w:highlight w:val="none"/>
          <w:lang w:eastAsia="zh-CN"/>
        </w:rPr>
        <w:t xml:space="preserve">.其他政策要求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.1.本项目中如有</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.2.根据财政部、发展改革委发布的《节能产品政府采购品目清单》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凡列入该清单的产品，供应商报价时必须选择具有国家认可认证机构颁发的、处于有效期内的节能产品认证证书的产品。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.3.本国产品支持政策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标准适用于货物，包括政府采购货物项目和服务项目中涉及的货物。政府采购活动涉及本国产品的，投标人应当出具《关于符合本国产品标准的声明函》。本国产品支持政策详见《国务院办公厅关于在政府采购中实施本国产品标准及相关政策的通知》（国办发〔2025〕34号）。关于对本国产品的支持政策详见</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第五章</w:t>
      </w:r>
      <w:r>
        <w:rPr>
          <w:rFonts w:hint="eastAsia" w:ascii="宋体" w:hAnsi="宋体" w:eastAsia="宋体" w:cs="宋体"/>
          <w:color w:val="auto"/>
          <w:sz w:val="24"/>
          <w:szCs w:val="24"/>
          <w:highlight w:val="none"/>
          <w:lang w:val="en-US" w:eastAsia="zh-CN"/>
        </w:rPr>
        <w:t xml:space="preserve">第二部分</w:t>
      </w:r>
      <w:r>
        <w:rPr>
          <w:rFonts w:hint="eastAsia" w:ascii="宋体" w:hAnsi="宋体" w:eastAsia="宋体" w:cs="宋体"/>
          <w:bCs/>
          <w:color w:val="auto"/>
          <w:sz w:val="24"/>
          <w:szCs w:val="24"/>
          <w:highlight w:val="none"/>
        </w:rPr>
        <w:t xml:space="preserve">“一、落实政府采购政策的价格调整”</w:t>
      </w:r>
      <w:r>
        <w:rPr>
          <w:rFonts w:hint="eastAsia" w:ascii="宋体" w:hAnsi="宋体" w:eastAsia="宋体" w:cs="宋体"/>
          <w:color w:val="auto"/>
          <w:sz w:val="24"/>
          <w:szCs w:val="24"/>
          <w:highlight w:val="none"/>
        </w:rPr>
        <w:t xml:space="preserve">，如采购项目或者采购包中仅有服务的，则该采购项目或者采购包将不涉及本国产品的支持政策。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.4.本项目中如有</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br w:type="page" w:clear="all"/>
      </w:r>
      <w:r/>
    </w:p>
    <w:p>
      <w:pPr>
        <w:pStyle w:val="1149"/>
        <w:numPr>
          <w:ilvl w:val="0"/>
          <w:numId w:val="8"/>
        </w:numPr>
        <w:ind w:firstLine="0"/>
        <w:jc w:val="center"/>
        <w:spacing w:line="360" w:lineRule="auto"/>
        <w:rPr>
          <w:rFonts w:ascii="宋体" w:hAnsi="宋体" w:cs="宋体"/>
          <w:b/>
          <w:color w:val="auto"/>
          <w:sz w:val="36"/>
          <w:szCs w:val="36"/>
          <w:highlight w:val="none"/>
        </w:rPr>
        <w:outlineLvl w:val="0"/>
      </w:pPr>
      <w:r/>
      <w:bookmarkStart w:id="134" w:name="_Toc20823315"/>
      <w:r/>
      <w:bookmarkStart w:id="135" w:name="_Toc16938559"/>
      <w:r/>
      <w:bookmarkStart w:id="136" w:name="_Toc513029243"/>
      <w:r>
        <w:rPr>
          <w:rFonts w:hint="eastAsia" w:ascii="宋体" w:hAnsi="宋体" w:cs="宋体"/>
          <w:b/>
          <w:color w:val="auto"/>
          <w:sz w:val="36"/>
          <w:szCs w:val="36"/>
          <w:highlight w:val="none"/>
          <w:lang w:val="en-US" w:eastAsia="zh-CN"/>
        </w:rPr>
        <w:t xml:space="preserve"> </w:t>
      </w:r>
      <w:r>
        <w:rPr>
          <w:rFonts w:hint="eastAsia" w:ascii="宋体" w:hAnsi="宋体" w:cs="宋体"/>
          <w:b/>
          <w:color w:val="auto"/>
          <w:sz w:val="36"/>
          <w:szCs w:val="36"/>
          <w:highlight w:val="none"/>
          <w:lang w:eastAsia="zh-CN"/>
        </w:rPr>
        <w:t xml:space="preserve"> 合同文本</w:t>
      </w:r>
      <w:bookmarkEnd w:id="134"/>
      <w:r/>
      <w:bookmarkEnd w:id="135"/>
      <w:r/>
      <w:bookmarkEnd w:id="136"/>
      <w:r/>
      <w:r/>
    </w:p>
    <w:p>
      <w:pPr>
        <w:pStyle w:val="821"/>
        <w:spacing w:after="0" w:line="360" w:lineRule="auto"/>
        <w:rPr>
          <w:rFonts w:hint="eastAsia" w:ascii="宋体" w:hAnsi="宋体" w:eastAsia="宋体" w:cs="宋体"/>
          <w:color w:val="auto"/>
          <w:sz w:val="24"/>
          <w:szCs w:val="24"/>
          <w:highlight w:val="none"/>
        </w:rPr>
      </w:pPr>
      <w:r/>
      <w:bookmarkStart w:id="137" w:name="_Hlt16619350"/>
      <w:r/>
      <w:bookmarkStart w:id="138" w:name="_Toc20823346"/>
      <w:r/>
      <w:bookmarkStart w:id="139" w:name="_Toc120614244"/>
      <w:r/>
      <w:bookmarkStart w:id="140" w:name="_Toc16938590"/>
      <w:r>
        <w:rPr>
          <w:rFonts w:hint="eastAsia" w:ascii="宋体" w:hAnsi="宋体" w:eastAsia="宋体" w:cs="宋体"/>
          <w:color w:val="auto"/>
          <w:sz w:val="24"/>
          <w:szCs w:val="24"/>
          <w:highlight w:val="none"/>
        </w:rPr>
        <w:t xml:space="preserve">甲方（采购人）：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21"/>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乙方（中标方）：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21"/>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采购编号：</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采购内容：</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中标金额（大写）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采购数量</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质量和服务要求及验收标准：</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交货</w:t>
      </w:r>
      <w:r>
        <w:rPr>
          <w:rFonts w:hint="eastAsia" w:ascii="宋体" w:hAnsi="宋体" w:eastAsia="宋体" w:cs="宋体"/>
          <w:bCs/>
          <w:color w:val="auto"/>
          <w:sz w:val="24"/>
          <w:szCs w:val="24"/>
          <w:highlight w:val="none"/>
        </w:rPr>
        <w:t xml:space="preserve">期或完工期：</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交货</w:t>
      </w:r>
      <w:r>
        <w:rPr>
          <w:rFonts w:hint="eastAsia" w:ascii="宋体" w:hAnsi="宋体" w:eastAsia="宋体" w:cs="宋体"/>
          <w:bCs/>
          <w:color w:val="auto"/>
          <w:sz w:val="24"/>
          <w:szCs w:val="24"/>
          <w:highlight w:val="none"/>
        </w:rPr>
        <w:t xml:space="preserve">地点和方式：</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费用支付步骤和办法：</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售后服务：</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p>
    <w:p>
      <w:pPr>
        <w:numPr>
          <w:ilvl w:val="0"/>
          <w:numId w:val="9"/>
        </w:numPr>
        <w:ind w:left="0" w:firstLine="523"/>
        <w:spacing w:line="360" w:lineRule="auto"/>
        <w:tabs>
          <w:tab w:val="left" w:pos="210" w:leader="none"/>
          <w:tab w:val="clear" w:pos="45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其他事项：</w:t>
      </w:r>
      <w:r>
        <w:rPr>
          <w:rFonts w:hint="eastAsia" w:ascii="宋体" w:hAnsi="宋体" w:eastAsia="宋体" w:cs="宋体"/>
          <w:bCs/>
          <w:color w:val="auto"/>
          <w:sz w:val="24"/>
          <w:szCs w:val="24"/>
          <w:highlight w:val="none"/>
          <w:u w:val="single"/>
        </w:rPr>
        <w:t xml:space="preserve">                                                             </w:t>
      </w:r>
      <w:r/>
    </w:p>
    <w:p>
      <w:pPr>
        <w:pStyle w:val="821"/>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十三</w:t>
      </w:r>
      <w:r>
        <w:rPr>
          <w:rFonts w:hint="eastAsia" w:ascii="宋体" w:hAnsi="宋体" w:eastAsia="宋体" w:cs="宋体"/>
          <w:color w:val="auto"/>
          <w:sz w:val="24"/>
          <w:szCs w:val="24"/>
          <w:highlight w:val="none"/>
        </w:rPr>
        <w:t xml:space="preserve">、合同不可分割部分：</w:t>
      </w:r>
      <w:r/>
    </w:p>
    <w:p>
      <w:pPr>
        <w:pStyle w:val="821"/>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采购文件、投标文件、合同条款及中标通知书，乙方在投标、评标过程中所作其它有关承诺、声明、书面澄清等均为合同不可分割的部分，与主合同具有同等法律效力。</w:t>
      </w:r>
      <w:r/>
    </w:p>
    <w:p>
      <w:pPr>
        <w:pStyle w:val="821"/>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十四</w:t>
      </w:r>
      <w:r>
        <w:rPr>
          <w:rFonts w:hint="eastAsia" w:ascii="宋体" w:hAnsi="宋体" w:eastAsia="宋体" w:cs="宋体"/>
          <w:color w:val="auto"/>
          <w:sz w:val="24"/>
          <w:szCs w:val="24"/>
          <w:highlight w:val="none"/>
        </w:rPr>
        <w:t xml:space="preserve">、合同备案：</w:t>
      </w:r>
      <w:r/>
    </w:p>
    <w:p>
      <w:pPr>
        <w:pStyle w:val="821"/>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合同一式</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份，甲乙双方各执两份。</w:t>
      </w:r>
      <w:r/>
    </w:p>
    <w:p>
      <w:pPr>
        <w:pStyle w:val="821"/>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十五</w:t>
      </w:r>
      <w:r>
        <w:rPr>
          <w:rFonts w:hint="eastAsia" w:ascii="宋体" w:hAnsi="宋体" w:eastAsia="宋体" w:cs="宋体"/>
          <w:color w:val="auto"/>
          <w:sz w:val="24"/>
          <w:szCs w:val="24"/>
          <w:highlight w:val="none"/>
        </w:rPr>
        <w:t xml:space="preserve">、合同生效：</w:t>
      </w:r>
      <w:r/>
    </w:p>
    <w:p>
      <w:pPr>
        <w:pStyle w:val="821"/>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本合同由甲乙双方签字、盖章后生效。</w:t>
      </w:r>
      <w:r/>
    </w:p>
    <w:tbl>
      <w:tblPr>
        <w:tblStyle w:val="82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63"/>
        <w:gridCol w:w="4516"/>
      </w:tblGrid>
      <w:tr>
        <w:trPr/>
        <w:tc>
          <w:tcPr>
            <w:tcW w:w="4717" w:type="dxa"/>
            <w:textDirection w:val="lrTb"/>
            <w:noWrap w:val="false"/>
          </w:tcPr>
          <w:p>
            <w:pPr>
              <w:pStyle w:val="821"/>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甲方（采购人）：（盖章） </w:t>
            </w:r>
            <w:r/>
          </w:p>
        </w:tc>
        <w:tc>
          <w:tcPr>
            <w:tcW w:w="4571" w:type="dxa"/>
            <w:textDirection w:val="lrTb"/>
            <w:noWrap w:val="false"/>
          </w:tcPr>
          <w:p>
            <w:pPr>
              <w:pStyle w:val="821"/>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乙方（中标方）：（盖章）</w:t>
            </w:r>
            <w:r/>
          </w:p>
        </w:tc>
      </w:tr>
      <w:tr>
        <w:trPr/>
        <w:tc>
          <w:tcPr>
            <w:tcW w:w="4717" w:type="dxa"/>
            <w:textDirection w:val="lrTb"/>
            <w:noWrap w:val="false"/>
          </w:tcPr>
          <w:p>
            <w:pPr>
              <w:pStyle w:val="821"/>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法定（授权）代表人：</w:t>
            </w:r>
            <w:r/>
          </w:p>
          <w:p>
            <w:pPr>
              <w:pStyle w:val="821"/>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（签字或盖章）</w:t>
            </w:r>
            <w:r/>
          </w:p>
        </w:tc>
        <w:tc>
          <w:tcPr>
            <w:tcW w:w="4571" w:type="dxa"/>
            <w:textDirection w:val="lrTb"/>
            <w:noWrap w:val="false"/>
          </w:tcPr>
          <w:p>
            <w:pPr>
              <w:pStyle w:val="821"/>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法定（授权）代表人：</w:t>
            </w:r>
            <w:r/>
          </w:p>
          <w:p>
            <w:pPr>
              <w:pStyle w:val="821"/>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（签字或盖章）</w:t>
            </w:r>
            <w:r/>
          </w:p>
        </w:tc>
      </w:tr>
      <w:tr>
        <w:trPr/>
        <w:tc>
          <w:tcPr>
            <w:tcW w:w="4717" w:type="dxa"/>
            <w:textDirection w:val="lrTb"/>
            <w:noWrap w:val="false"/>
          </w:tcPr>
          <w:p>
            <w:pPr>
              <w:pStyle w:val="821"/>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tc>
        <w:tc>
          <w:tcPr>
            <w:tcW w:w="4571" w:type="dxa"/>
            <w:textDirection w:val="lrTb"/>
            <w:noWrap w:val="false"/>
          </w:tcPr>
          <w:p>
            <w:pPr>
              <w:pStyle w:val="821"/>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tc>
      </w:tr>
      <w:tr>
        <w:trPr/>
        <w:tc>
          <w:tcPr>
            <w:tcW w:w="4717" w:type="dxa"/>
            <w:textDirection w:val="lrTb"/>
            <w:noWrap w:val="false"/>
          </w:tcPr>
          <w:p>
            <w:pPr>
              <w:pStyle w:val="821"/>
              <w:ind w:firstLine="0"/>
              <w:spacing w:after="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71" w:type="dxa"/>
            <w:textDirection w:val="lrTb"/>
            <w:noWrap w:val="false"/>
          </w:tcPr>
          <w:p>
            <w:pPr>
              <w:pStyle w:val="821"/>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乙方户名：                       </w:t>
            </w:r>
            <w:r/>
          </w:p>
          <w:p>
            <w:pPr>
              <w:pStyle w:val="821"/>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乙方开户银行：</w:t>
            </w:r>
            <w:r/>
          </w:p>
        </w:tc>
      </w:tr>
      <w:tr>
        <w:trPr/>
        <w:tc>
          <w:tcPr>
            <w:tcW w:w="4717" w:type="dxa"/>
            <w:textDirection w:val="lrTb"/>
            <w:noWrap w:val="false"/>
          </w:tcPr>
          <w:p>
            <w:pPr>
              <w:pStyle w:val="821"/>
              <w:spacing w:after="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4571" w:type="dxa"/>
            <w:textDirection w:val="lrTb"/>
            <w:noWrap w:val="false"/>
          </w:tcPr>
          <w:p>
            <w:pPr>
              <w:pStyle w:val="821"/>
              <w:ind w:firstLine="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乙方账号：</w:t>
            </w:r>
            <w:r/>
          </w:p>
        </w:tc>
      </w:tr>
      <w:tr>
        <w:trPr/>
        <w:tc>
          <w:tcPr>
            <w:tcW w:w="4717" w:type="dxa"/>
            <w:textDirection w:val="lrTb"/>
            <w:noWrap w:val="false"/>
          </w:tcPr>
          <w:p>
            <w:pPr>
              <w:pStyle w:val="821"/>
              <w:ind w:left="0" w:firstLine="0"/>
              <w:spacing w:after="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见证方：</w:t>
            </w:r>
            <w:r>
              <w:rPr>
                <w:rFonts w:hint="eastAsia" w:ascii="宋体" w:hAnsi="宋体" w:cs="宋体"/>
                <w:color w:val="auto"/>
                <w:sz w:val="24"/>
                <w:szCs w:val="24"/>
                <w:highlight w:val="none"/>
              </w:rPr>
              <w:t xml:space="preserve">（盖章） </w:t>
            </w:r>
            <w:r/>
          </w:p>
        </w:tc>
        <w:tc>
          <w:tcPr>
            <w:tcW w:w="4571" w:type="dxa"/>
            <w:textDirection w:val="lrTb"/>
            <w:noWrap w:val="false"/>
          </w:tcPr>
          <w:p>
            <w:pPr>
              <w:pStyle w:val="821"/>
              <w:ind w:firstLine="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821"/>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821"/>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★备注：甲乙双方必须以本格式文本，按照合同条款拟订合同</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1"/>
        <w:ind w:firstLine="480"/>
        <w:jc w:val="center"/>
        <w:spacing w:after="0"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合同条款</w:t>
      </w:r>
      <w:r/>
    </w:p>
    <w:p>
      <w:pPr>
        <w:ind w:firstLine="480"/>
        <w:spacing w:after="0"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after="0" w:line="360" w:lineRule="auto"/>
        <w:rPr>
          <w:rFonts w:ascii="宋体" w:hAnsi="宋体"/>
          <w:bCs/>
          <w:color w:val="auto"/>
          <w:sz w:val="24"/>
          <w:highlight w:val="none"/>
        </w:rPr>
      </w:pPr>
      <w:r>
        <w:rPr>
          <w:rFonts w:hint="eastAsia" w:ascii="宋体" w:hAnsi="宋体"/>
          <w:bCs/>
          <w:color w:val="auto"/>
          <w:sz w:val="24"/>
          <w:highlight w:val="none"/>
        </w:rPr>
        <w:t xml:space="preserve">根据</w:t>
      </w:r>
      <w:r>
        <w:rPr>
          <w:rFonts w:hint="eastAsia" w:ascii="宋体" w:hAnsi="宋体" w:eastAsia="宋体"/>
          <w:bCs/>
          <w:color w:val="auto"/>
          <w:sz w:val="24"/>
          <w:szCs w:val="20"/>
          <w:highlight w:val="none"/>
          <w:lang w:val="en-US" w:eastAsia="zh-CN"/>
        </w:rPr>
        <w:t xml:space="preserve">采购</w:t>
      </w:r>
      <w:r>
        <w:rPr>
          <w:rFonts w:hint="eastAsia" w:ascii="宋体" w:hAnsi="宋体"/>
          <w:bCs/>
          <w:color w:val="auto"/>
          <w:sz w:val="24"/>
          <w:highlight w:val="none"/>
        </w:rPr>
        <w:t xml:space="preserve">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招标文件和该文件的中标通知书及供方投标文件，供需双方就此次</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项目相关问题，同意按下列条款规定执行。</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（一）合同内容：</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（二）采购数量：</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after="0" w:line="360" w:lineRule="auto"/>
        <w:rPr>
          <w:rFonts w:ascii="宋体" w:hAnsi="宋体"/>
          <w:bCs/>
          <w:color w:val="auto"/>
          <w:sz w:val="24"/>
          <w:highlight w:val="none"/>
        </w:rPr>
      </w:pPr>
      <w:r>
        <w:rPr>
          <w:rFonts w:hint="eastAsia" w:ascii="宋体" w:hAnsi="宋体"/>
          <w:bCs/>
          <w:color w:val="auto"/>
          <w:sz w:val="24"/>
          <w:szCs w:val="24"/>
          <w:highlight w:val="none"/>
        </w:rPr>
        <w:t xml:space="preserve">（三）价格及支付：</w:t>
      </w:r>
      <w:r/>
    </w:p>
    <w:p>
      <w:pPr>
        <w:ind w:firstLine="480"/>
        <w:spacing w:after="0" w:line="360" w:lineRule="auto"/>
        <w:tabs>
          <w:tab w:val="left" w:pos="525"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1.按此次中标价格执行，合同总标的额为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元（含税）。合同价格形式：固定单价，单价详见合同附件《</w:t>
      </w:r>
      <w:r>
        <w:rPr>
          <w:rFonts w:hint="eastAsia" w:ascii="宋体" w:hAnsi="宋体" w:eastAsia="宋体"/>
          <w:bCs/>
          <w:color w:val="auto"/>
          <w:sz w:val="24"/>
          <w:highlight w:val="none"/>
          <w:lang w:eastAsia="zh-CN"/>
        </w:rPr>
        <w:t xml:space="preserve">供货清单</w:t>
      </w:r>
      <w:r>
        <w:rPr>
          <w:rFonts w:hint="eastAsia" w:ascii="宋体" w:hAnsi="宋体"/>
          <w:bCs/>
          <w:color w:val="auto"/>
          <w:sz w:val="24"/>
          <w:highlight w:val="none"/>
        </w:rPr>
        <w:t xml:space="preserve">》。</w:t>
      </w:r>
      <w:r/>
    </w:p>
    <w:p>
      <w:pPr>
        <w:ind w:firstLine="480"/>
        <w:jc w:val="both"/>
        <w:spacing w:after="0" w:line="360" w:lineRule="auto"/>
        <w:widowControl w:val="off"/>
        <w:rPr>
          <w:rFonts w:ascii="宋体" w:hAnsi="宋体"/>
          <w:color w:val="auto"/>
          <w:sz w:val="24"/>
          <w:szCs w:val="24"/>
          <w:highlight w:val="none"/>
        </w:rPr>
      </w:pPr>
      <w:r>
        <w:rPr>
          <w:rFonts w:hint="eastAsia" w:ascii="宋体" w:hAnsi="宋体"/>
          <w:bCs/>
          <w:color w:val="auto"/>
          <w:sz w:val="24"/>
          <w:highlight w:val="none"/>
        </w:rPr>
        <w:t xml:space="preserve">2.付款方式：合同签订生效后30日内，支付合同价款的30%；货到验收合格后办理移交手续，支付至合同价款的80%，项目审计结束支付至审定价的95%，余款于审计结束</w:t>
      </w:r>
      <w:r>
        <w:rPr>
          <w:rFonts w:hint="eastAsia" w:ascii="宋体" w:hAnsi="宋体" w:eastAsia="宋体"/>
          <w:bCs/>
          <w:color w:val="auto"/>
          <w:sz w:val="24"/>
          <w:highlight w:val="none"/>
          <w:lang w:eastAsia="zh-CN"/>
        </w:rPr>
        <w:t xml:space="preserve">一</w:t>
      </w:r>
      <w:r>
        <w:rPr>
          <w:rFonts w:hint="eastAsia" w:ascii="宋体" w:hAnsi="宋体"/>
          <w:bCs/>
          <w:color w:val="auto"/>
          <w:sz w:val="24"/>
          <w:highlight w:val="none"/>
        </w:rPr>
        <w:t xml:space="preserve">年后付清</w:t>
      </w:r>
      <w:r>
        <w:rPr>
          <w:rFonts w:hint="eastAsia" w:ascii="宋体" w:hAnsi="宋体"/>
          <w:color w:val="auto"/>
          <w:sz w:val="24"/>
          <w:szCs w:val="24"/>
          <w:highlight w:val="none"/>
        </w:rPr>
        <w:t xml:space="preserve">。</w:t>
      </w:r>
      <w:r/>
    </w:p>
    <w:p>
      <w:pPr>
        <w:ind w:firstLine="480"/>
        <w:spacing w:after="0" w:line="360" w:lineRule="auto"/>
        <w:tabs>
          <w:tab w:val="left" w:pos="525"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3.供方应于每次需方付款前，开具对应等额的增值税发票，如因供方开票迟延造成需方付款迟延的，需方付款期限相应顺延。开票信息如下：</w:t>
      </w:r>
      <w:r/>
    </w:p>
    <w:p>
      <w:pPr>
        <w:ind w:firstLine="480"/>
        <w:spacing w:after="0" w:line="360" w:lineRule="auto"/>
        <w:tabs>
          <w:tab w:val="left" w:pos="525"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1）名称：江苏无锡经济开发区发展中心</w:t>
      </w:r>
      <w:r/>
    </w:p>
    <w:p>
      <w:pPr>
        <w:ind w:firstLine="480"/>
        <w:spacing w:after="0" w:line="360" w:lineRule="auto"/>
        <w:tabs>
          <w:tab w:val="left" w:pos="525" w:leader="none"/>
          <w:tab w:val="left" w:pos="105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2）统一社会信用代码/纳税人识别号</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rPr>
        <w:t xml:space="preserve">12320200MB15646684</w:t>
      </w:r>
      <w:r/>
    </w:p>
    <w:p>
      <w:pPr>
        <w:ind w:firstLine="480"/>
        <w:spacing w:after="0" w:line="360" w:lineRule="auto"/>
        <w:tabs>
          <w:tab w:val="left" w:pos="0" w:leader="none"/>
          <w:tab w:val="left" w:pos="1365" w:leader="none"/>
        </w:tabs>
        <w:rPr>
          <w:rFonts w:ascii="宋体" w:hAnsi="宋体"/>
          <w:bCs/>
          <w:color w:val="auto"/>
          <w:sz w:val="24"/>
          <w:highlight w:val="none"/>
        </w:rPr>
      </w:pPr>
      <w:r>
        <w:rPr>
          <w:rFonts w:hint="eastAsia" w:ascii="宋体" w:hAnsi="宋体"/>
          <w:bCs/>
          <w:color w:val="auto"/>
          <w:sz w:val="24"/>
          <w:szCs w:val="24"/>
          <w:highlight w:val="none"/>
        </w:rPr>
        <w:t xml:space="preserve">（四）知识产权</w:t>
      </w:r>
      <w:r/>
    </w:p>
    <w:p>
      <w:pPr>
        <w:ind w:firstLine="480"/>
        <w:spacing w:after="0"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8"/>
        </w:numPr>
        <w:ind w:left="0" w:firstLine="480"/>
        <w:spacing w:after="0" w:line="360" w:lineRule="auto"/>
        <w:tabs>
          <w:tab w:val="left" w:pos="735" w:leader="none"/>
        </w:tabs>
        <w:rPr>
          <w:rFonts w:ascii="宋体" w:hAnsi="宋体"/>
          <w:bCs/>
          <w:color w:val="auto"/>
          <w:sz w:val="24"/>
          <w:highlight w:val="none"/>
        </w:rPr>
      </w:pPr>
      <w:r>
        <w:rPr>
          <w:rFonts w:hint="eastAsia" w:ascii="宋体" w:hAnsi="宋体"/>
          <w:bCs/>
          <w:color w:val="auto"/>
          <w:sz w:val="24"/>
          <w:highlight w:val="none"/>
        </w:rPr>
        <w:t xml:space="preserve">质量要求与检验：</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bCs/>
          <w:color w:val="auto"/>
          <w:sz w:val="24"/>
          <w:highlight w:val="none"/>
        </w:rPr>
        <w:t xml:space="preserve">供方应严格按照招标文件的有关规定和供方投标文件提供合格的货物及服务。</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2.</w:t>
      </w:r>
      <w:r>
        <w:rPr>
          <w:rFonts w:hint="eastAsia" w:ascii="宋体" w:hAnsi="宋体"/>
          <w:bCs/>
          <w:color w:val="auto"/>
          <w:sz w:val="24"/>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3.</w:t>
      </w:r>
      <w:r>
        <w:rPr>
          <w:rFonts w:hint="eastAsia" w:ascii="宋体" w:hAnsi="宋体"/>
          <w:bCs/>
          <w:color w:val="auto"/>
          <w:sz w:val="24"/>
          <w:highlight w:val="none"/>
        </w:rPr>
        <w:t xml:space="preserve">货物的到货验收包括：数量、外观、质量、性能、随机备件、装箱单、质量证书等随机资料及包装完整无破损。</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4.</w:t>
      </w:r>
      <w:r>
        <w:rPr>
          <w:rFonts w:hint="eastAsia" w:ascii="宋体" w:hAnsi="宋体"/>
          <w:bCs/>
          <w:color w:val="auto"/>
          <w:sz w:val="24"/>
          <w:highlight w:val="none"/>
        </w:rPr>
        <w:t xml:space="preserve">供方应当按照约定的包装方式交付标的物。对包装方式没有约定或者约定不明确的，应当按照双方补充协议约定的方式包装，或者按照通用的方式包装，没有通用方式的，应当采取足以保护标的物的包装方式。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5.</w:t>
      </w:r>
      <w:r>
        <w:rPr>
          <w:rFonts w:hint="eastAsia" w:ascii="宋体" w:hAnsi="宋体"/>
          <w:bCs/>
          <w:color w:val="auto"/>
          <w:sz w:val="24"/>
          <w:highlight w:val="none"/>
        </w:rPr>
        <w:t xml:space="preserve">货物和系统调试验收标准：按行业通行标准、厂方出厂标准、招标文件要求和供方投标文件的承诺，并不低于国家相关标准。</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6.</w:t>
      </w:r>
      <w:r>
        <w:rPr>
          <w:rFonts w:hint="eastAsia" w:ascii="宋体" w:hAnsi="宋体"/>
          <w:bCs/>
          <w:color w:val="auto"/>
          <w:sz w:val="24"/>
          <w:highlight w:val="none"/>
        </w:rPr>
        <w:t xml:space="preserve">货物运到需方指定地点并经需方验证签收后，由于需方保管不善造成的质量问题，供方应负责修理，但有关费用由需方承担。</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7.</w:t>
      </w:r>
      <w:r>
        <w:rPr>
          <w:rFonts w:hint="eastAsia" w:ascii="宋体" w:hAnsi="宋体"/>
          <w:bCs/>
          <w:color w:val="auto"/>
          <w:sz w:val="24"/>
          <w:highlight w:val="none"/>
        </w:rPr>
        <w:t xml:space="preserve">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after="0" w:line="360" w:lineRule="auto"/>
        <w:tabs>
          <w:tab w:val="left" w:pos="420" w:leader="none"/>
          <w:tab w:val="left" w:pos="105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8.</w:t>
      </w:r>
      <w:r>
        <w:rPr>
          <w:rFonts w:hint="eastAsia" w:ascii="宋体" w:hAnsi="宋体"/>
          <w:bCs/>
          <w:color w:val="auto"/>
          <w:sz w:val="24"/>
          <w:highlight w:val="none"/>
        </w:rPr>
        <w:t xml:space="preserve">需方不得擅自变更招投标文件约定的性能、指标等相关内容，如有变更应按《中华人民共和国政府采购法》、财政部《政府采购货物和服务招标投标管理办法》的相关程序执行。</w:t>
      </w:r>
      <w:r/>
    </w:p>
    <w:p>
      <w:pPr>
        <w:ind w:left="-2" w:firstLine="480"/>
        <w:spacing w:after="0" w:line="360" w:lineRule="auto"/>
        <w:rPr>
          <w:rFonts w:ascii="宋体" w:hAnsi="宋体"/>
          <w:bCs/>
          <w:color w:val="auto"/>
          <w:sz w:val="24"/>
          <w:highlight w:val="none"/>
        </w:rPr>
      </w:pPr>
      <w:r>
        <w:rPr>
          <w:rFonts w:hint="eastAsia" w:ascii="宋体" w:hAnsi="宋体"/>
          <w:bCs/>
          <w:color w:val="auto"/>
          <w:sz w:val="24"/>
          <w:szCs w:val="24"/>
          <w:highlight w:val="none"/>
        </w:rPr>
        <w:t xml:space="preserve">（六）</w:t>
      </w:r>
      <w:r>
        <w:rPr>
          <w:rFonts w:hint="eastAsia" w:ascii="宋体" w:hAnsi="宋体"/>
          <w:bCs/>
          <w:color w:val="auto"/>
          <w:sz w:val="24"/>
          <w:highlight w:val="none"/>
        </w:rPr>
        <w:t xml:space="preserve">交货条件：</w:t>
      </w:r>
      <w:r/>
    </w:p>
    <w:p>
      <w:pPr>
        <w:ind w:firstLine="480"/>
        <w:spacing w:after="0" w:line="360" w:lineRule="auto"/>
        <w:tabs>
          <w:tab w:val="left" w:pos="420" w:leader="none"/>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bCs/>
          <w:color w:val="auto"/>
          <w:sz w:val="24"/>
          <w:highlight w:val="none"/>
        </w:rPr>
        <w:t xml:space="preserve">交货日期（或完工期）：</w:t>
      </w:r>
      <w:r>
        <w:rPr>
          <w:rFonts w:ascii="宋体" w:hAnsi="宋体"/>
          <w:bCs/>
          <w:color w:val="auto"/>
          <w:sz w:val="24"/>
          <w:highlight w:val="none"/>
        </w:rPr>
        <w:t xml:space="preserve"> </w:t>
      </w:r>
      <w:r/>
    </w:p>
    <w:p>
      <w:pPr>
        <w:ind w:firstLine="480"/>
        <w:spacing w:after="0" w:line="360" w:lineRule="auto"/>
        <w:tabs>
          <w:tab w:val="left" w:pos="115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2.</w:t>
      </w:r>
      <w:r>
        <w:rPr>
          <w:rFonts w:hint="eastAsia" w:ascii="宋体" w:hAnsi="宋体"/>
          <w:bCs/>
          <w:color w:val="auto"/>
          <w:sz w:val="24"/>
          <w:highlight w:val="none"/>
        </w:rPr>
        <w:t xml:space="preserve">供方在验收时应先用信函、传真、电子邮件等书面方式通知需方。</w:t>
      </w:r>
      <w:r/>
    </w:p>
    <w:p>
      <w:pPr>
        <w:ind w:firstLine="480"/>
        <w:spacing w:after="0" w:line="360" w:lineRule="auto"/>
        <w:tabs>
          <w:tab w:val="left" w:pos="1155" w:leader="none"/>
        </w:tabs>
        <w:rPr>
          <w:rFonts w:ascii="宋体" w:hAnsi="宋体"/>
          <w:bCs/>
          <w:color w:val="auto"/>
          <w:sz w:val="24"/>
          <w:highlight w:val="none"/>
        </w:rPr>
      </w:pPr>
      <w:r>
        <w:rPr>
          <w:rFonts w:ascii="宋体" w:hAnsi="宋体"/>
          <w:bCs/>
          <w:color w:val="auto"/>
          <w:sz w:val="24"/>
          <w:highlight w:val="none"/>
        </w:rPr>
        <w:t xml:space="preserve">3.</w:t>
      </w:r>
      <w:r>
        <w:rPr>
          <w:rFonts w:hint="eastAsia" w:ascii="宋体" w:hAnsi="宋体"/>
          <w:bCs/>
          <w:color w:val="auto"/>
          <w:sz w:val="24"/>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after="0" w:line="360" w:lineRule="auto"/>
        <w:tabs>
          <w:tab w:val="left" w:pos="1155" w:leader="none"/>
        </w:tabs>
        <w:rPr>
          <w:rFonts w:ascii="宋体" w:hAnsi="宋体"/>
          <w:bCs/>
          <w:color w:val="auto"/>
          <w:sz w:val="24"/>
          <w:highlight w:val="none"/>
        </w:rPr>
      </w:pPr>
      <w:r>
        <w:rPr>
          <w:rFonts w:ascii="宋体" w:hAnsi="宋体"/>
          <w:bCs/>
          <w:color w:val="auto"/>
          <w:sz w:val="24"/>
          <w:highlight w:val="none"/>
        </w:rPr>
        <w:t xml:space="preserve">4.</w:t>
      </w:r>
      <w:r>
        <w:rPr>
          <w:rFonts w:hint="eastAsia" w:ascii="宋体" w:hAnsi="宋体"/>
          <w:bCs/>
          <w:color w:val="auto"/>
          <w:sz w:val="24"/>
          <w:highlight w:val="none"/>
        </w:rPr>
        <w:t xml:space="preserve">货物交货时，所有货物必须带有货物质量检验合格证书、中文质保单、装箱单、中文货物安装使用说明书。</w:t>
      </w:r>
      <w:r>
        <w:rPr>
          <w:rFonts w:hint="eastAsia" w:ascii="宋体" w:hAnsi="宋体" w:eastAsia="宋体"/>
          <w:bCs/>
          <w:color w:val="auto"/>
          <w:sz w:val="24"/>
          <w:highlight w:val="none"/>
          <w:lang w:eastAsia="zh-CN"/>
        </w:rPr>
        <w:t xml:space="preserve">其他</w:t>
      </w:r>
      <w:r>
        <w:rPr>
          <w:rFonts w:hint="eastAsia" w:ascii="宋体" w:hAnsi="宋体"/>
          <w:bCs/>
          <w:color w:val="auto"/>
          <w:sz w:val="24"/>
          <w:highlight w:val="none"/>
        </w:rPr>
        <w:t xml:space="preserve">附件所有部件必须原包装。</w:t>
      </w:r>
      <w:r/>
    </w:p>
    <w:p>
      <w:pPr>
        <w:ind w:left="2" w:firstLine="480"/>
        <w:spacing w:after="0" w:line="360" w:lineRule="auto"/>
        <w:tabs>
          <w:tab w:val="left" w:pos="945" w:leader="none"/>
          <w:tab w:val="left" w:pos="1155" w:leader="none"/>
        </w:tabs>
        <w:rPr>
          <w:rFonts w:ascii="宋体" w:hAnsi="宋体"/>
          <w:bCs/>
          <w:color w:val="auto"/>
          <w:sz w:val="24"/>
          <w:highlight w:val="none"/>
        </w:rPr>
      </w:pPr>
      <w:r>
        <w:rPr>
          <w:rFonts w:ascii="宋体" w:hAnsi="宋体"/>
          <w:bCs/>
          <w:color w:val="auto"/>
          <w:sz w:val="24"/>
          <w:highlight w:val="none"/>
        </w:rPr>
        <w:t xml:space="preserve">5.</w:t>
      </w:r>
      <w:r>
        <w:rPr>
          <w:rFonts w:hint="eastAsia" w:ascii="宋体" w:hAnsi="宋体"/>
          <w:bCs/>
          <w:color w:val="auto"/>
          <w:sz w:val="24"/>
          <w:highlight w:val="none"/>
        </w:rPr>
        <w:t xml:space="preserve">运输及到货地点：由供方负责办理运输并承担所有费用，直接送到需方指定地点，即：以合同书上的地点为准。</w:t>
      </w:r>
      <w:r>
        <w:rPr>
          <w:rFonts w:ascii="宋体" w:hAnsi="宋体"/>
          <w:bCs/>
          <w:color w:val="auto"/>
          <w:sz w:val="24"/>
          <w:highlight w:val="none"/>
        </w:rPr>
        <w:t xml:space="preserve">                    </w:t>
      </w:r>
      <w:r/>
    </w:p>
    <w:p>
      <w:pPr>
        <w:ind w:firstLine="480"/>
        <w:spacing w:after="0" w:line="360" w:lineRule="auto"/>
        <w:rPr>
          <w:rFonts w:ascii="宋体" w:hAnsi="宋体"/>
          <w:bCs/>
          <w:color w:val="auto"/>
          <w:sz w:val="24"/>
          <w:highlight w:val="none"/>
        </w:rPr>
      </w:pPr>
      <w:r>
        <w:rPr>
          <w:rFonts w:hint="eastAsia" w:ascii="宋体" w:hAnsi="宋体"/>
          <w:bCs/>
          <w:color w:val="auto"/>
          <w:sz w:val="24"/>
          <w:szCs w:val="24"/>
          <w:highlight w:val="none"/>
        </w:rPr>
        <w:t xml:space="preserve">（七）</w:t>
      </w:r>
      <w:r>
        <w:rPr>
          <w:rFonts w:hint="eastAsia" w:ascii="宋体" w:hAnsi="宋体"/>
          <w:bCs/>
          <w:color w:val="auto"/>
          <w:sz w:val="24"/>
          <w:highlight w:val="none"/>
        </w:rPr>
        <w:t xml:space="preserve">安装调试及售后服务：</w:t>
      </w:r>
      <w:r/>
    </w:p>
    <w:p>
      <w:pPr>
        <w:ind w:left="-100" w:firstLine="480"/>
        <w:spacing w:after="0" w:line="360" w:lineRule="auto"/>
        <w:tabs>
          <w:tab w:val="left" w:pos="525" w:leader="none"/>
          <w:tab w:val="left" w:pos="840" w:leader="none"/>
          <w:tab w:val="left" w:pos="945" w:leader="none"/>
        </w:tabs>
        <w:rPr>
          <w:rFonts w:ascii="宋体" w:hAnsi="宋体"/>
          <w:bCs/>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供方负责本项目的安装和调试，并保证其提供的货物符合国家、行业、地方、招投标文件及合同规定的质量、性能和标准，并正确且安全地安装。</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供方提供的服务全部按照国家有关法律法规规章和“三包”规定以及按招标文件要求和供方投标文件中的承诺执行。</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t xml:space="preserve">3.</w:t>
      </w:r>
      <w:r>
        <w:rPr>
          <w:rFonts w:hint="eastAsia" w:ascii="宋体" w:hAnsi="宋体"/>
          <w:bCs/>
          <w:color w:val="auto"/>
          <w:sz w:val="24"/>
          <w:highlight w:val="none"/>
        </w:rPr>
        <w:t xml:space="preserve">质保期后的货物维护由双方协商再定。</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t xml:space="preserve">4.</w:t>
      </w:r>
      <w:r>
        <w:rPr>
          <w:rFonts w:hint="eastAsia" w:ascii="宋体" w:hAnsi="宋体"/>
          <w:bCs/>
          <w:color w:val="auto"/>
          <w:sz w:val="24"/>
          <w:highlight w:val="none"/>
        </w:rPr>
        <w:t xml:space="preserve">需方应向供方现场调试的技术人员及维修人员提供方便条件，有关费用由供方负责。</w:t>
      </w:r>
      <w:r/>
    </w:p>
    <w:p>
      <w:pPr>
        <w:ind w:left="-100" w:firstLine="480"/>
        <w:spacing w:after="0" w:line="360" w:lineRule="auto"/>
        <w:tabs>
          <w:tab w:val="left" w:pos="525" w:leader="none"/>
          <w:tab w:val="left" w:pos="840"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t xml:space="preserve">5.</w:t>
      </w:r>
      <w:r>
        <w:rPr>
          <w:rFonts w:hint="eastAsia" w:ascii="宋体" w:hAnsi="宋体"/>
          <w:bCs/>
          <w:color w:val="auto"/>
          <w:sz w:val="24"/>
          <w:highlight w:val="none"/>
        </w:rPr>
        <w:t xml:space="preserve">需方如要求供方提供招标文件及供方投标文件以外的</w:t>
      </w:r>
      <w:r>
        <w:rPr>
          <w:rFonts w:hint="eastAsia" w:ascii="宋体" w:hAnsi="宋体" w:eastAsia="宋体"/>
          <w:bCs/>
          <w:color w:val="auto"/>
          <w:sz w:val="24"/>
          <w:highlight w:val="none"/>
          <w:lang w:eastAsia="zh-CN"/>
        </w:rPr>
        <w:t xml:space="preserve">其他</w:t>
      </w:r>
      <w:r>
        <w:rPr>
          <w:rFonts w:hint="eastAsia" w:ascii="宋体" w:hAnsi="宋体"/>
          <w:bCs/>
          <w:color w:val="auto"/>
          <w:sz w:val="24"/>
          <w:highlight w:val="none"/>
        </w:rPr>
        <w:t xml:space="preserve">服务，其费用另定。</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auto"/>
          <w:sz w:val="24"/>
          <w:highlight w:val="none"/>
        </w:rPr>
      </w:pPr>
      <w:r>
        <w:rPr>
          <w:rFonts w:ascii="宋体" w:hAnsi="宋体"/>
          <w:bCs/>
          <w:color w:val="auto"/>
          <w:sz w:val="24"/>
          <w:highlight w:val="none"/>
        </w:rPr>
        <w:t xml:space="preserve">6.</w:t>
      </w:r>
      <w:r>
        <w:rPr>
          <w:rFonts w:hint="eastAsia" w:ascii="宋体" w:hAnsi="宋体"/>
          <w:bCs/>
          <w:color w:val="auto"/>
          <w:sz w:val="24"/>
          <w:highlight w:val="none"/>
        </w:rPr>
        <w:t xml:space="preserve">供方提供</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年免费质保</w:t>
      </w:r>
      <w:r>
        <w:rPr>
          <w:rFonts w:hint="eastAsia" w:ascii="宋体" w:hAnsi="宋体" w:eastAsia="宋体"/>
          <w:bCs/>
          <w:color w:val="auto"/>
          <w:sz w:val="24"/>
          <w:highlight w:val="none"/>
          <w:lang w:eastAsia="zh-CN"/>
        </w:rPr>
        <w:t xml:space="preserve">服务</w:t>
      </w:r>
      <w:r>
        <w:rPr>
          <w:rFonts w:hint="eastAsia" w:ascii="宋体" w:hAnsi="宋体"/>
          <w:bCs/>
          <w:color w:val="auto"/>
          <w:sz w:val="24"/>
          <w:highlight w:val="none"/>
        </w:rPr>
        <w:t xml:space="preserve">，并提供终身维修服务。质保期自货物安装调试完毕并经需方验收合格之日起开始计算。在质保期内，</w:t>
      </w:r>
      <w:r>
        <w:rPr>
          <w:rFonts w:ascii="宋体" w:hAnsi="宋体"/>
          <w:bCs/>
          <w:color w:val="auto"/>
          <w:sz w:val="24"/>
          <w:highlight w:val="none"/>
        </w:rPr>
        <w:t xml:space="preserve">用户方在使用设备的过程中遇到的技术问题、故障等，接到报修后</w:t>
      </w:r>
      <w:r>
        <w:rPr>
          <w:rFonts w:hint="eastAsia" w:ascii="宋体" w:hAnsi="宋体"/>
          <w:bCs/>
          <w:color w:val="auto"/>
          <w:sz w:val="24"/>
          <w:highlight w:val="none"/>
          <w:u w:val="single"/>
        </w:rPr>
        <w:t xml:space="preserve">    </w:t>
      </w:r>
      <w:r>
        <w:rPr>
          <w:rFonts w:ascii="宋体" w:hAnsi="宋体"/>
          <w:bCs/>
          <w:color w:val="auto"/>
          <w:sz w:val="24"/>
          <w:highlight w:val="none"/>
        </w:rPr>
        <w:t xml:space="preserve">小时内</w:t>
      </w:r>
      <w:r>
        <w:rPr>
          <w:rFonts w:hint="eastAsia" w:ascii="宋体" w:hAnsi="宋体"/>
          <w:bCs/>
          <w:color w:val="auto"/>
          <w:sz w:val="24"/>
          <w:highlight w:val="none"/>
        </w:rPr>
        <w:t xml:space="preserve">电话</w:t>
      </w:r>
      <w:r>
        <w:rPr>
          <w:rFonts w:ascii="宋体" w:hAnsi="宋体"/>
          <w:bCs/>
          <w:color w:val="auto"/>
          <w:sz w:val="24"/>
          <w:highlight w:val="none"/>
        </w:rPr>
        <w:t xml:space="preserve">响应，如需要</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小时内</w:t>
      </w:r>
      <w:r>
        <w:rPr>
          <w:rFonts w:ascii="宋体" w:hAnsi="宋体"/>
          <w:bCs/>
          <w:color w:val="auto"/>
          <w:sz w:val="24"/>
          <w:highlight w:val="none"/>
        </w:rPr>
        <w:t xml:space="preserve">上门</w:t>
      </w:r>
      <w:r>
        <w:rPr>
          <w:rFonts w:hint="eastAsia" w:ascii="宋体" w:hAnsi="宋体"/>
          <w:bCs/>
          <w:color w:val="auto"/>
          <w:sz w:val="24"/>
          <w:highlight w:val="none"/>
        </w:rPr>
        <w:t xml:space="preserve">，维修日程不超过</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个工作日。</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auto"/>
          <w:sz w:val="24"/>
          <w:highlight w:val="none"/>
        </w:rPr>
      </w:pPr>
      <w:r>
        <w:rPr>
          <w:rFonts w:hint="eastAsia" w:ascii="宋体" w:hAnsi="宋体"/>
          <w:bCs/>
          <w:color w:val="auto"/>
          <w:sz w:val="24"/>
          <w:highlight w:val="none"/>
        </w:rPr>
        <w:t xml:space="preserve">7.在质保期内，如非需方原因损坏或出现性能不</w:t>
      </w:r>
      <w:r>
        <w:rPr>
          <w:rFonts w:hint="eastAsia" w:ascii="宋体" w:hAnsi="宋体" w:eastAsia="宋体"/>
          <w:bCs/>
          <w:color w:val="auto"/>
          <w:sz w:val="24"/>
          <w:highlight w:val="none"/>
          <w:lang w:eastAsia="zh-CN"/>
        </w:rPr>
        <w:t xml:space="preserve">符合</w:t>
      </w:r>
      <w:r>
        <w:rPr>
          <w:rFonts w:hint="eastAsia" w:ascii="宋体" w:hAnsi="宋体"/>
          <w:bCs/>
          <w:color w:val="auto"/>
          <w:sz w:val="24"/>
          <w:highlight w:val="none"/>
        </w:rPr>
        <w:t xml:space="preserve">要求等质量问题时，需方可根据具体情况，有权要求供方负责在需方指定期限内修复、换货或退货，因修复、调换或退货而支付的实际费用由供方承担，并且供方还应承担给需方造成的所有损失。如需方要求供方在指定期限内修复的，但供方超过指定期限还未修复的，需方有权自行修复或委托第三方修复，所花费用全部由供方承担。对于修复或调换的产品，质量保证期限自修复完毕或调换之日起重新计算。</w:t>
      </w:r>
      <w:r/>
    </w:p>
    <w:p>
      <w:pPr>
        <w:ind w:left="-100" w:firstLine="480"/>
        <w:spacing w:after="0" w:line="360" w:lineRule="auto"/>
        <w:tabs>
          <w:tab w:val="left" w:pos="525" w:leader="none"/>
          <w:tab w:val="left" w:pos="840" w:leader="none"/>
          <w:tab w:val="left" w:pos="945" w:leader="none"/>
          <w:tab w:val="left" w:pos="1050" w:leader="none"/>
          <w:tab w:val="left" w:pos="1839" w:leader="none"/>
        </w:tabs>
        <w:rPr>
          <w:rFonts w:ascii="宋体" w:hAnsi="宋体"/>
          <w:bCs/>
          <w:color w:val="auto"/>
          <w:sz w:val="24"/>
          <w:highlight w:val="none"/>
        </w:rPr>
      </w:pPr>
      <w:r>
        <w:rPr>
          <w:rFonts w:ascii="宋体" w:hAnsi="宋体"/>
          <w:bCs/>
          <w:color w:val="auto"/>
          <w:sz w:val="24"/>
          <w:highlight w:val="none"/>
        </w:rPr>
        <w:t xml:space="preserve">8.</w:t>
      </w:r>
      <w:r>
        <w:rPr>
          <w:rFonts w:hint="eastAsia" w:ascii="宋体" w:hAnsi="宋体"/>
          <w:bCs/>
          <w:color w:val="auto"/>
          <w:sz w:val="24"/>
          <w:highlight w:val="none"/>
        </w:rPr>
        <w:t xml:space="preserve">供方对本合同履行过程中所知悉的需方全部文件、资料、信息等负有保密义务。未经需方书面同意，供方不得擅自披露、泄露、使用或用于本合同约定之外的目的。</w:t>
      </w:r>
      <w:r/>
    </w:p>
    <w:p>
      <w:pPr>
        <w:ind w:firstLine="480"/>
        <w:spacing w:after="0" w:line="360" w:lineRule="auto"/>
        <w:rPr>
          <w:rFonts w:ascii="宋体" w:hAnsi="宋体"/>
          <w:bCs/>
          <w:color w:val="auto"/>
          <w:sz w:val="24"/>
          <w:highlight w:val="none"/>
        </w:rPr>
      </w:pPr>
      <w:r>
        <w:rPr>
          <w:rFonts w:hint="eastAsia" w:ascii="宋体" w:hAnsi="宋体"/>
          <w:bCs/>
          <w:color w:val="auto"/>
          <w:sz w:val="24"/>
          <w:szCs w:val="24"/>
          <w:highlight w:val="none"/>
        </w:rPr>
        <w:t xml:space="preserve">（八）</w:t>
      </w:r>
      <w:r>
        <w:rPr>
          <w:rFonts w:hint="eastAsia" w:ascii="宋体" w:hAnsi="宋体"/>
          <w:bCs/>
          <w:color w:val="auto"/>
          <w:sz w:val="24"/>
          <w:highlight w:val="none"/>
        </w:rPr>
        <w:t xml:space="preserve">违约责任：</w:t>
      </w:r>
      <w:r/>
    </w:p>
    <w:p>
      <w:pPr>
        <w:ind w:firstLine="480"/>
        <w:spacing w:after="0" w:line="360" w:lineRule="auto"/>
        <w:tabs>
          <w:tab w:val="left" w:pos="0"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bCs/>
          <w:color w:val="auto"/>
          <w:sz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after="0" w:line="360" w:lineRule="auto"/>
        <w:tabs>
          <w:tab w:val="left" w:pos="0"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2.</w:t>
      </w:r>
      <w:r>
        <w:rPr>
          <w:rFonts w:hint="eastAsia" w:ascii="宋体" w:hAnsi="宋体"/>
          <w:bCs/>
          <w:color w:val="auto"/>
          <w:sz w:val="24"/>
          <w:highlight w:val="none"/>
        </w:rPr>
        <w:t xml:space="preserve">如供方逾期交货且未经需方同意延长交货时间，除不可抗力外，每逾期一日，供方应按照2000元/天的标准累计计算向需方支付违约金</w:t>
      </w:r>
      <w:r>
        <w:rPr>
          <w:rFonts w:hint="eastAsia" w:ascii="宋体" w:hAnsi="宋体" w:eastAsia="宋体"/>
          <w:bCs/>
          <w:color w:val="auto"/>
          <w:sz w:val="24"/>
          <w:highlight w:val="none"/>
          <w:lang w:eastAsia="zh-CN"/>
        </w:rPr>
        <w:t xml:space="preserve">，上限为合同价款的5%</w:t>
      </w:r>
      <w:r>
        <w:rPr>
          <w:rFonts w:hint="eastAsia" w:ascii="宋体" w:hAnsi="宋体"/>
          <w:bCs/>
          <w:color w:val="auto"/>
          <w:sz w:val="24"/>
          <w:highlight w:val="none"/>
        </w:rPr>
        <w:t xml:space="preserve">。逾期超过</w:t>
      </w:r>
      <w:r>
        <w:rPr>
          <w:rFonts w:ascii="宋体" w:hAnsi="宋体"/>
          <w:bCs/>
          <w:color w:val="auto"/>
          <w:sz w:val="24"/>
          <w:highlight w:val="none"/>
        </w:rPr>
        <w:t xml:space="preserve">20</w:t>
      </w:r>
      <w:r>
        <w:rPr>
          <w:rFonts w:hint="eastAsia" w:ascii="宋体" w:hAnsi="宋体"/>
          <w:bCs/>
          <w:color w:val="auto"/>
          <w:sz w:val="24"/>
          <w:highlight w:val="none"/>
        </w:rPr>
        <w:t xml:space="preserve">个工作日的，需方有权依照法律程序解除合同，需方如已支付费用的，供方全部返还，且供方应按照合同总价的</w:t>
      </w:r>
      <w:r>
        <w:rPr>
          <w:rFonts w:ascii="宋体" w:hAnsi="宋体"/>
          <w:bCs/>
          <w:color w:val="auto"/>
          <w:sz w:val="24"/>
          <w:highlight w:val="none"/>
        </w:rPr>
        <w:t xml:space="preserve">30%</w:t>
      </w:r>
      <w:r>
        <w:rPr>
          <w:rFonts w:hint="eastAsia" w:ascii="宋体" w:hAnsi="宋体"/>
          <w:bCs/>
          <w:color w:val="auto"/>
          <w:sz w:val="24"/>
          <w:highlight w:val="none"/>
        </w:rPr>
        <w:t xml:space="preserve">向需方支付违约金，如给需方造成损失的，还应赔偿损失。</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3.</w:t>
      </w:r>
      <w:r>
        <w:rPr>
          <w:rFonts w:hint="eastAsia" w:ascii="宋体" w:hAnsi="宋体"/>
          <w:bCs/>
          <w:color w:val="auto"/>
          <w:sz w:val="24"/>
          <w:highlight w:val="none"/>
        </w:rPr>
        <w:t xml:space="preserve">供方如无不可抗力，又未履行招标文件、投标文件和合同条款的，一经查实，由供方赔偿由此给需方造成的损失，并按照合同总价的</w:t>
      </w:r>
      <w:r>
        <w:rPr>
          <w:rFonts w:ascii="宋体" w:hAnsi="宋体"/>
          <w:bCs/>
          <w:color w:val="auto"/>
          <w:sz w:val="24"/>
          <w:highlight w:val="none"/>
        </w:rPr>
        <w:t xml:space="preserve">30%</w:t>
      </w:r>
      <w:r>
        <w:rPr>
          <w:rFonts w:hint="eastAsia" w:ascii="宋体" w:hAnsi="宋体"/>
          <w:bCs/>
          <w:color w:val="auto"/>
          <w:sz w:val="24"/>
          <w:highlight w:val="none"/>
        </w:rPr>
        <w:t xml:space="preserve">向需方支付违约金，因招、投标产生的其他责任及后果按招标文件的相关要求及处理方式执行。</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4.</w:t>
      </w:r>
      <w:r>
        <w:rPr>
          <w:rFonts w:hint="eastAsia" w:ascii="宋体" w:hAnsi="宋体"/>
          <w:bCs/>
          <w:color w:val="auto"/>
          <w:sz w:val="24"/>
          <w:highlight w:val="none"/>
        </w:rPr>
        <w:t xml:space="preserve">由于供方提供货物质量、安装存在问题或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color w:val="auto"/>
          <w:sz w:val="24"/>
          <w:highlight w:val="none"/>
        </w:rPr>
        <w:t xml:space="preserve">20%</w:t>
      </w:r>
      <w:r>
        <w:rPr>
          <w:rFonts w:hint="eastAsia" w:ascii="宋体" w:hAnsi="宋体"/>
          <w:bCs/>
          <w:color w:val="auto"/>
          <w:sz w:val="24"/>
          <w:highlight w:val="none"/>
        </w:rPr>
        <w:t xml:space="preserve">向需方支付违约金，如给需方造成其他损失的，供方还应负责赔偿。</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5.</w:t>
      </w:r>
      <w:r>
        <w:rPr>
          <w:rFonts w:hint="eastAsia" w:ascii="宋体" w:hAnsi="宋体"/>
          <w:bCs/>
          <w:color w:val="auto"/>
          <w:sz w:val="24"/>
          <w:highlight w:val="none"/>
        </w:rPr>
        <w:t xml:space="preserve">质保期内，供方未能按约履行质保义务，每发生一次，应当向需方支付违约金，金额为质保实际发生金额的</w:t>
      </w:r>
      <w:r>
        <w:rPr>
          <w:rFonts w:ascii="宋体" w:hAnsi="宋体"/>
          <w:bCs/>
          <w:color w:val="auto"/>
          <w:sz w:val="24"/>
          <w:highlight w:val="none"/>
        </w:rPr>
        <w:t xml:space="preserve">2</w:t>
      </w:r>
      <w:r>
        <w:rPr>
          <w:rFonts w:hint="eastAsia" w:ascii="宋体" w:hAnsi="宋体"/>
          <w:bCs/>
          <w:color w:val="auto"/>
          <w:sz w:val="24"/>
          <w:highlight w:val="none"/>
        </w:rPr>
        <w:t xml:space="preserve">倍。</w:t>
      </w:r>
      <w:r/>
    </w:p>
    <w:p>
      <w:pPr>
        <w:ind w:firstLine="480"/>
        <w:spacing w:after="0" w:line="360" w:lineRule="auto"/>
        <w:tabs>
          <w:tab w:val="left" w:pos="105" w:leader="none"/>
          <w:tab w:val="left" w:pos="525" w:leader="none"/>
          <w:tab w:val="left" w:pos="945" w:leader="none"/>
          <w:tab w:val="left" w:pos="229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6.</w:t>
      </w:r>
      <w:r>
        <w:rPr>
          <w:rFonts w:hint="eastAsia" w:ascii="宋体" w:hAnsi="宋体"/>
          <w:bCs/>
          <w:color w:val="auto"/>
          <w:sz w:val="24"/>
          <w:highlight w:val="none"/>
        </w:rPr>
        <w:t xml:space="preserve">供方未能按约履行保密义务，应当向需方支付合同总价</w:t>
      </w:r>
      <w:r>
        <w:rPr>
          <w:rFonts w:ascii="宋体" w:hAnsi="宋体"/>
          <w:bCs/>
          <w:color w:val="auto"/>
          <w:sz w:val="24"/>
          <w:highlight w:val="none"/>
        </w:rPr>
        <w:t xml:space="preserve"> 1 %</w:t>
      </w:r>
      <w:r>
        <w:rPr>
          <w:rFonts w:hint="eastAsia" w:ascii="宋体" w:hAnsi="宋体"/>
          <w:bCs/>
          <w:color w:val="auto"/>
          <w:sz w:val="24"/>
          <w:highlight w:val="none"/>
        </w:rPr>
        <w:t xml:space="preserve">的违约金并赔偿由此给需方造成的全部损失。</w:t>
      </w:r>
      <w:r/>
    </w:p>
    <w:p>
      <w:pPr>
        <w:ind w:left="-2" w:firstLine="480"/>
        <w:spacing w:after="0" w:line="360" w:lineRule="auto"/>
        <w:rPr>
          <w:rFonts w:ascii="宋体" w:hAnsi="宋体"/>
          <w:bCs/>
          <w:color w:val="auto"/>
          <w:sz w:val="24"/>
          <w:highlight w:val="none"/>
        </w:rPr>
      </w:pPr>
      <w:r>
        <w:rPr>
          <w:rFonts w:ascii="宋体" w:hAnsi="宋体"/>
          <w:bCs/>
          <w:color w:val="auto"/>
          <w:sz w:val="24"/>
          <w:highlight w:val="none"/>
        </w:rPr>
        <w:t xml:space="preserve">（九）</w:t>
      </w:r>
      <w:r>
        <w:rPr>
          <w:rFonts w:hint="eastAsia" w:ascii="宋体" w:hAnsi="宋体"/>
          <w:bCs/>
          <w:color w:val="auto"/>
          <w:sz w:val="24"/>
          <w:highlight w:val="none"/>
        </w:rPr>
        <w:t xml:space="preserve">不可抗力：</w:t>
      </w:r>
      <w:r/>
    </w:p>
    <w:p>
      <w:pPr>
        <w:ind w:firstLine="480"/>
        <w:spacing w:after="0" w:line="360" w:lineRule="auto"/>
        <w:tabs>
          <w:tab w:val="left" w:pos="105" w:leader="none"/>
          <w:tab w:val="left" w:pos="945" w:leader="none"/>
          <w:tab w:val="left" w:pos="1320" w:leader="none"/>
        </w:tabs>
        <w:rPr>
          <w:rFonts w:ascii="宋体" w:hAnsi="宋体"/>
          <w:bCs/>
          <w:color w:val="auto"/>
          <w:sz w:val="24"/>
          <w:highlight w:val="none"/>
        </w:rPr>
      </w:pPr>
      <w:r>
        <w:rPr>
          <w:rFonts w:ascii="宋体" w:hAnsi="宋体"/>
          <w:bCs/>
          <w:color w:val="auto"/>
          <w:sz w:val="24"/>
          <w:highlight w:val="none"/>
        </w:rPr>
        <w:t xml:space="preserve">1.</w:t>
      </w:r>
      <w:r>
        <w:rPr>
          <w:rFonts w:hint="eastAsia" w:ascii="宋体" w:hAnsi="宋体"/>
          <w:bCs/>
          <w:color w:val="auto"/>
          <w:sz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after="0" w:line="360" w:lineRule="auto"/>
        <w:tabs>
          <w:tab w:val="left" w:pos="105" w:leader="none"/>
          <w:tab w:val="left" w:pos="525" w:leader="none"/>
          <w:tab w:val="left" w:pos="945" w:leader="none"/>
        </w:tabs>
        <w:rPr>
          <w:rFonts w:ascii="宋体" w:hAnsi="宋体"/>
          <w:bCs/>
          <w:color w:val="auto"/>
          <w:sz w:val="24"/>
          <w:highlight w:val="none"/>
        </w:rPr>
      </w:pPr>
      <w:r>
        <w:rPr>
          <w:rFonts w:ascii="宋体" w:hAnsi="宋体"/>
          <w:bCs/>
          <w:color w:val="auto"/>
          <w:sz w:val="24"/>
          <w:highlight w:val="none"/>
        </w:rPr>
        <w:t xml:space="preserve">2.</w:t>
      </w:r>
      <w:r>
        <w:rPr>
          <w:rFonts w:hint="eastAsia" w:ascii="宋体" w:hAnsi="宋体"/>
          <w:bCs/>
          <w:color w:val="auto"/>
          <w:sz w:val="24"/>
          <w:highlight w:val="none"/>
        </w:rPr>
        <w:t xml:space="preserve">招标文件及合同中所述之“不可抗力”系指不可预见、不可避免、不可克服的事件。</w:t>
      </w:r>
      <w:r/>
    </w:p>
    <w:p>
      <w:pPr>
        <w:ind w:left="-2" w:firstLine="480"/>
        <w:spacing w:after="0" w:line="360" w:lineRule="auto"/>
        <w:rPr>
          <w:rFonts w:ascii="宋体" w:hAnsi="宋体"/>
          <w:bCs/>
          <w:color w:val="auto"/>
          <w:sz w:val="24"/>
          <w:highlight w:val="none"/>
        </w:rPr>
      </w:pPr>
      <w:r>
        <w:rPr>
          <w:rFonts w:hint="eastAsia" w:ascii="宋体" w:hAnsi="宋体"/>
          <w:bCs/>
          <w:color w:val="auto"/>
          <w:sz w:val="24"/>
          <w:highlight w:val="none"/>
        </w:rPr>
        <w:t xml:space="preserve">（十）合同生效及其</w:t>
      </w:r>
      <w:r>
        <w:rPr>
          <w:rFonts w:hint="eastAsia" w:ascii="宋体" w:hAnsi="宋体" w:eastAsia="宋体"/>
          <w:bCs/>
          <w:color w:val="auto"/>
          <w:sz w:val="24"/>
          <w:highlight w:val="none"/>
          <w:lang w:eastAsia="zh-CN"/>
        </w:rPr>
        <w:t xml:space="preserve">他</w:t>
      </w:r>
      <w:r>
        <w:rPr>
          <w:rFonts w:hint="eastAsia" w:ascii="宋体" w:hAnsi="宋体"/>
          <w:bCs/>
          <w:color w:val="auto"/>
          <w:sz w:val="24"/>
          <w:highlight w:val="none"/>
        </w:rPr>
        <w:t xml:space="preserve">：</w:t>
      </w:r>
      <w:r/>
    </w:p>
    <w:p>
      <w:pPr>
        <w:ind w:firstLine="480"/>
        <w:spacing w:after="0" w:line="360" w:lineRule="auto"/>
        <w:tabs>
          <w:tab w:val="left" w:pos="0" w:leader="none"/>
          <w:tab w:val="left" w:pos="525" w:leader="none"/>
          <w:tab w:val="left" w:pos="94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1.</w:t>
      </w:r>
      <w:r>
        <w:rPr>
          <w:rFonts w:hint="eastAsia" w:ascii="宋体" w:hAnsi="宋体"/>
          <w:bCs/>
          <w:color w:val="auto"/>
          <w:sz w:val="24"/>
          <w:highlight w:val="none"/>
        </w:rPr>
        <w:t xml:space="preserve">合同经供需双方代表签字并盖章后即生效。</w:t>
      </w:r>
      <w:r/>
    </w:p>
    <w:p>
      <w:pPr>
        <w:ind w:firstLine="480"/>
        <w:spacing w:after="0" w:line="360" w:lineRule="auto"/>
        <w:tabs>
          <w:tab w:val="left" w:pos="0" w:leader="none"/>
          <w:tab w:val="left" w:pos="525" w:leader="none"/>
          <w:tab w:val="left" w:pos="945" w:leader="none"/>
        </w:tabs>
        <w:rPr>
          <w:rFonts w:ascii="宋体" w:hAnsi="宋体"/>
          <w:color w:val="auto"/>
          <w:sz w:val="24"/>
          <w:highlight w:val="none"/>
        </w:rPr>
      </w:pPr>
      <w:r>
        <w:rPr>
          <w:rFonts w:hint="eastAsia" w:ascii="宋体" w:hAnsi="宋体" w:eastAsia="宋体"/>
          <w:color w:val="auto"/>
          <w:sz w:val="24"/>
          <w:highlight w:val="none"/>
          <w:lang w:eastAsia="zh-CN"/>
        </w:rPr>
        <w:t xml:space="preserve">2.</w:t>
      </w:r>
      <w:r>
        <w:rPr>
          <w:rFonts w:hint="eastAsia" w:ascii="宋体" w:hAnsi="宋体"/>
          <w:bCs/>
          <w:color w:val="auto"/>
          <w:sz w:val="24"/>
          <w:highlight w:val="none"/>
        </w:rPr>
        <w:t xml:space="preserve">合同签订后供需双方即直接产生权利与义务的关系，合同执行过程中出现的问题应按照合同约定、法律法规的规定办理。在合同履行过程中，双方如有争议，</w:t>
      </w:r>
      <w:r>
        <w:rPr>
          <w:rFonts w:hint="eastAsia" w:ascii="宋体" w:hAnsi="宋体"/>
          <w:color w:val="auto"/>
          <w:sz w:val="24"/>
          <w:highlight w:val="none"/>
        </w:rPr>
        <w:t xml:space="preserve">由供需双方协商处理，若协商不成，</w:t>
      </w:r>
      <w:r>
        <w:rPr>
          <w:rFonts w:hint="eastAsia" w:ascii="宋体" w:hAnsi="宋体"/>
          <w:bCs/>
          <w:color w:val="auto"/>
          <w:sz w:val="24"/>
          <w:highlight w:val="none"/>
        </w:rPr>
        <w:t xml:space="preserve">可选择以下</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（1）</w:t>
      </w:r>
      <w:r>
        <w:rPr>
          <w:rFonts w:ascii="宋体" w:hAnsi="宋体"/>
          <w:bCs/>
          <w:color w:val="auto"/>
          <w:sz w:val="24"/>
          <w:highlight w:val="none"/>
          <w:u w:val="single"/>
        </w:rPr>
        <w:t xml:space="preserve"> </w:t>
      </w:r>
      <w:r>
        <w:rPr>
          <w:rFonts w:hint="eastAsia" w:ascii="宋体" w:hAnsi="宋体"/>
          <w:bCs/>
          <w:color w:val="auto"/>
          <w:sz w:val="24"/>
          <w:highlight w:val="none"/>
        </w:rPr>
        <w:t xml:space="preserve">方式处理：</w:t>
      </w:r>
      <w:r/>
    </w:p>
    <w:p>
      <w:pPr>
        <w:ind w:left="521" w:firstLine="480"/>
        <w:spacing w:after="0" w:line="360" w:lineRule="auto"/>
        <w:tabs>
          <w:tab w:val="left" w:pos="525" w:leader="none"/>
          <w:tab w:val="left" w:pos="945" w:leader="none"/>
        </w:tabs>
        <w:rPr>
          <w:rFonts w:ascii="宋体" w:hAnsi="宋体"/>
          <w:color w:val="auto"/>
          <w:sz w:val="24"/>
          <w:highlight w:val="none"/>
        </w:rPr>
      </w:pPr>
      <w:r>
        <w:rPr>
          <w:rFonts w:hint="eastAsia" w:ascii="宋体" w:hAnsi="宋体"/>
          <w:bCs/>
          <w:color w:val="auto"/>
          <w:sz w:val="24"/>
          <w:highlight w:val="none"/>
        </w:rPr>
        <w:t xml:space="preserve">（</w:t>
      </w:r>
      <w:r>
        <w:rPr>
          <w:rFonts w:ascii="宋体" w:hAnsi="宋体"/>
          <w:bCs/>
          <w:color w:val="auto"/>
          <w:sz w:val="24"/>
          <w:highlight w:val="none"/>
        </w:rPr>
        <w:t xml:space="preserve">1</w:t>
      </w:r>
      <w:r>
        <w:rPr>
          <w:rFonts w:hint="eastAsia" w:ascii="宋体" w:hAnsi="宋体"/>
          <w:bCs/>
          <w:color w:val="auto"/>
          <w:sz w:val="24"/>
          <w:highlight w:val="none"/>
        </w:rPr>
        <w:t xml:space="preserve">）</w:t>
      </w:r>
      <w:r>
        <w:rPr>
          <w:rFonts w:hint="eastAsia" w:ascii="宋体" w:hAnsi="宋体"/>
          <w:color w:val="auto"/>
          <w:sz w:val="24"/>
          <w:highlight w:val="none"/>
        </w:rPr>
        <w:t xml:space="preserve">向无锡仲裁委员会申请仲裁。</w:t>
      </w:r>
      <w:r/>
    </w:p>
    <w:p>
      <w:pPr>
        <w:ind w:left="521" w:firstLine="480"/>
        <w:spacing w:after="0" w:line="360" w:lineRule="auto"/>
        <w:tabs>
          <w:tab w:val="left" w:pos="525" w:leader="none"/>
          <w:tab w:val="left" w:pos="945"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）向需方所在地法院提起诉讼。</w:t>
      </w:r>
      <w:r/>
    </w:p>
    <w:p>
      <w:pPr>
        <w:ind w:firstLine="480"/>
        <w:spacing w:after="0" w:line="360" w:lineRule="auto"/>
        <w:tabs>
          <w:tab w:val="left" w:pos="0" w:leader="none"/>
          <w:tab w:val="left" w:pos="525" w:leader="none"/>
          <w:tab w:val="left" w:pos="94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3.</w:t>
      </w:r>
      <w:r>
        <w:rPr>
          <w:rFonts w:hint="eastAsia" w:ascii="宋体" w:hAnsi="宋体"/>
          <w:bCs/>
          <w:color w:val="auto"/>
          <w:sz w:val="24"/>
          <w:highlight w:val="none"/>
        </w:rPr>
        <w:t xml:space="preserve">合同在执行过程中出现的未尽事宜，双方在不违背本合同和招标文件的原则下协商解决，协商结果以书面形式签订补充协议，且补充协议与本合同具有同等效力。</w:t>
      </w:r>
      <w:r/>
    </w:p>
    <w:p>
      <w:pPr>
        <w:ind w:firstLine="480"/>
        <w:spacing w:after="0" w:line="360" w:lineRule="auto"/>
        <w:tabs>
          <w:tab w:val="left" w:pos="0" w:leader="none"/>
          <w:tab w:val="left" w:pos="525" w:leader="none"/>
          <w:tab w:val="left" w:pos="945" w:leader="none"/>
        </w:tabs>
        <w:rPr>
          <w:rFonts w:ascii="宋体" w:hAnsi="宋体"/>
          <w:color w:val="auto"/>
          <w:sz w:val="24"/>
          <w:highlight w:val="none"/>
        </w:rPr>
      </w:pPr>
      <w:r>
        <w:rPr>
          <w:rFonts w:hint="eastAsia" w:ascii="宋体" w:hAnsi="宋体" w:eastAsia="宋体"/>
          <w:color w:val="auto"/>
          <w:sz w:val="24"/>
          <w:highlight w:val="none"/>
          <w:lang w:eastAsia="zh-CN"/>
        </w:rPr>
        <w:t xml:space="preserve">4.</w:t>
      </w:r>
      <w:r>
        <w:rPr>
          <w:rFonts w:hint="eastAsia" w:ascii="宋体" w:hAnsi="宋体"/>
          <w:color w:val="auto"/>
          <w:sz w:val="24"/>
          <w:highlight w:val="none"/>
        </w:rPr>
        <w:t xml:space="preserve">合同中未有约定的按照有关的法律法规以及国家行业标准或技术文件规定予以解决。</w:t>
      </w:r>
      <w:r/>
    </w:p>
    <w:p>
      <w:pPr>
        <w:ind w:firstLine="480"/>
        <w:spacing w:after="0" w:line="360" w:lineRule="auto"/>
        <w:tabs>
          <w:tab w:val="left" w:pos="0" w:leader="none"/>
          <w:tab w:val="left" w:pos="525" w:leader="none"/>
          <w:tab w:val="left" w:pos="945" w:leader="none"/>
        </w:tabs>
        <w:rPr>
          <w:rFonts w:ascii="宋体" w:hAnsi="宋体"/>
          <w:bCs/>
          <w:color w:val="auto"/>
          <w:sz w:val="24"/>
          <w:highlight w:val="none"/>
        </w:rPr>
      </w:pPr>
      <w:r>
        <w:rPr>
          <w:rFonts w:hint="eastAsia" w:ascii="宋体" w:hAnsi="宋体" w:eastAsia="宋体"/>
          <w:bCs/>
          <w:color w:val="auto"/>
          <w:sz w:val="24"/>
          <w:highlight w:val="none"/>
          <w:lang w:eastAsia="zh-CN"/>
        </w:rPr>
        <w:t xml:space="preserve">5.</w:t>
      </w:r>
      <w:r>
        <w:rPr>
          <w:rFonts w:hint="eastAsia" w:ascii="宋体" w:hAnsi="宋体"/>
          <w:bCs/>
          <w:color w:val="auto"/>
          <w:sz w:val="24"/>
          <w:highlight w:val="none"/>
        </w:rPr>
        <w:t xml:space="preserve">供需双方确认：对本合同条款及后果均已知悉，一致确认不存在欺诈、胁迫、乘人之危、重大误解、显失公平等任何可能导致合同无效或被撤销的情形。</w:t>
      </w:r>
      <w:r/>
    </w:p>
    <w:p>
      <w:pPr>
        <w:pStyle w:val="873"/>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3"/>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3"/>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3"/>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3"/>
        <w:ind w:left="267" w:right="369" w:firstLine="464"/>
        <w:jc w:val="center"/>
        <w:tabs>
          <w:tab w:val="left" w:pos="360" w:leader="none"/>
          <w:tab w:val="left" w:pos="7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jc w:val="left"/>
        <w:spacing w:after="0" w:line="360" w:lineRule="auto"/>
        <w:widowControl w:val="off"/>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附件1</w:t>
      </w:r>
      <w:r/>
    </w:p>
    <w:p>
      <w:pPr>
        <w:jc w:val="center"/>
        <w:spacing w:after="0" w:line="360" w:lineRule="auto"/>
        <w:widowControl w:val="off"/>
        <w:rPr>
          <w:rFonts w:ascii="宋体" w:hAnsi="宋体"/>
          <w:b/>
          <w:bCs w:val="0"/>
          <w:color w:val="auto"/>
          <w:sz w:val="32"/>
          <w:szCs w:val="32"/>
          <w:highlight w:val="none"/>
        </w:rPr>
      </w:pPr>
      <w:r>
        <w:rPr>
          <w:rFonts w:hint="eastAsia" w:ascii="宋体" w:hAnsi="宋体" w:eastAsia="宋体"/>
          <w:b/>
          <w:bCs w:val="0"/>
          <w:color w:val="auto"/>
          <w:sz w:val="28"/>
          <w:szCs w:val="24"/>
          <w:highlight w:val="none"/>
          <w:lang w:eastAsia="zh-CN"/>
        </w:rPr>
        <w:t xml:space="preserve">供货清单</w:t>
      </w:r>
      <w:r/>
    </w:p>
    <w:tbl>
      <w:tblPr>
        <w:tblStyle w:val="794"/>
        <w:tblW w:w="95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828"/>
        <w:gridCol w:w="842"/>
        <w:gridCol w:w="1370"/>
        <w:gridCol w:w="737"/>
        <w:gridCol w:w="737"/>
        <w:gridCol w:w="737"/>
        <w:gridCol w:w="922"/>
        <w:gridCol w:w="1059"/>
      </w:tblGrid>
      <w:tr>
        <w:trPr>
          <w:jc w:val="center"/>
          <w:trHeight w:val="874"/>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828"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标的物名称</w:t>
            </w:r>
            <w:r/>
          </w:p>
        </w:tc>
        <w:tc>
          <w:tcPr>
            <w:tcW w:w="842"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品牌型号</w:t>
            </w:r>
            <w:r/>
          </w:p>
        </w:tc>
        <w:tc>
          <w:tcPr>
            <w:tcW w:w="1370" w:type="dxa"/>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性能指标</w:t>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737" w:type="dxa"/>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产地</w:t>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922"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1059"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623"/>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82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4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7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5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82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4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7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5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82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4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7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5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82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4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7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5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82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4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7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37"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59"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W w:w="1343" w:type="dxa"/>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最终</w:t>
            </w:r>
            <w:r>
              <w:rPr>
                <w:rFonts w:hint="eastAsia" w:ascii="宋体" w:hAnsi="宋体" w:eastAsia="宋体"/>
                <w:color w:val="auto"/>
                <w:sz w:val="24"/>
                <w:szCs w:val="24"/>
                <w:highlight w:val="none"/>
                <w:lang w:eastAsia="zh-CN"/>
              </w:rPr>
              <w:t xml:space="preserve">总价</w:t>
            </w:r>
            <w:r/>
          </w:p>
        </w:tc>
        <w:tc>
          <w:tcPr>
            <w:gridSpan w:val="8"/>
            <w:tcW w:w="8232" w:type="dxa"/>
            <w:vAlign w:val="center"/>
            <w:textDirection w:val="lrTb"/>
            <w:noWrap w:val="false"/>
          </w:tcPr>
          <w:p>
            <w:pPr>
              <w:spacing w:line="40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金额</w:t>
            </w:r>
            <w:r>
              <w:rPr>
                <w:rFonts w:hint="eastAsia" w:ascii="宋体" w:hAnsi="宋体" w:eastAsia="宋体"/>
                <w:color w:val="auto"/>
                <w:sz w:val="24"/>
                <w:szCs w:val="24"/>
                <w:highlight w:val="none"/>
                <w:lang w:eastAsia="zh-CN"/>
              </w:rPr>
              <w:t xml:space="preserve">小</w:t>
            </w:r>
            <w:r>
              <w:rPr>
                <w:rFonts w:hint="eastAsia" w:ascii="宋体" w:hAnsi="宋体"/>
                <w:color w:val="auto"/>
                <w:sz w:val="24"/>
                <w:szCs w:val="24"/>
                <w:highlight w:val="none"/>
              </w:rPr>
              <w:t xml:space="preserve">写         元</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大写         元</w:t>
            </w:r>
            <w:r>
              <w:rPr>
                <w:rFonts w:hint="eastAsia" w:ascii="宋体" w:hAnsi="宋体" w:eastAsia="宋体"/>
                <w:color w:val="auto"/>
                <w:sz w:val="24"/>
                <w:szCs w:val="24"/>
                <w:highlight w:val="none"/>
                <w:lang w:val="en-US" w:eastAsia="zh-CN"/>
              </w:rPr>
              <w:t xml:space="preserve"> </w:t>
            </w:r>
            <w:r/>
          </w:p>
        </w:tc>
      </w:tr>
      <w:tr>
        <w:trPr>
          <w:jc w:val="center"/>
          <w:trHeight w:val="623"/>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bCs/>
                <w:color w:val="auto"/>
                <w:sz w:val="24"/>
                <w:highlight w:val="none"/>
                <w:lang w:val="zh-CN"/>
              </w:rPr>
              <w:t xml:space="preserve">交货期</w:t>
            </w:r>
            <w:r/>
          </w:p>
        </w:tc>
        <w:tc>
          <w:tcPr>
            <w:gridSpan w:val="8"/>
            <w:tcW w:w="8232" w:type="dxa"/>
            <w:vAlign w:val="center"/>
            <w:textDirection w:val="lrTb"/>
            <w:noWrap w:val="false"/>
          </w:tcPr>
          <w:p>
            <w:pP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bCs/>
                <w:color w:val="auto"/>
                <w:sz w:val="24"/>
                <w:highlight w:val="none"/>
                <w:lang w:val="zh-CN"/>
              </w:rPr>
              <w:t xml:space="preserve">质量标准</w:t>
            </w:r>
            <w:r/>
          </w:p>
        </w:tc>
        <w:tc>
          <w:tcPr>
            <w:gridSpan w:val="8"/>
            <w:tcW w:w="8232" w:type="dxa"/>
            <w:vAlign w:val="center"/>
            <w:textDirection w:val="lrTb"/>
            <w:noWrap w:val="false"/>
          </w:tcPr>
          <w:p>
            <w:pP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623"/>
        </w:trPr>
        <w:tc>
          <w:tcPr>
            <w:tcW w:w="1343"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lang w:val="zh-CN"/>
              </w:rPr>
              <w:t xml:space="preserve">质保期</w:t>
            </w:r>
            <w:r/>
          </w:p>
        </w:tc>
        <w:tc>
          <w:tcPr>
            <w:gridSpan w:val="8"/>
            <w:tcW w:w="8232" w:type="dxa"/>
            <w:vAlign w:val="center"/>
            <w:textDirection w:val="lrTb"/>
            <w:noWrap w:val="false"/>
          </w:tcPr>
          <w:p>
            <w:pPr>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rPr>
          <w:rFonts w:hint="eastAsia" w:ascii="宋体" w:hAnsi="宋体"/>
          <w:color w:val="auto"/>
          <w:sz w:val="24"/>
          <w:szCs w:val="24"/>
          <w:highlight w:val="none"/>
          <w:lang w:bidi="ar"/>
        </w:rPr>
      </w:pPr>
      <w:r>
        <w:rPr>
          <w:rFonts w:hint="eastAsia" w:ascii="宋体" w:hAnsi="宋体"/>
          <w:color w:val="auto"/>
          <w:sz w:val="24"/>
          <w:szCs w:val="24"/>
          <w:highlight w:val="none"/>
          <w:lang w:bidi="ar"/>
        </w:rPr>
        <w:br w:type="page" w:clear="all"/>
      </w:r>
      <w:r/>
    </w:p>
    <w:p>
      <w:pPr>
        <w:ind w:left="0" w:firstLine="0"/>
        <w:spacing w:line="480" w:lineRule="auto"/>
        <w:rPr>
          <w:rFonts w:ascii="宋体" w:hAnsi="宋体"/>
          <w:color w:val="auto"/>
          <w:sz w:val="24"/>
          <w:szCs w:val="24"/>
          <w:highlight w:val="none"/>
        </w:rPr>
      </w:pPr>
      <w:r>
        <w:rPr>
          <w:rFonts w:hint="eastAsia" w:ascii="宋体" w:hAnsi="宋体"/>
          <w:color w:val="auto"/>
          <w:sz w:val="24"/>
          <w:szCs w:val="24"/>
          <w:highlight w:val="none"/>
          <w:lang w:bidi="ar"/>
        </w:rPr>
        <w:t xml:space="preserve">附件2</w:t>
      </w:r>
      <w:r/>
    </w:p>
    <w:p>
      <w:pPr>
        <w:ind w:firstLine="480"/>
        <w:jc w:val="center"/>
        <w:spacing w:line="48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商品包装政府采购需求标准（试行）</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一、适用范围</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本标准规定了商品使用的塑料、纸质、木质等包装材料的环保要求。</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二、商品包装环保要求</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1.商品包装层数不得超过3层，空隙率不大于40%；</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2.商品包装尽可能使用单一材质的包装材料，如因功能需求</w:t>
      </w:r>
      <w:r>
        <w:rPr>
          <w:rFonts w:hint="eastAsia" w:ascii="宋体" w:hAnsi="宋体"/>
          <w:color w:val="auto"/>
          <w:sz w:val="24"/>
          <w:szCs w:val="24"/>
          <w:highlight w:val="none"/>
          <w:lang w:eastAsia="zh-CN" w:bidi="ar"/>
        </w:rPr>
        <w:t xml:space="preserve">必须</w:t>
      </w:r>
      <w:r>
        <w:rPr>
          <w:rFonts w:hint="eastAsia" w:ascii="宋体" w:hAnsi="宋体"/>
          <w:color w:val="auto"/>
          <w:sz w:val="24"/>
          <w:szCs w:val="24"/>
          <w:highlight w:val="none"/>
          <w:lang w:bidi="ar"/>
        </w:rPr>
        <w:t xml:space="preserve">使用不同材质，不同材质间应便于分离；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3.商品包装中铅、汞、镉、六价铬的总含量应不大于100mg/kg；</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4.商品包装印刷使用的油墨中挥发性有机化合物（VOCs）含量应不大于5%（以重量计）；</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5.塑料材质商品包装上呈现的印刷颜色不得超过6色；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6.纸质商品包装应使用75%以上的可再生纤维原料生产；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7.木质商品包装的原料应来源于可持续性森林。</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三、检测方法</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1.商品包装中重金属（铅、汞、镉、六价铬）总量的检测按照GB/T10004-2008《包装用塑料复合膜、袋干法复合、挤出复合》规定的方法进行。</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2.商品包装印刷使用的油墨中挥发性有机化合物（VOCs）的检测按照GB/T 23986-2009《色漆和清漆挥发性有机化合物（VOC）含量的测定气相色谱法》规定的方法进行。</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left="0" w:firstLine="0"/>
        <w:spacing w:line="480" w:lineRule="auto"/>
        <w:rPr>
          <w:rFonts w:ascii="宋体" w:hAnsi="宋体"/>
          <w:color w:val="auto"/>
          <w:sz w:val="24"/>
          <w:szCs w:val="24"/>
          <w:highlight w:val="none"/>
        </w:rPr>
      </w:pPr>
      <w:r>
        <w:rPr>
          <w:rFonts w:hint="eastAsia" w:ascii="宋体" w:hAnsi="宋体"/>
          <w:color w:val="auto"/>
          <w:sz w:val="24"/>
          <w:szCs w:val="24"/>
          <w:highlight w:val="none"/>
          <w:lang w:bidi="ar"/>
        </w:rPr>
        <w:br w:type="page" w:clear="all"/>
      </w:r>
      <w:r>
        <w:rPr>
          <w:rFonts w:hint="eastAsia" w:ascii="宋体" w:hAnsi="宋体" w:eastAsia="Arial" w:cs="Times New Roman"/>
          <w:color w:val="auto"/>
          <w:sz w:val="24"/>
          <w:szCs w:val="24"/>
          <w:highlight w:val="none"/>
          <w:lang w:bidi="ar"/>
        </w:rPr>
        <w:t xml:space="preserve">附件3</w:t>
      </w:r>
      <w:r/>
    </w:p>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快递包装政府采购需求标准（试行）</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一、适用范围</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本标准中的快递包装主要指快递封装材料，包括封套、胶带、面单、包装袋/箱、填充物、集装袋、周转箱等。</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二、快递包装环保要求</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1.快递包装中重金属（铅、汞、镉、六价铬）总量应不大于100mg/kg；</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2.快递包装印刷使用的油墨中不应添加邻苯二甲酸酯，其挥发性有机化合物（VOCs）含量应不大于5%（以重量计）；</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3.快递包装中使用纸基材的包装材料，纸基材中的有机氯的含量应不大于150mg/kg；</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4.快递包装中使用塑料基材的包装材料不得使用邻苯二甲酸二异壬酯、邻苯二甲酸二正辛酯、邻苯二甲酸二（2</w:t>
      </w:r>
      <w:r>
        <w:rPr>
          <w:rFonts w:hint="eastAsia" w:ascii="宋体" w:hAnsi="宋体" w:eastAsia="宋体"/>
          <w:color w:val="auto"/>
          <w:sz w:val="24"/>
          <w:szCs w:val="24"/>
          <w:highlight w:val="none"/>
          <w:lang w:eastAsia="zh-CN" w:bidi="ar"/>
        </w:rPr>
        <w:t xml:space="preserve">－</w:t>
      </w:r>
      <w:r>
        <w:rPr>
          <w:rFonts w:hint="eastAsia" w:ascii="宋体" w:hAnsi="宋体"/>
          <w:color w:val="auto"/>
          <w:sz w:val="24"/>
          <w:szCs w:val="24"/>
          <w:highlight w:val="none"/>
          <w:lang w:bidi="ar"/>
        </w:rPr>
        <w:t xml:space="preserve">乙基）己酯、邻苯二甲酸二异癸酯、邻苯二甲酸丁基苄基酯、邻苯二甲酸二丁酯等作为增塑剂；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5.快递中使用的塑料包装袋不得使用聚氯乙烯作为原料，且原料应为单一材质制成，生物分解率大于60%；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6.快递中使用的充气类填充物不得使用聚氯乙烯作为原料，且原料为单一材质制成，生物分解率大于60%；</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7.快递中使用的集装袋应为单一材质制成，其重复使用次数应不小于80次；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8.快递中应使用幅宽不大于45mm的生物降解胶带；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9.快递包装中不得使用溶剂型胶粘剂；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10.快递应使用电子面单；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11.直接使用商品包装作为快递包装的商品，其商品包装满足《商品包装政府采购需求标准（试行）》即可；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12.快递包装产品质量和封装方式应符合相关国家或行业标准技术指标要求。</w:t>
      </w:r>
      <w:r/>
    </w:p>
    <w:p>
      <w:pPr>
        <w:ind w:firstLine="482"/>
        <w:spacing w:after="0" w:line="360" w:lineRule="auto"/>
        <w:rPr>
          <w:rFonts w:ascii="宋体" w:hAnsi="宋体"/>
          <w:b/>
          <w:bCs/>
          <w:color w:val="auto"/>
          <w:sz w:val="24"/>
          <w:szCs w:val="24"/>
          <w:highlight w:val="none"/>
        </w:rPr>
      </w:pPr>
      <w:r>
        <w:rPr>
          <w:rFonts w:hint="eastAsia" w:ascii="宋体" w:hAnsi="宋体"/>
          <w:b/>
          <w:bCs/>
          <w:color w:val="auto"/>
          <w:sz w:val="24"/>
          <w:szCs w:val="24"/>
          <w:highlight w:val="none"/>
          <w:lang w:bidi="ar"/>
        </w:rPr>
        <w:t xml:space="preserve">三、检测方法</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1.快递包装中重金属（铅、汞、镉、六价铬）总量的检测按照GB/T10004-2008《包装用塑料复合膜、袋干法复合、挤出复合》规定的方法进行。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2.快递包装印刷使用的油墨中挥发性有机化合物（VOCs）的检测按照GB/T 23986-2009《色漆和清漆挥发性有机化合物（VOC）含量的测定气相色谱法》规定的方法进行。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3.快递包装所使用的塑料包装的生物降解率的检测按照GB/T 20197-2006《降解塑料的定义、分类、标识和降解性能要求》规定的方法进行。 </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lang w:bidi="ar"/>
        </w:rPr>
        <w:t xml:space="preserve">4.快递包装使用纸基材的包装材料中有机氯的检测按照GB/T22904-2008《纸浆、纸和纸板总氯和有机氯的检定》规定的方法进行。</w:t>
      </w:r>
      <w:r/>
    </w:p>
    <w:p>
      <w:pPr>
        <w:ind w:firstLine="480"/>
        <w:spacing w:after="0" w:line="360" w:lineRule="auto"/>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5.快递包装中使用的生物降解胶带的生物降解率的检测按照GB/T19277.1《受控堆肥条件下材料最终需氧生物分解能力的测定采用测定释放的二氧化碳的方法第1部分：通用方法》规定的方法进行。</w:t>
      </w:r>
      <w:r/>
    </w:p>
    <w:p>
      <w:pP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ind w:firstLine="480"/>
        <w:jc w:val="center"/>
        <w:spacing w:line="360" w:lineRule="auto"/>
        <w:rPr>
          <w:rFonts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w:t>
      </w:r>
      <w:bookmarkEnd w:id="137"/>
      <w:r>
        <w:rPr>
          <w:rFonts w:hint="eastAsia" w:ascii="宋体" w:hAnsi="宋体" w:eastAsia="宋体" w:cs="宋体"/>
          <w:b/>
          <w:color w:val="auto"/>
          <w:sz w:val="36"/>
          <w:szCs w:val="36"/>
          <w:highlight w:val="none"/>
        </w:rPr>
        <w:t xml:space="preserve">四章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采购需求</w:t>
      </w:r>
      <w:bookmarkEnd w:id="138"/>
      <w:r/>
      <w:bookmarkEnd w:id="139"/>
      <w:r/>
      <w:bookmarkEnd w:id="140"/>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color w:val="auto"/>
          <w:sz w:val="30"/>
          <w:szCs w:val="30"/>
          <w:highlight w:val="none"/>
        </w:rPr>
      </w:pPr>
      <w:r/>
      <w:bookmarkStart w:id="141" w:name="_Toc26554093"/>
      <w:r/>
      <w:bookmarkStart w:id="142" w:name="_Toc120614281"/>
      <w:r/>
      <w:bookmarkStart w:id="143" w:name="_Toc49090575"/>
      <w:r>
        <w:rPr>
          <w:rFonts w:hint="eastAsia" w:ascii="宋体" w:hAnsi="宋体" w:eastAsia="宋体" w:cs="宋体"/>
          <w:b/>
          <w:color w:val="auto"/>
          <w:sz w:val="30"/>
          <w:szCs w:val="30"/>
          <w:highlight w:val="none"/>
        </w:rPr>
        <w:t xml:space="preserve">第一部分  项目需求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w:t>
      </w:r>
      <w:r>
        <w:rPr>
          <w:rFonts w:hint="eastAsia" w:ascii="宋体" w:hAnsi="宋体" w:eastAsia="宋体" w:cs="宋体"/>
          <w:b/>
          <w:color w:val="auto"/>
          <w:sz w:val="24"/>
          <w:szCs w:val="24"/>
          <w:highlight w:val="none"/>
          <w:lang w:val="en-US" w:eastAsia="zh-CN"/>
        </w:rPr>
        <w:t xml:space="preserve">概况</w:t>
      </w:r>
      <w:r>
        <w:rPr>
          <w:rFonts w:hint="eastAsia" w:ascii="宋体" w:hAnsi="宋体" w:eastAsia="宋体" w:cs="宋体"/>
          <w:b/>
          <w:color w:val="auto"/>
          <w:sz w:val="24"/>
          <w:szCs w:val="24"/>
          <w:highlight w:val="none"/>
        </w:rPr>
        <w:t xml:space="preserve">：</w:t>
      </w:r>
      <w:r/>
    </w:p>
    <w:p>
      <w:pPr>
        <w:ind w:left="0" w:firstLine="42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项目名称：</w:t>
      </w:r>
      <w:r>
        <w:rPr>
          <w:rFonts w:hint="eastAsia" w:ascii="宋体" w:hAnsi="宋体" w:eastAsia="宋体"/>
          <w:color w:val="auto"/>
          <w:sz w:val="24"/>
          <w:szCs w:val="24"/>
          <w:highlight w:val="none"/>
          <w:lang w:eastAsia="zh-CN"/>
        </w:rPr>
        <w:t xml:space="preserve">无锡市一中太湖新城分校体育器材采购项目</w:t>
      </w:r>
      <w:r/>
    </w:p>
    <w:p>
      <w:pPr>
        <w:ind w:left="0"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采购人：江苏无锡经济开发区发展中心、江苏无锡经济开发区教育局</w:t>
      </w:r>
      <w:r/>
    </w:p>
    <w:p>
      <w:pPr>
        <w:ind w:left="0"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项目预算：</w:t>
      </w:r>
      <w:r>
        <w:rPr>
          <w:rFonts w:hint="eastAsia" w:ascii="宋体" w:hAnsi="宋体" w:eastAsia="宋体"/>
          <w:color w:val="auto"/>
          <w:sz w:val="24"/>
          <w:szCs w:val="24"/>
          <w:highlight w:val="none"/>
          <w:lang w:val="en-US" w:eastAsia="zh-CN"/>
        </w:rPr>
        <w:t xml:space="preserve">135</w:t>
      </w:r>
      <w:r>
        <w:rPr>
          <w:rFonts w:hint="eastAsia" w:ascii="宋体" w:hAnsi="宋体"/>
          <w:color w:val="auto"/>
          <w:sz w:val="24"/>
          <w:szCs w:val="24"/>
          <w:highlight w:val="none"/>
        </w:rPr>
        <w:t xml:space="preserve">万元，最高限价：</w:t>
      </w:r>
      <w:r>
        <w:rPr>
          <w:rFonts w:hint="eastAsia" w:ascii="宋体" w:hAnsi="宋体" w:eastAsia="宋体" w:cs="宋体"/>
          <w:color w:val="auto"/>
          <w:sz w:val="24"/>
          <w:szCs w:val="24"/>
          <w:highlight w:val="none"/>
          <w:lang w:val="en-US" w:eastAsia="zh-CN"/>
        </w:rPr>
        <w:t xml:space="preserve">135</w:t>
      </w:r>
      <w:r>
        <w:rPr>
          <w:rFonts w:hint="eastAsia" w:ascii="宋体" w:hAnsi="宋体"/>
          <w:color w:val="auto"/>
          <w:sz w:val="24"/>
          <w:szCs w:val="24"/>
          <w:highlight w:val="none"/>
        </w:rPr>
        <w:t xml:space="preserve">万元</w:t>
      </w:r>
      <w:r/>
    </w:p>
    <w:p>
      <w:pPr>
        <w:pStyle w:val="798"/>
        <w:ind w:left="0"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采购需求：本项目主要包括学校体育教学相关设施设备及器材，供应商负责所有货物及其配套设施的供货、运输、安装、</w:t>
      </w:r>
      <w:r>
        <w:rPr>
          <w:rFonts w:hint="eastAsia" w:ascii="宋体" w:hAnsi="宋体"/>
          <w:color w:val="auto"/>
          <w:sz w:val="24"/>
          <w:szCs w:val="24"/>
          <w:highlight w:val="none"/>
          <w:lang w:val="en-US" w:eastAsia="zh-CN"/>
        </w:rPr>
        <w:t xml:space="preserve">培训、</w:t>
      </w:r>
      <w:r>
        <w:rPr>
          <w:rFonts w:hint="eastAsia" w:ascii="宋体" w:hAnsi="宋体"/>
          <w:color w:val="auto"/>
          <w:sz w:val="24"/>
          <w:szCs w:val="24"/>
          <w:highlight w:val="none"/>
        </w:rPr>
        <w:t xml:space="preserve">售后、质保及后续服务</w:t>
      </w:r>
      <w:r>
        <w:rPr>
          <w:rFonts w:hint="eastAsia" w:ascii="宋体" w:hAnsi="宋体" w:eastAsia="宋体"/>
          <w:color w:val="auto"/>
          <w:sz w:val="24"/>
          <w:szCs w:val="24"/>
          <w:highlight w:val="none"/>
          <w:lang w:eastAsia="zh-CN"/>
        </w:rPr>
        <w:t xml:space="preserve">等</w:t>
      </w:r>
      <w:r>
        <w:rPr>
          <w:rFonts w:hint="eastAsia" w:ascii="宋体" w:hAnsi="宋体"/>
          <w:color w:val="auto"/>
          <w:sz w:val="24"/>
          <w:szCs w:val="24"/>
          <w:highlight w:val="none"/>
        </w:rPr>
        <w:t xml:space="preserve">内容。</w:t>
      </w:r>
      <w:r/>
    </w:p>
    <w:p>
      <w:pPr>
        <w:ind w:left="0"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本标的核心产品：</w:t>
      </w:r>
      <w:r>
        <w:rPr>
          <w:rFonts w:hint="eastAsia" w:ascii="宋体" w:hAnsi="宋体" w:eastAsia="宋体"/>
          <w:color w:val="auto"/>
          <w:sz w:val="24"/>
          <w:szCs w:val="24"/>
          <w:highlight w:val="none"/>
          <w:lang w:val="en-US" w:eastAsia="zh-CN"/>
        </w:rPr>
        <w:t xml:space="preserve">固定式单臂篮球架</w:t>
      </w:r>
      <w:r/>
    </w:p>
    <w:p>
      <w:pPr>
        <w:ind w:left="0" w:firstLine="420"/>
        <w:spacing w:line="360" w:lineRule="auto"/>
        <w:rPr>
          <w:rFonts w:ascii="宋体" w:hAnsi="宋体" w:eastAsia="宋体" w:cs="宋体"/>
          <w:b/>
          <w:color w:val="auto"/>
          <w:sz w:val="24"/>
          <w:szCs w:val="24"/>
          <w:highlight w:val="none"/>
        </w:rPr>
      </w:pPr>
      <w:r>
        <w:rPr>
          <w:rFonts w:hint="eastAsia" w:ascii="宋体" w:hAnsi="宋体"/>
          <w:color w:val="auto"/>
          <w:sz w:val="24"/>
          <w:szCs w:val="24"/>
          <w:highlight w:val="none"/>
        </w:rPr>
        <w:t xml:space="preserve">6</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采购标的物：本项目为货物采购，其中货物采购标的及对应的中小企业划分标准所属行业为工业</w:t>
      </w:r>
      <w:r>
        <w:rPr>
          <w:rFonts w:hint="eastAsia" w:ascii="宋体" w:hAnsi="宋体" w:cs="宋体"/>
          <w:color w:val="auto"/>
          <w:sz w:val="24"/>
          <w:highlight w:val="none"/>
        </w:rPr>
        <w:t xml:space="preserve">。</w:t>
      </w:r>
      <w:r/>
    </w:p>
    <w:tbl>
      <w:tblPr>
        <w:tblStyle w:val="794"/>
        <w:tblW w:w="101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0"/>
        <w:gridCol w:w="612"/>
        <w:gridCol w:w="705"/>
        <w:gridCol w:w="5268"/>
        <w:gridCol w:w="1575"/>
        <w:gridCol w:w="695"/>
        <w:gridCol w:w="597"/>
      </w:tblGrid>
      <w:tr>
        <w:trPr>
          <w:jc w:val="center"/>
          <w:trHeight w:val="540"/>
        </w:trPr>
        <w:tc>
          <w:tcPr>
            <w:shd w:val="clear" w:color="auto" w:fill="auto"/>
            <w:tcBorders>
              <w:top w:val="single" w:color="000000" w:sz="8" w:space="0"/>
              <w:left w:val="single" w:color="000000" w:sz="8"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安装位置</w:t>
            </w:r>
            <w:r/>
          </w:p>
        </w:tc>
        <w:tc>
          <w:tcPr>
            <w:shd w:val="clear" w:color="auto" w:fill="auto"/>
            <w:tcBorders>
              <w:top w:val="single" w:color="000000" w:sz="8" w:space="0"/>
              <w:left w:val="single" w:color="000000" w:sz="4" w:space="0"/>
              <w:bottom w:val="single" w:color="000000" w:sz="4" w:space="0"/>
              <w:right w:val="single" w:color="000000" w:sz="4" w:space="0"/>
            </w:tcBorders>
            <w:tcW w:w="612"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70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设备名称</w:t>
            </w:r>
            <w:r/>
          </w:p>
        </w:tc>
        <w:tc>
          <w:tcPr>
            <w:shd w:val="clear" w:color="auto" w:fill="auto"/>
            <w:tcBorders>
              <w:top w:val="single" w:color="000000" w:sz="8"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技术要求描述</w:t>
            </w:r>
            <w:r/>
          </w:p>
        </w:tc>
        <w:tc>
          <w:tcPr>
            <w:shd w:val="clear" w:color="auto" w:fill="auto"/>
            <w:tcBorders>
              <w:top w:val="single" w:color="000000" w:sz="8" w:space="0"/>
              <w:left w:val="single" w:color="000000" w:sz="4" w:space="0"/>
              <w:bottom w:val="single" w:color="000000" w:sz="4" w:space="0"/>
              <w:right w:val="single" w:color="000000" w:sz="4" w:space="0"/>
            </w:tcBorders>
            <w:tcW w:w="157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参考图片</w:t>
            </w:r>
            <w:r/>
          </w:p>
        </w:tc>
        <w:tc>
          <w:tcPr>
            <w:shd w:val="clear" w:color="auto" w:fill="auto"/>
            <w:tcBorders>
              <w:top w:val="single" w:color="000000" w:sz="8" w:space="0"/>
              <w:left w:val="single" w:color="000000" w:sz="4" w:space="0"/>
              <w:bottom w:val="single" w:color="000000" w:sz="4" w:space="0"/>
              <w:right w:val="single" w:color="000000" w:sz="4" w:space="0"/>
            </w:tcBorders>
            <w:tcW w:w="69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597"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jc w:val="center"/>
          <w:trHeight w:val="11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1、体育馆</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液压篮球架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1.产品规格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篮架伸臂为≧2.55M，篮圈上沿离地面高3.05M，球架底座尺寸不小于：长×宽×前高×后高1.95×1.1×0.67×0.4（M）。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2、产品用材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篮球架底座采用≥6 mm的铁板拼焊而成，底座前立柱、后立柱支撑架和油缸支撑架采用不小于6mm铁板折边制作，篮架立柱主要采用≥口200×70×3方管、≥口120×70×3方管和≥口70×70×3拼焊而成，篮架伸臂采用≥口140×140×4方管、≥口140×70×3方管和口70×50方管拼焊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3、产品结构原理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手动液压篮球架升降，走轮伸缩油路中均有液压自锁油路，使篮架在任何位置都可以停住，在篮架降下油路中设单向节流阀，调节单向节流的大小，可以调节篮架降下的速度。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4、篮板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规格：1800×1050（㎜），篮板配用高强度安全玻璃篮板（不小于12.5mm厚双层夹胶玻璃），并在篮板下沿侧面覆盖有包扎物，能保护运动员扣篮时不受伤害。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5、篮圈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篮圈采用≧φ19mm实心圆钢制作，篮圈抗弯性能好，在篮圈最远点的圈顶上施加静载荷未到105kg时，篮圈无转动，当静载荷≥105kg时，篮圈向下转动，角度不超过30度，能有效解决投篮时篮圈的稳定性和运动员扣篮时的安全性问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6、防护措施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篮板下沿侧面、篮架前立柱、底座、伸臂配备护套避免损害使用者的健康。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7、单只配重不少于400kg，能保证在篮圈根部施加2700N的载荷时，篮球架不倾翻。前立柱与伸臂间装保险机构。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8、喷涂工件表面处理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前处理阶段使工件获得介质层，增加防锈涂膜与金属基体结合力；表面处理阶段将粉末通过高压静电作用均匀涂敷在被涂物体上的过程；</w:t>
            </w:r>
            <w:r/>
          </w:p>
          <w:p>
            <w:pPr>
              <w:jc w:val="left"/>
              <w:keepLines w:val="0"/>
              <w:keepNext w:val="0"/>
              <w:widowControl/>
              <w:rPr>
                <w:rFonts w:hint="default" w:eastAsia="宋体"/>
                <w:color w:val="auto"/>
                <w:highlight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▲液压篮球架须提供符合GB/T 23176-2008、具有CMA认证标志检测报告。</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11430</wp:posOffset>
                      </wp:positionH>
                      <wp:positionV relativeFrom="paragraph">
                        <wp:posOffset>549910</wp:posOffset>
                      </wp:positionV>
                      <wp:extent cx="894080" cy="963295"/>
                      <wp:effectExtent l="0" t="0" r="1270" b="8255"/>
                      <wp:wrapNone/>
                      <wp:docPr id="3" name="图片_48"/>
                      <wp:cNvGraphicFramePr/>
                      <a:graphic xmlns:a="http://schemas.openxmlformats.org/drawingml/2006/main">
                        <a:graphicData uri="http://schemas.openxmlformats.org/drawingml/2006/picture">
                          <pic:pic xmlns:pic="http://schemas.openxmlformats.org/drawingml/2006/picture">
                            <pic:nvPicPr>
                              <pic:cNvPr id="3" name="图片_48"/>
                              <pic:cNvPicPr/>
                              <pic:nvPr/>
                            </pic:nvPicPr>
                            <pic:blipFill>
                              <a:blip r:embed="rId21"/>
                              <a:stretch/>
                            </pic:blipFill>
                            <pic:spPr bwMode="auto">
                              <a:xfrm>
                                <a:off x="0" y="0"/>
                                <a:ext cx="894080"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0.9pt;mso-position-horizontal:absolute;mso-position-vertical-relative:text;margin-top:43.3pt;mso-position-vertical:absolute;width:70.4pt;height:75.8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9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移动式羽毛球柱</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移动式羽毛球柱由底座、立柱、锁绳装置和高度微调装置组成。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羽毛球柱底座采用PP中空吹塑成型制作，造型美观大方，底座内填充钢珠配重，确保产品的整体稳定性，底座底部垫有整块≥10mm钢板，钢板底部配置防震垫，增强底座的稳定性。另底座后部设有PU滚轮，移动方便且不损伤地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羽毛球柱立柱选用直径≥Φ40mm，厚度≥4mm钢管制作，一根立柱上置有系绳柱，系网方便，另一根立柱外侧置有锁绳装置，该装置锁紧可靠，不会产生卡滞或自动反松现象。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4、立柱顶部设有高度微调装置，通过手动微调即可实现网的高度要求：1550mm。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球网被拉紧时，网柱能稳固地与地面保持垂直，立柱轴线对水平面的垂直公差≤1/500，且网柱各部位均不侵入场地内边线的垂直线内。</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10160</wp:posOffset>
                      </wp:positionH>
                      <wp:positionV relativeFrom="paragraph">
                        <wp:posOffset>143510</wp:posOffset>
                      </wp:positionV>
                      <wp:extent cx="879475" cy="1189990"/>
                      <wp:effectExtent l="0" t="0" r="15875" b="10160"/>
                      <wp:wrapNone/>
                      <wp:docPr id="4" name="图片_57_SpCnt_1"/>
                      <wp:cNvGraphicFramePr/>
                      <a:graphic xmlns:a="http://schemas.openxmlformats.org/drawingml/2006/main">
                        <a:graphicData uri="http://schemas.openxmlformats.org/drawingml/2006/picture">
                          <pic:pic xmlns:pic="http://schemas.openxmlformats.org/drawingml/2006/picture">
                            <pic:nvPicPr>
                              <pic:cNvPr id="4" name="图片_57_SpCnt_1"/>
                              <pic:cNvPicPr/>
                              <pic:nvPr/>
                            </pic:nvPicPr>
                            <pic:blipFill>
                              <a:blip r:embed="rId22"/>
                              <a:stretch/>
                            </pic:blipFill>
                            <pic:spPr bwMode="auto">
                              <a:xfrm>
                                <a:off x="0" y="0"/>
                                <a:ext cx="879475" cy="1189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0.8pt;mso-position-horizontal:absolute;mso-position-vertical-relative:text;margin-top:11.3pt;mso-position-vertical:absolute;width:69.2pt;height:93.7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77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羽毛球网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1.羽毛球网规格：长6100mm，高760mm。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2、羽毛球网为咖啡色不小于12股网片，网眼为正方形，边长在15～20mm之间，网眼大小基本一致。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3、羽毛球网的上沿采用不小于75mm宽坛白布对折包边，两端通孔，穿不小于φ5mm硬绳线，两端设气眼便于拉绳。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4、羽毛球网的底边及两侧采用不小于12mm股网线将羽毛球网绳与网片一起拷边，增加网片的棱角度和成形度。</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13970</wp:posOffset>
                      </wp:positionH>
                      <wp:positionV relativeFrom="paragraph">
                        <wp:posOffset>-57785</wp:posOffset>
                      </wp:positionV>
                      <wp:extent cx="939165" cy="796290"/>
                      <wp:effectExtent l="0" t="0" r="13335" b="3810"/>
                      <wp:wrapNone/>
                      <wp:docPr id="5" name="图片_58"/>
                      <wp:cNvGraphicFramePr/>
                      <a:graphic xmlns:a="http://schemas.openxmlformats.org/drawingml/2006/main">
                        <a:graphicData uri="http://schemas.openxmlformats.org/drawingml/2006/picture">
                          <pic:pic xmlns:pic="http://schemas.openxmlformats.org/drawingml/2006/picture">
                            <pic:nvPicPr>
                              <pic:cNvPr id="5" name="图片_58"/>
                              <pic:cNvPicPr/>
                              <pic:nvPr/>
                            </pic:nvPicPr>
                            <pic:blipFill>
                              <a:blip r:embed="rId23"/>
                              <a:stretch/>
                            </pic:blipFill>
                            <pic:spPr bwMode="auto">
                              <a:xfrm>
                                <a:off x="0" y="0"/>
                                <a:ext cx="939165" cy="796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1.1pt;mso-position-horizontal:absolute;mso-position-vertical-relative:text;margin-top:-4.5pt;mso-position-vertical:absolute;width:74.0pt;height:62.7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142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24秒计时器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一、主要功能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1、显示比赛时间，显示器可实现0～99分59秒任意预置倒计时，能任意暂停、复位，计时钟精确到0.1秒，时间终了时能发出长达3秒钟红色灯光信号及蜂鸣声音。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2、显示器进攻时间，可任意预制时间0～99秒，采用倒计时方式，能任意暂停、复位。计时完毕，也能发出灯光信号及蜂鸣声。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比赛时间启动可选择“时间/24秒同时启动”键比赛时间同步开始倒计时“时间启动运行（24秒不运行）”键比赛时间与进攻时间不同步，进攻时间可单独启动。进攻时间显示小于5秒时自动进位，进攻时间能精确0.1秒。比赛时间小于1分钟时能显示精度为1/10秒的比赛时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4、系统设有10分钟、5分钟、2分钟、1分钟计时快捷键，14秒进攻时间快捷键。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5、本计时，二十四秒显示器提供不小于2个串行口，使比赛时间和进攻时间能与计算机和电视转播同步。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二、技术指标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1、显示器外形尺寸不小于：60×50×6cm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2、发光管：贴片黄色、红色发光管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3、电压：220V~240V   50HZ～60HZ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4、功率：200W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5、此设备必须安全接地。</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142875</wp:posOffset>
                      </wp:positionV>
                      <wp:extent cx="833755" cy="649605"/>
                      <wp:effectExtent l="0" t="0" r="4445" b="17145"/>
                      <wp:wrapNone/>
                      <wp:docPr id="6" name="图片_6"/>
                      <wp:cNvGraphicFramePr/>
                      <a:graphic xmlns:a="http://schemas.openxmlformats.org/drawingml/2006/main">
                        <a:graphicData uri="http://schemas.openxmlformats.org/drawingml/2006/picture">
                          <pic:pic xmlns:pic="http://schemas.openxmlformats.org/drawingml/2006/picture">
                            <pic:nvPicPr>
                              <pic:cNvPr id="6" name="图片_6"/>
                              <pic:cNvPicPr/>
                              <pic:nvPr/>
                            </pic:nvPicPr>
                            <pic:blipFill>
                              <a:blip r:embed="rId24"/>
                              <a:stretch/>
                            </pic:blipFill>
                            <pic:spPr bwMode="auto">
                              <a:xfrm>
                                <a:off x="0" y="0"/>
                                <a:ext cx="833755" cy="649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1.5pt;mso-position-horizontal:absolute;mso-position-vertical-relative:text;margin-top:11.2pt;mso-position-vertical:absolute;width:65.6pt;height:51.1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铝合金电子记分牌</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1.尺寸不小于1800*900*90mm。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记分牌是根据篮球类比赛的特点精心设计，采用高亮度LED制作，寿命大于10万小时。具有亮度高、可视性好、功耗小、使用寿命长等优点，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2、主客两队比分从0—199可调显示。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3、具有：发球权显示；比赛节数最多9节；比赛时间可设0－99分钟倒计时终了音报警；0－99秒进攻倒计时终了音光报警；双方各暂停记录最多9次；场地交换功能；主客队犯规次数最多9次。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4、主队和客队每队可输入6个汉字或6个字母。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5、分计时：能实现0—99分和0—59秒任意调整，具有启动、暂停、复位功能。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秒计时：能实现0—99秒任意调整，具有复位、启动、暂停功能。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报 警：24秒违例自动声、光报警、中场自动声响。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具备新规则，按14秒键时间将调整为14秒。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6、掉电保护功能：若在比赛中途断电，本机可以自动保存断电前的时间，重新开机时显示。</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74295</wp:posOffset>
                      </wp:positionH>
                      <wp:positionV relativeFrom="paragraph">
                        <wp:posOffset>217170</wp:posOffset>
                      </wp:positionV>
                      <wp:extent cx="869950" cy="913130"/>
                      <wp:effectExtent l="0" t="0" r="6350" b="1270"/>
                      <wp:wrapNone/>
                      <wp:docPr id="7" name="图片_104"/>
                      <wp:cNvGraphicFramePr/>
                      <a:graphic xmlns:a="http://schemas.openxmlformats.org/drawingml/2006/main">
                        <a:graphicData uri="http://schemas.openxmlformats.org/drawingml/2006/picture">
                          <pic:pic xmlns:pic="http://schemas.openxmlformats.org/drawingml/2006/picture">
                            <pic:nvPicPr>
                              <pic:cNvPr id="7" name="图片_104"/>
                              <pic:cNvPicPr/>
                              <pic:nvPr/>
                            </pic:nvPicPr>
                            <pic:blipFill>
                              <a:blip r:embed="rId25"/>
                              <a:stretch/>
                            </pic:blipFill>
                            <pic:spPr bwMode="auto">
                              <a:xfrm>
                                <a:off x="0" y="0"/>
                                <a:ext cx="869950" cy="913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5.8pt;mso-position-horizontal:absolute;mso-position-vertical-relative:text;margin-top:17.1pt;mso-position-vertical:absolute;width:68.5pt;height:71.9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022"/>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篮球赛计分器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1.篮球赛记分器为立式记分器，主要由支架、记分方框和记分牌组成，外形尺寸：长×宽×高≥1380×540×1630（mm）。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2、记分器下支架主要由≥25×25mm的方管与≥φ32×2mm焊管拼焊而成，上支架主要由≥25×25mm的方管和≥40×25mm的方管拼焊而成，队名牌为白色雪覆板。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3、记分牌为手推式记分盒，采用PVC板制作。</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-31115</wp:posOffset>
                      </wp:positionV>
                      <wp:extent cx="790575" cy="925830"/>
                      <wp:effectExtent l="0" t="0" r="9525" b="7620"/>
                      <wp:wrapNone/>
                      <wp:docPr id="8" name="图片_11"/>
                      <wp:cNvGraphicFramePr/>
                      <a:graphic xmlns:a="http://schemas.openxmlformats.org/drawingml/2006/main">
                        <a:graphicData uri="http://schemas.openxmlformats.org/drawingml/2006/picture">
                          <pic:pic xmlns:pic="http://schemas.openxmlformats.org/drawingml/2006/picture">
                            <pic:nvPicPr>
                              <pic:cNvPr id="8" name="图片_11"/>
                              <pic:cNvPicPr/>
                              <pic:nvPr/>
                            </pic:nvPicPr>
                            <pic:blipFill>
                              <a:blip r:embed="rId26"/>
                              <a:stretch/>
                            </pic:blipFill>
                            <pic:spPr bwMode="auto">
                              <a:xfrm>
                                <a:off x="0" y="0"/>
                                <a:ext cx="790575" cy="925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1.5pt;mso-position-horizontal:absolute;mso-position-vertical-relative:text;margin-top:-2.4pt;mso-position-vertical:absolute;width:62.2pt;height:72.9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篮球战术演示板</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尺寸：≥1.2×0.9m，复合玻璃钢板四周铝合金包边，配备磁性珠。配备不少于5枚红色、5枚蓝色、2枚黑（黄）色棋子。</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95250</wp:posOffset>
                      </wp:positionH>
                      <wp:positionV relativeFrom="paragraph">
                        <wp:posOffset>-7620</wp:posOffset>
                      </wp:positionV>
                      <wp:extent cx="748030" cy="713105"/>
                      <wp:effectExtent l="0" t="0" r="13970" b="10795"/>
                      <wp:wrapNone/>
                      <wp:docPr id="9" name="图片_12"/>
                      <wp:cNvGraphicFramePr/>
                      <a:graphic xmlns:a="http://schemas.openxmlformats.org/drawingml/2006/main">
                        <a:graphicData uri="http://schemas.openxmlformats.org/drawingml/2006/picture">
                          <pic:pic xmlns:pic="http://schemas.openxmlformats.org/drawingml/2006/picture">
                            <pic:nvPicPr>
                              <pic:cNvPr id="9" name="图片_12"/>
                              <pic:cNvPicPr/>
                              <pic:nvPr/>
                            </pic:nvPicPr>
                            <pic:blipFill>
                              <a:blip r:embed="rId27"/>
                              <a:stretch/>
                            </pic:blipFill>
                            <pic:spPr bwMode="auto">
                              <a:xfrm>
                                <a:off x="0" y="0"/>
                                <a:ext cx="748030" cy="713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7.5pt;mso-position-horizontal:absolute;mso-position-vertical-relative:text;margin-top:-0.6pt;mso-position-vertical:absolute;width:58.9pt;height:56.1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4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折叠式球类推车</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1.推车外形基本尺寸：长×宽×高≥900×800×800（㎜）。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2、推车主要采用≥φ22x1.5mm圆管在专用弯管机上弯曲成型后拼焊而成，推车整体可折叠，存放时可减少空间。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3、推车支脚底部装有滚轮，移动方便。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93345</wp:posOffset>
                      </wp:positionH>
                      <wp:positionV relativeFrom="paragraph">
                        <wp:posOffset>25400</wp:posOffset>
                      </wp:positionV>
                      <wp:extent cx="744855" cy="666750"/>
                      <wp:effectExtent l="0" t="0" r="17145" b="0"/>
                      <wp:wrapNone/>
                      <wp:docPr id="10" name="图片_14"/>
                      <wp:cNvGraphicFramePr/>
                      <a:graphic xmlns:a="http://schemas.openxmlformats.org/drawingml/2006/main">
                        <a:graphicData uri="http://schemas.openxmlformats.org/drawingml/2006/picture">
                          <pic:pic xmlns:pic="http://schemas.openxmlformats.org/drawingml/2006/picture">
                            <pic:nvPicPr>
                              <pic:cNvPr id="10" name="图片_14"/>
                              <pic:cNvPicPr/>
                              <pic:nvPr/>
                            </pic:nvPicPr>
                            <pic:blipFill>
                              <a:blip r:embed="rId28"/>
                              <a:stretch/>
                            </pic:blipFill>
                            <pic:spPr bwMode="auto">
                              <a:xfrm>
                                <a:off x="0" y="0"/>
                                <a:ext cx="744855" cy="666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7.3pt;mso-position-horizontal:absolute;mso-position-vertical-relative:text;margin-top:2.0pt;mso-position-vertical:absolute;width:58.6pt;height:52.5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jc w:val="center"/>
          <w:trHeight w:val="47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2.乒乓球桌</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室内乒乓球桌</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numPr>
                <w:ilvl w:val="0"/>
                <w:numId w:val="1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基本尺寸：长×宽×高=274×152.5×76（厘米）。台面厚不小于1.8厘米，台面边沿四周画有白线，宽度2厘米，台面中间画有细白线，宽0.3厘米。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2、球台采用中密度板在层压专用机经加温加压制作，保持球台在不同地域、气候差异较大情况下性能稳定，不易变形。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3、球台表面以特殊配方的油漆喷涂，色彩柔和无反光。台面光泽度：≤4度，台面摩擦系数：≤0.6。</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球台为单折移动型，球台与台脚连接机构为冲压件，台脚可折叠，翻转灵活，台脚采用不小于□40×40mm焊管，折叠后设有限位锁紧机构，可加强球台的稳定性，台脚底部装有高度微调机构，台面通过台脚微调支点使其达到高度要求。球台支撑脚配以带刹车功能的走轮，移动灵活，制动可靠。</w:t>
            </w:r>
            <w:r/>
          </w:p>
          <w:p>
            <w:pPr>
              <w:pStyle w:val="799"/>
              <w:numPr>
                <w:ilvl w:val="0"/>
                <w:numId w:val="0"/>
              </w:numPr>
              <w:rPr>
                <w:rFonts w:hint="eastAsia"/>
                <w:color w:val="auto"/>
                <w:highlight w:val="none"/>
              </w:rPr>
            </w:pP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bCs/>
                <w:i w:val="0"/>
                <w:iCs w:val="0"/>
                <w:color w:val="auto"/>
                <w:sz w:val="24"/>
                <w:szCs w:val="24"/>
                <w:highlight w:val="none"/>
                <w:u w:val="none"/>
                <w:lang w:val="en-US" w:eastAsia="zh-CN" w:bidi="ar"/>
              </w:rPr>
              <w:t xml:space="preserve">乒乓球桌须提供符合GB/T 32597-2016或QB/T 2700-2005、具有CMA认证标志检测报告。</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6350</wp:posOffset>
                      </wp:positionH>
                      <wp:positionV relativeFrom="paragraph">
                        <wp:posOffset>243205</wp:posOffset>
                      </wp:positionV>
                      <wp:extent cx="851535" cy="626110"/>
                      <wp:effectExtent l="0" t="0" r="5715" b="2540"/>
                      <wp:wrapNone/>
                      <wp:docPr id="11" name="图片_53"/>
                      <wp:cNvGraphicFramePr/>
                      <a:graphic xmlns:a="http://schemas.openxmlformats.org/drawingml/2006/main">
                        <a:graphicData uri="http://schemas.openxmlformats.org/drawingml/2006/picture">
                          <pic:pic xmlns:pic="http://schemas.openxmlformats.org/drawingml/2006/picture">
                            <pic:nvPicPr>
                              <pic:cNvPr id="11" name="图片_53"/>
                              <pic:cNvPicPr/>
                              <pic:nvPr/>
                            </pic:nvPicPr>
                            <pic:blipFill>
                              <a:blip r:embed="rId29"/>
                              <a:stretch/>
                            </pic:blipFill>
                            <pic:spPr bwMode="auto">
                              <a:xfrm>
                                <a:off x="0" y="0"/>
                                <a:ext cx="851535" cy="62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0.5pt;mso-position-horizontal:absolute;mso-position-vertical-relative:text;margin-top:19.1pt;mso-position-vertical:absolute;width:67.0pt;height:49.3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jc w:val="center"/>
          <w:trHeight w:val="108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室外乒乓球桌</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台长：2740mm（1370mm*2）台宽：1525mm台高：760mm，台面弹性： 220-250MM，弹性均匀度：≤10MM台面光泽度：≤10度，台面摩擦系数：≤0.4， </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73660</wp:posOffset>
                      </wp:positionH>
                      <wp:positionV relativeFrom="paragraph">
                        <wp:posOffset>-52705</wp:posOffset>
                      </wp:positionV>
                      <wp:extent cx="800735" cy="431800"/>
                      <wp:effectExtent l="0" t="0" r="18415" b="6350"/>
                      <wp:wrapNone/>
                      <wp:docPr id="12" name="图片_66"/>
                      <wp:cNvGraphicFramePr/>
                      <a:graphic xmlns:a="http://schemas.openxmlformats.org/drawingml/2006/main">
                        <a:graphicData uri="http://schemas.openxmlformats.org/drawingml/2006/picture">
                          <pic:pic xmlns:pic="http://schemas.openxmlformats.org/drawingml/2006/picture">
                            <pic:nvPicPr>
                              <pic:cNvPr id="12" name="图片_66"/>
                              <pic:cNvPicPr/>
                              <pic:nvPr/>
                            </pic:nvPicPr>
                            <pic:blipFill>
                              <a:blip r:embed="rId30"/>
                              <a:stretch/>
                            </pic:blipFill>
                            <pic:spPr bwMode="auto">
                              <a:xfrm>
                                <a:off x="0" y="0"/>
                                <a:ext cx="800735"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5.8pt;mso-position-horizontal:absolute;mso-position-vertical-relative:text;margin-top:-4.1pt;mso-position-vertical:absolute;width:63.0pt;height:34.0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318"/>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4.室外篮排足球场</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固定式单臂篮球架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numPr>
                <w:ilvl w:val="0"/>
                <w:numId w:val="11"/>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产品技术规格、产品用材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篮球架伸臂长不小于1.8m，篮圈上沿离地面3.05m，球架立柱采用≥180×180×4mm大圆角方管制作，圆角不小于R40mm，既美观又安全性能好；篮架伸臂采用不小于δ3mm铁板一次冲压成型后在专用折边机上折边，伸臂上拉杆固定孔均采用冲压成型后焊接内置螺母，篮架立柱法兰、采用钢材制作，且立柱底部配备防护装饰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3、篮板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规格：1800×1050（㎜），篮板配用不小于12mm厚高强度安全玻璃篮板，在篮板下沿及侧面覆盖有保护条，能保护运动员扣篮时不受伤害。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4、篮圈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篮圈采用≥φ17mm实心圆钢制作，圈下焊有冲压成型的圆弧形网钩，均匀分布留适当间隙，配篮网。</w:t>
            </w:r>
            <w:r/>
          </w:p>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5.产品的结构原理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篮架与预埋件通过法兰连接，规格不小于：350×350mm，四周呈大圆角，法兰上设计有不小于4个孔，增强篮架整体的安全性。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预埋件总长不低于550mm，共由不少于4根搓M18螺纹的圆钢和若干块铁板拼装组成，圆钢中间冲扁，可增强预埋强度。</w:t>
            </w:r>
            <w:r/>
          </w:p>
          <w:p>
            <w:pPr>
              <w:pStyle w:val="802"/>
              <w:numPr>
                <w:ilvl w:val="0"/>
                <w:numId w:val="0"/>
              </w:numPr>
              <w:spacing w:line="240" w:lineRule="auto"/>
              <w:rPr>
                <w:rFonts w:hint="eastAsia"/>
                <w:color w:val="auto"/>
                <w:highlight w:val="none"/>
              </w:rPr>
            </w:pPr>
            <w:r>
              <w:rPr>
                <w:rFonts w:hint="eastAsia" w:ascii="宋体" w:hAnsi="宋体" w:eastAsia="宋体" w:cs="宋体"/>
                <w:b/>
                <w:bCs/>
                <w:i w:val="0"/>
                <w:iCs w:val="0"/>
                <w:color w:val="auto"/>
                <w:sz w:val="24"/>
                <w:szCs w:val="24"/>
                <w:highlight w:val="none"/>
                <w:u w:val="none"/>
                <w:lang w:val="en-US" w:eastAsia="zh-CN" w:bidi="ar"/>
              </w:rPr>
              <w:t xml:space="preserve">▲篮球架须提供符合GB/T23176-2008、具有CMA认证标志检测报告。</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-97790</wp:posOffset>
                      </wp:positionV>
                      <wp:extent cx="878205" cy="1409700"/>
                      <wp:effectExtent l="0" t="0" r="17145" b="0"/>
                      <wp:wrapNone/>
                      <wp:docPr id="13" name="图片_29"/>
                      <wp:cNvGraphicFramePr/>
                      <a:graphic xmlns:a="http://schemas.openxmlformats.org/drawingml/2006/main">
                        <a:graphicData uri="http://schemas.openxmlformats.org/drawingml/2006/picture">
                          <pic:pic xmlns:pic="http://schemas.openxmlformats.org/drawingml/2006/picture">
                            <pic:nvPicPr>
                              <pic:cNvPr id="13" name="图片_29"/>
                              <pic:cNvPicPr/>
                              <pic:nvPr/>
                            </pic:nvPicPr>
                            <pic:blipFill>
                              <a:blip r:embed="rId31"/>
                              <a:stretch/>
                            </pic:blipFill>
                            <pic:spPr bwMode="auto">
                              <a:xfrm>
                                <a:off x="0" y="0"/>
                                <a:ext cx="878205" cy="140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0.0pt;mso-position-horizontal:absolute;mso-position-vertical-relative:text;margin-top:-7.7pt;mso-position-vertical:absolute;width:69.1pt;height:111.0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124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固定篮球架保护套</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保护套采用一体环保发泡，安装与篮球架立柱尺寸吻合，包裹严实，能有效地保护运动员免受撞击，保证使用时的安全性及美观性。</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342900</wp:posOffset>
                      </wp:positionH>
                      <wp:positionV relativeFrom="paragraph">
                        <wp:posOffset>75565</wp:posOffset>
                      </wp:positionV>
                      <wp:extent cx="240030" cy="702310"/>
                      <wp:effectExtent l="0" t="0" r="7620" b="2540"/>
                      <wp:wrapNone/>
                      <wp:docPr id="14" name="图片_30"/>
                      <wp:cNvGraphicFramePr/>
                      <a:graphic xmlns:a="http://schemas.openxmlformats.org/drawingml/2006/main">
                        <a:graphicData uri="http://schemas.openxmlformats.org/drawingml/2006/picture">
                          <pic:pic xmlns:pic="http://schemas.openxmlformats.org/drawingml/2006/picture">
                            <pic:nvPicPr>
                              <pic:cNvPr id="14" name="图片_30"/>
                              <pic:cNvPicPr/>
                              <pic:nvPr/>
                            </pic:nvPicPr>
                            <pic:blipFill>
                              <a:blip r:embed="rId32"/>
                              <a:stretch/>
                            </pic:blipFill>
                            <pic:spPr bwMode="auto">
                              <a:xfrm>
                                <a:off x="0" y="0"/>
                                <a:ext cx="240030" cy="702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1312;o:allowoverlap:true;o:allowincell:true;mso-position-horizontal-relative:text;margin-left:27.0pt;mso-position-horizontal:absolute;mso-position-vertical-relative:text;margin-top:5.9pt;mso-position-vertical:absolute;width:18.9pt;height:55.3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138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插地式排球柱（含网）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1.排球柱由内外立柱，高度调节装置和紧线机构组成。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2、排球柱外立柱选用不小于φ89×3.75mm的焊管，内立柱选用不小于φ70mm异型管材制作，通过高度调节装置，使内立柱上下移动，实现网高调节高度。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3、二外立柱中，一立柱上置有网钩，另一立柱上置有棘爪紧线锁紧机构，通过调节锁紧手柄，调节钢丝绳的松紧，实现网的高度要求。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4、排球柱外立柱底部设有缓冲垫，与预埋件相配时起缓冲作用，能有效延长预埋件及立柱的使用寿命，立柱上部设有封套，能防止高度调节时内立柱外管与外立柱内管摩擦而引起漆膜脱落，从而影响整体美观。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排球柱配备有专用的预埋件，采用不小于φ108×2.75mm圆管制作，预埋件底部托底和顶部盖帽均采用ABS成形，使用时把立柱插入预埋孔即可，不用时，取出排球柱立柱，盖上预埋盖即可，使用方便。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354330</wp:posOffset>
                      </wp:positionH>
                      <wp:positionV relativeFrom="paragraph">
                        <wp:posOffset>-33655</wp:posOffset>
                      </wp:positionV>
                      <wp:extent cx="351790" cy="1358265"/>
                      <wp:effectExtent l="0" t="0" r="10160" b="13335"/>
                      <wp:wrapNone/>
                      <wp:docPr id="15" name="图片_31"/>
                      <wp:cNvGraphicFramePr/>
                      <a:graphic xmlns:a="http://schemas.openxmlformats.org/drawingml/2006/main">
                        <a:graphicData uri="http://schemas.openxmlformats.org/drawingml/2006/picture">
                          <pic:pic xmlns:pic="http://schemas.openxmlformats.org/drawingml/2006/picture">
                            <pic:nvPicPr>
                              <pic:cNvPr id="15" name="图片_31"/>
                              <pic:cNvPicPr/>
                              <pic:nvPr/>
                            </pic:nvPicPr>
                            <pic:blipFill>
                              <a:blip r:embed="rId33"/>
                              <a:stretch/>
                            </pic:blipFill>
                            <pic:spPr bwMode="auto">
                              <a:xfrm>
                                <a:off x="0" y="0"/>
                                <a:ext cx="351790" cy="1358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1312;o:allowoverlap:true;o:allowincell:true;mso-position-horizontal-relative:text;margin-left:27.9pt;mso-position-horizontal:absolute;mso-position-vertical-relative:text;margin-top:-2.6pt;mso-position-vertical:absolute;width:27.7pt;height:106.9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65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网球柱</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1.直插式网球柱由立柱、预埋件和锁紧装置组成。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2、二立柱选用特制不小于90×90mm铝合金型材制作，一根立柱上置有一系绳钩，另一立柱内置有蜗轮蜗杆紧线机构装置，机构均采用铜质件组成，永不生锈，通过手柄转动，可达到网的高度要求：1070㎜。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3、网球柱配有专用预埋件，预埋件采用不小于95.5×95.5mm铝合金型材制作，使用时，将立柱插入预埋件即可使用。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4、立柱表面经喷塑处理。</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30480</wp:posOffset>
                      </wp:positionH>
                      <wp:positionV relativeFrom="paragraph">
                        <wp:posOffset>38735</wp:posOffset>
                      </wp:positionV>
                      <wp:extent cx="763905" cy="1290320"/>
                      <wp:effectExtent l="0" t="0" r="17145" b="5080"/>
                      <wp:wrapNone/>
                      <wp:docPr id="16" name="图片_7"/>
                      <wp:cNvGraphicFramePr/>
                      <a:graphic xmlns:a="http://schemas.openxmlformats.org/drawingml/2006/main">
                        <a:graphicData uri="http://schemas.openxmlformats.org/drawingml/2006/picture">
                          <pic:pic xmlns:pic="http://schemas.openxmlformats.org/drawingml/2006/picture">
                            <pic:nvPicPr>
                              <pic:cNvPr id="16" name="图片_7"/>
                              <pic:cNvPicPr/>
                              <pic:nvPr/>
                            </pic:nvPicPr>
                            <pic:blipFill>
                              <a:blip r:embed="rId34"/>
                              <a:stretch/>
                            </pic:blipFill>
                            <pic:spPr bwMode="auto">
                              <a:xfrm>
                                <a:off x="0" y="0"/>
                                <a:ext cx="763905" cy="12903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1312;o:allowoverlap:true;o:allowincell:true;mso-position-horizontal-relative:text;margin-left:2.4pt;mso-position-horizontal:absolute;mso-position-vertical-relative:text;margin-top:3.0pt;mso-position-vertical:absolute;width:60.1pt;height:101.6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6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11人制足球门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1.球门内净基本尺寸：长×高×深=7320×2440×2650（㎜）。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2、足球门由立杆、横梁、两侧撑杆、两侧横杆和后侧横杆组成。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3、球门立杆和横梁均采用≥φ120mm钢管材制成，上设网钩，置网方便，球网系线柱两侧撑杆采用≥48×2.75㎜的钢管制成，两侧横杆和后侧横杆均采用≥100×40×3㎜方管制作。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4、横梁和立杆上没有可能危害运动员安全的连接物件露在外面。球门组装完成后，立杆与地面垂直，横梁与立杆的夹角为90°，连接件周边处理圆滑，无棱角。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5.球门两侧撑杆采用钢丝绳连接紧固，既可增强球门整体稳定性，又可起到撑网的作用。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6.球门整体可装拆，便于运输和安装。</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91440</wp:posOffset>
                      </wp:positionH>
                      <wp:positionV relativeFrom="paragraph">
                        <wp:posOffset>158115</wp:posOffset>
                      </wp:positionV>
                      <wp:extent cx="768985" cy="628650"/>
                      <wp:effectExtent l="0" t="0" r="12065" b="0"/>
                      <wp:wrapNone/>
                      <wp:docPr id="17" name="图片_249"/>
                      <wp:cNvGraphicFramePr/>
                      <a:graphic xmlns:a="http://schemas.openxmlformats.org/drawingml/2006/main">
                        <a:graphicData uri="http://schemas.openxmlformats.org/drawingml/2006/picture">
                          <pic:pic xmlns:pic="http://schemas.openxmlformats.org/drawingml/2006/picture">
                            <pic:nvPicPr>
                              <pic:cNvPr id="17" name="图片_249"/>
                              <pic:cNvPicPr/>
                              <pic:nvPr/>
                            </pic:nvPicPr>
                            <pic:blipFill>
                              <a:blip r:embed="rId35"/>
                              <a:stretch/>
                            </pic:blipFill>
                            <pic:spPr bwMode="auto">
                              <a:xfrm>
                                <a:off x="0" y="0"/>
                                <a:ext cx="768985"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1312;o:allowoverlap:true;o:allowincell:true;mso-position-horizontal-relative:text;margin-left:7.2pt;mso-position-horizontal:absolute;mso-position-vertical-relative:text;margin-top:12.4pt;mso-position-vertical:absolute;width:60.5pt;height:49.5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76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7人制足球门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1.球门内净基本尺寸：长×高=5000×2000（㎜）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2、足球门由立杆、横梁、两侧撑杆、两侧横杆和后侧横杆组成。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3、球门立杆和横梁均采用不小于φ89㎜钢管制成，上设网钩，置网方便，球网系线柱两侧撑杆采用不小于φ48×2.75㎜的钢管制成，两侧横杆和后侧横杆均采用不小于100×40×3㎜方管制作。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4、横梁和立杆上没有可能危害运动员安全的连接物件露在外面。球门组装完成后，立杆与地面垂直，横梁与立杆的夹角为90°，连接件周边处理圆滑，无棱角。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5、球门两侧撑杆采用钢丝绳连接紧固，既可增强球门整体稳定性，又可起到撑网的作用。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62230</wp:posOffset>
                      </wp:positionH>
                      <wp:positionV relativeFrom="paragraph">
                        <wp:posOffset>113665</wp:posOffset>
                      </wp:positionV>
                      <wp:extent cx="845185" cy="574040"/>
                      <wp:effectExtent l="0" t="0" r="12065" b="16510"/>
                      <wp:wrapNone/>
                      <wp:docPr id="18" name="图片_33"/>
                      <wp:cNvGraphicFramePr/>
                      <a:graphic xmlns:a="http://schemas.openxmlformats.org/drawingml/2006/main">
                        <a:graphicData uri="http://schemas.openxmlformats.org/drawingml/2006/picture">
                          <pic:pic xmlns:pic="http://schemas.openxmlformats.org/drawingml/2006/picture">
                            <pic:nvPicPr>
                              <pic:cNvPr id="18" name="图片_33"/>
                              <pic:cNvPicPr/>
                              <pic:nvPr/>
                            </pic:nvPicPr>
                            <pic:blipFill>
                              <a:blip r:embed="rId36"/>
                              <a:stretch/>
                            </pic:blipFill>
                            <pic:spPr bwMode="auto">
                              <a:xfrm>
                                <a:off x="0" y="0"/>
                                <a:ext cx="845185" cy="574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1312;o:allowoverlap:true;o:allowincell:true;mso-position-horizontal-relative:text;margin-left:4.9pt;mso-position-horizontal:absolute;mso-position-vertical-relative:text;margin-top:8.9pt;mso-position-vertical:absolute;width:66.5pt;height:45.2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21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足球战术演示板</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尺寸≥1.2×0.9m，复合玻璃钢板四周铝合金包边，配备磁性珠，不少于11枚红色、11枚蓝色、3枚黑（黄）色棋子。</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180975</wp:posOffset>
                      </wp:positionH>
                      <wp:positionV relativeFrom="paragraph">
                        <wp:posOffset>31115</wp:posOffset>
                      </wp:positionV>
                      <wp:extent cx="631190" cy="732155"/>
                      <wp:effectExtent l="0" t="0" r="16510" b="10795"/>
                      <wp:wrapNone/>
                      <wp:docPr id="19" name="图片_35"/>
                      <wp:cNvGraphicFramePr/>
                      <a:graphic xmlns:a="http://schemas.openxmlformats.org/drawingml/2006/main">
                        <a:graphicData uri="http://schemas.openxmlformats.org/drawingml/2006/picture">
                          <pic:pic xmlns:pic="http://schemas.openxmlformats.org/drawingml/2006/picture">
                            <pic:nvPicPr>
                              <pic:cNvPr id="19" name="图片_35"/>
                              <pic:cNvPicPr/>
                              <pic:nvPr/>
                            </pic:nvPicPr>
                            <pic:blipFill>
                              <a:blip r:embed="rId37"/>
                              <a:stretch/>
                            </pic:blipFill>
                            <pic:spPr bwMode="auto">
                              <a:xfrm>
                                <a:off x="0" y="0"/>
                                <a:ext cx="631190" cy="732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1312;o:allowoverlap:true;o:allowincell:true;mso-position-horizontal-relative:text;margin-left:14.2pt;mso-position-horizontal:absolute;mso-position-vertical-relative:text;margin-top:2.4pt;mso-position-vertical:absolute;width:49.7pt;height:57.6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5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足球篮球多边形六边形训练环体能圈</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采用环保ABS工程塑料，韧性好，不易变形，耐磨耐用。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40005</wp:posOffset>
                      </wp:positionH>
                      <wp:positionV relativeFrom="paragraph">
                        <wp:posOffset>259080</wp:posOffset>
                      </wp:positionV>
                      <wp:extent cx="858520" cy="494030"/>
                      <wp:effectExtent l="0" t="0" r="17780" b="1270"/>
                      <wp:wrapNone/>
                      <wp:docPr id="20" name="图片_24"/>
                      <wp:cNvGraphicFramePr/>
                      <a:graphic xmlns:a="http://schemas.openxmlformats.org/drawingml/2006/main">
                        <a:graphicData uri="http://schemas.openxmlformats.org/drawingml/2006/picture">
                          <pic:pic xmlns:pic="http://schemas.openxmlformats.org/drawingml/2006/picture">
                            <pic:nvPicPr>
                              <pic:cNvPr id="20" name="图片_24"/>
                              <pic:cNvPicPr/>
                              <pic:nvPr/>
                            </pic:nvPicPr>
                            <pic:blipFill>
                              <a:blip r:embed="rId38"/>
                              <a:stretch/>
                            </pic:blipFill>
                            <pic:spPr bwMode="auto">
                              <a:xfrm>
                                <a:off x="0" y="0"/>
                                <a:ext cx="858520" cy="494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1312;o:allowoverlap:true;o:allowincell:true;mso-position-horizontal-relative:text;margin-left:3.1pt;mso-position-horizontal:absolute;mso-position-vertical-relative:text;margin-top:20.4pt;mso-position-vertical:absolute;width:67.6pt;height:38.9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22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专业半圆平衡bosu球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尺寸：①底座圆形尺寸直径：≥63.2CM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②边框高度：≥3.5CM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其他：①单纯球皮克重：约3500g，球的总重量约为7050g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②产品承重：≥300KG（防爆）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③球皮充气建议高度20cm—22cm  采用纯进口环保材料，球皮柔软性更好，底部配有防滑橡胶贴皮，稳定性更强。</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25400</wp:posOffset>
                      </wp:positionH>
                      <wp:positionV relativeFrom="paragraph">
                        <wp:posOffset>219710</wp:posOffset>
                      </wp:positionV>
                      <wp:extent cx="844550" cy="690245"/>
                      <wp:effectExtent l="0" t="0" r="12700" b="14604"/>
                      <wp:wrapNone/>
                      <wp:docPr id="21" name="图片_30_SpCnt_1"/>
                      <wp:cNvGraphicFramePr/>
                      <a:graphic xmlns:a="http://schemas.openxmlformats.org/drawingml/2006/main">
                        <a:graphicData uri="http://schemas.openxmlformats.org/drawingml/2006/picture">
                          <pic:pic xmlns:pic="http://schemas.openxmlformats.org/drawingml/2006/picture">
                            <pic:nvPicPr>
                              <pic:cNvPr id="21" name="图片_30_SpCnt_1"/>
                              <pic:cNvPicPr/>
                              <pic:nvPr/>
                            </pic:nvPicPr>
                            <pic:blipFill>
                              <a:blip r:embed="rId39"/>
                              <a:stretch/>
                            </pic:blipFill>
                            <pic:spPr bwMode="auto">
                              <a:xfrm>
                                <a:off x="0" y="0"/>
                                <a:ext cx="844550" cy="690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1312;o:allowoverlap:true;o:allowincell:true;mso-position-horizontal-relative:text;margin-left:2.0pt;mso-position-horizontal:absolute;mso-position-vertical-relative:text;margin-top:17.3pt;mso-position-vertical:absolute;width:66.5pt;height:54.3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20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绳梯</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spacing w:line="240" w:lineRule="auto"/>
              <w:rPr>
                <w:rFonts w:hint="eastAsia" w:ascii="宋体" w:hAnsi="宋体" w:eastAsia="宋体" w:cs="宋体"/>
                <w:i w:val="0"/>
                <w:iCs w:val="0"/>
                <w:color w:val="auto"/>
                <w:szCs w:val="24"/>
                <w:highlight w:val="none"/>
                <w:u w:val="none"/>
              </w:rPr>
            </w:pPr>
            <w:r>
              <w:rPr>
                <w:rFonts w:hint="eastAsia" w:ascii="宋体" w:hAnsi="宋体" w:eastAsia="宋体" w:cs="宋体"/>
                <w:color w:val="auto"/>
                <w:sz w:val="24"/>
                <w:szCs w:val="24"/>
                <w:highlight w:val="none"/>
                <w:lang w:val="en-US" w:eastAsia="zh-CN"/>
              </w:rPr>
              <w:t xml:space="preserve">材质：1.塑料件：PP  2.织带：丙纶  3.网布袋：涤纶 </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颜色：1.扁条：381C  2.织带：黑色  3.网布袋：黑色 </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产品说明：料都为全新料，经久耐用</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1、产品结构：扁条与空心织带铆钉固定，空心织带内串PP圆形塑料条，两端四个接口为可对接式结构</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2、空心织带内串有圆形塑料条，展开和收纳都比较方便，不易打结</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3、产品两端为拼接式结构，根据使用需求，可拼接延长</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4、塑料都为全新料，经久耐用</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5、产品入网布袋，布袋平铺后尺寸≥59*22CM</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6、整个产品入内盒，建议尺寸：≥54×10×10CM</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7、长度5米，十节</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27305</wp:posOffset>
                      </wp:positionH>
                      <wp:positionV relativeFrom="paragraph">
                        <wp:posOffset>104775</wp:posOffset>
                      </wp:positionV>
                      <wp:extent cx="895985" cy="837565"/>
                      <wp:effectExtent l="0" t="0" r="18415" b="635"/>
                      <wp:wrapNone/>
                      <wp:docPr id="22" name="图片_31_SpCnt_1"/>
                      <wp:cNvGraphicFramePr/>
                      <a:graphic xmlns:a="http://schemas.openxmlformats.org/drawingml/2006/main">
                        <a:graphicData uri="http://schemas.openxmlformats.org/drawingml/2006/picture">
                          <pic:pic xmlns:pic="http://schemas.openxmlformats.org/drawingml/2006/picture">
                            <pic:nvPicPr>
                              <pic:cNvPr id="22" name="图片_31_SpCnt_1"/>
                              <pic:cNvPicPr/>
                              <pic:nvPr/>
                            </pic:nvPicPr>
                            <pic:blipFill>
                              <a:blip r:embed="rId40"/>
                              <a:stretch/>
                            </pic:blipFill>
                            <pic:spPr bwMode="auto">
                              <a:xfrm>
                                <a:off x="0" y="0"/>
                                <a:ext cx="895985" cy="837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1312;o:allowoverlap:true;o:allowincell:true;mso-position-horizontal-relative:text;margin-left:2.1pt;mso-position-horizontal:absolute;mso-position-vertical-relative:text;margin-top:8.2pt;mso-position-vertical:absolute;width:70.5pt;height:66.0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98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敏捷圈</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材质工程塑料直径不小于60CM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能够提高脚步移动的速度，身体的灵活性，平衡性，以及协调性</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8255</wp:posOffset>
                      </wp:positionH>
                      <wp:positionV relativeFrom="paragraph">
                        <wp:posOffset>2540</wp:posOffset>
                      </wp:positionV>
                      <wp:extent cx="876935" cy="590550"/>
                      <wp:effectExtent l="0" t="0" r="18415" b="0"/>
                      <wp:wrapNone/>
                      <wp:docPr id="23" name="图片_32_SpCnt_1"/>
                      <wp:cNvGraphicFramePr/>
                      <a:graphic xmlns:a="http://schemas.openxmlformats.org/drawingml/2006/main">
                        <a:graphicData uri="http://schemas.openxmlformats.org/drawingml/2006/picture">
                          <pic:pic xmlns:pic="http://schemas.openxmlformats.org/drawingml/2006/picture">
                            <pic:nvPicPr>
                              <pic:cNvPr id="23" name="图片_32_SpCnt_1"/>
                              <pic:cNvPicPr/>
                              <pic:nvPr/>
                            </pic:nvPicPr>
                            <pic:blipFill>
                              <a:blip r:embed="rId41"/>
                              <a:stretch/>
                            </pic:blipFill>
                            <pic:spPr bwMode="auto">
                              <a:xfrm>
                                <a:off x="0" y="0"/>
                                <a:ext cx="876935" cy="5905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1312;o:allowoverlap:true;o:allowincell:true;mso-position-horizontal-relative:text;margin-left:0.7pt;mso-position-horizontal:absolute;mso-position-vertical-relative:text;margin-top:0.2pt;mso-position-vertical:absolute;width:69.0pt;height:46.5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1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足球跨栏</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一体式轻盈工程塑料制成，高度不少于40CM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，不易碎裂，它能够很好地提高人的灵敏性，遇到障碍物的反应能力和提高弹跳能力，以及一些运动中对步伐的要求。</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104140</wp:posOffset>
                      </wp:positionH>
                      <wp:positionV relativeFrom="paragraph">
                        <wp:posOffset>38735</wp:posOffset>
                      </wp:positionV>
                      <wp:extent cx="673735" cy="696595"/>
                      <wp:effectExtent l="0" t="0" r="12065" b="8255"/>
                      <wp:wrapNone/>
                      <wp:docPr id="24" name="图片_33_SpCnt_1"/>
                      <wp:cNvGraphicFramePr/>
                      <a:graphic xmlns:a="http://schemas.openxmlformats.org/drawingml/2006/main">
                        <a:graphicData uri="http://schemas.openxmlformats.org/drawingml/2006/picture">
                          <pic:pic xmlns:pic="http://schemas.openxmlformats.org/drawingml/2006/picture">
                            <pic:nvPicPr>
                              <pic:cNvPr id="24" name="图片_33_SpCnt_1"/>
                              <pic:cNvPicPr/>
                              <pic:nvPr/>
                            </pic:nvPicPr>
                            <pic:blipFill>
                              <a:blip r:embed="rId42"/>
                              <a:stretch/>
                            </pic:blipFill>
                            <pic:spPr bwMode="auto">
                              <a:xfrm>
                                <a:off x="0" y="0"/>
                                <a:ext cx="673735" cy="696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1312;o:allowoverlap:true;o:allowincell:true;mso-position-horizontal-relative:text;margin-left:8.2pt;mso-position-horizontal:absolute;mso-position-vertical-relative:text;margin-top:3.0pt;mso-position-vertical:absolute;width:53.0pt;height:54.8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01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简易小球门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尺寸≥：120*85*85CM，牛津布，扁钢丝，不易损坏。</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153035</wp:posOffset>
                      </wp:positionH>
                      <wp:positionV relativeFrom="paragraph">
                        <wp:posOffset>24765</wp:posOffset>
                      </wp:positionV>
                      <wp:extent cx="643255" cy="580390"/>
                      <wp:effectExtent l="0" t="0" r="4445" b="10160"/>
                      <wp:wrapNone/>
                      <wp:docPr id="25" name="图片_34"/>
                      <wp:cNvGraphicFramePr/>
                      <a:graphic xmlns:a="http://schemas.openxmlformats.org/drawingml/2006/main">
                        <a:graphicData uri="http://schemas.openxmlformats.org/drawingml/2006/picture">
                          <pic:pic xmlns:pic="http://schemas.openxmlformats.org/drawingml/2006/picture">
                            <pic:nvPicPr>
                              <pic:cNvPr id="25" name="图片_34"/>
                              <pic:cNvPicPr/>
                              <pic:nvPr/>
                            </pic:nvPicPr>
                            <pic:blipFill>
                              <a:blip r:embed="rId43"/>
                              <a:stretch/>
                            </pic:blipFill>
                            <pic:spPr bwMode="auto">
                              <a:xfrm>
                                <a:off x="0" y="0"/>
                                <a:ext cx="643255" cy="580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1312;o:allowoverlap:true;o:allowincell:true;mso-position-horizontal-relative:text;margin-left:12.0pt;mso-position-horizontal:absolute;mso-position-vertical-relative:text;margin-top:1.9pt;mso-position-vertical:absolute;width:50.6pt;height:45.7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702"/>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移动式冰桶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254"/>
                <w:rFonts w:hint="eastAsia" w:ascii="宋体" w:hAnsi="宋体" w:eastAsia="宋体" w:cs="宋体"/>
                <w:color w:val="auto"/>
                <w:sz w:val="24"/>
                <w:szCs w:val="24"/>
                <w:highlight w:val="none"/>
                <w:lang w:val="en-US" w:eastAsia="zh-CN" w:bidi="ar"/>
              </w:rPr>
              <w:t xml:space="preserve">外观尺寸：不小于</w:t>
            </w:r>
            <w:r>
              <w:rPr>
                <w:rFonts w:hint="eastAsia" w:ascii="宋体" w:hAnsi="宋体" w:eastAsia="宋体" w:cs="宋体"/>
                <w:i w:val="0"/>
                <w:iCs w:val="0"/>
                <w:color w:val="auto"/>
                <w:sz w:val="24"/>
                <w:szCs w:val="24"/>
                <w:highlight w:val="none"/>
                <w:u w:val="none"/>
                <w:lang w:val="en-US" w:eastAsia="zh-CN" w:bidi="ar"/>
              </w:rPr>
              <w:t xml:space="preserve">75.5*46.5*44.5CM, </w:t>
            </w:r>
            <w:r>
              <w:rPr>
                <w:rStyle w:val="1254"/>
                <w:rFonts w:hint="eastAsia" w:ascii="宋体" w:hAnsi="宋体" w:eastAsia="宋体" w:cs="宋体"/>
                <w:color w:val="auto"/>
                <w:sz w:val="24"/>
                <w:szCs w:val="24"/>
                <w:highlight w:val="none"/>
                <w:lang w:val="en-US" w:eastAsia="zh-CN" w:bidi="ar"/>
              </w:rPr>
              <w:t xml:space="preserve">内部尺寸：口部不小于</w:t>
            </w:r>
            <w:r>
              <w:rPr>
                <w:rFonts w:hint="eastAsia" w:ascii="宋体" w:hAnsi="宋体" w:eastAsia="宋体" w:cs="宋体"/>
                <w:i w:val="0"/>
                <w:iCs w:val="0"/>
                <w:color w:val="auto"/>
                <w:sz w:val="24"/>
                <w:szCs w:val="24"/>
                <w:highlight w:val="none"/>
                <w:u w:val="none"/>
                <w:lang w:val="en-US" w:eastAsia="zh-CN" w:bidi="ar"/>
              </w:rPr>
              <w:t xml:space="preserve">65*39.5*37CM</w:t>
            </w:r>
            <w:r>
              <w:rPr>
                <w:rStyle w:val="1254"/>
                <w:rFonts w:hint="eastAsia" w:ascii="宋体" w:hAnsi="宋体" w:eastAsia="宋体" w:cs="宋体"/>
                <w:color w:val="auto"/>
                <w:sz w:val="24"/>
                <w:szCs w:val="24"/>
                <w:highlight w:val="none"/>
                <w:lang w:val="en-US" w:eastAsia="zh-CN" w:bidi="ar"/>
              </w:rPr>
              <w:t xml:space="preserve">，底部不小于</w:t>
            </w:r>
            <w:r>
              <w:rPr>
                <w:rFonts w:hint="eastAsia" w:ascii="宋体" w:hAnsi="宋体" w:eastAsia="宋体" w:cs="宋体"/>
                <w:i w:val="0"/>
                <w:iCs w:val="0"/>
                <w:color w:val="auto"/>
                <w:sz w:val="24"/>
                <w:szCs w:val="24"/>
                <w:highlight w:val="none"/>
                <w:u w:val="none"/>
                <w:lang w:val="en-US" w:eastAsia="zh-CN" w:bidi="ar"/>
              </w:rPr>
              <w:t xml:space="preserve">59*35.5*37CM</w:t>
            </w:r>
            <w:r>
              <w:rPr>
                <w:rStyle w:val="1254"/>
                <w:rFonts w:hint="eastAsia" w:ascii="宋体" w:hAnsi="宋体" w:eastAsia="宋体" w:cs="宋体"/>
                <w:color w:val="auto"/>
                <w:sz w:val="24"/>
                <w:szCs w:val="24"/>
                <w:highlight w:val="none"/>
                <w:lang w:val="en-US" w:eastAsia="zh-CN" w:bidi="ar"/>
              </w:rPr>
              <w:t xml:space="preserve">，底座不小于</w:t>
            </w:r>
            <w:r>
              <w:rPr>
                <w:rFonts w:hint="eastAsia" w:ascii="宋体" w:hAnsi="宋体" w:eastAsia="宋体" w:cs="宋体"/>
                <w:i w:val="0"/>
                <w:iCs w:val="0"/>
                <w:color w:val="auto"/>
                <w:sz w:val="24"/>
                <w:szCs w:val="24"/>
                <w:highlight w:val="none"/>
                <w:u w:val="none"/>
                <w:lang w:val="en-US" w:eastAsia="zh-CN" w:bidi="ar"/>
              </w:rPr>
              <w:t xml:space="preserve">35.5*44.5CM</w:t>
            </w:r>
            <w:r>
              <w:rPr>
                <w:rStyle w:val="1254"/>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Style w:val="1254"/>
                <w:rFonts w:hint="eastAsia" w:ascii="宋体" w:hAnsi="宋体" w:eastAsia="宋体" w:cs="宋体"/>
                <w:color w:val="auto"/>
                <w:sz w:val="24"/>
                <w:szCs w:val="24"/>
                <w:highlight w:val="none"/>
                <w:lang w:val="en-US" w:eastAsia="zh-CN" w:bidi="ar"/>
              </w:rPr>
              <w:t xml:space="preserve">内壳材质：</w:t>
            </w:r>
            <w:r>
              <w:rPr>
                <w:rFonts w:hint="eastAsia" w:ascii="宋体" w:hAnsi="宋体" w:eastAsia="宋体" w:cs="宋体"/>
                <w:i w:val="0"/>
                <w:iCs w:val="0"/>
                <w:color w:val="auto"/>
                <w:sz w:val="24"/>
                <w:szCs w:val="24"/>
                <w:highlight w:val="none"/>
                <w:u w:val="none"/>
                <w:lang w:val="en-US" w:eastAsia="zh-CN" w:bidi="ar"/>
              </w:rPr>
              <w:t xml:space="preserve">PS</w:t>
            </w:r>
            <w:r>
              <w:rPr>
                <w:rStyle w:val="1254"/>
                <w:rFonts w:hint="eastAsia" w:ascii="宋体" w:hAnsi="宋体" w:eastAsia="宋体" w:cs="宋体"/>
                <w:color w:val="auto"/>
                <w:sz w:val="24"/>
                <w:szCs w:val="24"/>
                <w:highlight w:val="none"/>
                <w:lang w:val="en-US" w:eastAsia="zh-CN" w:bidi="ar"/>
              </w:rPr>
              <w:t xml:space="preserve">材料，耐冷热，耐高温可达</w:t>
            </w:r>
            <w:r>
              <w:rPr>
                <w:rFonts w:hint="eastAsia" w:ascii="宋体" w:hAnsi="宋体" w:eastAsia="宋体" w:cs="宋体"/>
                <w:i w:val="0"/>
                <w:iCs w:val="0"/>
                <w:color w:val="auto"/>
                <w:sz w:val="24"/>
                <w:szCs w:val="24"/>
                <w:highlight w:val="none"/>
                <w:u w:val="none"/>
                <w:lang w:val="en-US" w:eastAsia="zh-CN" w:bidi="ar"/>
              </w:rPr>
              <w:t xml:space="preserve">-20</w:t>
            </w:r>
            <w:r>
              <w:rPr>
                <w:rStyle w:val="1254"/>
                <w:rFonts w:hint="eastAsia" w:ascii="宋体" w:hAnsi="宋体" w:eastAsia="宋体" w:cs="宋体"/>
                <w:color w:val="auto"/>
                <w:sz w:val="24"/>
                <w:szCs w:val="24"/>
                <w:highlight w:val="none"/>
                <w:lang w:val="en-US" w:eastAsia="zh-CN" w:bidi="ar"/>
              </w:rPr>
              <w:t xml:space="preserve">度～</w:t>
            </w:r>
            <w:r>
              <w:rPr>
                <w:rFonts w:hint="eastAsia" w:ascii="宋体" w:hAnsi="宋体" w:eastAsia="宋体" w:cs="宋体"/>
                <w:i w:val="0"/>
                <w:iCs w:val="0"/>
                <w:color w:val="auto"/>
                <w:sz w:val="24"/>
                <w:szCs w:val="24"/>
                <w:highlight w:val="none"/>
                <w:u w:val="none"/>
                <w:lang w:val="en-US" w:eastAsia="zh-CN" w:bidi="ar"/>
              </w:rPr>
              <w:t xml:space="preserve">120</w:t>
            </w:r>
            <w:r>
              <w:rPr>
                <w:rStyle w:val="1254"/>
                <w:rFonts w:hint="eastAsia" w:ascii="宋体" w:hAnsi="宋体" w:eastAsia="宋体" w:cs="宋体"/>
                <w:color w:val="auto"/>
                <w:sz w:val="24"/>
                <w:szCs w:val="24"/>
                <w:highlight w:val="none"/>
                <w:lang w:val="en-US" w:eastAsia="zh-CN" w:bidi="ar"/>
              </w:rPr>
              <w:t xml:space="preserve">度，性能稳定，几乎不吸水。</w:t>
            </w:r>
            <w:r>
              <w:rPr>
                <w:rFonts w:hint="eastAsia" w:ascii="宋体" w:hAnsi="宋体" w:eastAsia="宋体" w:cs="宋体"/>
                <w:i w:val="0"/>
                <w:iCs w:val="0"/>
                <w:color w:val="auto"/>
                <w:sz w:val="24"/>
                <w:szCs w:val="24"/>
                <w:highlight w:val="none"/>
                <w:u w:val="none"/>
                <w:lang w:val="en-US" w:eastAsia="zh-CN" w:bidi="ar"/>
              </w:rPr>
              <w:t xml:space="preserve"> </w:t>
            </w:r>
            <w:r>
              <w:rPr>
                <w:rFonts w:hint="eastAsia" w:ascii="宋体" w:hAnsi="宋体" w:eastAsia="宋体" w:cs="宋体"/>
                <w:i w:val="0"/>
                <w:iCs w:val="0"/>
                <w:color w:val="auto"/>
                <w:sz w:val="24"/>
                <w:szCs w:val="24"/>
                <w:highlight w:val="none"/>
                <w:u w:val="none"/>
                <w:lang w:val="en-US" w:eastAsia="zh-CN" w:bidi="ar"/>
              </w:rPr>
              <w:br/>
            </w:r>
            <w:r>
              <w:rPr>
                <w:rStyle w:val="1254"/>
                <w:rFonts w:hint="eastAsia" w:ascii="宋体" w:hAnsi="宋体" w:eastAsia="宋体" w:cs="宋体"/>
                <w:color w:val="auto"/>
                <w:sz w:val="24"/>
                <w:szCs w:val="24"/>
                <w:highlight w:val="none"/>
                <w:lang w:val="en-US" w:eastAsia="zh-CN" w:bidi="ar"/>
              </w:rPr>
              <w:t xml:space="preserve">中间</w:t>
            </w:r>
            <w:r>
              <w:rPr>
                <w:rFonts w:hint="eastAsia" w:ascii="宋体" w:hAnsi="宋体" w:eastAsia="宋体" w:cs="宋体"/>
                <w:i w:val="0"/>
                <w:iCs w:val="0"/>
                <w:color w:val="auto"/>
                <w:sz w:val="24"/>
                <w:szCs w:val="24"/>
                <w:highlight w:val="none"/>
                <w:u w:val="none"/>
                <w:lang w:val="en-US" w:eastAsia="zh-CN" w:bidi="ar"/>
              </w:rPr>
              <w:t xml:space="preserve">PU</w:t>
            </w:r>
            <w:r>
              <w:rPr>
                <w:rStyle w:val="1254"/>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i w:val="0"/>
                <w:iCs w:val="0"/>
                <w:color w:val="auto"/>
                <w:sz w:val="24"/>
                <w:szCs w:val="24"/>
                <w:highlight w:val="none"/>
                <w:u w:val="none"/>
                <w:lang w:val="en-US" w:eastAsia="zh-CN" w:bidi="ar"/>
              </w:rPr>
              <w:t xml:space="preserve">EPS</w:t>
            </w:r>
            <w:r>
              <w:rPr>
                <w:rStyle w:val="1254"/>
                <w:rFonts w:hint="eastAsia" w:ascii="宋体" w:hAnsi="宋体" w:eastAsia="宋体" w:cs="宋体"/>
                <w:color w:val="auto"/>
                <w:sz w:val="24"/>
                <w:szCs w:val="24"/>
                <w:highlight w:val="none"/>
                <w:lang w:val="en-US" w:eastAsia="zh-CN" w:bidi="ar"/>
              </w:rPr>
              <w:t xml:space="preserve">发泡，聚氨基甲酸是冷冻冷藏设备的最理想绝热材料。</w:t>
            </w:r>
            <w:r>
              <w:rPr>
                <w:rFonts w:hint="eastAsia" w:ascii="宋体" w:hAnsi="宋体" w:eastAsia="宋体" w:cs="宋体"/>
                <w:i w:val="0"/>
                <w:iCs w:val="0"/>
                <w:color w:val="auto"/>
                <w:sz w:val="24"/>
                <w:szCs w:val="24"/>
                <w:highlight w:val="none"/>
                <w:u w:val="none"/>
                <w:lang w:val="en-US" w:eastAsia="zh-CN" w:bidi="ar"/>
              </w:rPr>
              <w:br/>
            </w:r>
            <w:r>
              <w:rPr>
                <w:rStyle w:val="1254"/>
                <w:rFonts w:hint="eastAsia" w:ascii="宋体" w:hAnsi="宋体" w:eastAsia="宋体" w:cs="宋体"/>
                <w:color w:val="auto"/>
                <w:sz w:val="24"/>
                <w:szCs w:val="24"/>
                <w:highlight w:val="none"/>
                <w:lang w:val="en-US" w:eastAsia="zh-CN" w:bidi="ar"/>
              </w:rPr>
              <w:t xml:space="preserve">外壳：</w:t>
            </w:r>
            <w:r>
              <w:rPr>
                <w:rFonts w:hint="eastAsia" w:ascii="宋体" w:hAnsi="宋体" w:eastAsia="宋体" w:cs="宋体"/>
                <w:i w:val="0"/>
                <w:iCs w:val="0"/>
                <w:color w:val="auto"/>
                <w:sz w:val="24"/>
                <w:szCs w:val="24"/>
                <w:highlight w:val="none"/>
                <w:u w:val="none"/>
                <w:lang w:val="en-US" w:eastAsia="zh-CN" w:bidi="ar"/>
              </w:rPr>
              <w:t xml:space="preserve">PE</w:t>
            </w:r>
            <w:r>
              <w:rPr>
                <w:rStyle w:val="1254"/>
                <w:rFonts w:hint="eastAsia" w:ascii="宋体" w:hAnsi="宋体" w:eastAsia="宋体" w:cs="宋体"/>
                <w:color w:val="auto"/>
                <w:sz w:val="24"/>
                <w:szCs w:val="24"/>
                <w:highlight w:val="none"/>
                <w:lang w:val="en-US" w:eastAsia="zh-CN" w:bidi="ar"/>
              </w:rPr>
              <w:t xml:space="preserve">材料，良好的力学性能，耐冲击性强、绿色环保。</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25400</wp:posOffset>
                      </wp:positionH>
                      <wp:positionV relativeFrom="paragraph">
                        <wp:posOffset>118745</wp:posOffset>
                      </wp:positionV>
                      <wp:extent cx="905510" cy="745490"/>
                      <wp:effectExtent l="0" t="0" r="8890" b="16510"/>
                      <wp:wrapNone/>
                      <wp:docPr id="26" name="图片_35_SpCnt_1"/>
                      <wp:cNvGraphicFramePr/>
                      <a:graphic xmlns:a="http://schemas.openxmlformats.org/drawingml/2006/main">
                        <a:graphicData uri="http://schemas.openxmlformats.org/drawingml/2006/picture">
                          <pic:pic xmlns:pic="http://schemas.openxmlformats.org/drawingml/2006/picture">
                            <pic:nvPicPr>
                              <pic:cNvPr id="26" name="图片_35_SpCnt_1"/>
                              <pic:cNvPicPr/>
                              <pic:nvPr/>
                            </pic:nvPicPr>
                            <pic:blipFill>
                              <a:blip r:embed="rId44"/>
                              <a:stretch/>
                            </pic:blipFill>
                            <pic:spPr bwMode="auto">
                              <a:xfrm>
                                <a:off x="0" y="0"/>
                                <a:ext cx="905510" cy="74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1312;o:allowoverlap:true;o:allowincell:true;mso-position-horizontal-relative:text;margin-left:2.0pt;mso-position-horizontal:absolute;mso-position-vertical-relative:text;margin-top:9.3pt;mso-position-vertical:absolute;width:71.3pt;height:58.7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28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足球示教图</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不限于记号笔1支，磁性珠25颗，其中：11枚红色、11枚蓝色、3枚黑（黄）色棋子</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154305</wp:posOffset>
                      </wp:positionH>
                      <wp:positionV relativeFrom="paragraph">
                        <wp:posOffset>12065</wp:posOffset>
                      </wp:positionV>
                      <wp:extent cx="664210" cy="751840"/>
                      <wp:effectExtent l="0" t="0" r="2540" b="10160"/>
                      <wp:wrapNone/>
                      <wp:docPr id="27" name="图片_37"/>
                      <wp:cNvGraphicFramePr/>
                      <a:graphic xmlns:a="http://schemas.openxmlformats.org/drawingml/2006/main">
                        <a:graphicData uri="http://schemas.openxmlformats.org/drawingml/2006/picture">
                          <pic:pic xmlns:pic="http://schemas.openxmlformats.org/drawingml/2006/picture">
                            <pic:nvPicPr>
                              <pic:cNvPr id="27" name="图片_37"/>
                              <pic:cNvPicPr/>
                              <pic:nvPr/>
                            </pic:nvPicPr>
                            <pic:blipFill>
                              <a:blip r:embed="rId45"/>
                              <a:stretch/>
                            </pic:blipFill>
                            <pic:spPr bwMode="auto">
                              <a:xfrm>
                                <a:off x="0" y="0"/>
                                <a:ext cx="664210" cy="751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1312;o:allowoverlap:true;o:allowincell:true;mso-position-horizontal-relative:text;margin-left:12.1pt;mso-position-horizontal:absolute;mso-position-vertical-relative:text;margin-top:0.9pt;mso-position-vertical:absolute;width:52.3pt;height:59.2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29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训练绕杆</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大于2KG橡胶底座，1.5米红白杆</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160020</wp:posOffset>
                      </wp:positionH>
                      <wp:positionV relativeFrom="paragraph">
                        <wp:posOffset>41275</wp:posOffset>
                      </wp:positionV>
                      <wp:extent cx="428625" cy="756285"/>
                      <wp:effectExtent l="0" t="0" r="9525" b="5715"/>
                      <wp:wrapNone/>
                      <wp:docPr id="28" name="图片_138"/>
                      <wp:cNvGraphicFramePr/>
                      <a:graphic xmlns:a="http://schemas.openxmlformats.org/drawingml/2006/main">
                        <a:graphicData uri="http://schemas.openxmlformats.org/drawingml/2006/picture">
                          <pic:pic xmlns:pic="http://schemas.openxmlformats.org/drawingml/2006/picture">
                            <pic:nvPicPr>
                              <pic:cNvPr id="28" name="图片_138"/>
                              <pic:cNvPicPr/>
                              <pic:nvPr/>
                            </pic:nvPicPr>
                            <pic:blipFill>
                              <a:blip r:embed="rId46"/>
                              <a:srcRect l="0" t="0" r="36817" b="0"/>
                              <a:stretch/>
                            </pic:blipFill>
                            <pic:spPr bwMode="auto">
                              <a:xfrm>
                                <a:off x="0" y="0"/>
                                <a:ext cx="428625" cy="756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1312;o:allowoverlap:true;o:allowincell:true;mso-position-horizontal-relative:text;margin-left:12.6pt;mso-position-horizontal:absolute;mso-position-vertical-relative:text;margin-top:3.2pt;mso-position-vertical:absolute;width:33.8pt;height:59.5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27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5.室外体操区（器械区）</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单杠</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numPr>
                <w:ilvl w:val="0"/>
                <w:numId w:val="12"/>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单杠由支架、杠面、调节销和杠托四部分组成。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2.单杠杠面长≧1900mm，选用≧φ28mm毫米的实心钢制作，调节范围为2200—2500mm。立柱选用≧φ89x3mm的钢管制作，立柱埋入地下部分长不小于800mm，下端焊有加强筋，增强单杠整体的稳定性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产品具有耐酸碱、耐湿热、抗老化、外观美观等优点，能适合潮湿和酸雨环境，且产品涂料配方不含有毒元素，避免损害使用者的健康。</w:t>
            </w:r>
            <w:r/>
          </w:p>
          <w:p>
            <w:pPr>
              <w:pStyle w:val="799"/>
              <w:numPr>
                <w:ilvl w:val="0"/>
                <w:numId w:val="0"/>
              </w:numPr>
              <w:rPr>
                <w:rFonts w:hint="eastAsia"/>
                <w:color w:val="auto"/>
                <w:highlight w:val="none"/>
              </w:rPr>
            </w:pPr>
            <w:r>
              <w:rPr>
                <w:rFonts w:hint="eastAsia"/>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-24765</wp:posOffset>
                      </wp:positionH>
                      <wp:positionV relativeFrom="paragraph">
                        <wp:posOffset>64770</wp:posOffset>
                      </wp:positionV>
                      <wp:extent cx="881380" cy="628015"/>
                      <wp:effectExtent l="0" t="0" r="13970" b="635"/>
                      <wp:wrapNone/>
                      <wp:docPr id="29" name="图片_1"/>
                      <wp:cNvGraphicFramePr/>
                      <a:graphic xmlns:a="http://schemas.openxmlformats.org/drawingml/2006/main">
                        <a:graphicData uri="http://schemas.openxmlformats.org/drawingml/2006/picture">
                          <pic:pic xmlns:pic="http://schemas.openxmlformats.org/drawingml/2006/picture">
                            <pic:nvPicPr>
                              <pic:cNvPr id="29" name="图片_1"/>
                              <pic:cNvPicPr/>
                              <pic:nvPr/>
                            </pic:nvPicPr>
                            <pic:blipFill>
                              <a:blip r:embed="rId47"/>
                              <a:stretch/>
                            </pic:blipFill>
                            <pic:spPr bwMode="auto">
                              <a:xfrm>
                                <a:off x="0" y="0"/>
                                <a:ext cx="881380"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1312;o:allowoverlap:true;o:allowincell:true;mso-position-horizontal-relative:text;margin-left:-1.9pt;mso-position-horizontal:absolute;mso-position-vertical-relative:text;margin-top:5.1pt;mso-position-vertical:absolute;width:69.4pt;height:49.4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883"/>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双杠</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numPr>
                <w:ilvl w:val="0"/>
                <w:numId w:val="13"/>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技术要求：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1、双杠埋入地下后基本尺寸≧：长×宽×高=2500×744×1500（㎜）；埋入地下部分长不小于400mm。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2、双杠主要由立柱、杠托和杠面三大部分组成，立柱采用≧Φ114×2.75㎜圆管制作，杠托为钢件；杠面采用不小于Φ48×2.75㎜圆管制作，长为2500mm。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3、双杠立柱喷蓝色塑，杠面喷黄色塑。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4、产品具有耐酸碱、耐湿热、抗老化、外观美观等优点，能适合潮湿和酸雨环境，且产品涂料配方不含有毒元素，避免损害使用者的健康。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二.功能：增强臂力及肩带肌耐力，提高身体协调能力。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三.训练方法：1、双腿骑坐前进；2、直臂支撑前进。</w:t>
            </w:r>
            <w:r/>
          </w:p>
          <w:p>
            <w:pPr>
              <w:pStyle w:val="799"/>
              <w:numPr>
                <w:ilvl w:val="0"/>
                <w:numId w:val="0"/>
              </w:numPr>
              <w:rPr>
                <w:rFonts w:hint="eastAsia"/>
                <w:color w:val="auto"/>
                <w:highlight w:val="none"/>
              </w:rPr>
            </w:pPr>
            <w:r>
              <w:rPr>
                <w:rFonts w:hint="eastAsia"/>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wp:posOffset>
                      </wp:positionH>
                      <wp:positionV relativeFrom="paragraph">
                        <wp:posOffset>61595</wp:posOffset>
                      </wp:positionV>
                      <wp:extent cx="869950" cy="745490"/>
                      <wp:effectExtent l="0" t="0" r="6350" b="16510"/>
                      <wp:wrapNone/>
                      <wp:docPr id="30" name="图片_124"/>
                      <wp:cNvGraphicFramePr/>
                      <a:graphic xmlns:a="http://schemas.openxmlformats.org/drawingml/2006/main">
                        <a:graphicData uri="http://schemas.openxmlformats.org/drawingml/2006/picture">
                          <pic:pic xmlns:pic="http://schemas.openxmlformats.org/drawingml/2006/picture">
                            <pic:nvPicPr>
                              <pic:cNvPr id="30" name="图片_124"/>
                              <pic:cNvPicPr/>
                              <pic:nvPr/>
                            </pic:nvPicPr>
                            <pic:blipFill>
                              <a:blip r:embed="rId48"/>
                              <a:stretch/>
                            </pic:blipFill>
                            <pic:spPr bwMode="auto">
                              <a:xfrm>
                                <a:off x="0" y="0"/>
                                <a:ext cx="869950" cy="74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1312;o:allowoverlap:true;o:allowincell:true;mso-position-horizontal-relative:text;margin-left:-0.4pt;mso-position-horizontal:absolute;mso-position-vertical-relative:text;margin-top:4.8pt;mso-position-vertical:absolute;width:68.5pt;height:58.7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68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平梯</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一、技术要求：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1.一、天梯埋入地下后基本尺寸≧：长×高×宽=3614×864×2350（㎜）。埋入地下部分长500㎜。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2、天梯由上部横梯和框架立柱组成。框架立柱主要材料采用≧Φ114×2.75、Φ48×2.75㎜圆管制作，上部横梯采用≧Ф48×3、Φ32×2㎜圆管拼焊而成。横梯直接穿过框架立柱孔内通过不锈钢螺栓连接。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3、所用紧固螺栓具有防松、防盗功能。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所有钢制件均经除锈、磷化后在自动喷涂线上喷塑。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锻炼人体上肢力量及身体的协调性。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三．训练方法：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训练者站在天梯一端，双手握天梯横杠并使身体悬垂，然后用左（或右）手抓另一横杠，依次换握前移，该器材还有引体向上、悬腿、攀登等训练功能。</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52070</wp:posOffset>
                      </wp:positionH>
                      <wp:positionV relativeFrom="paragraph">
                        <wp:posOffset>100965</wp:posOffset>
                      </wp:positionV>
                      <wp:extent cx="861695" cy="841375"/>
                      <wp:effectExtent l="0" t="0" r="14604" b="15875"/>
                      <wp:wrapNone/>
                      <wp:docPr id="31" name="图片_125"/>
                      <wp:cNvGraphicFramePr/>
                      <a:graphic xmlns:a="http://schemas.openxmlformats.org/drawingml/2006/main">
                        <a:graphicData uri="http://schemas.openxmlformats.org/drawingml/2006/picture">
                          <pic:pic xmlns:pic="http://schemas.openxmlformats.org/drawingml/2006/picture">
                            <pic:nvPicPr>
                              <pic:cNvPr id="31" name="图片_125"/>
                              <pic:cNvPicPr/>
                              <pic:nvPr/>
                            </pic:nvPicPr>
                            <pic:blipFill>
                              <a:blip r:embed="rId49"/>
                              <a:stretch/>
                            </pic:blipFill>
                            <pic:spPr bwMode="auto">
                              <a:xfrm>
                                <a:off x="0" y="0"/>
                                <a:ext cx="861695" cy="841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1312;o:allowoverlap:true;o:allowincell:true;mso-position-horizontal-relative:text;margin-left:4.1pt;mso-position-horizontal:absolute;mso-position-vertical-relative:text;margin-top:7.9pt;mso-position-vertical:absolute;width:67.8pt;height:66.2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637"/>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肋木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一、技术要求：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肋木埋入地下后基本尺寸≥：长x宽x高=2000x80x2640（mm）；埋入地下部分长≥505mm。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肋木由3根立柱，1根横梁和12根横杆组成，立柱和横梁采用≥80x40x3mm焊管，通过M10螺栓连接，横杆采用≥Φ32x2mm焊管，三根立柱两根侧立柱打单边孔，一根中立柱打双边通孔，横杆穿过中立柱置于侧立柱孔内；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肋木中设有限位件，使得横杆自身不能转动。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所有钢制件均经除锈、磷化等金属表面处理后在自动喷涂线上喷塑。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二.功能：锻炼腹肌及全身的协调平衡能力。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三.训练方法：双手抓住横杆，双腿伸平；亦可做压腿及攀越运动。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-33655</wp:posOffset>
                      </wp:positionH>
                      <wp:positionV relativeFrom="paragraph">
                        <wp:posOffset>-628015</wp:posOffset>
                      </wp:positionV>
                      <wp:extent cx="935355" cy="1068705"/>
                      <wp:effectExtent l="0" t="0" r="17145" b="17145"/>
                      <wp:wrapNone/>
                      <wp:docPr id="32" name="图片_126"/>
                      <wp:cNvGraphicFramePr/>
                      <a:graphic xmlns:a="http://schemas.openxmlformats.org/drawingml/2006/main">
                        <a:graphicData uri="http://schemas.openxmlformats.org/drawingml/2006/picture">
                          <pic:pic xmlns:pic="http://schemas.openxmlformats.org/drawingml/2006/picture">
                            <pic:nvPicPr>
                              <pic:cNvPr id="32" name="图片_126"/>
                              <pic:cNvPicPr/>
                              <pic:nvPr/>
                            </pic:nvPicPr>
                            <pic:blipFill>
                              <a:blip r:embed="rId50"/>
                              <a:stretch/>
                            </pic:blipFill>
                            <pic:spPr bwMode="auto">
                              <a:xfrm>
                                <a:off x="0" y="0"/>
                                <a:ext cx="935355" cy="1068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1312;o:allowoverlap:true;o:allowincell:true;mso-position-horizontal-relative:text;margin-left:-2.6pt;mso-position-horizontal:absolute;mso-position-vertical-relative:text;margin-top:-49.4pt;mso-position-vertical:absolute;width:73.6pt;height:84.1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90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摸高器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摸高器由下立杆、上支架和不少于6个球组成；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下立杆采用≧Φ114×3mm圆管，上支架采用≧Φ60×3mm圆管；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上支架悬挂球，球呈斜线上升，距离地面高度以每增加100mm为一档，其高度范围为1960—2460mm；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摸高埋入地下部分长度为≧600mm；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产品具有耐酸碱、耐湿热、抗老化、外观美观等优点，能适合潮湿和酸雨环境，且产品涂料配方不含有毒元素，避免损害使用者的健康。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109220</wp:posOffset>
                      </wp:positionH>
                      <wp:positionV relativeFrom="paragraph">
                        <wp:posOffset>66675</wp:posOffset>
                      </wp:positionV>
                      <wp:extent cx="810895" cy="1092200"/>
                      <wp:effectExtent l="0" t="0" r="8255" b="12700"/>
                      <wp:wrapNone/>
                      <wp:docPr id="33" name="图片_129"/>
                      <wp:cNvGraphicFramePr/>
                      <a:graphic xmlns:a="http://schemas.openxmlformats.org/drawingml/2006/main">
                        <a:graphicData uri="http://schemas.openxmlformats.org/drawingml/2006/picture">
                          <pic:pic xmlns:pic="http://schemas.openxmlformats.org/drawingml/2006/picture">
                            <pic:nvPicPr>
                              <pic:cNvPr id="33" name="图片_129"/>
                              <pic:cNvPicPr/>
                              <pic:nvPr/>
                            </pic:nvPicPr>
                            <pic:blipFill>
                              <a:blip r:embed="rId51"/>
                              <a:stretch/>
                            </pic:blipFill>
                            <pic:spPr bwMode="auto">
                              <a:xfrm>
                                <a:off x="0" y="0"/>
                                <a:ext cx="810895" cy="1092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1312;o:allowoverlap:true;o:allowincell:true;mso-position-horizontal-relative:text;margin-left:8.6pt;mso-position-horizontal:absolute;mso-position-vertical-relative:text;margin-top:5.2pt;mso-position-vertical:absolute;width:63.8pt;height:86.0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28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6.田径类</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秒表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时间显示：时、分、秒、上午/下午 年、月、日、星期；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日历显示：系统内置预设至2099年；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记忆器容量：内置2组，每组100个记录；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可测量种类：净经过时间，间断时间，中途时间第001－第100名选手时间、间断计时器（最高至99）；</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闹钟功能：12组闹钟、设置单元1分钟、鸣音10秒；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倒计时功能：10间隔倒计时、间断时间，中途时间第001- 第100名选手时间、间断计时器（最高99）；</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计数功能：0-99999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足球秒表：加时计算、测量范围99分59秒、测量单位1秒；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计时器准度：时间为每月±秒，秒表为±99.9988%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防水功能：50M防水（日常生活防水，并不是指可以水下50米使用）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测量范围：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总经过时间显示：9小时59分59.999</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秒间断时间显示：59分59.999</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秒中途时间显示：9小时59分59.999秒。</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45720</wp:posOffset>
                      </wp:positionH>
                      <wp:positionV relativeFrom="paragraph">
                        <wp:posOffset>156845</wp:posOffset>
                      </wp:positionV>
                      <wp:extent cx="790575" cy="1049655"/>
                      <wp:effectExtent l="0" t="0" r="9525" b="17145"/>
                      <wp:wrapNone/>
                      <wp:docPr id="34" name="图片_118"/>
                      <wp:cNvGraphicFramePr/>
                      <a:graphic xmlns:a="http://schemas.openxmlformats.org/drawingml/2006/main">
                        <a:graphicData uri="http://schemas.openxmlformats.org/drawingml/2006/picture">
                          <pic:pic xmlns:pic="http://schemas.openxmlformats.org/drawingml/2006/picture">
                            <pic:nvPicPr>
                              <pic:cNvPr id="34" name="图片_118"/>
                              <pic:cNvPicPr/>
                              <pic:nvPr/>
                            </pic:nvPicPr>
                            <pic:blipFill>
                              <a:blip r:embed="rId52"/>
                              <a:srcRect l="9923" t="0" r="16102" b="-2605"/>
                              <a:stretch/>
                            </pic:blipFill>
                            <pic:spPr bwMode="auto">
                              <a:xfrm>
                                <a:off x="0" y="0"/>
                                <a:ext cx="790575" cy="1049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1312;o:allowoverlap:true;o:allowincell:true;mso-position-horizontal-relative:text;margin-left:3.6pt;mso-position-horizontal:absolute;mso-position-vertical-relative:text;margin-top:12.3pt;mso-position-vertical:absolute;width:62.2pt;height:82.6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发令器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规格：双发式或多发式、材质：金属、5.6mm定装发令弹；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击发方式：双发；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声响：100m处不小于60分贝；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烟雾：150m处清晰可见。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18415</wp:posOffset>
                      </wp:positionH>
                      <wp:positionV relativeFrom="paragraph">
                        <wp:posOffset>147320</wp:posOffset>
                      </wp:positionV>
                      <wp:extent cx="817245" cy="754380"/>
                      <wp:effectExtent l="0" t="0" r="1905" b="7620"/>
                      <wp:wrapNone/>
                      <wp:docPr id="35" name="图片_42"/>
                      <wp:cNvGraphicFramePr/>
                      <a:graphic xmlns:a="http://schemas.openxmlformats.org/drawingml/2006/main">
                        <a:graphicData uri="http://schemas.openxmlformats.org/drawingml/2006/picture">
                          <pic:pic xmlns:pic="http://schemas.openxmlformats.org/drawingml/2006/picture">
                            <pic:nvPicPr>
                              <pic:cNvPr id="35" name="图片_42"/>
                              <pic:cNvPicPr/>
                              <pic:nvPr/>
                            </pic:nvPicPr>
                            <pic:blipFill>
                              <a:blip r:embed="rId53"/>
                              <a:stretch/>
                            </pic:blipFill>
                            <pic:spPr bwMode="auto">
                              <a:xfrm>
                                <a:off x="0" y="0"/>
                                <a:ext cx="817245" cy="7543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1312;o:allowoverlap:true;o:allowincell:true;mso-position-horizontal-relative:text;margin-left:1.4pt;mso-position-horizontal:absolute;mso-position-vertical-relative:text;margin-top:11.6pt;mso-position-vertical:absolute;width:64.3pt;height:59.4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105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发令弹</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能配合发令器使用，安全。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97155</wp:posOffset>
                      </wp:positionH>
                      <wp:positionV relativeFrom="paragraph">
                        <wp:posOffset>76835</wp:posOffset>
                      </wp:positionV>
                      <wp:extent cx="638810" cy="594995"/>
                      <wp:effectExtent l="0" t="0" r="8890" b="14604"/>
                      <wp:wrapNone/>
                      <wp:docPr id="36" name="图片_9"/>
                      <wp:cNvGraphicFramePr/>
                      <a:graphic xmlns:a="http://schemas.openxmlformats.org/drawingml/2006/main">
                        <a:graphicData uri="http://schemas.openxmlformats.org/drawingml/2006/picture">
                          <pic:pic xmlns:pic="http://schemas.openxmlformats.org/drawingml/2006/picture">
                            <pic:nvPicPr>
                              <pic:cNvPr id="36" name="图片_9"/>
                              <pic:cNvPicPr/>
                              <pic:nvPr/>
                            </pic:nvPicPr>
                            <pic:blipFill>
                              <a:blip r:embed="rId54"/>
                              <a:stretch/>
                            </pic:blipFill>
                            <pic:spPr bwMode="auto">
                              <a:xfrm>
                                <a:off x="0" y="0"/>
                                <a:ext cx="638810" cy="594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1312;o:allowoverlap:true;o:allowincell:true;mso-position-horizontal-relative:text;margin-left:7.6pt;mso-position-horizontal:absolute;mso-position-vertical-relative:text;margin-top:6.0pt;mso-position-vertical:absolute;width:50.3pt;height:46.8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发</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r>
      <w:tr>
        <w:trPr>
          <w:jc w:val="center"/>
          <w:trHeight w:val="282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发令台</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1.发令台基本外形尺寸：长×宽×高≥700×610×1500（㎜）。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2、发令台主要由底架和推手柄组成，底架主要采用方管拼焊而成，底架踏脚板采用花纹板制作，起防滑作用，便于站人；推手柄采用圆管制作。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3、发令台设置有插管，可放置配套设施（发令烟屏），其底架内部设有货物柜，配有钥匙，可放置发令枪等其他设备，作小推车用。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4、发令台底部设置有滚轮，移动方便。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38735</wp:posOffset>
                      </wp:positionH>
                      <wp:positionV relativeFrom="paragraph">
                        <wp:posOffset>106045</wp:posOffset>
                      </wp:positionV>
                      <wp:extent cx="779145" cy="1289685"/>
                      <wp:effectExtent l="0" t="0" r="1905" b="5715"/>
                      <wp:wrapNone/>
                      <wp:docPr id="37" name="图片_44"/>
                      <wp:cNvGraphicFramePr/>
                      <a:graphic xmlns:a="http://schemas.openxmlformats.org/drawingml/2006/main">
                        <a:graphicData uri="http://schemas.openxmlformats.org/drawingml/2006/picture">
                          <pic:pic xmlns:pic="http://schemas.openxmlformats.org/drawingml/2006/picture">
                            <pic:nvPicPr>
                              <pic:cNvPr id="37" name="图片_44"/>
                              <pic:cNvPicPr/>
                              <pic:nvPr/>
                            </pic:nvPicPr>
                            <pic:blipFill>
                              <a:blip r:embed="rId55"/>
                              <a:stretch/>
                            </pic:blipFill>
                            <pic:spPr bwMode="auto">
                              <a:xfrm>
                                <a:off x="0" y="0"/>
                                <a:ext cx="779145" cy="1289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1312;o:allowoverlap:true;o:allowincell:true;mso-position-horizontal-relative:text;margin-left:3.0pt;mso-position-horizontal:absolute;mso-position-vertical-relative:text;margin-top:8.3pt;mso-position-vertical:absolute;width:61.3pt;height:101.5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91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发令烟屏</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1.发令烟屏由烟屏支架和烟屏两部分组成。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2、烟屏支架采用□≥25×25×2方管制作，高度可调。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3、烟屏规格尺寸：外径≥φ660㎜，采用不小于δ1.2㎜铁板冲压成型，烟屏内设预埋螺母，通过螺栓与支架紧固。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4、表面处理阶段是将粉末通过高压静电作用均匀涂敷在被涂物体上的过程。当涂层达到一定厚度后，进入烘炉加热，涂料熔融固化，形成厚度均匀、质地牢固的涂层。</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47625</wp:posOffset>
                      </wp:positionH>
                      <wp:positionV relativeFrom="paragraph">
                        <wp:posOffset>97155</wp:posOffset>
                      </wp:positionV>
                      <wp:extent cx="791210" cy="810895"/>
                      <wp:effectExtent l="0" t="0" r="8890" b="8255"/>
                      <wp:wrapNone/>
                      <wp:docPr id="38" name="图片_45"/>
                      <wp:cNvGraphicFramePr/>
                      <a:graphic xmlns:a="http://schemas.openxmlformats.org/drawingml/2006/main">
                        <a:graphicData uri="http://schemas.openxmlformats.org/drawingml/2006/picture">
                          <pic:pic xmlns:pic="http://schemas.openxmlformats.org/drawingml/2006/picture">
                            <pic:nvPicPr>
                              <pic:cNvPr id="38" name="图片_45"/>
                              <pic:cNvPicPr/>
                              <pic:nvPr/>
                            </pic:nvPicPr>
                            <pic:blipFill>
                              <a:blip r:embed="rId56"/>
                              <a:stretch/>
                            </pic:blipFill>
                            <pic:spPr bwMode="auto">
                              <a:xfrm>
                                <a:off x="0" y="0"/>
                                <a:ext cx="791210" cy="810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1312;o:allowoverlap:true;o:allowincell:true;mso-position-horizontal-relative:text;margin-left:3.8pt;mso-position-horizontal:absolute;mso-position-vertical-relative:text;margin-top:7.6pt;mso-position-vertical:absolute;width:62.3pt;height:63.8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00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起跑器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1.起跑器主要由底座和蹬脚座组成。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2、起跑器外形尺寸：主体全长≥775mm，总宽度：不小于200mm。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3、蹬脚座调节范围：前后距离调整：0-540mm，蹬脚板角度调整：50度-70度，分不少于4个档位。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4、起跑器重量为13～15kg。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5、起跑器底座铝槽采用铸铝制作，通过地钉与地面接触，防止移位。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6、起跑器蹬脚座分固定座和蹬脚板，均为铸铝件，蹬脚板板面为凹面，面板采用塑胶层，起防滑作用，蹬脚板面板斜度可调节。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7、两蹬脚座的相对位置可以前后调整。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8、起跑器上设有把手，便于移动。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9、起跑器主板底部装有用于固定在跑道上的地钉，长度为14mm，以确保起跑器在使用过程中不会移动，保持稳定，地钉不会损坏跑道。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10、表面处理：氧化。</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wp:posOffset>
                      </wp:positionH>
                      <wp:positionV relativeFrom="paragraph">
                        <wp:posOffset>142875</wp:posOffset>
                      </wp:positionV>
                      <wp:extent cx="748665" cy="831850"/>
                      <wp:effectExtent l="0" t="0" r="13335" b="6350"/>
                      <wp:wrapNone/>
                      <wp:docPr id="39" name="图片_46"/>
                      <wp:cNvGraphicFramePr/>
                      <a:graphic xmlns:a="http://schemas.openxmlformats.org/drawingml/2006/main">
                        <a:graphicData uri="http://schemas.openxmlformats.org/drawingml/2006/picture">
                          <pic:pic xmlns:pic="http://schemas.openxmlformats.org/drawingml/2006/picture">
                            <pic:nvPicPr>
                              <pic:cNvPr id="39" name="图片_46"/>
                              <pic:cNvPicPr/>
                              <pic:nvPr/>
                            </pic:nvPicPr>
                            <pic:blipFill>
                              <a:blip r:embed="rId57"/>
                              <a:stretch/>
                            </pic:blipFill>
                            <pic:spPr bwMode="auto">
                              <a:xfrm>
                                <a:off x="0" y="0"/>
                                <a:ext cx="748665" cy="83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1312;o:allowoverlap:true;o:allowincell:true;mso-position-horizontal-relative:text;margin-left:2.2pt;mso-position-horizontal:absolute;mso-position-vertical-relative:text;margin-top:11.2pt;mso-position-vertical:absolute;width:58.9pt;height:65.5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39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起跑器搬运车</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1.起跑器运输车外形基本尺寸：长×宽×高≥1000×600×800（mm）。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2、起跑器运输车采用圆管在专用弯管机上弯曲成形后拼焊而成。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3、起跑器运输车共设不小于5对挂钩，一次可置不小于10个起跑器，运输车底部设有走轮，移动方便。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wp:posOffset>
                      </wp:positionH>
                      <wp:positionV relativeFrom="paragraph">
                        <wp:posOffset>29210</wp:posOffset>
                      </wp:positionV>
                      <wp:extent cx="828675" cy="814705"/>
                      <wp:effectExtent l="0" t="0" r="9525" b="4445"/>
                      <wp:wrapNone/>
                      <wp:docPr id="40" name="图片_47"/>
                      <wp:cNvGraphicFramePr/>
                      <a:graphic xmlns:a="http://schemas.openxmlformats.org/drawingml/2006/main">
                        <a:graphicData uri="http://schemas.openxmlformats.org/drawingml/2006/picture">
                          <pic:pic xmlns:pic="http://schemas.openxmlformats.org/drawingml/2006/picture">
                            <pic:nvPicPr>
                              <pic:cNvPr id="40" name="图片_47"/>
                              <pic:cNvPicPr/>
                              <pic:nvPr/>
                            </pic:nvPicPr>
                            <pic:blipFill>
                              <a:blip r:embed="rId58"/>
                              <a:stretch/>
                            </pic:blipFill>
                            <pic:spPr bwMode="auto">
                              <a:xfrm>
                                <a:off x="0" y="0"/>
                                <a:ext cx="828675" cy="81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1312;o:allowoverlap:true;o:allowincell:true;mso-position-horizontal-relative:text;margin-left:3.0pt;mso-position-horizontal:absolute;mso-position-vertical-relative:text;margin-top:2.3pt;mso-position-vertical:absolute;width:65.2pt;height:64.1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37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道次墩</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1.道次墩采用ABS材料制作，底座呈正三角形：其基本尺寸≧：底座x高度=边长470x435mm。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2、道次墩可坐人，每套共8只，号码为1-8号。其中两面为红色号码，另一面为黑色号码。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eastAsia="zh-CN"/>
              </w:rPr>
              <w:outlineLvl w:val="9"/>
              <w:suppressLineNumbers w:val="0"/>
            </w:pPr>
            <w:r>
              <w:rPr>
                <w:rFonts w:hint="eastAsia" w:ascii="宋体" w:hAnsi="宋体" w:eastAsia="宋体" w:cs="宋体"/>
                <w:i w:val="0"/>
                <w:iCs w:val="0"/>
                <w:color w:val="auto"/>
                <w:sz w:val="24"/>
                <w:szCs w:val="24"/>
                <w:highlight w:val="none"/>
                <w:u w:val="none"/>
                <w:lang w:eastAsia="zh-CN"/>
              </w:rPr>
              <mc:AlternateContent>
                <mc:Choice Requires="wpg">
                  <w:drawing>
                    <wp:inline xmlns:wp="http://schemas.openxmlformats.org/drawingml/2006/wordprocessingDrawing" distT="0" distB="0" distL="0" distR="0">
                      <wp:extent cx="653415" cy="899160"/>
                      <wp:effectExtent l="0" t="0" r="13335" b="15240"/>
                      <wp:docPr id="41" name="图片 31" descr="02aaca98-ed61-4d07-8366-9a494823c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1" descr="02aaca98-ed61-4d07-8366-9a494823c438"/>
                              <pic:cNvPicPr>
                                <a:picLocks noChangeAspect="1"/>
                              </pic:cNvPicPr>
                              <pic:nvPr/>
                            </pic:nvPicPr>
                            <pic:blipFill>
                              <a:blip r:embed="rId59"/>
                              <a:stretch/>
                            </pic:blipFill>
                            <pic:spPr bwMode="auto">
                              <a:xfrm>
                                <a:off x="0" y="0"/>
                                <a:ext cx="653415" cy="899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1.4pt;height:70.8pt;mso-wrap-distance-left:0.0pt;mso-wrap-distance-top:0.0pt;mso-wrap-distance-right:0.0pt;mso-wrap-distance-bottom:0.0pt;" stroked="false">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19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接力棒</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1.接力棒尺寸≧：φ40×285（mm）。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2、接力棒采用不小于δ0.5的铝合金制作，棒的两端倒角卷边处理。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3、接力棒的重量至少为50g。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4、棒的表面经氧化处理，颜色分红、黄、蓝、青、降红、黑色等。</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228600</wp:posOffset>
                      </wp:positionH>
                      <wp:positionV relativeFrom="paragraph">
                        <wp:posOffset>57150</wp:posOffset>
                      </wp:positionV>
                      <wp:extent cx="657860" cy="781050"/>
                      <wp:effectExtent l="0" t="0" r="8890" b="0"/>
                      <wp:wrapNone/>
                      <wp:docPr id="42" name="图片_50"/>
                      <wp:cNvGraphicFramePr/>
                      <a:graphic xmlns:a="http://schemas.openxmlformats.org/drawingml/2006/main">
                        <a:graphicData uri="http://schemas.openxmlformats.org/drawingml/2006/picture">
                          <pic:pic xmlns:pic="http://schemas.openxmlformats.org/drawingml/2006/picture">
                            <pic:nvPicPr>
                              <pic:cNvPr id="42" name="图片_50"/>
                              <pic:cNvPicPr/>
                              <pic:nvPr/>
                            </pic:nvPicPr>
                            <pic:blipFill>
                              <a:blip r:embed="rId60"/>
                              <a:stretch/>
                            </pic:blipFill>
                            <pic:spPr bwMode="auto">
                              <a:xfrm>
                                <a:off x="0" y="0"/>
                                <a:ext cx="657860"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1312;o:allowoverlap:true;o:allowincell:true;mso-position-horizontal-relative:text;margin-left:18.0pt;mso-position-horizontal:absolute;mso-position-vertical-relative:text;margin-top:4.5pt;mso-position-vertical:absolute;width:51.8pt;height:61.5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钢卷米尺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长度50米，字体清晰不模糊，耐磨性好；刻度精确到毫米。主要构件：尺盒、摇柄和首端装有金属拉环的整条尺带。尺带拉出或用摇柄收卷尺带时，应轻便灵活，无卡阻现象。金属拉环应灵活、牢固可靠，不得锈蚀。</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76200</wp:posOffset>
                      </wp:positionH>
                      <wp:positionV relativeFrom="paragraph">
                        <wp:posOffset>9525</wp:posOffset>
                      </wp:positionV>
                      <wp:extent cx="762000" cy="867410"/>
                      <wp:effectExtent l="0" t="0" r="0" b="8890"/>
                      <wp:wrapNone/>
                      <wp:docPr id="43" name="图片_51"/>
                      <wp:cNvGraphicFramePr/>
                      <a:graphic xmlns:a="http://schemas.openxmlformats.org/drawingml/2006/main">
                        <a:graphicData uri="http://schemas.openxmlformats.org/drawingml/2006/picture">
                          <pic:pic xmlns:pic="http://schemas.openxmlformats.org/drawingml/2006/picture">
                            <pic:nvPicPr>
                              <pic:cNvPr id="43" name="图片_51"/>
                              <pic:cNvPicPr/>
                              <pic:nvPr/>
                            </pic:nvPicPr>
                            <pic:blipFill>
                              <a:blip r:embed="rId61"/>
                              <a:stretch/>
                            </pic:blipFill>
                            <pic:spPr bwMode="auto">
                              <a:xfrm>
                                <a:off x="0" y="0"/>
                                <a:ext cx="762000" cy="867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1312;o:allowoverlap:true;o:allowincell:true;mso-position-horizontal-relative:text;margin-left:6.0pt;mso-position-horizontal:absolute;mso-position-vertical-relative:text;margin-top:0.8pt;mso-position-vertical:absolute;width:60.0pt;height:68.3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钢卷米尺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标准长度30米，字体清晰不模糊，耐磨性好；刻度精确到毫米。主要构件：尺盒和整条尺带，拉出后可以用卡止装置固定，松开卡止装置后尺能自动收回。拉出或收回时，应轻便灵活，无卡阻现象。</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95250</wp:posOffset>
                      </wp:positionV>
                      <wp:extent cx="744855" cy="702945"/>
                      <wp:effectExtent l="0" t="0" r="17145" b="1905"/>
                      <wp:wrapNone/>
                      <wp:docPr id="44" name="图片_52"/>
                      <wp:cNvGraphicFramePr/>
                      <a:graphic xmlns:a="http://schemas.openxmlformats.org/drawingml/2006/main">
                        <a:graphicData uri="http://schemas.openxmlformats.org/drawingml/2006/picture">
                          <pic:pic xmlns:pic="http://schemas.openxmlformats.org/drawingml/2006/picture">
                            <pic:nvPicPr>
                              <pic:cNvPr id="44" name="图片_52"/>
                              <pic:cNvPicPr/>
                              <pic:nvPr/>
                            </pic:nvPicPr>
                            <pic:blipFill>
                              <a:blip r:embed="rId62"/>
                              <a:stretch/>
                            </pic:blipFill>
                            <pic:spPr bwMode="auto">
                              <a:xfrm>
                                <a:off x="0" y="0"/>
                                <a:ext cx="744855" cy="702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1312;o:allowoverlap:true;o:allowincell:true;mso-position-horizontal-relative:text;margin-left:4.5pt;mso-position-horizontal:absolute;mso-position-vertical-relative:text;margin-top:7.5pt;mso-position-vertical:absolute;width:58.6pt;height:55.3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钢卷米尺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长度20米，字体清晰不模糊，耐磨性好；刻度精确到毫米。主要构件：尺盒、摇柄和首端装有金属拉环的整条尺带。尺带拉出或用摇柄收卷尺带时，应轻便灵活，无卡阻现象。金属拉环应灵活、牢固可靠，不得锈蚀。</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wp:posOffset>
                      </wp:positionH>
                      <wp:positionV relativeFrom="paragraph">
                        <wp:posOffset>0</wp:posOffset>
                      </wp:positionV>
                      <wp:extent cx="896620" cy="583565"/>
                      <wp:effectExtent l="0" t="0" r="17780" b="6985"/>
                      <wp:wrapNone/>
                      <wp:docPr id="45" name="图片_53_SpCnt_1"/>
                      <wp:cNvGraphicFramePr/>
                      <a:graphic xmlns:a="http://schemas.openxmlformats.org/drawingml/2006/main">
                        <a:graphicData uri="http://schemas.openxmlformats.org/drawingml/2006/picture">
                          <pic:pic xmlns:pic="http://schemas.openxmlformats.org/drawingml/2006/picture">
                            <pic:nvPicPr>
                              <pic:cNvPr id="45" name="图片_53_SpCnt_1"/>
                              <pic:cNvPicPr/>
                              <pic:nvPr/>
                            </pic:nvPicPr>
                            <pic:blipFill>
                              <a:blip r:embed="rId63"/>
                              <a:stretch/>
                            </pic:blipFill>
                            <pic:spPr bwMode="auto">
                              <a:xfrm>
                                <a:off x="0" y="0"/>
                                <a:ext cx="896620" cy="583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1312;o:allowoverlap:true;o:allowincell:true;mso-position-horizontal-relative:text;margin-left:2.2pt;mso-position-horizontal:absolute;mso-position-vertical-relative:text;margin-top:0.0pt;mso-position-vertical:absolute;width:70.6pt;height:45.9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37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钢卷米尺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长度5米字体清晰不模糊，耐磨性好；刻度精确到毫米。主要构件：尺盒、摇柄和首端装有金属拉环的整条尺带。尺带拉出或用摇柄收卷尺带时，应轻便灵活，无卡阻现象。金属拉环应灵活、牢固可靠，不得锈蚀。</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154305</wp:posOffset>
                      </wp:positionH>
                      <wp:positionV relativeFrom="paragraph">
                        <wp:posOffset>9525</wp:posOffset>
                      </wp:positionV>
                      <wp:extent cx="756285" cy="716915"/>
                      <wp:effectExtent l="0" t="0" r="5715" b="14604"/>
                      <wp:wrapNone/>
                      <wp:docPr id="46" name="图片_54"/>
                      <wp:cNvGraphicFramePr/>
                      <a:graphic xmlns:a="http://schemas.openxmlformats.org/drawingml/2006/main">
                        <a:graphicData uri="http://schemas.openxmlformats.org/drawingml/2006/picture">
                          <pic:pic xmlns:pic="http://schemas.openxmlformats.org/drawingml/2006/picture">
                            <pic:nvPicPr>
                              <pic:cNvPr id="46" name="图片_54"/>
                              <pic:cNvPicPr/>
                              <pic:nvPr/>
                            </pic:nvPicPr>
                            <pic:blipFill>
                              <a:blip r:embed="rId64"/>
                              <a:stretch/>
                            </pic:blipFill>
                            <pic:spPr bwMode="auto">
                              <a:xfrm>
                                <a:off x="0" y="0"/>
                                <a:ext cx="756285"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1312;o:allowoverlap:true;o:allowincell:true;mso-position-horizontal-relative:text;margin-left:12.1pt;mso-position-horizontal:absolute;mso-position-vertical-relative:text;margin-top:0.8pt;mso-position-vertical:absolute;width:59.5pt;height:56.4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8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皮尺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标准长度50米，字体清晰不模糊，耐磨性好；刻度精确到毫米。主要构件：尺盒和整条尺带，拉出后可以用卡止装置固定，松开卡止装置后尺能自动收回。拉出或收回时，应轻便灵活，无卡阻现象</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85725</wp:posOffset>
                      </wp:positionH>
                      <wp:positionV relativeFrom="paragraph">
                        <wp:posOffset>-9525</wp:posOffset>
                      </wp:positionV>
                      <wp:extent cx="628015" cy="558165"/>
                      <wp:effectExtent l="0" t="0" r="12065" b="5715"/>
                      <wp:wrapNone/>
                      <wp:docPr id="47" name="图片_55"/>
                      <wp:cNvGraphicFramePr/>
                      <a:graphic xmlns:a="http://schemas.openxmlformats.org/drawingml/2006/main">
                        <a:graphicData uri="http://schemas.openxmlformats.org/drawingml/2006/picture">
                          <pic:pic xmlns:pic="http://schemas.openxmlformats.org/drawingml/2006/picture">
                            <pic:nvPicPr>
                              <pic:cNvPr id="47" name="图片_55"/>
                              <pic:cNvPicPr/>
                              <pic:nvPr/>
                            </pic:nvPicPr>
                            <pic:blipFill>
                              <a:blip r:embed="rId65"/>
                              <a:stretch/>
                            </pic:blipFill>
                            <pic:spPr bwMode="auto">
                              <a:xfrm>
                                <a:off x="0" y="0"/>
                                <a:ext cx="628015"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1312;o:allowoverlap:true;o:allowincell:true;mso-position-horizontal-relative:text;margin-left:6.8pt;mso-position-horizontal:absolute;mso-position-vertical-relative:text;margin-top:-0.8pt;mso-position-vertical:absolute;width:49.4pt;height:43.9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10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皮尺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标准长度30米，字体清晰不模糊，耐磨性好；刻度精确到毫米。主要构件：尺盒和整条尺带，拉出后可以用卡止装置固定，松开卡止装置后尺能自动收回。拉出或收回时，应轻便灵活，无卡阻现象。</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95250</wp:posOffset>
                      </wp:positionH>
                      <wp:positionV relativeFrom="paragraph">
                        <wp:posOffset>-57150</wp:posOffset>
                      </wp:positionV>
                      <wp:extent cx="668655" cy="628015"/>
                      <wp:effectExtent l="0" t="0" r="17145" b="635"/>
                      <wp:wrapNone/>
                      <wp:docPr id="48" name="图片_56"/>
                      <wp:cNvGraphicFramePr/>
                      <a:graphic xmlns:a="http://schemas.openxmlformats.org/drawingml/2006/main">
                        <a:graphicData uri="http://schemas.openxmlformats.org/drawingml/2006/picture">
                          <pic:pic xmlns:pic="http://schemas.openxmlformats.org/drawingml/2006/picture">
                            <pic:nvPicPr>
                              <pic:cNvPr id="48" name="图片_56"/>
                              <pic:cNvPicPr/>
                              <pic:nvPr/>
                            </pic:nvPicPr>
                            <pic:blipFill>
                              <a:blip r:embed="rId66"/>
                              <a:stretch/>
                            </pic:blipFill>
                            <pic:spPr bwMode="auto">
                              <a:xfrm>
                                <a:off x="0" y="0"/>
                                <a:ext cx="668655"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1312;o:allowoverlap:true;o:allowincell:true;mso-position-horizontal-relative:text;margin-left:7.5pt;mso-position-horizontal:absolute;mso-position-vertical-relative:text;margin-top:-4.5pt;mso-position-vertical:absolute;width:52.6pt;height:49.4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皮尺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标准长度20米，字体清晰不模糊，耐磨性好；刻度精确到毫米。主要构件：尺盒和整条尺带，拉出后可以用卡止装置固定，松开卡止装置后尺能自动收回。拉出或收回时，应轻便灵活，无卡阻现象</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wp:posOffset>
                      </wp:positionH>
                      <wp:positionV relativeFrom="paragraph">
                        <wp:posOffset>-28575</wp:posOffset>
                      </wp:positionV>
                      <wp:extent cx="896620" cy="583565"/>
                      <wp:effectExtent l="0" t="0" r="17780" b="6985"/>
                      <wp:wrapNone/>
                      <wp:docPr id="49" name="图片_57"/>
                      <wp:cNvGraphicFramePr/>
                      <a:graphic xmlns:a="http://schemas.openxmlformats.org/drawingml/2006/main">
                        <a:graphicData uri="http://schemas.openxmlformats.org/drawingml/2006/picture">
                          <pic:pic xmlns:pic="http://schemas.openxmlformats.org/drawingml/2006/picture">
                            <pic:nvPicPr>
                              <pic:cNvPr id="49" name="图片_57"/>
                              <pic:cNvPicPr/>
                              <pic:nvPr/>
                            </pic:nvPicPr>
                            <pic:blipFill>
                              <a:blip r:embed="rId63"/>
                              <a:stretch/>
                            </pic:blipFill>
                            <pic:spPr bwMode="auto">
                              <a:xfrm>
                                <a:off x="0" y="0"/>
                                <a:ext cx="896620" cy="583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1312;o:allowoverlap:true;o:allowincell:true;mso-position-horizontal-relative:text;margin-left:3.0pt;mso-position-horizontal:absolute;mso-position-vertical-relative:text;margin-top:-2.2pt;mso-position-vertical:absolute;width:70.6pt;height:45.9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96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跳高丈量尺</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铝合金、可伸缩，刻度清晰不易脱落。</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163195</wp:posOffset>
                      </wp:positionH>
                      <wp:positionV relativeFrom="paragraph">
                        <wp:posOffset>-118745</wp:posOffset>
                      </wp:positionV>
                      <wp:extent cx="748665" cy="443865"/>
                      <wp:effectExtent l="0" t="0" r="13335" b="13335"/>
                      <wp:wrapNone/>
                      <wp:docPr id="50" name="图片_58_SpCnt_1"/>
                      <wp:cNvGraphicFramePr/>
                      <a:graphic xmlns:a="http://schemas.openxmlformats.org/drawingml/2006/main">
                        <a:graphicData uri="http://schemas.openxmlformats.org/drawingml/2006/picture">
                          <pic:pic xmlns:pic="http://schemas.openxmlformats.org/drawingml/2006/picture">
                            <pic:nvPicPr>
                              <pic:cNvPr id="50" name="图片_58_SpCnt_1"/>
                              <pic:cNvPicPr/>
                              <pic:nvPr/>
                            </pic:nvPicPr>
                            <pic:blipFill>
                              <a:blip r:embed="rId67"/>
                              <a:stretch/>
                            </pic:blipFill>
                            <pic:spPr bwMode="auto">
                              <a:xfrm>
                                <a:off x="0" y="0"/>
                                <a:ext cx="748665" cy="443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1312;o:allowoverlap:true;o:allowincell:true;mso-position-horizontal-relative:text;margin-left:12.8pt;mso-position-horizontal:absolute;mso-position-vertical-relative:text;margin-top:-9.3pt;mso-position-vertical:absolute;width:58.9pt;height:34.9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1213"/>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普通比赛跳高架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1.跳高架由底座、固定立柱、移动立柱、横杆托架、微调支脚构成。产品形式简洁，结构合理，可装拆，便于运输和包装。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2、固定立柱与移动立柱选用铝合金型材，型材之间采用燕尾槽配合。表面氧化处理。固定立柱上贴有不锈钢标尺，刻度调节范围：600—2600mm。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3、底座选用≧δ4铁板一次冲压成型，避免了焊接造成的接口腐蚀，底部设有PU滚轮，移动方便。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4、跳高架横杆托架采用铝压铸件，具有防腐蚀性、安全、牢固等优点且上下移动方便。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5、跳高架底座底部设有微调机构，通过调节微调机构可满足场地不平整引起的跳高架的稳定性和横杆的高度要求。</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184785</wp:posOffset>
                      </wp:positionH>
                      <wp:positionV relativeFrom="paragraph">
                        <wp:posOffset>-386080</wp:posOffset>
                      </wp:positionV>
                      <wp:extent cx="585470" cy="1389380"/>
                      <wp:effectExtent l="0" t="0" r="5080" b="1270"/>
                      <wp:wrapNone/>
                      <wp:docPr id="51" name="图片_59"/>
                      <wp:cNvGraphicFramePr/>
                      <a:graphic xmlns:a="http://schemas.openxmlformats.org/drawingml/2006/main">
                        <a:graphicData uri="http://schemas.openxmlformats.org/drawingml/2006/picture">
                          <pic:pic xmlns:pic="http://schemas.openxmlformats.org/drawingml/2006/picture">
                            <pic:nvPicPr>
                              <pic:cNvPr id="51" name="图片_59"/>
                              <pic:cNvPicPr/>
                              <pic:nvPr/>
                            </pic:nvPicPr>
                            <pic:blipFill>
                              <a:blip r:embed="rId68"/>
                              <a:stretch/>
                            </pic:blipFill>
                            <pic:spPr bwMode="auto">
                              <a:xfrm>
                                <a:off x="0" y="0"/>
                                <a:ext cx="585470" cy="1389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1312;o:allowoverlap:true;o:allowincell:true;mso-position-horizontal-relative:text;margin-left:14.5pt;mso-position-horizontal:absolute;mso-position-vertical-relative:text;margin-top:-30.4pt;mso-position-vertical:absolute;width:46.1pt;height:109.4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跳高海绵垫</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numPr>
                <w:ilvl w:val="0"/>
                <w:numId w:val="14"/>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跳高海绵垫主体由三层重磅发泡海绵（20Kg/M3）组成。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2、海绵垫的形状为“凸”字形，基本尺寸不小于：长×宽×厚=5000×3000×700（㎜）。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3、海绵垫中层人体落地区域配有“井”字形框架结构，用以满足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落地时人体对弹性及缓冲的要求。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4、海绵垫分为三层，1）上表面为防水帆布罩套，2）下层为防钉鞋垫，3）由三块高密度海绵包组成，套子侧面装有拉链及拉手攀，且四周设有排气孔。</w:t>
            </w:r>
            <w:r/>
          </w:p>
          <w:p>
            <w:pPr>
              <w:pStyle w:val="799"/>
              <w:numPr>
                <w:ilvl w:val="0"/>
                <w:numId w:val="0"/>
              </w:numPr>
              <w:rPr>
                <w:rFonts w:hint="eastAsia"/>
                <w:color w:val="auto"/>
                <w:highlight w:val="none"/>
              </w:rPr>
            </w:pPr>
            <w:r>
              <w:rPr>
                <w:rFonts w:hint="eastAsia"/>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wp:posOffset>
                      </wp:positionH>
                      <wp:positionV relativeFrom="paragraph">
                        <wp:posOffset>9525</wp:posOffset>
                      </wp:positionV>
                      <wp:extent cx="887095" cy="474980"/>
                      <wp:effectExtent l="0" t="0" r="8255" b="1270"/>
                      <wp:wrapNone/>
                      <wp:docPr id="52" name="图片_60"/>
                      <wp:cNvGraphicFramePr/>
                      <a:graphic xmlns:a="http://schemas.openxmlformats.org/drawingml/2006/main">
                        <a:graphicData uri="http://schemas.openxmlformats.org/drawingml/2006/picture">
                          <pic:pic xmlns:pic="http://schemas.openxmlformats.org/drawingml/2006/picture">
                            <pic:nvPicPr>
                              <pic:cNvPr id="52" name="图片_60"/>
                              <pic:cNvPicPr/>
                              <pic:nvPr/>
                            </pic:nvPicPr>
                            <pic:blipFill>
                              <a:blip r:embed="rId69"/>
                              <a:stretch/>
                            </pic:blipFill>
                            <pic:spPr bwMode="auto">
                              <a:xfrm>
                                <a:off x="0" y="0"/>
                                <a:ext cx="887095" cy="474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1312;o:allowoverlap:true;o:allowincell:true;mso-position-horizontal-relative:text;margin-left:2.2pt;mso-position-horizontal:absolute;mso-position-vertical-relative:text;margin-top:0.8pt;mso-position-vertical:absolute;width:69.8pt;height:37.4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35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跳高海绵垫底架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1.此产品置于5×3×0.7米跳高海绵垫底部。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2、基本尺寸≧：4.8×2.8×0.1（m）；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3、跳高海绵垫底架由五小块底架通过连接片连接而成。防锈蚀性强，每块底架主要采用不小于口30×20、口20×20㎜方管拼焊组成，焊接牢固，焊缝表面均匀光滑，无虚焊。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4、产品具有耐酸碱、耐湿热、抗老化、外观美观等优点，能适合潮湿和酸雨环境，且前处理过程以及产品涂料配方均不含有毒元素，避免损害使用者的健康。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wp:posOffset>
                      </wp:positionH>
                      <wp:positionV relativeFrom="paragraph">
                        <wp:posOffset>-285115</wp:posOffset>
                      </wp:positionV>
                      <wp:extent cx="939800" cy="707390"/>
                      <wp:effectExtent l="0" t="0" r="13335" b="0"/>
                      <wp:wrapNone/>
                      <wp:docPr id="53" name="图片_61"/>
                      <wp:cNvGraphicFramePr/>
                      <a:graphic xmlns:a="http://schemas.openxmlformats.org/drawingml/2006/main">
                        <a:graphicData uri="http://schemas.openxmlformats.org/drawingml/2006/picture">
                          <pic:pic xmlns:pic="http://schemas.openxmlformats.org/drawingml/2006/picture">
                            <pic:nvPicPr>
                              <pic:cNvPr id="53" name="图片_61"/>
                              <pic:cNvPicPr/>
                              <pic:nvPr/>
                            </pic:nvPicPr>
                            <pic:blipFill>
                              <a:blip r:embed="rId70"/>
                              <a:stretch/>
                            </pic:blipFill>
                            <pic:spPr bwMode="auto">
                              <a:xfrm>
                                <a:off x="0" y="0"/>
                                <a:ext cx="939800" cy="707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1312;o:allowoverlap:true;o:allowincell:true;mso-position-horizontal-relative:text;margin-left:-0.8pt;mso-position-horizontal:absolute;mso-position-vertical-relative:text;margin-top:-22.4pt;mso-position-vertical:absolute;width:74.0pt;height:55.7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10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跳高海绵垫防护棚</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1.基本规格尺寸：≥5.4×3.4×1.08（m）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跳高海绵防护棚主要由顶棚和框架组成，框架采用不小于40×40㎜和不小于40×20㎜焊方管拼装焊接而成，顶棚采用不小于25×25㎜和不小于21×14㎜焊方管拼焊而成。顶棚上面覆盖有彩钢瓦，彩钢瓦上采用铝合金压条压住，用铆钉固定，顶棚设有漏雨槽，能防止漏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3、顶棚由6个顶棚盖组成，顶棚盖与前后、侧面框架之间使用固定块连接。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4、防护棚底部设有滚轮，移动方便。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5、产品具有耐酸碱、耐湿热、抗老化、外观美观等优点，能适合潮湿和酸雨环境，且前处理过程以及产品涂料配方均不含有毒元素，避免损害使用者的健康。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76200</wp:posOffset>
                      </wp:positionH>
                      <wp:positionV relativeFrom="paragraph">
                        <wp:posOffset>0</wp:posOffset>
                      </wp:positionV>
                      <wp:extent cx="868045" cy="474345"/>
                      <wp:effectExtent l="0" t="0" r="8255" b="1905"/>
                      <wp:wrapNone/>
                      <wp:docPr id="54" name="图片_62"/>
                      <wp:cNvGraphicFramePr/>
                      <a:graphic xmlns:a="http://schemas.openxmlformats.org/drawingml/2006/main">
                        <a:graphicData uri="http://schemas.openxmlformats.org/drawingml/2006/picture">
                          <pic:pic xmlns:pic="http://schemas.openxmlformats.org/drawingml/2006/picture">
                            <pic:nvPicPr>
                              <pic:cNvPr id="54" name="图片_62"/>
                              <pic:cNvPicPr/>
                              <pic:nvPr/>
                            </pic:nvPicPr>
                            <pic:blipFill>
                              <a:blip r:embed="rId71"/>
                              <a:stretch/>
                            </pic:blipFill>
                            <pic:spPr bwMode="auto">
                              <a:xfrm>
                                <a:off x="0" y="0"/>
                                <a:ext cx="868045" cy="474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1312;o:allowoverlap:true;o:allowincell:true;mso-position-horizontal-relative:text;margin-left:6.0pt;mso-position-horizontal:absolute;mso-position-vertical-relative:text;margin-top:0.0pt;mso-position-vertical:absolute;width:68.3pt;height:37.4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608"/>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海绵垫</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1.跳高海绵垫主体为重磅发泡海绵（20Kg/M3）。</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2.海绵垫基本尺寸不小于：长x宽x厚=2000x3000x300（mm）。可折叠。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3.海绵垫表面罩有PVC防撕裂布套，套子侧面装有拉链及拉手攀，且四周设有排气孔。</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120650</wp:posOffset>
                      </wp:positionH>
                      <wp:positionV relativeFrom="paragraph">
                        <wp:posOffset>17145</wp:posOffset>
                      </wp:positionV>
                      <wp:extent cx="787400" cy="450215"/>
                      <wp:effectExtent l="0" t="0" r="12700" b="6985"/>
                      <wp:wrapNone/>
                      <wp:docPr id="55" name="图片_63"/>
                      <wp:cNvGraphicFramePr/>
                      <a:graphic xmlns:a="http://schemas.openxmlformats.org/drawingml/2006/main">
                        <a:graphicData uri="http://schemas.openxmlformats.org/drawingml/2006/picture">
                          <pic:pic xmlns:pic="http://schemas.openxmlformats.org/drawingml/2006/picture">
                            <pic:nvPicPr>
                              <pic:cNvPr id="55" name="图片_63"/>
                              <pic:cNvPicPr/>
                              <pic:nvPr/>
                            </pic:nvPicPr>
                            <pic:blipFill>
                              <a:blip r:embed="rId72"/>
                              <a:stretch/>
                            </pic:blipFill>
                            <pic:spPr bwMode="auto">
                              <a:xfrm>
                                <a:off x="0" y="0"/>
                                <a:ext cx="787400" cy="450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1312;o:allowoverlap:true;o:allowincell:true;mso-position-horizontal-relative:text;margin-left:9.5pt;mso-position-horizontal:absolute;mso-position-vertical-relative:text;margin-top:1.3pt;mso-position-vertical:absolute;width:62.0pt;height:35.4pt;mso-wrap-distance-left:9.0pt;mso-wrap-distance-top:0.0pt;mso-wrap-distance-right:9.0pt;mso-wrap-distance-bottom:0.0pt;" stroked="f">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10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跳高横杆</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1.跳高横杆由横杆和横杆接头组成。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2、横杆采用不小于φ30mm的玻璃钢材料制作。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3、跳高横杆总长为4000mm。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4、横杆表面喷黑、黄双色漆，中间段为黑色。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66675</wp:posOffset>
                      </wp:positionH>
                      <wp:positionV relativeFrom="paragraph">
                        <wp:posOffset>-67945</wp:posOffset>
                      </wp:positionV>
                      <wp:extent cx="804545" cy="366395"/>
                      <wp:effectExtent l="0" t="0" r="14604" b="14604"/>
                      <wp:wrapNone/>
                      <wp:docPr id="56" name="图片_64"/>
                      <wp:cNvGraphicFramePr/>
                      <a:graphic xmlns:a="http://schemas.openxmlformats.org/drawingml/2006/main">
                        <a:graphicData uri="http://schemas.openxmlformats.org/drawingml/2006/picture">
                          <pic:pic xmlns:pic="http://schemas.openxmlformats.org/drawingml/2006/picture">
                            <pic:nvPicPr>
                              <pic:cNvPr id="56" name="图片_64"/>
                              <pic:cNvPicPr/>
                              <pic:nvPr/>
                            </pic:nvPicPr>
                            <pic:blipFill>
                              <a:blip r:embed="rId73"/>
                              <a:stretch/>
                            </pic:blipFill>
                            <pic:spPr bwMode="auto">
                              <a:xfrm>
                                <a:off x="0" y="0"/>
                                <a:ext cx="804545" cy="366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1312;o:allowoverlap:true;o:allowincell:true;mso-position-horizontal-relative:text;margin-left:5.2pt;mso-position-horizontal:absolute;mso-position-vertical-relative:text;margin-top:-5.3pt;mso-position-vertical:absolute;width:63.3pt;height:28.8pt;mso-wrap-distance-left:9.0pt;mso-wrap-distance-top:0.0pt;mso-wrap-distance-right:9.0pt;mso-wrap-distance-bottom:0.0pt;" stroked="f">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jc w:val="center"/>
          <w:trHeight w:val="97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跨栏架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1.跨栏架由底座方管、立柱内管、立柱外管、底横杆、调高定位销及跨栏板部分等组成。</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2.栏板为ABS成型材料，可回收，其规格为不小于：1200×70×20（mm）。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立柱外管采用不小于Ф29*1.2mm铝管制成，立柱内管采用不小于Ф25*1.5mm焊管制成，立柱内管内置调高定位销，立柱外管上配置有与其所需高度相对应的高度定位孔，使得调高灵活，定位准确，锁紧可靠。底横杆采用不小于Ф25*1.5mm焊管制成。</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4.底座方管采用不小于Ф60*40*1.5mm焊管制成，内置配重，可调至满足比赛规则的要求。</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5.跨栏架可调高度为762、838、914、991、1067mm。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6.产品具有耐酸碱、耐湿热、抗老化、外观美观等优点，能适合潮湿和酸雨环境，适用于室外使用，且产品涂料配方不含有毒元素，避免损害使用者的健康。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47625</wp:posOffset>
                      </wp:positionH>
                      <wp:positionV relativeFrom="paragraph">
                        <wp:posOffset>102235</wp:posOffset>
                      </wp:positionV>
                      <wp:extent cx="723900" cy="716915"/>
                      <wp:effectExtent l="0" t="0" r="0" b="6985"/>
                      <wp:wrapNone/>
                      <wp:docPr id="57" name="图片_65"/>
                      <wp:cNvGraphicFramePr/>
                      <a:graphic xmlns:a="http://schemas.openxmlformats.org/drawingml/2006/main">
                        <a:graphicData uri="http://schemas.openxmlformats.org/drawingml/2006/picture">
                          <pic:pic xmlns:pic="http://schemas.openxmlformats.org/drawingml/2006/picture">
                            <pic:nvPicPr>
                              <pic:cNvPr id="57" name="图片_65"/>
                              <pic:cNvPicPr/>
                              <pic:nvPr/>
                            </pic:nvPicPr>
                            <pic:blipFill>
                              <a:blip r:embed="rId74"/>
                              <a:stretch/>
                            </pic:blipFill>
                            <pic:spPr bwMode="auto">
                              <a:xfrm>
                                <a:off x="0" y="0"/>
                                <a:ext cx="723900"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1312;o:allowoverlap:true;o:allowincell:true;mso-position-horizontal-relative:text;margin-left:3.8pt;mso-position-horizontal:absolute;mso-position-vertical-relative:text;margin-top:8.0pt;mso-position-vertical:absolute;width:57.0pt;height:56.4pt;mso-wrap-distance-left:9.0pt;mso-wrap-distance-top:0.0pt;mso-wrap-distance-right:9.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r>
      <w:tr>
        <w:trPr>
          <w:jc w:val="center"/>
          <w:trHeight w:val="40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跨栏架搬运车</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1.跨栏架搬运车外形基本尺寸：长×宽×高≥1200×730×1060（㎜）。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2、跨栏架搬运车主要采用不小于φ25×2mm圆管在专用弯管机上弯曲成型后拼焊而成。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3、跨栏架立架和侧栏可折叠，以便运输和存放时减少空间。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4、跨栏架一次可置跨栏不少于10个，且其底架设有尼龙走轮，移动方便。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5、产品具有耐酸碱、耐湿热、抗老化、外观美观等优点，能适合潮湿和酸雨环境，适用于室外使用，且产品涂料配方不含有毒元素，避免损害使用者的健康。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-8255</wp:posOffset>
                      </wp:positionH>
                      <wp:positionV relativeFrom="paragraph">
                        <wp:posOffset>244475</wp:posOffset>
                      </wp:positionV>
                      <wp:extent cx="874395" cy="739140"/>
                      <wp:effectExtent l="0" t="0" r="1905" b="3810"/>
                      <wp:wrapNone/>
                      <wp:docPr id="58" name="图片_66_SpCnt_1"/>
                      <wp:cNvGraphicFramePr/>
                      <a:graphic xmlns:a="http://schemas.openxmlformats.org/drawingml/2006/main">
                        <a:graphicData uri="http://schemas.openxmlformats.org/drawingml/2006/picture">
                          <pic:pic xmlns:pic="http://schemas.openxmlformats.org/drawingml/2006/picture">
                            <pic:nvPicPr>
                              <pic:cNvPr id="58" name="图片_66_SpCnt_1"/>
                              <pic:cNvPicPr/>
                              <pic:nvPr/>
                            </pic:nvPicPr>
                            <pic:blipFill>
                              <a:blip r:embed="rId75"/>
                              <a:stretch/>
                            </pic:blipFill>
                            <pic:spPr bwMode="auto">
                              <a:xfrm>
                                <a:off x="0" y="0"/>
                                <a:ext cx="874395" cy="73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1312;o:allowoverlap:true;o:allowincell:true;mso-position-horizontal-relative:text;margin-left:-0.7pt;mso-position-horizontal:absolute;mso-position-vertical-relative:text;margin-top:19.2pt;mso-position-vertical:absolute;width:68.8pt;height:58.2pt;mso-wrap-distance-left:9.0pt;mso-wrap-distance-top:0.0pt;mso-wrap-distance-right:9.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01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标志旗</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不锈钢海绵手柄，防水布旗面，红色/绿色/白色/黄色。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171450</wp:posOffset>
                      </wp:positionH>
                      <wp:positionV relativeFrom="paragraph">
                        <wp:posOffset>47625</wp:posOffset>
                      </wp:positionV>
                      <wp:extent cx="558800" cy="562610"/>
                      <wp:effectExtent l="0" t="0" r="12700" b="8890"/>
                      <wp:wrapNone/>
                      <wp:docPr id="59" name="图片_67"/>
                      <wp:cNvGraphicFramePr/>
                      <a:graphic xmlns:a="http://schemas.openxmlformats.org/drawingml/2006/main">
                        <a:graphicData uri="http://schemas.openxmlformats.org/drawingml/2006/picture">
                          <pic:pic xmlns:pic="http://schemas.openxmlformats.org/drawingml/2006/picture">
                            <pic:nvPicPr>
                              <pic:cNvPr id="59" name="图片_67"/>
                              <pic:cNvPicPr/>
                              <pic:nvPr/>
                            </pic:nvPicPr>
                            <pic:blipFill>
                              <a:blip r:embed="rId76"/>
                              <a:stretch/>
                            </pic:blipFill>
                            <pic:spPr bwMode="auto">
                              <a:xfrm>
                                <a:off x="0" y="0"/>
                                <a:ext cx="558800"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1312;o:allowoverlap:true;o:allowincell:true;mso-position-horizontal-relative:text;margin-left:13.5pt;mso-position-horizontal:absolute;mso-position-vertical-relative:text;margin-top:3.8pt;mso-position-vertical:absolute;width:44.0pt;height:44.3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r>
      <w:tr>
        <w:trPr>
          <w:jc w:val="center"/>
          <w:trHeight w:val="136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训练背心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4种颜色  各15个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成本款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材料聚酯纤维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带号码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173990</wp:posOffset>
                      </wp:positionH>
                      <wp:positionV relativeFrom="paragraph">
                        <wp:posOffset>53975</wp:posOffset>
                      </wp:positionV>
                      <wp:extent cx="744855" cy="758825"/>
                      <wp:effectExtent l="0" t="0" r="17145" b="3175"/>
                      <wp:wrapNone/>
                      <wp:docPr id="60" name="图片_121"/>
                      <wp:cNvGraphicFramePr/>
                      <a:graphic xmlns:a="http://schemas.openxmlformats.org/drawingml/2006/main">
                        <a:graphicData uri="http://schemas.openxmlformats.org/drawingml/2006/picture">
                          <pic:pic xmlns:pic="http://schemas.openxmlformats.org/drawingml/2006/picture">
                            <pic:nvPicPr>
                              <pic:cNvPr id="60" name="图片_121"/>
                              <pic:cNvPicPr/>
                              <pic:nvPr/>
                            </pic:nvPicPr>
                            <pic:blipFill>
                              <a:blip r:embed="rId77"/>
                              <a:stretch/>
                            </pic:blipFill>
                            <pic:spPr bwMode="auto">
                              <a:xfrm>
                                <a:off x="0" y="0"/>
                                <a:ext cx="744855" cy="758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1312;o:allowoverlap:true;o:allowincell:true;mso-position-horizontal-relative:text;margin-left:13.7pt;mso-position-horizontal:absolute;mso-position-vertical-relative:text;margin-top:4.2pt;mso-position-vertical:absolute;width:58.6pt;height:59.8pt;mso-wrap-distance-left:9.0pt;mso-wrap-distance-top:0.0pt;mso-wrap-distance-right:9.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128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终点裁判台</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1.终点裁判台由两部分组成，可以自由伸缩。当不用时，裁判台收缩，此时，占地面积为不小于长×宽×高≥2500×1720×2200（㎜）；当采用时，裁判台拉伸， 此时占地面积为长×宽×高≥3660×1720×2200（㎜）。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2、裁判台主要采用方管和铁板成型拼焊而成，同时装有轨道槽与滚轮，使裁判台能无滞碍地伸缩。裁判台上设有扶手栏杆，扶手栏杆采用≧Φ32mm、Φ25mm圆管拼焊制作。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3、裁判台上不小于7个踏步，踏步规格不小于：长×宽×高=1600×500×250（㎜）。第一踏步采用方管与花纹铁板，能够防滑；其余踏步上装有无背塑料椅，共不小于16个位置。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4、裁判台上装有支撑脚与走轮，通过手柄控制，移动时，走轮接触地面，简单方便；固定时，由支撑脚接触地面，稳定性好。</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256540</wp:posOffset>
                      </wp:positionV>
                      <wp:extent cx="977265" cy="882650"/>
                      <wp:effectExtent l="0" t="0" r="13335" b="12700"/>
                      <wp:wrapNone/>
                      <wp:docPr id="61" name="图片_120"/>
                      <wp:cNvGraphicFramePr/>
                      <a:graphic xmlns:a="http://schemas.openxmlformats.org/drawingml/2006/main">
                        <a:graphicData uri="http://schemas.openxmlformats.org/drawingml/2006/picture">
                          <pic:pic xmlns:pic="http://schemas.openxmlformats.org/drawingml/2006/picture">
                            <pic:nvPicPr>
                              <pic:cNvPr id="61" name="图片_120"/>
                              <pic:cNvPicPr/>
                              <pic:nvPr/>
                            </pic:nvPicPr>
                            <pic:blipFill>
                              <a:blip r:embed="rId78"/>
                              <a:stretch/>
                            </pic:blipFill>
                            <pic:spPr bwMode="auto">
                              <a:xfrm>
                                <a:off x="0" y="0"/>
                                <a:ext cx="977265" cy="882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1312;o:allowoverlap:true;o:allowincell:true;mso-position-horizontal-relative:text;margin-left:-4.8pt;mso-position-horizontal:absolute;mso-position-vertical-relative:text;margin-top:20.2pt;mso-position-vertical:absolute;width:77.0pt;height:69.5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103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铅球 4KG</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1.基本规格：重量4.005—4.025kg；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2、材料：铸铁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85725</wp:posOffset>
                      </wp:positionH>
                      <wp:positionV relativeFrom="paragraph">
                        <wp:posOffset>-6350</wp:posOffset>
                      </wp:positionV>
                      <wp:extent cx="666750" cy="586105"/>
                      <wp:effectExtent l="0" t="0" r="0" b="4445"/>
                      <wp:wrapNone/>
                      <wp:docPr id="62" name="图片_70"/>
                      <wp:cNvGraphicFramePr/>
                      <a:graphic xmlns:a="http://schemas.openxmlformats.org/drawingml/2006/main">
                        <a:graphicData uri="http://schemas.openxmlformats.org/drawingml/2006/picture">
                          <pic:pic xmlns:pic="http://schemas.openxmlformats.org/drawingml/2006/picture">
                            <pic:nvPicPr>
                              <pic:cNvPr id="62" name="图片_70"/>
                              <pic:cNvPicPr/>
                              <pic:nvPr/>
                            </pic:nvPicPr>
                            <pic:blipFill>
                              <a:blip r:embed="rId79"/>
                              <a:stretch/>
                            </pic:blipFill>
                            <pic:spPr bwMode="auto">
                              <a:xfrm>
                                <a:off x="0" y="0"/>
                                <a:ext cx="666750" cy="586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1312;o:allowoverlap:true;o:allowincell:true;mso-position-horizontal-relative:text;margin-left:6.8pt;mso-position-horizontal:absolute;mso-position-vertical-relative:text;margin-top:-0.5pt;mso-position-vertical:absolute;width:52.5pt;height:46.1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96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铅球 5KG</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1.基本规格：重量5.005—5.025kg；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2、材料：铸铁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123825</wp:posOffset>
                      </wp:positionH>
                      <wp:positionV relativeFrom="paragraph">
                        <wp:posOffset>22225</wp:posOffset>
                      </wp:positionV>
                      <wp:extent cx="666750" cy="576580"/>
                      <wp:effectExtent l="0" t="0" r="0" b="13970"/>
                      <wp:wrapNone/>
                      <wp:docPr id="63" name="图片_28"/>
                      <wp:cNvGraphicFramePr/>
                      <a:graphic xmlns:a="http://schemas.openxmlformats.org/drawingml/2006/main">
                        <a:graphicData uri="http://schemas.openxmlformats.org/drawingml/2006/picture">
                          <pic:pic xmlns:pic="http://schemas.openxmlformats.org/drawingml/2006/picture">
                            <pic:nvPicPr>
                              <pic:cNvPr id="63" name="图片_28"/>
                              <pic:cNvPicPr/>
                              <pic:nvPr/>
                            </pic:nvPicPr>
                            <pic:blipFill>
                              <a:blip r:embed="rId79"/>
                              <a:stretch/>
                            </pic:blipFill>
                            <pic:spPr bwMode="auto">
                              <a:xfrm>
                                <a:off x="0" y="0"/>
                                <a:ext cx="666750" cy="576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1312;o:allowoverlap:true;o:allowincell:true;mso-position-horizontal-relative:text;margin-left:9.8pt;mso-position-horizontal:absolute;mso-position-vertical-relative:text;margin-top:1.8pt;mso-position-vertical:absolute;width:52.5pt;height:45.4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97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铅球 6KG</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1.基本规格：重量6.005—6.025kg；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2、材料：铸铁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114300</wp:posOffset>
                      </wp:positionH>
                      <wp:positionV relativeFrom="paragraph">
                        <wp:posOffset>36830</wp:posOffset>
                      </wp:positionV>
                      <wp:extent cx="666750" cy="576580"/>
                      <wp:effectExtent l="0" t="0" r="0" b="13970"/>
                      <wp:wrapNone/>
                      <wp:docPr id="64" name="图片_28"/>
                      <wp:cNvGraphicFramePr/>
                      <a:graphic xmlns:a="http://schemas.openxmlformats.org/drawingml/2006/main">
                        <a:graphicData uri="http://schemas.openxmlformats.org/drawingml/2006/picture">
                          <pic:pic xmlns:pic="http://schemas.openxmlformats.org/drawingml/2006/picture">
                            <pic:nvPicPr>
                              <pic:cNvPr id="64" name="图片_28"/>
                              <pic:cNvPicPr/>
                              <pic:nvPr/>
                            </pic:nvPicPr>
                            <pic:blipFill>
                              <a:blip r:embed="rId79"/>
                              <a:stretch/>
                            </pic:blipFill>
                            <pic:spPr bwMode="auto">
                              <a:xfrm>
                                <a:off x="0" y="0"/>
                                <a:ext cx="666750" cy="576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3360;o:allowoverlap:true;o:allowincell:true;mso-position-horizontal-relative:text;margin-left:9.0pt;mso-position-horizontal:absolute;mso-position-vertical-relative:text;margin-top:2.9pt;mso-position-vertical:absolute;width:52.5pt;height:45.4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998"/>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铅球 7.26KG</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1.基本规格：重量7.265—7.285kg；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2、材料：铸铁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85725</wp:posOffset>
                      </wp:positionH>
                      <wp:positionV relativeFrom="paragraph">
                        <wp:posOffset>6350</wp:posOffset>
                      </wp:positionV>
                      <wp:extent cx="666750" cy="576580"/>
                      <wp:effectExtent l="0" t="0" r="0" b="13970"/>
                      <wp:wrapNone/>
                      <wp:docPr id="65" name="图片_41"/>
                      <wp:cNvGraphicFramePr/>
                      <a:graphic xmlns:a="http://schemas.openxmlformats.org/drawingml/2006/main">
                        <a:graphicData uri="http://schemas.openxmlformats.org/drawingml/2006/picture">
                          <pic:pic xmlns:pic="http://schemas.openxmlformats.org/drawingml/2006/picture">
                            <pic:nvPicPr>
                              <pic:cNvPr id="65" name="图片_41"/>
                              <pic:cNvPicPr/>
                              <pic:nvPr/>
                            </pic:nvPicPr>
                            <pic:blipFill>
                              <a:blip r:embed="rId79"/>
                              <a:stretch/>
                            </pic:blipFill>
                            <pic:spPr bwMode="auto">
                              <a:xfrm>
                                <a:off x="0" y="0"/>
                                <a:ext cx="666750" cy="576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1312;o:allowoverlap:true;o:allowincell:true;mso-position-horizontal-relative:text;margin-left:6.8pt;mso-position-horizontal:absolute;mso-position-vertical-relative:text;margin-top:0.5pt;mso-position-vertical:absolute;width:52.5pt;height:45.4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35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角旗</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1.角旗由旗杆、旗面和预埋件组成。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角旗旗杆采用不小于￠31.5×2mm玻璃钢圆管制成，旗杆顶端口用塑料封盖封顶，旗杆底部套有弹簧，设有限位孔，不易脱落。旗面选用的涤纶布料制作。角旗旗面规格：500×400（㎜），采用黄色旗布，边缘折边5mm，埋头对折，旗套下边缘缝有黄色旗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3、角旗预埋件采用不小于φ32×2热镀锌管制作，底部铁板封口，设有漏水孔，顶部有不小于螺纹套，方便连接旗杆。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4、角旗使用时，将旗杆拧进预埋件顶部的螺纹孔中即可。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285750</wp:posOffset>
                      </wp:positionH>
                      <wp:positionV relativeFrom="paragraph">
                        <wp:posOffset>-74930</wp:posOffset>
                      </wp:positionV>
                      <wp:extent cx="351790" cy="1132840"/>
                      <wp:effectExtent l="0" t="0" r="10160" b="10160"/>
                      <wp:wrapNone/>
                      <wp:docPr id="66" name="图片_71"/>
                      <wp:cNvGraphicFramePr/>
                      <a:graphic xmlns:a="http://schemas.openxmlformats.org/drawingml/2006/main">
                        <a:graphicData uri="http://schemas.openxmlformats.org/drawingml/2006/picture">
                          <pic:pic xmlns:pic="http://schemas.openxmlformats.org/drawingml/2006/picture">
                            <pic:nvPicPr>
                              <pic:cNvPr id="66" name="图片_71"/>
                              <pic:cNvPicPr/>
                              <pic:nvPr/>
                            </pic:nvPicPr>
                            <pic:blipFill>
                              <a:blip r:embed="rId80"/>
                              <a:stretch/>
                            </pic:blipFill>
                            <pic:spPr bwMode="auto">
                              <a:xfrm>
                                <a:off x="0" y="0"/>
                                <a:ext cx="351790" cy="1132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1312;o:allowoverlap:true;o:allowincell:true;mso-position-horizontal-relative:text;margin-left:22.5pt;mso-position-horizontal:absolute;mso-position-vertical-relative:text;margin-top:-5.9pt;mso-position-vertical:absolute;width:27.7pt;height:89.2pt;mso-wrap-distance-left:9.0pt;mso-wrap-distance-top:0.0pt;mso-wrap-distance-right:9.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jc w:val="center"/>
          <w:trHeight w:val="110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7.球类</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比赛篮球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标准7号球，材质为均衡颗粒PU皮，丁基内胆气密性强，耐磨防滑，重量567克—650克。</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123825</wp:posOffset>
                      </wp:positionH>
                      <wp:positionV relativeFrom="paragraph">
                        <wp:posOffset>9525</wp:posOffset>
                      </wp:positionV>
                      <wp:extent cx="678815" cy="654050"/>
                      <wp:effectExtent l="0" t="0" r="6985" b="12700"/>
                      <wp:wrapNone/>
                      <wp:docPr id="67" name="图片_72"/>
                      <wp:cNvGraphicFramePr/>
                      <a:graphic xmlns:a="http://schemas.openxmlformats.org/drawingml/2006/main">
                        <a:graphicData uri="http://schemas.openxmlformats.org/drawingml/2006/picture">
                          <pic:pic xmlns:pic="http://schemas.openxmlformats.org/drawingml/2006/picture">
                            <pic:nvPicPr>
                              <pic:cNvPr id="67" name="图片_72"/>
                              <pic:cNvPicPr/>
                              <pic:nvPr/>
                            </pic:nvPicPr>
                            <pic:blipFill>
                              <a:blip r:embed="rId81"/>
                              <a:stretch/>
                            </pic:blipFill>
                            <pic:spPr bwMode="auto">
                              <a:xfrm>
                                <a:off x="0" y="0"/>
                                <a:ext cx="678814" cy="654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1312;o:allowoverlap:true;o:allowincell:true;mso-position-horizontal-relative:text;margin-left:9.8pt;mso-position-horizontal:absolute;mso-position-vertical-relative:text;margin-top:0.8pt;mso-position-vertical:absolute;width:53.4pt;height:51.5pt;mso-wrap-distance-left:9.0pt;mso-wrap-distance-top:0.0pt;mso-wrap-distance-right:9.0pt;mso-wrap-distance-bottom:0.0pt;" stroked="f">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jc w:val="center"/>
          <w:trHeight w:val="111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篮球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标准7号球，材质为均衡颗粒PU皮，丁基内胆气密性强，耐磨防滑，重量600克—650克。</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104775</wp:posOffset>
                      </wp:positionH>
                      <wp:positionV relativeFrom="paragraph">
                        <wp:posOffset>47625</wp:posOffset>
                      </wp:positionV>
                      <wp:extent cx="674370" cy="648335"/>
                      <wp:effectExtent l="0" t="0" r="11430" b="18415"/>
                      <wp:wrapNone/>
                      <wp:docPr id="68" name="图片_73"/>
                      <wp:cNvGraphicFramePr/>
                      <a:graphic xmlns:a="http://schemas.openxmlformats.org/drawingml/2006/main">
                        <a:graphicData uri="http://schemas.openxmlformats.org/drawingml/2006/picture">
                          <pic:pic xmlns:pic="http://schemas.openxmlformats.org/drawingml/2006/picture">
                            <pic:nvPicPr>
                              <pic:cNvPr id="68" name="图片_73"/>
                              <pic:cNvPicPr/>
                              <pic:nvPr/>
                            </pic:nvPicPr>
                            <pic:blipFill>
                              <a:blip r:embed="rId82"/>
                              <a:stretch/>
                            </pic:blipFill>
                            <pic:spPr bwMode="auto">
                              <a:xfrm>
                                <a:off x="0" y="0"/>
                                <a:ext cx="674370" cy="648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1312;o:allowoverlap:true;o:allowincell:true;mso-position-horizontal-relative:text;margin-left:8.2pt;mso-position-horizontal:absolute;mso-position-vertical-relative:text;margin-top:3.8pt;mso-position-vertical:absolute;width:53.1pt;height:51.0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r>
      <w:tr>
        <w:trPr>
          <w:jc w:val="center"/>
          <w:trHeight w:val="87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篮球网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白色，不少于12扣。</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-8890</wp:posOffset>
                      </wp:positionH>
                      <wp:positionV relativeFrom="paragraph">
                        <wp:posOffset>53340</wp:posOffset>
                      </wp:positionV>
                      <wp:extent cx="834390" cy="476250"/>
                      <wp:effectExtent l="0" t="0" r="3810" b="0"/>
                      <wp:wrapNone/>
                      <wp:docPr id="69" name="图片_74"/>
                      <wp:cNvGraphicFramePr/>
                      <a:graphic xmlns:a="http://schemas.openxmlformats.org/drawingml/2006/main">
                        <a:graphicData uri="http://schemas.openxmlformats.org/drawingml/2006/picture">
                          <pic:pic xmlns:pic="http://schemas.openxmlformats.org/drawingml/2006/picture">
                            <pic:nvPicPr>
                              <pic:cNvPr id="69" name="图片_74"/>
                              <pic:cNvPicPr/>
                              <pic:nvPr/>
                            </pic:nvPicPr>
                            <pic:blipFill>
                              <a:blip r:embed="rId83"/>
                              <a:stretch/>
                            </pic:blipFill>
                            <pic:spPr bwMode="auto">
                              <a:xfrm>
                                <a:off x="0" y="0"/>
                                <a:ext cx="83439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1312;o:allowoverlap:true;o:allowincell:true;mso-position-horizontal-relative:text;margin-left:-0.7pt;mso-position-horizontal:absolute;mso-position-vertical-relative:text;margin-top:4.2pt;mso-position-vertical:absolute;width:65.7pt;height:37.5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网球网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高1.07米*长12.7米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上沿白色PVC布两侧及下沿黑色坛白布不大于46x46mm正方形网眼</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wp:posOffset>
                      </wp:positionH>
                      <wp:positionV relativeFrom="paragraph">
                        <wp:posOffset>0</wp:posOffset>
                      </wp:positionV>
                      <wp:extent cx="908050" cy="696595"/>
                      <wp:effectExtent l="0" t="0" r="6350" b="8255"/>
                      <wp:wrapNone/>
                      <wp:docPr id="70" name="图片_8"/>
                      <wp:cNvGraphicFramePr/>
                      <a:graphic xmlns:a="http://schemas.openxmlformats.org/drawingml/2006/main">
                        <a:graphicData uri="http://schemas.openxmlformats.org/drawingml/2006/picture">
                          <pic:pic xmlns:pic="http://schemas.openxmlformats.org/drawingml/2006/picture">
                            <pic:nvPicPr>
                              <pic:cNvPr id="70" name="图片_8"/>
                              <pic:cNvPicPr/>
                              <pic:nvPr/>
                            </pic:nvPicPr>
                            <pic:blipFill>
                              <a:blip r:embed="rId84"/>
                              <a:stretch/>
                            </pic:blipFill>
                            <pic:spPr bwMode="auto">
                              <a:xfrm>
                                <a:off x="0" y="0"/>
                                <a:ext cx="908050" cy="696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1312;o:allowoverlap:true;o:allowincell:true;mso-position-horizontal-relative:text;margin-left:0.1pt;mso-position-horizontal:absolute;mso-position-vertical-relative:text;margin-top:0.0pt;mso-position-vertical:absolute;width:71.5pt;height:54.8pt;mso-wrap-distance-left:9.0pt;mso-wrap-distance-top:0.0pt;mso-wrap-distance-right:9.0pt;mso-wrap-distance-bottom:0.0pt;" stroked="f">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11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排球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外层柔软PU表皮，手感舒适，回弹性好。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材质：PU丁基内胆，耐磨。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细致严密气嘴，标注正常气压值范围。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要求机缝车线工艺，排球稳固性好</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wp:posOffset>
                      </wp:positionH>
                      <wp:positionV relativeFrom="paragraph">
                        <wp:posOffset>38100</wp:posOffset>
                      </wp:positionV>
                      <wp:extent cx="736600" cy="710565"/>
                      <wp:effectExtent l="0" t="0" r="6350" b="13335"/>
                      <wp:wrapNone/>
                      <wp:docPr id="71" name="图片_75"/>
                      <wp:cNvGraphicFramePr/>
                      <a:graphic xmlns:a="http://schemas.openxmlformats.org/drawingml/2006/main">
                        <a:graphicData uri="http://schemas.openxmlformats.org/drawingml/2006/picture">
                          <pic:pic xmlns:pic="http://schemas.openxmlformats.org/drawingml/2006/picture">
                            <pic:nvPicPr>
                              <pic:cNvPr id="71" name="图片_75"/>
                              <pic:cNvPicPr/>
                              <pic:nvPr/>
                            </pic:nvPicPr>
                            <pic:blipFill>
                              <a:blip r:embed="rId85"/>
                              <a:stretch/>
                            </pic:blipFill>
                            <pic:spPr bwMode="auto">
                              <a:xfrm>
                                <a:off x="0" y="0"/>
                                <a:ext cx="736600" cy="710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1312;o:allowoverlap:true;o:allowincell:true;mso-position-horizontal-relative:text;margin-left:0.8pt;mso-position-horizontal:absolute;mso-position-vertical-relative:text;margin-top:3.0pt;mso-position-vertical:absolute;width:58.0pt;height:55.9pt;mso-wrap-distance-left:9.0pt;mso-wrap-distance-top:0.0pt;mso-wrap-distance-right:9.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1228"/>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排球网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网长：9.5*1米，耐用耐磨，不易损坏。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材质为尼龙绳编织。</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0</wp:posOffset>
                      </wp:positionV>
                      <wp:extent cx="804545" cy="767080"/>
                      <wp:effectExtent l="0" t="0" r="14604" b="13970"/>
                      <wp:wrapNone/>
                      <wp:docPr id="72" name="图片_76"/>
                      <wp:cNvGraphicFramePr/>
                      <a:graphic xmlns:a="http://schemas.openxmlformats.org/drawingml/2006/main">
                        <a:graphicData uri="http://schemas.openxmlformats.org/drawingml/2006/picture">
                          <pic:pic xmlns:pic="http://schemas.openxmlformats.org/drawingml/2006/picture">
                            <pic:nvPicPr>
                              <pic:cNvPr id="72" name="图片_76"/>
                              <pic:cNvPicPr/>
                              <pic:nvPr/>
                            </pic:nvPicPr>
                            <pic:blipFill>
                              <a:blip r:embed="rId86"/>
                              <a:stretch/>
                            </pic:blipFill>
                            <pic:spPr bwMode="auto">
                              <a:xfrm>
                                <a:off x="0" y="0"/>
                                <a:ext cx="804545" cy="7670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1312;o:allowoverlap:true;o:allowincell:true;mso-position-horizontal-relative:text;margin-left:4.5pt;mso-position-horizontal:absolute;mso-position-vertical-relative:text;margin-top:0.0pt;mso-position-vertical:absolute;width:63.3pt;height:60.4pt;mso-wrap-distance-left:9.0pt;mso-wrap-distance-top:0.0pt;mso-wrap-distance-right:9.0pt;mso-wrap-distance-bottom:0.0pt;" stroked="f">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7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排球标志杆</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玻璃钢材质，不易变形。</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50165</wp:posOffset>
                      </wp:positionV>
                      <wp:extent cx="858520" cy="219075"/>
                      <wp:effectExtent l="0" t="0" r="17780" b="9525"/>
                      <wp:wrapNone/>
                      <wp:docPr id="73" name="图片_77"/>
                      <wp:cNvGraphicFramePr/>
                      <a:graphic xmlns:a="http://schemas.openxmlformats.org/drawingml/2006/main">
                        <a:graphicData uri="http://schemas.openxmlformats.org/drawingml/2006/picture">
                          <pic:pic xmlns:pic="http://schemas.openxmlformats.org/drawingml/2006/picture">
                            <pic:nvPicPr>
                              <pic:cNvPr id="73" name="图片_77"/>
                              <pic:cNvPicPr/>
                              <pic:nvPr/>
                            </pic:nvPicPr>
                            <pic:blipFill>
                              <a:blip r:embed="rId87"/>
                              <a:stretch/>
                            </pic:blipFill>
                            <pic:spPr bwMode="auto">
                              <a:xfrm>
                                <a:off x="0" y="0"/>
                                <a:ext cx="858520" cy="2190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1312;o:allowoverlap:true;o:allowincell:true;mso-position-horizontal-relative:text;margin-left:0.0pt;mso-position-horizontal:absolute;mso-position-vertical-relative:text;margin-top:3.9pt;mso-position-vertical:absolute;width:67.6pt;height:17.2pt;mso-wrap-distance-left:9.0pt;mso-wrap-distance-top:0.0pt;mso-wrap-distance-right:9.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85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排球标志带</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白色，长度1米，宽度0.05米。</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39370</wp:posOffset>
                      </wp:positionV>
                      <wp:extent cx="895985" cy="520065"/>
                      <wp:effectExtent l="0" t="0" r="18415" b="13335"/>
                      <wp:wrapNone/>
                      <wp:docPr id="74" name="图片_78"/>
                      <wp:cNvGraphicFramePr/>
                      <a:graphic xmlns:a="http://schemas.openxmlformats.org/drawingml/2006/main">
                        <a:graphicData uri="http://schemas.openxmlformats.org/drawingml/2006/picture">
                          <pic:pic xmlns:pic="http://schemas.openxmlformats.org/drawingml/2006/picture">
                            <pic:nvPicPr>
                              <pic:cNvPr id="74" name="图片_78"/>
                              <pic:cNvPicPr/>
                              <pic:nvPr/>
                            </pic:nvPicPr>
                            <pic:blipFill>
                              <a:blip r:embed="rId88"/>
                              <a:stretch/>
                            </pic:blipFill>
                            <pic:spPr bwMode="auto">
                              <a:xfrm>
                                <a:off x="0" y="0"/>
                                <a:ext cx="895985" cy="5200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1312;o:allowoverlap:true;o:allowincell:true;mso-position-horizontal-relative:text;margin-left:0.0pt;mso-position-horizontal:absolute;mso-position-vertical-relative:text;margin-top:3.1pt;mso-position-vertical:absolute;width:70.5pt;height:40.9pt;mso-wrap-distance-left:9.0pt;mso-wrap-distance-top:0.0pt;mso-wrap-distance-right:9.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12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足球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5号，材质：PU，丁基内胆，耐磨。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123825</wp:posOffset>
                      </wp:positionH>
                      <wp:positionV relativeFrom="paragraph">
                        <wp:posOffset>19050</wp:posOffset>
                      </wp:positionV>
                      <wp:extent cx="669290" cy="697865"/>
                      <wp:effectExtent l="0" t="0" r="16510" b="6985"/>
                      <wp:wrapNone/>
                      <wp:docPr id="75" name="图片_79"/>
                      <wp:cNvGraphicFramePr/>
                      <a:graphic xmlns:a="http://schemas.openxmlformats.org/drawingml/2006/main">
                        <a:graphicData uri="http://schemas.openxmlformats.org/drawingml/2006/picture">
                          <pic:pic xmlns:pic="http://schemas.openxmlformats.org/drawingml/2006/picture">
                            <pic:nvPicPr>
                              <pic:cNvPr id="75" name="图片_79"/>
                              <pic:cNvPicPr/>
                              <pic:nvPr/>
                            </pic:nvPicPr>
                            <pic:blipFill>
                              <a:blip r:embed="rId89"/>
                              <a:stretch/>
                            </pic:blipFill>
                            <pic:spPr bwMode="auto">
                              <a:xfrm>
                                <a:off x="0" y="0"/>
                                <a:ext cx="669290" cy="697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1312;o:allowoverlap:true;o:allowincell:true;mso-position-horizontal-relative:text;margin-left:9.8pt;mso-position-horizontal:absolute;mso-position-vertical-relative:text;margin-top:1.5pt;mso-position-vertical:absolute;width:52.7pt;height:54.9pt;mso-wrap-distance-left:9.0pt;mso-wrap-distance-top:0.0pt;mso-wrap-distance-right:9.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250</w:t>
            </w:r>
            <w:r/>
          </w:p>
        </w:tc>
      </w:tr>
      <w:tr>
        <w:trPr>
          <w:jc w:val="center"/>
          <w:trHeight w:val="240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足球（比赛）</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1.圆周680—710mm，圆周差5mm。质量315—405g。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2、球面材料采用1.2mm厚的PU材料缝制，缝制过程不漏线不变形。橡胶内胆，含胶量35%，衬布用3层2*2帆布乳胶压制而成。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3、球充气静置24h后圆周下降15%。反弹高度：中学用足球1050—1450mm, 小学用足球1100—1400mm。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66675</wp:posOffset>
                      </wp:positionH>
                      <wp:positionV relativeFrom="paragraph">
                        <wp:posOffset>9525</wp:posOffset>
                      </wp:positionV>
                      <wp:extent cx="762000" cy="807720"/>
                      <wp:effectExtent l="0" t="0" r="0" b="11430"/>
                      <wp:wrapNone/>
                      <wp:docPr id="76" name="图片_80"/>
                      <wp:cNvGraphicFramePr/>
                      <a:graphic xmlns:a="http://schemas.openxmlformats.org/drawingml/2006/main">
                        <a:graphicData uri="http://schemas.openxmlformats.org/drawingml/2006/picture">
                          <pic:pic xmlns:pic="http://schemas.openxmlformats.org/drawingml/2006/picture">
                            <pic:nvPicPr>
                              <pic:cNvPr id="76" name="图片_80"/>
                              <pic:cNvPicPr/>
                              <pic:nvPr/>
                            </pic:nvPicPr>
                            <pic:blipFill>
                              <a:blip r:embed="rId90"/>
                              <a:stretch/>
                            </pic:blipFill>
                            <pic:spPr bwMode="auto">
                              <a:xfrm>
                                <a:off x="0" y="0"/>
                                <a:ext cx="762000" cy="807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1312;o:allowoverlap:true;o:allowincell:true;mso-position-horizontal-relative:text;margin-left:5.2pt;mso-position-horizontal:absolute;mso-position-vertical-relative:text;margin-top:0.8pt;mso-position-vertical:absolute;width:60.0pt;height:63.6pt;mso-wrap-distance-left:9.0pt;mso-wrap-distance-top:0.0pt;mso-wrap-distance-right:9.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11人制标准足球网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尼龙编织网，方孔，耐用耐磨，和11人制球门配套。</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wp:posOffset>
                      </wp:positionH>
                      <wp:positionV relativeFrom="paragraph">
                        <wp:posOffset>47625</wp:posOffset>
                      </wp:positionV>
                      <wp:extent cx="882650" cy="610870"/>
                      <wp:effectExtent l="0" t="0" r="12700" b="17780"/>
                      <wp:wrapNone/>
                      <wp:docPr id="77" name="图片_81"/>
                      <wp:cNvGraphicFramePr/>
                      <a:graphic xmlns:a="http://schemas.openxmlformats.org/drawingml/2006/main">
                        <a:graphicData uri="http://schemas.openxmlformats.org/drawingml/2006/picture">
                          <pic:pic xmlns:pic="http://schemas.openxmlformats.org/drawingml/2006/picture">
                            <pic:nvPicPr>
                              <pic:cNvPr id="77" name="图片_81"/>
                              <pic:cNvPicPr/>
                              <pic:nvPr/>
                            </pic:nvPicPr>
                            <pic:blipFill>
                              <a:blip r:embed="rId91"/>
                              <a:stretch/>
                            </pic:blipFill>
                            <pic:spPr bwMode="auto">
                              <a:xfrm>
                                <a:off x="0" y="0"/>
                                <a:ext cx="882650" cy="610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1312;o:allowoverlap:true;o:allowincell:true;mso-position-horizontal-relative:text;margin-left:2.2pt;mso-position-horizontal:absolute;mso-position-vertical-relative:text;margin-top:3.8pt;mso-position-vertical:absolute;width:69.5pt;height:48.1pt;mso-wrap-distance-left:9.0pt;mso-wrap-distance-top:0.0pt;mso-wrap-distance-right:9.0pt;mso-wrap-distance-bottom:0.0pt;" stroked="f">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01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7人制足球网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尼龙编织网，方孔，耐用耐磨，和7人制足球门配套。</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47625</wp:posOffset>
                      </wp:positionV>
                      <wp:extent cx="827405" cy="572135"/>
                      <wp:effectExtent l="0" t="0" r="10795" b="18415"/>
                      <wp:wrapNone/>
                      <wp:docPr id="78" name="图片_82"/>
                      <wp:cNvGraphicFramePr/>
                      <a:graphic xmlns:a="http://schemas.openxmlformats.org/drawingml/2006/main">
                        <a:graphicData uri="http://schemas.openxmlformats.org/drawingml/2006/picture">
                          <pic:pic xmlns:pic="http://schemas.openxmlformats.org/drawingml/2006/picture">
                            <pic:nvPicPr>
                              <pic:cNvPr id="78" name="图片_82"/>
                              <pic:cNvPicPr/>
                              <pic:nvPr/>
                            </pic:nvPicPr>
                            <pic:blipFill>
                              <a:blip r:embed="rId92"/>
                              <a:stretch/>
                            </pic:blipFill>
                            <pic:spPr bwMode="auto">
                              <a:xfrm>
                                <a:off x="0" y="0"/>
                                <a:ext cx="827405" cy="572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1312;o:allowoverlap:true;o:allowincell:true;mso-position-horizontal-relative:text;margin-left:4.5pt;mso-position-horizontal:absolute;mso-position-vertical-relative:text;margin-top:3.8pt;mso-position-vertical:absolute;width:65.1pt;height:45.0pt;mso-wrap-distance-left:9.0pt;mso-wrap-distance-top:0.0pt;mso-wrap-distance-right:9.0pt;mso-wrap-distance-bottom:0.0pt;" stroked="f">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109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铝合金材质，手持式轻便。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190500</wp:posOffset>
                      </wp:positionH>
                      <wp:positionV relativeFrom="paragraph">
                        <wp:posOffset>47625</wp:posOffset>
                      </wp:positionV>
                      <wp:extent cx="424180" cy="633095"/>
                      <wp:effectExtent l="0" t="0" r="13970" b="14604"/>
                      <wp:wrapNone/>
                      <wp:docPr id="79" name="图片_83"/>
                      <wp:cNvGraphicFramePr/>
                      <a:graphic xmlns:a="http://schemas.openxmlformats.org/drawingml/2006/main">
                        <a:graphicData uri="http://schemas.openxmlformats.org/drawingml/2006/picture">
                          <pic:pic xmlns:pic="http://schemas.openxmlformats.org/drawingml/2006/picture">
                            <pic:nvPicPr>
                              <pic:cNvPr id="79" name="图片_83"/>
                              <pic:cNvPicPr/>
                              <pic:nvPr/>
                            </pic:nvPicPr>
                            <pic:blipFill>
                              <a:blip r:embed="rId93"/>
                              <a:stretch/>
                            </pic:blipFill>
                            <pic:spPr bwMode="auto">
                              <a:xfrm>
                                <a:off x="0" y="0"/>
                                <a:ext cx="424180" cy="633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1312;o:allowoverlap:true;o:allowincell:true;mso-position-horizontal-relative:text;margin-left:15.0pt;mso-position-horizontal:absolute;mso-position-vertical-relative:text;margin-top:3.8pt;mso-position-vertical:absolute;width:33.4pt;height:49.8pt;mso-wrap-distance-left:9.0pt;mso-wrap-distance-top:0.0pt;mso-wrap-distance-right:9.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132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充气泵</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手提式，排气压力0.8Mpa，容积流量0.1M3/min，储气罐容积30L，功率550W，电源220V/50HZ，电流7.5A，带滚轮移动方便，配吹枪，气管，气针。</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95885</wp:posOffset>
                      </wp:positionH>
                      <wp:positionV relativeFrom="paragraph">
                        <wp:posOffset>48895</wp:posOffset>
                      </wp:positionV>
                      <wp:extent cx="691515" cy="703580"/>
                      <wp:effectExtent l="0" t="0" r="13335" b="1270"/>
                      <wp:wrapNone/>
                      <wp:docPr id="80" name="图片_314"/>
                      <wp:cNvGraphicFramePr/>
                      <a:graphic xmlns:a="http://schemas.openxmlformats.org/drawingml/2006/main">
                        <a:graphicData uri="http://schemas.openxmlformats.org/drawingml/2006/picture">
                          <pic:pic xmlns:pic="http://schemas.openxmlformats.org/drawingml/2006/picture">
                            <pic:nvPicPr>
                              <pic:cNvPr id="80" name="图片_314"/>
                              <pic:cNvPicPr/>
                              <pic:nvPr/>
                            </pic:nvPicPr>
                            <pic:blipFill>
                              <a:blip r:embed="rId94"/>
                              <a:stretch/>
                            </pic:blipFill>
                            <pic:spPr bwMode="auto">
                              <a:xfrm>
                                <a:off x="0" y="0"/>
                                <a:ext cx="691515" cy="70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1312;o:allowoverlap:true;o:allowincell:true;mso-position-horizontal-relative:text;margin-left:7.5pt;mso-position-horizontal:absolute;mso-position-vertical-relative:text;margin-top:3.8pt;mso-position-vertical:absolute;width:54.4pt;height:55.4pt;mso-wrap-distance-left:9.0pt;mso-wrap-distance-top:0.0pt;mso-wrap-distance-right:9.0pt;mso-wrap-distance-bottom:0.0pt;" stroked="f">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96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纯木底板，双面高弹性双反胶</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123825</wp:posOffset>
                      </wp:positionH>
                      <wp:positionV relativeFrom="paragraph">
                        <wp:posOffset>28575</wp:posOffset>
                      </wp:positionV>
                      <wp:extent cx="692150" cy="577850"/>
                      <wp:effectExtent l="0" t="0" r="12700" b="12700"/>
                      <wp:wrapNone/>
                      <wp:docPr id="81" name="图片_85"/>
                      <wp:cNvGraphicFramePr/>
                      <a:graphic xmlns:a="http://schemas.openxmlformats.org/drawingml/2006/main">
                        <a:graphicData uri="http://schemas.openxmlformats.org/drawingml/2006/picture">
                          <pic:pic xmlns:pic="http://schemas.openxmlformats.org/drawingml/2006/picture">
                            <pic:nvPicPr>
                              <pic:cNvPr id="81" name="图片_85"/>
                              <pic:cNvPicPr/>
                              <pic:nvPr/>
                            </pic:nvPicPr>
                            <pic:blipFill>
                              <a:blip r:embed="rId95"/>
                              <a:stretch/>
                            </pic:blipFill>
                            <pic:spPr bwMode="auto">
                              <a:xfrm>
                                <a:off x="0" y="0"/>
                                <a:ext cx="692150" cy="577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1312;o:allowoverlap:true;o:allowincell:true;mso-position-horizontal-relative:text;margin-left:9.8pt;mso-position-horizontal:absolute;mso-position-vertical-relative:text;margin-top:2.2pt;mso-position-vertical:absolute;width:54.5pt;height:45.5pt;mso-wrap-distance-left:9.0pt;mso-wrap-distance-top:0.0pt;mso-wrap-distance-right:9.0pt;mso-wrap-distance-bottom:0.0pt;" stroked="f">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r>
      <w:tr>
        <w:trPr>
          <w:jc w:val="center"/>
          <w:trHeight w:val="98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乒乓网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材质：聚乙烯机织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尺寸：1800x152.5(+10MM)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76200</wp:posOffset>
                      </wp:positionH>
                      <wp:positionV relativeFrom="paragraph">
                        <wp:posOffset>47625</wp:posOffset>
                      </wp:positionV>
                      <wp:extent cx="713740" cy="520065"/>
                      <wp:effectExtent l="0" t="0" r="10160" b="13335"/>
                      <wp:wrapNone/>
                      <wp:docPr id="82" name="图片_86"/>
                      <wp:cNvGraphicFramePr/>
                      <a:graphic xmlns:a="http://schemas.openxmlformats.org/drawingml/2006/main">
                        <a:graphicData uri="http://schemas.openxmlformats.org/drawingml/2006/picture">
                          <pic:pic xmlns:pic="http://schemas.openxmlformats.org/drawingml/2006/picture">
                            <pic:nvPicPr>
                              <pic:cNvPr id="82" name="图片_86"/>
                              <pic:cNvPicPr/>
                              <pic:nvPr/>
                            </pic:nvPicPr>
                            <pic:blipFill>
                              <a:blip r:embed="rId96"/>
                              <a:stretch/>
                            </pic:blipFill>
                            <pic:spPr bwMode="auto">
                              <a:xfrm>
                                <a:off x="0" y="0"/>
                                <a:ext cx="713740" cy="5200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1312;o:allowoverlap:true;o:allowincell:true;mso-position-horizontal-relative:text;margin-left:6.0pt;mso-position-horizontal:absolute;mso-position-vertical-relative:text;margin-top:3.8pt;mso-position-vertical:absolute;width:56.2pt;height:40.9pt;mso-wrap-distance-left:9.0pt;mso-wrap-distance-top:0.0pt;mso-wrap-distance-right:9.0pt;mso-wrap-distance-bottom:0.0pt;" stroked="f">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乒乓球记分牌</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1.翻分牌为台式，主要由翻分牌框架和翻分牌组成。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2、翻分牌框架采用塑料件制成。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3、翻分牌记分牌采用深蓝色PVC板制作，共2组，每组共52张，号码0-50，为白色。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4、翻分牌局分牌为深蓝色PVC板，共2组，每组9张，号码0-7号，为白色。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67945</wp:posOffset>
                      </wp:positionH>
                      <wp:positionV relativeFrom="paragraph">
                        <wp:posOffset>31750</wp:posOffset>
                      </wp:positionV>
                      <wp:extent cx="805815" cy="671830"/>
                      <wp:effectExtent l="0" t="0" r="13335" b="13970"/>
                      <wp:wrapNone/>
                      <wp:docPr id="83" name="图片_87"/>
                      <wp:cNvGraphicFramePr/>
                      <a:graphic xmlns:a="http://schemas.openxmlformats.org/drawingml/2006/main">
                        <a:graphicData uri="http://schemas.openxmlformats.org/drawingml/2006/picture">
                          <pic:pic xmlns:pic="http://schemas.openxmlformats.org/drawingml/2006/picture">
                            <pic:nvPicPr>
                              <pic:cNvPr id="83" name="图片_87"/>
                              <pic:cNvPicPr/>
                              <pic:nvPr/>
                            </pic:nvPicPr>
                            <pic:blipFill>
                              <a:blip r:embed="rId97"/>
                              <a:stretch/>
                            </pic:blipFill>
                            <pic:spPr bwMode="auto">
                              <a:xfrm>
                                <a:off x="0" y="0"/>
                                <a:ext cx="805815" cy="671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1312;o:allowoverlap:true;o:allowincell:true;mso-position-horizontal-relative:text;margin-left:5.3pt;mso-position-horizontal:absolute;mso-position-vertical-relative:text;margin-top:2.5pt;mso-position-vertical:absolute;width:63.4pt;height:52.9pt;mso-wrap-distance-left:9.0pt;mso-wrap-distance-top:0.0pt;mso-wrap-distance-right:9.0pt;mso-wrap-distance-bottom:0.0pt;" stroked="f">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Height w:val="101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产品材质：ABS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产品星级：一星级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10只/盒</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200025</wp:posOffset>
                      </wp:positionH>
                      <wp:positionV relativeFrom="paragraph">
                        <wp:posOffset>47625</wp:posOffset>
                      </wp:positionV>
                      <wp:extent cx="615315" cy="537845"/>
                      <wp:effectExtent l="0" t="0" r="13335" b="14604"/>
                      <wp:wrapNone/>
                      <wp:docPr id="84" name="图片_88"/>
                      <wp:cNvGraphicFramePr/>
                      <a:graphic xmlns:a="http://schemas.openxmlformats.org/drawingml/2006/main">
                        <a:graphicData uri="http://schemas.openxmlformats.org/drawingml/2006/picture">
                          <pic:pic xmlns:pic="http://schemas.openxmlformats.org/drawingml/2006/picture">
                            <pic:nvPicPr>
                              <pic:cNvPr id="84" name="图片_88"/>
                              <pic:cNvPicPr/>
                              <pic:nvPr/>
                            </pic:nvPicPr>
                            <pic:blipFill>
                              <a:blip r:embed="rId98"/>
                              <a:stretch/>
                            </pic:blipFill>
                            <pic:spPr bwMode="auto">
                              <a:xfrm>
                                <a:off x="0" y="0"/>
                                <a:ext cx="615315" cy="537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1312;o:allowoverlap:true;o:allowincell:true;mso-position-horizontal-relative:text;margin-left:15.8pt;mso-position-horizontal:absolute;mso-position-vertical-relative:text;margin-top:3.8pt;mso-position-vertical:absolute;width:48.4pt;height:42.4pt;mso-wrap-distance-left:9.0pt;mso-wrap-distance-top:0.0pt;mso-wrap-distance-right:9.0pt;mso-wrap-distance-bottom:0.0pt;" stroked="f">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108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铝合金材质。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133350</wp:posOffset>
                      </wp:positionH>
                      <wp:positionV relativeFrom="paragraph">
                        <wp:posOffset>34290</wp:posOffset>
                      </wp:positionV>
                      <wp:extent cx="614045" cy="670560"/>
                      <wp:effectExtent l="0" t="0" r="14604" b="15240"/>
                      <wp:wrapNone/>
                      <wp:docPr id="85" name="图片_89"/>
                      <wp:cNvGraphicFramePr/>
                      <a:graphic xmlns:a="http://schemas.openxmlformats.org/drawingml/2006/main">
                        <a:graphicData uri="http://schemas.openxmlformats.org/drawingml/2006/picture">
                          <pic:pic xmlns:pic="http://schemas.openxmlformats.org/drawingml/2006/picture">
                            <pic:nvPicPr>
                              <pic:cNvPr id="85" name="图片_89"/>
                              <pic:cNvPicPr/>
                              <pic:nvPr/>
                            </pic:nvPicPr>
                            <pic:blipFill>
                              <a:blip r:embed="rId99"/>
                              <a:stretch/>
                            </pic:blipFill>
                            <pic:spPr bwMode="auto">
                              <a:xfrm>
                                <a:off x="0" y="0"/>
                                <a:ext cx="614045"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1312;o:allowoverlap:true;o:allowincell:true;mso-position-horizontal-relative:text;margin-left:10.5pt;mso-position-horizontal:absolute;mso-position-vertical-relative:text;margin-top:2.7pt;mso-position-vertical:absolute;width:48.3pt;height:52.8pt;mso-wrap-distance-left:9.0pt;mso-wrap-distance-top:0.0pt;mso-wrap-distance-right:9.0pt;mso-wrap-distance-bottom:0.0pt;" stroked="f">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r>
      <w:tr>
        <w:trPr>
          <w:jc w:val="center"/>
          <w:trHeight w:val="101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材质：羽毛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尺寸：39*6.5cm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每筒12个。</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104775</wp:posOffset>
                      </wp:positionH>
                      <wp:positionV relativeFrom="paragraph">
                        <wp:posOffset>-94615</wp:posOffset>
                      </wp:positionV>
                      <wp:extent cx="662305" cy="555625"/>
                      <wp:effectExtent l="0" t="0" r="4445" b="15875"/>
                      <wp:wrapNone/>
                      <wp:docPr id="86" name="图片_90"/>
                      <wp:cNvGraphicFramePr/>
                      <a:graphic xmlns:a="http://schemas.openxmlformats.org/drawingml/2006/main">
                        <a:graphicData uri="http://schemas.openxmlformats.org/drawingml/2006/picture">
                          <pic:pic xmlns:pic="http://schemas.openxmlformats.org/drawingml/2006/picture">
                            <pic:nvPicPr>
                              <pic:cNvPr id="86" name="图片_90"/>
                              <pic:cNvPicPr/>
                              <pic:nvPr/>
                            </pic:nvPicPr>
                            <pic:blipFill>
                              <a:blip r:embed="rId100"/>
                              <a:stretch/>
                            </pic:blipFill>
                            <pic:spPr bwMode="auto">
                              <a:xfrm>
                                <a:off x="0" y="0"/>
                                <a:ext cx="662305" cy="555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1312;o:allowoverlap:true;o:allowincell:true;mso-position-horizontal-relative:text;margin-left:8.2pt;mso-position-horizontal:absolute;mso-position-vertical-relative:text;margin-top:-7.4pt;mso-position-vertical:absolute;width:52.1pt;height:43.8pt;mso-wrap-distance-left:9.0pt;mso-wrap-distance-top:0.0pt;mso-wrap-distance-right:9.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筒</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95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实心球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充气实心球，重量2公斤。</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wp:posOffset>
                      </wp:positionH>
                      <wp:positionV relativeFrom="paragraph">
                        <wp:posOffset>9525</wp:posOffset>
                      </wp:positionV>
                      <wp:extent cx="619125" cy="588645"/>
                      <wp:effectExtent l="0" t="0" r="9525" b="1905"/>
                      <wp:wrapNone/>
                      <wp:docPr id="87" name="图片_91"/>
                      <wp:cNvGraphicFramePr/>
                      <a:graphic xmlns:a="http://schemas.openxmlformats.org/drawingml/2006/main">
                        <a:graphicData uri="http://schemas.openxmlformats.org/drawingml/2006/picture">
                          <pic:pic xmlns:pic="http://schemas.openxmlformats.org/drawingml/2006/picture">
                            <pic:nvPicPr>
                              <pic:cNvPr id="87" name="图片_91"/>
                              <pic:cNvPicPr/>
                              <pic:nvPr/>
                            </pic:nvPicPr>
                            <pic:blipFill>
                              <a:blip r:embed="rId101"/>
                              <a:stretch/>
                            </pic:blipFill>
                            <pic:spPr bwMode="auto">
                              <a:xfrm>
                                <a:off x="0" y="0"/>
                                <a:ext cx="619125" cy="588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1312;o:allowoverlap:true;o:allowincell:true;mso-position-horizontal-relative:text;margin-left:3.0pt;mso-position-horizontal:absolute;mso-position-vertical-relative:text;margin-top:0.8pt;mso-position-vertical:absolute;width:48.8pt;height:46.3pt;mso-wrap-distance-left:9.0pt;mso-wrap-distance-top:0.0pt;mso-wrap-distance-right:9.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r>
      <w:tr>
        <w:trPr>
          <w:jc w:val="center"/>
          <w:trHeight w:val="95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短跳绳</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塑料  手柄带轴承；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104775</wp:posOffset>
                      </wp:positionH>
                      <wp:positionV relativeFrom="paragraph">
                        <wp:posOffset>38100</wp:posOffset>
                      </wp:positionV>
                      <wp:extent cx="643255" cy="582295"/>
                      <wp:effectExtent l="0" t="0" r="4445" b="8255"/>
                      <wp:wrapNone/>
                      <wp:docPr id="88" name="图片_93"/>
                      <wp:cNvGraphicFramePr/>
                      <a:graphic xmlns:a="http://schemas.openxmlformats.org/drawingml/2006/main">
                        <a:graphicData uri="http://schemas.openxmlformats.org/drawingml/2006/picture">
                          <pic:pic xmlns:pic="http://schemas.openxmlformats.org/drawingml/2006/picture">
                            <pic:nvPicPr>
                              <pic:cNvPr id="88" name="图片_93"/>
                              <pic:cNvPicPr/>
                              <pic:nvPr/>
                            </pic:nvPicPr>
                            <pic:blipFill>
                              <a:blip r:embed="rId102"/>
                              <a:stretch/>
                            </pic:blipFill>
                            <pic:spPr bwMode="auto">
                              <a:xfrm>
                                <a:off x="0" y="0"/>
                                <a:ext cx="643255" cy="582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1312;o:allowoverlap:true;o:allowincell:true;mso-position-horizontal-relative:text;margin-left:8.2pt;mso-position-horizontal:absolute;mso-position-vertical-relative:text;margin-top:3.0pt;mso-position-vertical:absolute;width:50.6pt;height:45.8pt;mso-wrap-distance-left:9.0pt;mso-wrap-distance-top:0.0pt;mso-wrap-distance-right:9.0pt;mso-wrap-distance-bottom:0.0pt;" stroked="f">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r>
      <w:tr>
        <w:trPr>
          <w:jc w:val="center"/>
          <w:trHeight w:val="114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长跳绳</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棉纱绳两端带手柄。</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wp:posOffset>
                      </wp:positionH>
                      <wp:positionV relativeFrom="paragraph">
                        <wp:posOffset>19050</wp:posOffset>
                      </wp:positionV>
                      <wp:extent cx="687070" cy="667385"/>
                      <wp:effectExtent l="0" t="0" r="17780" b="18415"/>
                      <wp:wrapNone/>
                      <wp:docPr id="89" name="图片_94"/>
                      <wp:cNvGraphicFramePr/>
                      <a:graphic xmlns:a="http://schemas.openxmlformats.org/drawingml/2006/main">
                        <a:graphicData uri="http://schemas.openxmlformats.org/drawingml/2006/picture">
                          <pic:pic xmlns:pic="http://schemas.openxmlformats.org/drawingml/2006/picture">
                            <pic:nvPicPr>
                              <pic:cNvPr id="89" name="图片_94"/>
                              <pic:cNvPicPr/>
                              <pic:nvPr/>
                            </pic:nvPicPr>
                            <pic:blipFill>
                              <a:blip r:embed="rId103"/>
                              <a:stretch/>
                            </pic:blipFill>
                            <pic:spPr bwMode="auto">
                              <a:xfrm>
                                <a:off x="0" y="0"/>
                                <a:ext cx="687069" cy="667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1312;o:allowoverlap:true;o:allowincell:true;mso-position-horizontal-relative:text;margin-left:3.0pt;mso-position-horizontal:absolute;mso-position-vertical-relative:text;margin-top:1.5pt;mso-position-vertical:absolute;width:54.1pt;height:52.5pt;mso-wrap-distance-left:9.0pt;mso-wrap-distance-top:0.0pt;mso-wrap-distance-right:9.0pt;mso-wrap-distance-bottom:0.0pt;" stroked="f">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117"/>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30m不易磨损</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133350</wp:posOffset>
                      </wp:positionH>
                      <wp:positionV relativeFrom="paragraph">
                        <wp:posOffset>9525</wp:posOffset>
                      </wp:positionV>
                      <wp:extent cx="718185" cy="715010"/>
                      <wp:effectExtent l="0" t="0" r="5715" b="8890"/>
                      <wp:wrapNone/>
                      <wp:docPr id="90" name="图片_95"/>
                      <wp:cNvGraphicFramePr/>
                      <a:graphic xmlns:a="http://schemas.openxmlformats.org/drawingml/2006/main">
                        <a:graphicData uri="http://schemas.openxmlformats.org/drawingml/2006/picture">
                          <pic:pic xmlns:pic="http://schemas.openxmlformats.org/drawingml/2006/picture">
                            <pic:nvPicPr>
                              <pic:cNvPr id="90" name="图片_95"/>
                              <pic:cNvPicPr/>
                              <pic:nvPr/>
                            </pic:nvPicPr>
                            <pic:blipFill>
                              <a:blip r:embed="rId104"/>
                              <a:stretch/>
                            </pic:blipFill>
                            <pic:spPr bwMode="auto">
                              <a:xfrm>
                                <a:off x="0" y="0"/>
                                <a:ext cx="718185" cy="715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1312;o:allowoverlap:true;o:allowincell:true;mso-position-horizontal-relative:text;margin-left:10.5pt;mso-position-horizontal:absolute;mso-position-vertical-relative:text;margin-top:0.8pt;mso-position-vertical:absolute;width:56.5pt;height:56.3pt;mso-wrap-distance-left:9.0pt;mso-wrap-distance-top:0.0pt;mso-wrap-distance-right:9.0pt;mso-wrap-distance-bottom:0.0pt;" stroked="f">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95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健美垫</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材质环保型TPE，6MM厚，183*61CM。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114300</wp:posOffset>
                      </wp:positionH>
                      <wp:positionV relativeFrom="paragraph">
                        <wp:posOffset>19050</wp:posOffset>
                      </wp:positionV>
                      <wp:extent cx="686435" cy="569595"/>
                      <wp:effectExtent l="0" t="0" r="18415" b="1905"/>
                      <wp:wrapNone/>
                      <wp:docPr id="91" name="图片_96"/>
                      <wp:cNvGraphicFramePr/>
                      <a:graphic xmlns:a="http://schemas.openxmlformats.org/drawingml/2006/main">
                        <a:graphicData uri="http://schemas.openxmlformats.org/drawingml/2006/picture">
                          <pic:pic xmlns:pic="http://schemas.openxmlformats.org/drawingml/2006/picture">
                            <pic:nvPicPr>
                              <pic:cNvPr id="91" name="图片_96"/>
                              <pic:cNvPicPr/>
                              <pic:nvPr/>
                            </pic:nvPicPr>
                            <pic:blipFill>
                              <a:blip r:embed="rId105"/>
                              <a:stretch/>
                            </pic:blipFill>
                            <pic:spPr bwMode="auto">
                              <a:xfrm>
                                <a:off x="0" y="0"/>
                                <a:ext cx="686435" cy="569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1312;o:allowoverlap:true;o:allowincell:true;mso-position-horizontal-relative:text;margin-left:9.0pt;mso-position-horizontal:absolute;mso-position-vertical-relative:text;margin-top:1.5pt;mso-position-vertical:absolute;width:54.0pt;height:44.8pt;mso-wrap-distance-left:9.0pt;mso-wrap-distance-top:0.0pt;mso-wrap-distance-right:9.0pt;mso-wrap-distance-bottom:0.0pt;" stroked="f">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折叠小体操垫</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1.垫子主体由单层珍珠棉组成，弹力均衡，柔软适中。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2.基本尺寸不小于：长x宽x厚=1.2×0.6×0.05（米），可折叠。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3.垫子表面罩防水帆布套，套子侧面装有拉链及拉手攀。</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18415</wp:posOffset>
                      </wp:positionH>
                      <wp:positionV relativeFrom="paragraph">
                        <wp:posOffset>-47625</wp:posOffset>
                      </wp:positionV>
                      <wp:extent cx="761365" cy="527685"/>
                      <wp:effectExtent l="0" t="0" r="635" b="5715"/>
                      <wp:wrapNone/>
                      <wp:docPr id="92" name="图片_97"/>
                      <wp:cNvGraphicFramePr/>
                      <a:graphic xmlns:a="http://schemas.openxmlformats.org/drawingml/2006/main">
                        <a:graphicData uri="http://schemas.openxmlformats.org/drawingml/2006/picture">
                          <pic:pic xmlns:pic="http://schemas.openxmlformats.org/drawingml/2006/picture">
                            <pic:nvPicPr>
                              <pic:cNvPr id="92" name="图片_97"/>
                              <pic:cNvPicPr/>
                              <pic:nvPr/>
                            </pic:nvPicPr>
                            <pic:blipFill>
                              <a:blip r:embed="rId106"/>
                              <a:stretch/>
                            </pic:blipFill>
                            <pic:spPr bwMode="auto">
                              <a:xfrm>
                                <a:off x="0" y="0"/>
                                <a:ext cx="761365" cy="527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61312;o:allowoverlap:true;o:allowincell:true;mso-position-horizontal-relative:text;margin-left:1.4pt;mso-position-horizontal:absolute;mso-position-vertical-relative:text;margin-top:-3.8pt;mso-position-vertical:absolute;width:59.9pt;height:41.5pt;mso-wrap-distance-left:9.0pt;mso-wrap-distance-top:0.0pt;mso-wrap-distance-right:9.0pt;mso-wrap-distance-bottom:0.0pt;" stroked="f">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大体操垫</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1.垫子主体由单层珍珠棉组成，弹力均衡，柔软适中。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2.基本尺寸不小于：长x宽x厚=2×1×0.1（米）。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3.垫子表面罩帆布套，套子侧面装有拉链及拉手攀，且四周设有排气孔。</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wp:posOffset>
                      </wp:positionH>
                      <wp:positionV relativeFrom="paragraph">
                        <wp:posOffset>-85090</wp:posOffset>
                      </wp:positionV>
                      <wp:extent cx="920750" cy="438150"/>
                      <wp:effectExtent l="0" t="0" r="12700" b="0"/>
                      <wp:wrapNone/>
                      <wp:docPr id="93" name="图片_98"/>
                      <wp:cNvGraphicFramePr/>
                      <a:graphic xmlns:a="http://schemas.openxmlformats.org/drawingml/2006/main">
                        <a:graphicData uri="http://schemas.openxmlformats.org/drawingml/2006/picture">
                          <pic:pic xmlns:pic="http://schemas.openxmlformats.org/drawingml/2006/picture">
                            <pic:nvPicPr>
                              <pic:cNvPr id="93" name="图片_98"/>
                              <pic:cNvPicPr/>
                              <pic:nvPr/>
                            </pic:nvPicPr>
                            <pic:blipFill>
                              <a:blip r:embed="rId107"/>
                              <a:stretch/>
                            </pic:blipFill>
                            <pic:spPr bwMode="auto">
                              <a:xfrm>
                                <a:off x="0" y="0"/>
                                <a:ext cx="920750" cy="4381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61312;o:allowoverlap:true;o:allowincell:true;mso-position-horizontal-relative:text;margin-left:-2.2pt;mso-position-horizontal:absolute;mso-position-vertical-relative:text;margin-top:-6.7pt;mso-position-vertical:absolute;width:72.5pt;height:34.5pt;mso-wrap-distance-left:9.0pt;mso-wrap-distance-top:0.0pt;mso-wrap-distance-right:9.0pt;mso-wrap-distance-bottom:0.0pt;" stroked="f">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833"/>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武术海绵棒</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材质：PU革+EVA棉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长不小于68cm, 粗5cm，多种颜色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wp:posOffset>
                      </wp:positionH>
                      <wp:positionV relativeFrom="paragraph">
                        <wp:posOffset>2540</wp:posOffset>
                      </wp:positionV>
                      <wp:extent cx="923290" cy="453390"/>
                      <wp:effectExtent l="0" t="0" r="10160" b="3810"/>
                      <wp:wrapNone/>
                      <wp:docPr id="94" name="图片_23"/>
                      <wp:cNvGraphicFramePr/>
                      <a:graphic xmlns:a="http://schemas.openxmlformats.org/drawingml/2006/main">
                        <a:graphicData uri="http://schemas.openxmlformats.org/drawingml/2006/picture">
                          <pic:pic xmlns:pic="http://schemas.openxmlformats.org/drawingml/2006/picture">
                            <pic:nvPicPr>
                              <pic:cNvPr id="94" name="图片_23"/>
                              <pic:cNvPicPr/>
                              <pic:nvPr/>
                            </pic:nvPicPr>
                            <pic:blipFill>
                              <a:blip r:embed="rId108"/>
                              <a:stretch/>
                            </pic:blipFill>
                            <pic:spPr bwMode="auto">
                              <a:xfrm>
                                <a:off x="0" y="0"/>
                                <a:ext cx="923290" cy="453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61312;o:allowoverlap:true;o:allowincell:true;mso-position-horizontal-relative:text;margin-left:-0.4pt;mso-position-horizontal:absolute;mso-position-vertical-relative:text;margin-top:0.2pt;mso-position-vertical:absolute;width:72.7pt;height:35.7pt;mso-wrap-distance-left:9.0pt;mso-wrap-distance-top:0.0pt;mso-wrap-distance-right:9.0pt;mso-wrap-distance-bottom:0.0pt;" stroked="f">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72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鸡腿靶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材质：仿皮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尺寸不小于：40*20cm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-38735</wp:posOffset>
                      </wp:positionH>
                      <wp:positionV relativeFrom="paragraph">
                        <wp:posOffset>23495</wp:posOffset>
                      </wp:positionV>
                      <wp:extent cx="890270" cy="430530"/>
                      <wp:effectExtent l="0" t="0" r="5080" b="7620"/>
                      <wp:wrapNone/>
                      <wp:docPr id="95" name="图片_24_SpCnt_1"/>
                      <wp:cNvGraphicFramePr/>
                      <a:graphic xmlns:a="http://schemas.openxmlformats.org/drawingml/2006/main">
                        <a:graphicData uri="http://schemas.openxmlformats.org/drawingml/2006/picture">
                          <pic:pic xmlns:pic="http://schemas.openxmlformats.org/drawingml/2006/picture">
                            <pic:nvPicPr>
                              <pic:cNvPr id="95" name="图片_24_SpCnt_1"/>
                              <pic:cNvPicPr/>
                              <pic:nvPr/>
                            </pic:nvPicPr>
                            <pic:blipFill>
                              <a:blip r:embed="rId109"/>
                              <a:stretch/>
                            </pic:blipFill>
                            <pic:spPr bwMode="auto">
                              <a:xfrm>
                                <a:off x="0" y="0"/>
                                <a:ext cx="890270" cy="430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61312;o:allowoverlap:true;o:allowincell:true;mso-position-horizontal-relative:text;margin-left:-3.0pt;mso-position-horizontal:absolute;mso-position-vertical-relative:text;margin-top:1.8pt;mso-position-vertical:absolute;width:70.1pt;height:33.9pt;mso-wrap-distance-left:9.0pt;mso-wrap-distance-top:0.0pt;mso-wrap-distance-right:9.0pt;mso-wrap-distance-bottom:0.0pt;" stroked="f">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jc w:val="center"/>
          <w:trHeight w:val="117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拳靶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PU材质，填充物EVA/聚乙烯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193040</wp:posOffset>
                      </wp:positionH>
                      <wp:positionV relativeFrom="paragraph">
                        <wp:posOffset>15875</wp:posOffset>
                      </wp:positionV>
                      <wp:extent cx="452120" cy="654685"/>
                      <wp:effectExtent l="0" t="0" r="5080" b="12065"/>
                      <wp:wrapNone/>
                      <wp:docPr id="96" name="图片_25"/>
                      <wp:cNvGraphicFramePr/>
                      <a:graphic xmlns:a="http://schemas.openxmlformats.org/drawingml/2006/main">
                        <a:graphicData uri="http://schemas.openxmlformats.org/drawingml/2006/picture">
                          <pic:pic xmlns:pic="http://schemas.openxmlformats.org/drawingml/2006/picture">
                            <pic:nvPicPr>
                              <pic:cNvPr id="96" name="图片_25"/>
                              <pic:cNvPicPr/>
                              <pic:nvPr/>
                            </pic:nvPicPr>
                            <pic:blipFill>
                              <a:blip r:embed="rId110"/>
                              <a:stretch/>
                            </pic:blipFill>
                            <pic:spPr bwMode="auto">
                              <a:xfrm>
                                <a:off x="0" y="0"/>
                                <a:ext cx="452120" cy="654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61312;o:allowoverlap:true;o:allowincell:true;mso-position-horizontal-relative:text;margin-left:15.2pt;mso-position-horizontal:absolute;mso-position-vertical-relative:text;margin-top:1.2pt;mso-position-vertical:absolute;width:35.6pt;height:51.5pt;mso-wrap-distance-left:9.0pt;mso-wrap-distance-top:0.0pt;mso-wrap-distance-right:9.0pt;mso-wrap-distance-bottom:0.0pt;" stroked="f">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33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弧形脚靶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不小于30*20*10CM, 材质：PU</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51435</wp:posOffset>
                      </wp:positionH>
                      <wp:positionV relativeFrom="paragraph">
                        <wp:posOffset>-36195</wp:posOffset>
                      </wp:positionV>
                      <wp:extent cx="799465" cy="780415"/>
                      <wp:effectExtent l="0" t="0" r="635" b="635"/>
                      <wp:wrapNone/>
                      <wp:docPr id="97" name="图片_26"/>
                      <wp:cNvGraphicFramePr/>
                      <a:graphic xmlns:a="http://schemas.openxmlformats.org/drawingml/2006/main">
                        <a:graphicData uri="http://schemas.openxmlformats.org/drawingml/2006/picture">
                          <pic:pic xmlns:pic="http://schemas.openxmlformats.org/drawingml/2006/picture">
                            <pic:nvPicPr>
                              <pic:cNvPr id="97" name="图片_26"/>
                              <pic:cNvPicPr/>
                              <pic:nvPr/>
                            </pic:nvPicPr>
                            <pic:blipFill>
                              <a:blip r:embed="rId111"/>
                              <a:stretch/>
                            </pic:blipFill>
                            <pic:spPr bwMode="auto">
                              <a:xfrm>
                                <a:off x="0" y="0"/>
                                <a:ext cx="799465" cy="780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61312;o:allowoverlap:true;o:allowincell:true;mso-position-horizontal-relative:text;margin-left:4.0pt;mso-position-horizontal:absolute;mso-position-vertical-relative:text;margin-top:-2.8pt;mso-position-vertical:absolute;width:62.9pt;height:61.4pt;mso-wrap-distance-left:9.0pt;mso-wrap-distance-top:0.0pt;mso-wrap-distance-right:9.0pt;mso-wrap-distance-bottom:0.0pt;" stroked="f">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19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武术棍</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白蜡木，粗≧3cm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长度不小于1.8m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-12065</wp:posOffset>
                      </wp:positionH>
                      <wp:positionV relativeFrom="paragraph">
                        <wp:posOffset>60325</wp:posOffset>
                      </wp:positionV>
                      <wp:extent cx="812800" cy="727075"/>
                      <wp:effectExtent l="0" t="0" r="6350" b="15875"/>
                      <wp:wrapNone/>
                      <wp:docPr id="98" name="图片_84"/>
                      <wp:cNvGraphicFramePr/>
                      <a:graphic xmlns:a="http://schemas.openxmlformats.org/drawingml/2006/main">
                        <a:graphicData uri="http://schemas.openxmlformats.org/drawingml/2006/picture">
                          <pic:pic xmlns:pic="http://schemas.openxmlformats.org/drawingml/2006/picture">
                            <pic:nvPicPr>
                              <pic:cNvPr id="98" name="图片_84"/>
                              <pic:cNvPicPr/>
                              <pic:nvPr/>
                            </pic:nvPicPr>
                            <pic:blipFill>
                              <a:blip r:embed="rId112"/>
                              <a:stretch/>
                            </pic:blipFill>
                            <pic:spPr bwMode="auto">
                              <a:xfrm>
                                <a:off x="0" y="0"/>
                                <a:ext cx="812800" cy="727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61312;o:allowoverlap:true;o:allowincell:true;mso-position-horizontal-relative:text;margin-left:-0.9pt;mso-position-horizontal:absolute;mso-position-vertical-relative:text;margin-top:4.8pt;mso-position-vertical:absolute;width:64.0pt;height:57.2pt;mso-wrap-distance-left:9.0pt;mso-wrap-distance-top:0.0pt;mso-wrap-distance-right:9.0pt;mso-wrap-distance-bottom:0.0pt;" stroked="f">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67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武术刀</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武术训练、表演使用，金属材质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-55880</wp:posOffset>
                      </wp:positionH>
                      <wp:positionV relativeFrom="paragraph">
                        <wp:posOffset>104775</wp:posOffset>
                      </wp:positionV>
                      <wp:extent cx="908685" cy="172720"/>
                      <wp:effectExtent l="0" t="0" r="5715" b="17780"/>
                      <wp:wrapNone/>
                      <wp:docPr id="99" name="图片_92"/>
                      <wp:cNvGraphicFramePr/>
                      <a:graphic xmlns:a="http://schemas.openxmlformats.org/drawingml/2006/main">
                        <a:graphicData uri="http://schemas.openxmlformats.org/drawingml/2006/picture">
                          <pic:pic xmlns:pic="http://schemas.openxmlformats.org/drawingml/2006/picture">
                            <pic:nvPicPr>
                              <pic:cNvPr id="99" name="图片_92"/>
                              <pic:cNvPicPr/>
                              <pic:nvPr/>
                            </pic:nvPicPr>
                            <pic:blipFill>
                              <a:blip r:embed="rId113"/>
                              <a:stretch/>
                            </pic:blipFill>
                            <pic:spPr bwMode="auto">
                              <a:xfrm>
                                <a:off x="0" y="0"/>
                                <a:ext cx="908685" cy="172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61312;o:allowoverlap:true;o:allowincell:true;mso-position-horizontal-relative:text;margin-left:-4.4pt;mso-position-horizontal:absolute;mso-position-vertical-relative:text;margin-top:8.2pt;mso-position-vertical:absolute;width:71.5pt;height:13.6pt;mso-wrap-distance-left:9.0pt;mso-wrap-distance-top:0.0pt;mso-wrap-distance-right:9.0pt;mso-wrap-distance-bottom:0.0pt;" stroked="f">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11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武术剑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武术训练、表演使用，金属材质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-35560</wp:posOffset>
                      </wp:positionH>
                      <wp:positionV relativeFrom="paragraph">
                        <wp:posOffset>50800</wp:posOffset>
                      </wp:positionV>
                      <wp:extent cx="916305" cy="664210"/>
                      <wp:effectExtent l="0" t="0" r="17145" b="2540"/>
                      <wp:wrapNone/>
                      <wp:docPr id="100" name="图片_99"/>
                      <wp:cNvGraphicFramePr/>
                      <a:graphic xmlns:a="http://schemas.openxmlformats.org/drawingml/2006/main">
                        <a:graphicData uri="http://schemas.openxmlformats.org/drawingml/2006/picture">
                          <pic:pic xmlns:pic="http://schemas.openxmlformats.org/drawingml/2006/picture">
                            <pic:nvPicPr>
                              <pic:cNvPr id="100" name="图片_99"/>
                              <pic:cNvPicPr/>
                              <pic:nvPr/>
                            </pic:nvPicPr>
                            <pic:blipFill>
                              <a:blip r:embed="rId114"/>
                              <a:stretch/>
                            </pic:blipFill>
                            <pic:spPr bwMode="auto">
                              <a:xfrm>
                                <a:off x="0" y="0"/>
                                <a:ext cx="916305" cy="664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61312;o:allowoverlap:true;o:allowincell:true;mso-position-horizontal-relative:text;margin-left:-2.8pt;mso-position-horizontal:absolute;mso-position-vertical-relative:text;margin-top:4.0pt;mso-position-vertical:absolute;width:72.1pt;height:52.3pt;mso-wrap-distance-left:9.0pt;mso-wrap-distance-top:0.0pt;mso-wrap-distance-right:9.0pt;mso-wrap-distance-bottom:0.0pt;" stroked="f">
                      <v:path textboxrect="0,0,0,0"/>
                      <v:imagedata r:id="rId1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100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9.体质健康测试类</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身高体重测试仪</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1.全自动测量身高和体重指数，自动评定身体匀称度及形态指数（BMI）。                                                       2、使用电机加光栅感应自动测量身高，精度高，误差小，无需校准。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3、使用高精度称重传感器测量体重，精度高，重复性好，不易受外界环境干扰。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4、体重秤体采用全铝铸模一体化压铸成型材质，坚固耐用、耐疲劳、寿命长，适应高频繁、大量人群集中测试。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5、采用3.5寸真彩LCD液晶显示屏显示测试值，界面美观丰富。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6、具有同步语音播报身高、体重测试数值功能，可设置开启或关闭。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7、显示器具有四项功能按键，按键功能明了，操作使用简便。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8、可选配打印机，可实时打印测试值，便于学生和家长掌握测试数据。                                                            9、主要技术参数：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量程：90～210CM，分度值： 0.1CM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误差：±0.1%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量程：5～150KG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分度值：0.1KG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误差：±0.1%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157480</wp:posOffset>
                      </wp:positionV>
                      <wp:extent cx="1155065" cy="1332865"/>
                      <wp:effectExtent l="0" t="0" r="0" b="0"/>
                      <wp:wrapNone/>
                      <wp:docPr id="101" name="图片_240"/>
                      <wp:cNvGraphicFramePr/>
                      <a:graphic xmlns:a="http://schemas.openxmlformats.org/drawingml/2006/main">
                        <a:graphicData uri="http://schemas.openxmlformats.org/drawingml/2006/picture">
                          <pic:pic xmlns:pic="http://schemas.openxmlformats.org/drawingml/2006/picture">
                            <pic:nvPicPr>
                              <pic:cNvPr id="101" name="图片_240"/>
                              <pic:cNvPicPr/>
                              <pic:nvPr/>
                            </pic:nvPicPr>
                            <pic:blipFill>
                              <a:blip r:embed="rId115"/>
                              <a:stretch/>
                            </pic:blipFill>
                            <pic:spPr bwMode="auto">
                              <a:xfrm>
                                <a:off x="0" y="0"/>
                                <a:ext cx="1155065" cy="1332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61312;o:allowoverlap:true;o:allowincell:true;mso-position-horizontal-relative:text;margin-left:4.5pt;mso-position-horizontal:absolute;mso-position-vertical-relative:text;margin-top:12.4pt;mso-position-vertical:absolute;width:90.9pt;height:104.9pt;mso-wrap-distance-left:9.0pt;mso-wrap-distance-top:0.0pt;mso-wrap-distance-right:9.0pt;mso-wrap-distance-bottom:0.0pt;" stroked="f">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6832"/>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1.测试受试者的肺通气功能，反映人体肺的容积和扩张能力。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2、使用高精密传感器，精度高，具有温度补偿功能。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3、采用一体不小于128*64mm液晶显示，具有锁定功能，读数方便。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4、开关机单键操作，使用简便，同时具有清零功能。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5、吹管优化设计与处理，不易产生积水。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6、防补气（防作弊）功能，补气时自动锁定数据。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7、极低功耗设计，单节7号电池供电，电池寿命长。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8、省电设计，5分钟未使用自动关机，低电量提示。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9、便携实用型设计，带电下即可正常测试。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10、全程蜂鸣器提醒。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11、主要技术参数：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量程：100～9999ml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分度值：1ml</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误差：±2%</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-21590</wp:posOffset>
                      </wp:positionH>
                      <wp:positionV relativeFrom="paragraph">
                        <wp:posOffset>99695</wp:posOffset>
                      </wp:positionV>
                      <wp:extent cx="1252220" cy="874395"/>
                      <wp:effectExtent l="0" t="0" r="0" b="1905"/>
                      <wp:wrapNone/>
                      <wp:docPr id="102" name="图片_238"/>
                      <wp:cNvGraphicFramePr/>
                      <a:graphic xmlns:a="http://schemas.openxmlformats.org/drawingml/2006/main">
                        <a:graphicData uri="http://schemas.openxmlformats.org/drawingml/2006/picture">
                          <pic:pic xmlns:pic="http://schemas.openxmlformats.org/drawingml/2006/picture">
                            <pic:nvPicPr>
                              <pic:cNvPr id="102" name="图片_238"/>
                              <pic:cNvPicPr/>
                              <pic:nvPr/>
                            </pic:nvPicPr>
                            <pic:blipFill>
                              <a:blip r:embed="rId116"/>
                              <a:stretch/>
                            </pic:blipFill>
                            <pic:spPr bwMode="auto">
                              <a:xfrm>
                                <a:off x="0" y="0"/>
                                <a:ext cx="1252220" cy="874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61312;o:allowoverlap:true;o:allowincell:true;mso-position-horizontal-relative:text;margin-left:-1.7pt;mso-position-horizontal:absolute;mso-position-vertical-relative:text;margin-top:7.8pt;mso-position-vertical:absolute;width:98.6pt;height:68.8pt;mso-wrap-distance-left:9.0pt;mso-wrap-distance-top:0.0pt;mso-wrap-distance-right:9.0pt;mso-wrap-distance-bottom:0.0pt;" stroked="f">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137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立定跳远测试仪</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1.测试受试者下肢爆发力及身体协调能力的发展水平。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2、立定跳远采用≥96*16mm规格的LED点阵独立大屏幕显示，显示内容丰富，可显示中文、英文、数字和其他符号。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3、使用红外对射原理自动测量测试者的立定跳远成绩，精度高，性能稳定可靠，响应速度快，经久耐用。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4、测试垫具备防滑减震防滑功能，防止出现意外伤害。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5、配有红外遥控器，操作测试距离可达5—8米。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6、有蜂鸣器提示功能，可关闭与打开。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7、可靠性高、耐疲劳、寿命长，适应频繁、大量人群集中测试。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8、主要技术参数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量程：0～330cm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误差：±1cm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分度值：1cm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rPr>
                <w:rFonts w:hint="eastAsia" w:ascii="宋体" w:hAnsi="宋体" w:eastAsia="宋体" w:cs="宋体"/>
                <w:i w:val="0"/>
                <w:iCs w:val="0"/>
                <w:color w:val="auto"/>
                <w:sz w:val="24"/>
                <w:szCs w:val="24"/>
                <w:highlight w:val="none"/>
                <w:u w:val="none"/>
                <w:lang w:eastAsia="zh-CN"/>
              </w:rPr>
              <w:outlineLvl w:val="9"/>
            </w:pPr>
            <w:r>
              <w:rPr>
                <w:rFonts w:hint="eastAsia" w:ascii="宋体" w:hAnsi="宋体" w:eastAsia="宋体" w:cs="宋体"/>
                <w:i w:val="0"/>
                <w:iCs w:val="0"/>
                <w:color w:val="auto"/>
                <w:sz w:val="24"/>
                <w:szCs w:val="24"/>
                <w:highlight w:val="none"/>
                <w:u w:val="none"/>
                <w:lang w:eastAsia="zh-CN"/>
              </w:rPr>
              <mc:AlternateContent>
                <mc:Choice Requires="wpg">
                  <w:drawing>
                    <wp:inline xmlns:wp="http://schemas.openxmlformats.org/drawingml/2006/wordprocessingDrawing" distT="0" distB="0" distL="0" distR="0">
                      <wp:extent cx="862330" cy="653415"/>
                      <wp:effectExtent l="0" t="0" r="13970" b="13335"/>
                      <wp:docPr id="103" name="图片 131" descr="111e0f60-cb6b-4766-b83e-d3e7ede4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31" descr="111e0f60-cb6b-4766-b83e-d3e7ede42485"/>
                              <pic:cNvPicPr>
                                <a:picLocks noChangeAspect="1"/>
                              </pic:cNvPicPr>
                              <pic:nvPr/>
                            </pic:nvPicPr>
                            <pic:blipFill>
                              <a:blip r:embed="rId117"/>
                              <a:stretch/>
                            </pic:blipFill>
                            <pic:spPr bwMode="auto">
                              <a:xfrm>
                                <a:off x="0" y="0"/>
                                <a:ext cx="862330" cy="65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67.9pt;height:51.4pt;mso-wrap-distance-left:0.0pt;mso-wrap-distance-top:0.0pt;mso-wrap-distance-right:0.0pt;mso-wrap-distance-bottom:0.0pt;" stroked="false">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356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1.测试受试者的关节、韧带和肌肉伸展性和弹性及人体柔韧素质的发展水平。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2、传感器精度高，抗光性强，不易受外界环境影响。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3、可靠性高、耐疲劳，适应频繁、大量人群集中测试。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4、大液晶显示屏，具有锁定功能，读数方便。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5、开关机单键操作，实用简便，具有自动清零功能。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6、低功耗设计，电池寿命长，省电设计，5分钟未使用自动关机，低电量提示。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7、便携实用型设计，带电下即可正常测试。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8、底座支架采用新型可折叠式，操作使用方便，不占用空间。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9、单机具有四项功能按键，支持手工输入测试者编号，具有测量三次取最大值功能，单机能保存≥5000条测试数据。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10、单机支持USB接口从PC上下载名单和上传测试数据，单机具有有线连接智能主机控制器接口。</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wp:posOffset>
                      </wp:positionH>
                      <wp:positionV relativeFrom="paragraph">
                        <wp:posOffset>56515</wp:posOffset>
                      </wp:positionV>
                      <wp:extent cx="895985" cy="381635"/>
                      <wp:effectExtent l="0" t="0" r="18415" b="18415"/>
                      <wp:wrapNone/>
                      <wp:docPr id="104" name="图片_243"/>
                      <wp:cNvGraphicFramePr/>
                      <a:graphic xmlns:a="http://schemas.openxmlformats.org/drawingml/2006/main">
                        <a:graphicData uri="http://schemas.openxmlformats.org/drawingml/2006/picture">
                          <pic:pic xmlns:pic="http://schemas.openxmlformats.org/drawingml/2006/picture">
                            <pic:nvPicPr>
                              <pic:cNvPr id="104" name="图片_243"/>
                              <pic:cNvPicPr/>
                              <pic:nvPr/>
                            </pic:nvPicPr>
                            <pic:blipFill>
                              <a:blip r:embed="rId118"/>
                              <a:stretch/>
                            </pic:blipFill>
                            <pic:spPr bwMode="auto">
                              <a:xfrm>
                                <a:off x="0" y="0"/>
                                <a:ext cx="895985" cy="381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61312;o:allowoverlap:true;o:allowincell:true;mso-position-horizontal-relative:text;margin-left:0.8pt;mso-position-horizontal:absolute;mso-position-vertical-relative:text;margin-top:4.5pt;mso-position-vertical:absolute;width:70.5pt;height:30.0pt;mso-wrap-distance-left:9.0pt;mso-wrap-distance-top:0.0pt;mso-wrap-distance-right:9.0pt;mso-wrap-distance-bottom:0.0pt;" stroked="f">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87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肺活量吹嘴</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符合卫生标准的塑料制品</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33655</wp:posOffset>
                      </wp:positionH>
                      <wp:positionV relativeFrom="paragraph">
                        <wp:posOffset>74930</wp:posOffset>
                      </wp:positionV>
                      <wp:extent cx="752475" cy="427355"/>
                      <wp:effectExtent l="0" t="0" r="9525" b="10795"/>
                      <wp:wrapNone/>
                      <wp:docPr id="105" name="图片_105"/>
                      <wp:cNvGraphicFramePr/>
                      <a:graphic xmlns:a="http://schemas.openxmlformats.org/drawingml/2006/main">
                        <a:graphicData uri="http://schemas.openxmlformats.org/drawingml/2006/picture">
                          <pic:pic xmlns:pic="http://schemas.openxmlformats.org/drawingml/2006/picture">
                            <pic:nvPicPr>
                              <pic:cNvPr id="105" name="图片_105"/>
                              <pic:cNvPicPr/>
                              <pic:nvPr/>
                            </pic:nvPicPr>
                            <pic:blipFill>
                              <a:blip r:embed="rId119"/>
                              <a:stretch/>
                            </pic:blipFill>
                            <pic:spPr bwMode="auto">
                              <a:xfrm>
                                <a:off x="0" y="0"/>
                                <a:ext cx="752475" cy="42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61312;o:allowoverlap:true;o:allowincell:true;mso-position-horizontal-relative:text;margin-left:2.6pt;mso-position-horizontal:absolute;mso-position-vertical-relative:text;margin-top:5.9pt;mso-position-vertical:absolute;width:59.2pt;height:33.6pt;mso-wrap-distance-left:9.0pt;mso-wrap-distance-top:0.0pt;mso-wrap-distance-right:9.0pt;mso-wrap-distance-bottom:0.0pt;" stroked="f">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r>
      <w:tr>
        <w:trPr>
          <w:jc w:val="center"/>
          <w:trHeight w:val="15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水桶带滤网</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5.5L，PP材质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139065</wp:posOffset>
                      </wp:positionH>
                      <wp:positionV relativeFrom="paragraph">
                        <wp:posOffset>126365</wp:posOffset>
                      </wp:positionV>
                      <wp:extent cx="723265" cy="801370"/>
                      <wp:effectExtent l="0" t="0" r="635" b="17780"/>
                      <wp:wrapNone/>
                      <wp:docPr id="106" name="图片_27"/>
                      <wp:cNvGraphicFramePr/>
                      <a:graphic xmlns:a="http://schemas.openxmlformats.org/drawingml/2006/main">
                        <a:graphicData uri="http://schemas.openxmlformats.org/drawingml/2006/picture">
                          <pic:pic xmlns:pic="http://schemas.openxmlformats.org/drawingml/2006/picture">
                            <pic:nvPicPr>
                              <pic:cNvPr id="106" name="图片_27"/>
                              <pic:cNvPicPr/>
                              <pic:nvPr/>
                            </pic:nvPicPr>
                            <pic:blipFill>
                              <a:blip r:embed="rId120"/>
                              <a:stretch/>
                            </pic:blipFill>
                            <pic:spPr bwMode="auto">
                              <a:xfrm>
                                <a:off x="0" y="0"/>
                                <a:ext cx="723265"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61312;o:allowoverlap:true;o:allowincell:true;mso-position-horizontal-relative:text;margin-left:10.9pt;mso-position-horizontal:absolute;mso-position-vertical-relative:text;margin-top:9.9pt;mso-position-vertical:absolute;width:56.9pt;height:63.1pt;mso-wrap-distance-left:9.0pt;mso-wrap-distance-top:0.0pt;mso-wrap-distance-right:9.0pt;mso-wrap-distance-bottom:0.0pt;" stroked="f">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r>
      <w:tr>
        <w:trPr>
          <w:jc w:val="center"/>
          <w:trHeight w:val="101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10.其他及仪器类</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拉力器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安全五璜拉力器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161925</wp:posOffset>
                      </wp:positionH>
                      <wp:positionV relativeFrom="paragraph">
                        <wp:posOffset>9525</wp:posOffset>
                      </wp:positionV>
                      <wp:extent cx="722630" cy="618490"/>
                      <wp:effectExtent l="0" t="0" r="1270" b="10160"/>
                      <wp:wrapNone/>
                      <wp:docPr id="107" name="图片_106"/>
                      <wp:cNvGraphicFramePr/>
                      <a:graphic xmlns:a="http://schemas.openxmlformats.org/drawingml/2006/main">
                        <a:graphicData uri="http://schemas.openxmlformats.org/drawingml/2006/picture">
                          <pic:pic xmlns:pic="http://schemas.openxmlformats.org/drawingml/2006/picture">
                            <pic:nvPicPr>
                              <pic:cNvPr id="107" name="图片_106"/>
                              <pic:cNvPicPr/>
                              <pic:nvPr/>
                            </pic:nvPicPr>
                            <pic:blipFill>
                              <a:blip r:embed="rId121"/>
                              <a:stretch/>
                            </pic:blipFill>
                            <pic:spPr bwMode="auto">
                              <a:xfrm>
                                <a:off x="0" y="0"/>
                                <a:ext cx="722630" cy="618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61312;o:allowoverlap:true;o:allowincell:true;mso-position-horizontal-relative:text;margin-left:12.8pt;mso-position-horizontal:absolute;mso-position-vertical-relative:text;margin-top:0.8pt;mso-position-vertical:absolute;width:56.9pt;height:48.7pt;mso-wrap-distance-left:9.0pt;mso-wrap-distance-top:0.0pt;mso-wrap-distance-right:9.0pt;mso-wrap-distance-bottom:0.0pt;" stroked="f">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1401"/>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弹力带</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环保橡胶，弹性好，不易损坏，宽度4—5厘米  </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104775</wp:posOffset>
                      </wp:positionH>
                      <wp:positionV relativeFrom="paragraph">
                        <wp:posOffset>76200</wp:posOffset>
                      </wp:positionV>
                      <wp:extent cx="805180" cy="805180"/>
                      <wp:effectExtent l="0" t="0" r="13970" b="13970"/>
                      <wp:wrapNone/>
                      <wp:docPr id="108" name="图片_107"/>
                      <wp:cNvGraphicFramePr/>
                      <a:graphic xmlns:a="http://schemas.openxmlformats.org/drawingml/2006/main">
                        <a:graphicData uri="http://schemas.openxmlformats.org/drawingml/2006/picture">
                          <pic:pic xmlns:pic="http://schemas.openxmlformats.org/drawingml/2006/picture">
                            <pic:nvPicPr>
                              <pic:cNvPr id="108" name="图片_107"/>
                              <pic:cNvPicPr/>
                              <pic:nvPr/>
                            </pic:nvPicPr>
                            <pic:blipFill>
                              <a:blip r:embed="rId122"/>
                              <a:stretch/>
                            </pic:blipFill>
                            <pic:spPr bwMode="auto">
                              <a:xfrm>
                                <a:off x="0" y="0"/>
                                <a:ext cx="805180" cy="805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61312;o:allowoverlap:true;o:allowincell:true;mso-position-horizontal-relative:text;margin-left:8.2pt;mso-position-horizontal:absolute;mso-position-vertical-relative:text;margin-top:6.0pt;mso-position-vertical:absolute;width:63.4pt;height:63.4pt;mso-wrap-distance-left:9.0pt;mso-wrap-distance-top:0.0pt;mso-wrap-distance-right:9.0pt;mso-wrap-distance-bottom:0.0pt;" stroked="f">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91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划线器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1.单道划线车划线宽度可调：5cm—12cm；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2、划线车主要由料斗、料斗架、走轮架、手柄和线宽调节结构组成。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3、料斗采用1mm冷轧板在专用模具上制作。料斗架与走轮架主要采用不小于Ф25×2、Ф30×1.5、3mm铁板、150×150×3mm管材拼焊而成。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4、手柄采用不小于φ32x1.5mm圆管在弯管机上一次成型，美观大方。手柄上装有巴套，手感舒适。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5、划线车走轮不少于3只，均为PU轮。能有效保护地面不受损伤。并且推行平稳。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6、划线车所有紧固件均采用达克锈处理或热镀锌处理，适用于户外，能保证长年不生锈。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7、产品具有耐酸碱、耐湿热、抗老化、外观美观等优点，能适合潮湿和酸雨环境，且前处理过程以及产品涂料配方均不含有毒元素，避免损害使用者的健康。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7620</wp:posOffset>
                      </wp:positionH>
                      <wp:positionV relativeFrom="paragraph">
                        <wp:posOffset>-195580</wp:posOffset>
                      </wp:positionV>
                      <wp:extent cx="790575" cy="818515"/>
                      <wp:effectExtent l="0" t="0" r="9525" b="635"/>
                      <wp:wrapNone/>
                      <wp:docPr id="109" name="图片_108"/>
                      <wp:cNvGraphicFramePr/>
                      <a:graphic xmlns:a="http://schemas.openxmlformats.org/drawingml/2006/main">
                        <a:graphicData uri="http://schemas.openxmlformats.org/drawingml/2006/picture">
                          <pic:pic xmlns:pic="http://schemas.openxmlformats.org/drawingml/2006/picture">
                            <pic:nvPicPr>
                              <pic:cNvPr id="109" name="图片_108"/>
                              <pic:cNvPicPr/>
                              <pic:nvPr/>
                            </pic:nvPicPr>
                            <pic:blipFill>
                              <a:blip r:embed="rId123"/>
                              <a:stretch/>
                            </pic:blipFill>
                            <pic:spPr bwMode="auto">
                              <a:xfrm>
                                <a:off x="0" y="0"/>
                                <a:ext cx="790575" cy="818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61312;o:allowoverlap:true;o:allowincell:true;mso-position-horizontal-relative:text;margin-left:0.6pt;mso-position-horizontal:absolute;mso-position-vertical-relative:text;margin-top:-15.4pt;mso-position-vertical:absolute;width:62.2pt;height:64.5pt;mso-wrap-distance-left:9.0pt;mso-wrap-distance-top:0.0pt;mso-wrap-distance-right:9.0pt;mso-wrap-distance-bottom:0.0pt;" stroked="f">
                      <v:path textboxrect="0,0,0,0"/>
                      <v:imagedata r:id="rId1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61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移动有源有音响</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不小于12寸无线话筒移动，可充电，一次充电持久使用，音质纯正。支持蓝牙，U盘等多功能播放。</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44450</wp:posOffset>
                      </wp:positionH>
                      <wp:positionV relativeFrom="paragraph">
                        <wp:posOffset>59690</wp:posOffset>
                      </wp:positionV>
                      <wp:extent cx="768985" cy="960120"/>
                      <wp:effectExtent l="0" t="0" r="12065" b="11430"/>
                      <wp:wrapNone/>
                      <wp:docPr id="110" name="图片_122"/>
                      <wp:cNvGraphicFramePr/>
                      <a:graphic xmlns:a="http://schemas.openxmlformats.org/drawingml/2006/main">
                        <a:graphicData uri="http://schemas.openxmlformats.org/drawingml/2006/picture">
                          <pic:pic xmlns:pic="http://schemas.openxmlformats.org/drawingml/2006/picture">
                            <pic:nvPicPr>
                              <pic:cNvPr id="110" name="图片_122"/>
                              <pic:cNvPicPr/>
                              <pic:nvPr/>
                            </pic:nvPicPr>
                            <pic:blipFill>
                              <a:blip r:embed="rId124"/>
                              <a:stretch/>
                            </pic:blipFill>
                            <pic:spPr bwMode="auto">
                              <a:xfrm>
                                <a:off x="0" y="0"/>
                                <a:ext cx="768985" cy="960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61312;o:allowoverlap:true;o:allowincell:true;mso-position-horizontal-relative:text;margin-left:3.5pt;mso-position-horizontal:absolute;mso-position-vertical-relative:text;margin-top:4.7pt;mso-position-vertical:absolute;width:60.5pt;height:75.6pt;mso-wrap-distance-left:9.0pt;mso-wrap-distance-top:0.0pt;mso-wrap-distance-right:9.0pt;mso-wrap-distance-bottom:0.0pt;" stroked="f">
                      <v:path textboxrect="0,0,0,0"/>
                      <v:imagedata r:id="rId1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316"/>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扩音器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白色，充电功能，一次充电可长时间待机，音质响亮。</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13970</wp:posOffset>
                      </wp:positionH>
                      <wp:positionV relativeFrom="paragraph">
                        <wp:posOffset>-13335</wp:posOffset>
                      </wp:positionV>
                      <wp:extent cx="826135" cy="655955"/>
                      <wp:effectExtent l="0" t="0" r="12065" b="10795"/>
                      <wp:wrapNone/>
                      <wp:docPr id="111" name="图片_102"/>
                      <wp:cNvGraphicFramePr/>
                      <a:graphic xmlns:a="http://schemas.openxmlformats.org/drawingml/2006/main">
                        <a:graphicData uri="http://schemas.openxmlformats.org/drawingml/2006/picture">
                          <pic:pic xmlns:pic="http://schemas.openxmlformats.org/drawingml/2006/picture">
                            <pic:nvPicPr>
                              <pic:cNvPr id="111" name="图片_102"/>
                              <pic:cNvPicPr/>
                              <pic:nvPr/>
                            </pic:nvPicPr>
                            <pic:blipFill>
                              <a:blip r:embed="rId125"/>
                              <a:stretch/>
                            </pic:blipFill>
                            <pic:spPr bwMode="auto">
                              <a:xfrm>
                                <a:off x="0" y="0"/>
                                <a:ext cx="826135" cy="655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61312;o:allowoverlap:true;o:allowincell:true;mso-position-horizontal-relative:text;margin-left:1.1pt;mso-position-horizontal:absolute;mso-position-vertical-relative:text;margin-top:-1.1pt;mso-position-vertical:absolute;width:65.0pt;height:51.6pt;mso-wrap-distance-left:9.0pt;mso-wrap-distance-top:0.0pt;mso-wrap-distance-right:9.0pt;mso-wrap-distance-bottom:0.0pt;" stroked="f">
                      <v:path textboxrect="0,0,0,0"/>
                      <v:imagedata r:id="rId1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jc w:val="center"/>
          <w:trHeight w:val="1187"/>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标志筒</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不小于50CM，环保材质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228600</wp:posOffset>
                      </wp:positionH>
                      <wp:positionV relativeFrom="paragraph">
                        <wp:posOffset>-28575</wp:posOffset>
                      </wp:positionV>
                      <wp:extent cx="393065" cy="666115"/>
                      <wp:effectExtent l="0" t="0" r="6985" b="635"/>
                      <wp:wrapNone/>
                      <wp:docPr id="112" name="图片_111"/>
                      <wp:cNvGraphicFramePr/>
                      <a:graphic xmlns:a="http://schemas.openxmlformats.org/drawingml/2006/main">
                        <a:graphicData uri="http://schemas.openxmlformats.org/drawingml/2006/picture">
                          <pic:pic xmlns:pic="http://schemas.openxmlformats.org/drawingml/2006/picture">
                            <pic:nvPicPr>
                              <pic:cNvPr id="112" name="图片_111"/>
                              <pic:cNvPicPr/>
                              <pic:nvPr/>
                            </pic:nvPicPr>
                            <pic:blipFill>
                              <a:blip r:embed="rId126"/>
                              <a:stretch/>
                            </pic:blipFill>
                            <pic:spPr bwMode="auto">
                              <a:xfrm>
                                <a:off x="0" y="0"/>
                                <a:ext cx="393065" cy="6661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61312;o:allowoverlap:true;o:allowincell:true;mso-position-horizontal-relative:text;margin-left:18.0pt;mso-position-horizontal:absolute;mso-position-vertical-relative:text;margin-top:-2.2pt;mso-position-vertical:absolute;width:30.9pt;height:52.4pt;mso-wrap-distance-left:9.0pt;mso-wrap-distance-top:0.0pt;mso-wrap-distance-right:9.0pt;mso-wrap-distance-bottom:0.0pt;" stroked="f">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jc w:val="center"/>
          <w:trHeight w:val="93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保健箱</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环保铝合金材质，16寸。</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66675</wp:posOffset>
                      </wp:positionH>
                      <wp:positionV relativeFrom="paragraph">
                        <wp:posOffset>9525</wp:posOffset>
                      </wp:positionV>
                      <wp:extent cx="732790" cy="583565"/>
                      <wp:effectExtent l="0" t="0" r="10160" b="6985"/>
                      <wp:wrapNone/>
                      <wp:docPr id="113" name="图片_112"/>
                      <wp:cNvGraphicFramePr/>
                      <a:graphic xmlns:a="http://schemas.openxmlformats.org/drawingml/2006/main">
                        <a:graphicData uri="http://schemas.openxmlformats.org/drawingml/2006/picture">
                          <pic:pic xmlns:pic="http://schemas.openxmlformats.org/drawingml/2006/picture">
                            <pic:nvPicPr>
                              <pic:cNvPr id="113" name="图片_112"/>
                              <pic:cNvPicPr/>
                              <pic:nvPr/>
                            </pic:nvPicPr>
                            <pic:blipFill>
                              <a:blip r:embed="rId127"/>
                              <a:stretch/>
                            </pic:blipFill>
                            <pic:spPr bwMode="auto">
                              <a:xfrm>
                                <a:off x="0" y="0"/>
                                <a:ext cx="732790" cy="583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61312;o:allowoverlap:true;o:allowincell:true;mso-position-horizontal-relative:text;margin-left:5.2pt;mso-position-horizontal:absolute;mso-position-vertical-relative:text;margin-top:0.8pt;mso-position-vertical:absolute;width:57.7pt;height:45.9pt;mso-wrap-distance-left:9.0pt;mso-wrap-distance-top:0.0pt;mso-wrap-distance-right:9.0pt;mso-wrap-distance-bottom:0.0pt;" stroked="f">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839"/>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铝合金平沙板</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1.铝合金平砂板主要由手柄、支撑杆与平砂板三部分拼装而成。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2、支撑杆与平砂板采用铝合金型材，表面氧化。手柄采用Φ30×2铝管，长度为1650mm。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3、手柄处装有巴套，手感舒适。</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-47625</wp:posOffset>
                      </wp:positionH>
                      <wp:positionV relativeFrom="paragraph">
                        <wp:posOffset>-104775</wp:posOffset>
                      </wp:positionV>
                      <wp:extent cx="970280" cy="441960"/>
                      <wp:effectExtent l="0" t="0" r="1270" b="15240"/>
                      <wp:wrapNone/>
                      <wp:docPr id="114" name="图片_113"/>
                      <wp:cNvGraphicFramePr/>
                      <a:graphic xmlns:a="http://schemas.openxmlformats.org/drawingml/2006/main">
                        <a:graphicData uri="http://schemas.openxmlformats.org/drawingml/2006/picture">
                          <pic:pic xmlns:pic="http://schemas.openxmlformats.org/drawingml/2006/picture">
                            <pic:nvPicPr>
                              <pic:cNvPr id="114" name="图片_113"/>
                              <pic:cNvPicPr/>
                              <pic:nvPr/>
                            </pic:nvPicPr>
                            <pic:blipFill>
                              <a:blip r:embed="rId128"/>
                              <a:stretch/>
                            </pic:blipFill>
                            <pic:spPr bwMode="auto">
                              <a:xfrm>
                                <a:off x="0" y="0"/>
                                <a:ext cx="970280" cy="441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61312;o:allowoverlap:true;o:allowincell:true;mso-position-horizontal-relative:text;margin-left:-3.8pt;mso-position-horizontal:absolute;mso-position-vertical-relative:text;margin-top:-8.2pt;mso-position-vertical:absolute;width:76.4pt;height:34.8pt;mso-wrap-distance-left:9.0pt;mso-wrap-distance-top:0.0pt;mso-wrap-distance-right:9.0pt;mso-wrap-distance-bottom:0.0pt;" stroked="f">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942"/>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教师用口哨</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环保材质，声音清爽。</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180975</wp:posOffset>
                      </wp:positionH>
                      <wp:positionV relativeFrom="paragraph">
                        <wp:posOffset>9525</wp:posOffset>
                      </wp:positionV>
                      <wp:extent cx="551815" cy="548640"/>
                      <wp:effectExtent l="0" t="0" r="635" b="3810"/>
                      <wp:wrapNone/>
                      <wp:docPr id="115" name="图片_114"/>
                      <wp:cNvGraphicFramePr/>
                      <a:graphic xmlns:a="http://schemas.openxmlformats.org/drawingml/2006/main">
                        <a:graphicData uri="http://schemas.openxmlformats.org/drawingml/2006/picture">
                          <pic:pic xmlns:pic="http://schemas.openxmlformats.org/drawingml/2006/picture">
                            <pic:nvPicPr>
                              <pic:cNvPr id="115" name="图片_114"/>
                              <pic:cNvPicPr/>
                              <pic:nvPr/>
                            </pic:nvPicPr>
                            <pic:blipFill>
                              <a:blip r:embed="rId129"/>
                              <a:stretch/>
                            </pic:blipFill>
                            <pic:spPr bwMode="auto">
                              <a:xfrm>
                                <a:off x="0" y="0"/>
                                <a:ext cx="551815"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61312;o:allowoverlap:true;o:allowincell:true;mso-position-horizontal-relative:text;margin-left:14.2pt;mso-position-horizontal:absolute;mso-position-vertical-relative:text;margin-top:0.8pt;mso-position-vertical:absolute;width:43.4pt;height:43.2pt;mso-wrap-distance-left:9.0pt;mso-wrap-distance-top:0.0pt;mso-wrap-distance-right:9.0pt;mso-wrap-distance-bottom:0.0pt;" stroked="f">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球网袋</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条轮线，最少可容纳12颗标准的篮球。</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123825</wp:posOffset>
                      </wp:positionH>
                      <wp:positionV relativeFrom="paragraph">
                        <wp:posOffset>635</wp:posOffset>
                      </wp:positionV>
                      <wp:extent cx="706755" cy="721995"/>
                      <wp:effectExtent l="0" t="0" r="17145" b="1905"/>
                      <wp:wrapNone/>
                      <wp:docPr id="116" name="图片_116"/>
                      <wp:cNvGraphicFramePr/>
                      <a:graphic xmlns:a="http://schemas.openxmlformats.org/drawingml/2006/main">
                        <a:graphicData uri="http://schemas.openxmlformats.org/drawingml/2006/picture">
                          <pic:pic xmlns:pic="http://schemas.openxmlformats.org/drawingml/2006/picture">
                            <pic:nvPicPr>
                              <pic:cNvPr id="116" name="图片_116"/>
                              <pic:cNvPicPr/>
                              <pic:nvPr/>
                            </pic:nvPicPr>
                            <pic:blipFill>
                              <a:blip r:embed="rId130"/>
                              <a:stretch/>
                            </pic:blipFill>
                            <pic:spPr bwMode="auto">
                              <a:xfrm>
                                <a:off x="0" y="0"/>
                                <a:ext cx="706755" cy="721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61312;o:allowoverlap:true;o:allowincell:true;mso-position-horizontal-relative:text;margin-left:9.8pt;mso-position-horizontal:absolute;mso-position-vertical-relative:text;margin-top:0.0pt;mso-position-vertical:absolute;width:55.6pt;height:56.8pt;mso-wrap-distance-left:9.0pt;mso-wrap-distance-top:0.0pt;mso-wrap-distance-right:9.0pt;mso-wrap-distance-bottom:0.0pt;" stroked="f">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1064"/>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足球示教图</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记号笔1支，磁性珠25颗，其中： 11枚红色、11枚蓝色、3枚黑（黄）色棋子</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228600</wp:posOffset>
                      </wp:positionH>
                      <wp:positionV relativeFrom="paragraph">
                        <wp:posOffset>3175</wp:posOffset>
                      </wp:positionV>
                      <wp:extent cx="448945" cy="614680"/>
                      <wp:effectExtent l="0" t="0" r="8255" b="13970"/>
                      <wp:wrapNone/>
                      <wp:docPr id="117" name="图片_127"/>
                      <wp:cNvGraphicFramePr/>
                      <a:graphic xmlns:a="http://schemas.openxmlformats.org/drawingml/2006/main">
                        <a:graphicData uri="http://schemas.openxmlformats.org/drawingml/2006/picture">
                          <pic:pic xmlns:pic="http://schemas.openxmlformats.org/drawingml/2006/picture">
                            <pic:nvPicPr>
                              <pic:cNvPr id="117" name="图片_127"/>
                              <pic:cNvPicPr/>
                              <pic:nvPr/>
                            </pic:nvPicPr>
                            <pic:blipFill>
                              <a:blip r:embed="rId131"/>
                              <a:stretch/>
                            </pic:blipFill>
                            <pic:spPr bwMode="auto">
                              <a:xfrm>
                                <a:off x="0" y="0"/>
                                <a:ext cx="448945" cy="614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61312;o:allowoverlap:true;o:allowincell:true;mso-position-horizontal-relative:text;margin-left:18.0pt;mso-position-horizontal:absolute;mso-position-vertical-relative:text;margin-top:0.2pt;mso-position-vertical:absolute;width:35.4pt;height:48.4pt;mso-wrap-distance-left:9.0pt;mso-wrap-distance-top:0.0pt;mso-wrap-distance-right:9.0pt;mso-wrap-distance-bottom:0.0pt;" stroked="f">
                      <v:path textboxrect="0,0,0,0"/>
                      <v:imagedata r:id="rId1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82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标志碟</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内圈直径约2CM，外圈直径约15.3CM，厚度约2MM，环保PE弹性材料。</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wp:posOffset>
                      </wp:positionH>
                      <wp:positionV relativeFrom="paragraph">
                        <wp:posOffset>0</wp:posOffset>
                      </wp:positionV>
                      <wp:extent cx="812800" cy="434975"/>
                      <wp:effectExtent l="0" t="0" r="6350" b="3175"/>
                      <wp:wrapNone/>
                      <wp:docPr id="118" name="图片_128"/>
                      <wp:cNvGraphicFramePr/>
                      <a:graphic xmlns:a="http://schemas.openxmlformats.org/drawingml/2006/main">
                        <a:graphicData uri="http://schemas.openxmlformats.org/drawingml/2006/picture">
                          <pic:pic xmlns:pic="http://schemas.openxmlformats.org/drawingml/2006/picture">
                            <pic:nvPicPr>
                              <pic:cNvPr id="118" name="图片_128"/>
                              <pic:cNvPicPr/>
                              <pic:nvPr/>
                            </pic:nvPicPr>
                            <pic:blipFill>
                              <a:blip r:embed="rId132"/>
                              <a:stretch/>
                            </pic:blipFill>
                            <pic:spPr bwMode="auto">
                              <a:xfrm>
                                <a:off x="0" y="0"/>
                                <a:ext cx="812800" cy="434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61312;o:allowoverlap:true;o:allowincell:true;mso-position-horizontal-relative:text;margin-left:0.8pt;mso-position-horizontal:absolute;mso-position-vertical-relative:text;margin-top:0.0pt;mso-position-vertical:absolute;width:64.0pt;height:34.2pt;mso-wrap-distance-left:9.0pt;mso-wrap-distance-top:0.0pt;mso-wrap-distance-right:9.0pt;mso-wrap-distance-bottom:0.0pt;" stroked="f">
                      <v:path textboxrect="0,0,0,0"/>
                      <v:imagedata r:id="rId1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jc w:val="center"/>
          <w:trHeight w:val="1897"/>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11.现场需要预埋部分</w:t>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起跳板</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跳板采用松木制作，为长方形，基本尺寸：长1220±10mm，宽300±2mm，高100±2mm，颜色：白色，涂层耐腐蚀性能等级：≥6，表面质量：涂饰层表面应光滑平整、色泽均匀、结合牢固，不应有起皮脱落、漏涂、锈蚀、裂痕以及较明显的流痕、花斑、结点等缺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104140</wp:posOffset>
                      </wp:positionH>
                      <wp:positionV relativeFrom="paragraph">
                        <wp:posOffset>29845</wp:posOffset>
                      </wp:positionV>
                      <wp:extent cx="790575" cy="524510"/>
                      <wp:effectExtent l="0" t="0" r="9525" b="8890"/>
                      <wp:wrapNone/>
                      <wp:docPr id="119" name="图片_132"/>
                      <wp:cNvGraphicFramePr/>
                      <a:graphic xmlns:a="http://schemas.openxmlformats.org/drawingml/2006/main">
                        <a:graphicData uri="http://schemas.openxmlformats.org/drawingml/2006/picture">
                          <pic:pic xmlns:pic="http://schemas.openxmlformats.org/drawingml/2006/picture">
                            <pic:nvPicPr>
                              <pic:cNvPr id="119" name="图片_132"/>
                              <pic:cNvPicPr/>
                              <pic:nvPr/>
                            </pic:nvPicPr>
                            <pic:blipFill>
                              <a:blip r:embed="rId133"/>
                              <a:stretch/>
                            </pic:blipFill>
                            <pic:spPr bwMode="auto">
                              <a:xfrm>
                                <a:off x="0" y="0"/>
                                <a:ext cx="790575" cy="524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61312;o:allowoverlap:true;o:allowincell:true;mso-position-horizontal-relative:text;margin-left:8.2pt;mso-position-horizontal:absolute;mso-position-vertical-relative:text;margin-top:2.4pt;mso-position-vertical:absolute;width:62.2pt;height:41.3pt;mso-wrap-distance-left:9.0pt;mso-wrap-distance-top:0.0pt;mso-wrap-distance-right:9.0pt;mso-wrap-distance-bottom:0.0pt;" stroked="f">
                      <v:path textboxrect="0,0,0,0"/>
                      <v:imagedata r:id="rId1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101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起跳板底架</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起跳板底座基本尺寸：1.22×0.3（m），主要采用δ4.5钢板拼焊而成，表面经喷塑处理。</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wp:posOffset>
                      </wp:positionH>
                      <wp:positionV relativeFrom="paragraph">
                        <wp:posOffset>17780</wp:posOffset>
                      </wp:positionV>
                      <wp:extent cx="876300" cy="571500"/>
                      <wp:effectExtent l="0" t="0" r="0" b="0"/>
                      <wp:wrapNone/>
                      <wp:docPr id="120" name="图片_133"/>
                      <wp:cNvGraphicFramePr/>
                      <a:graphic xmlns:a="http://schemas.openxmlformats.org/drawingml/2006/main">
                        <a:graphicData uri="http://schemas.openxmlformats.org/drawingml/2006/picture">
                          <pic:pic xmlns:pic="http://schemas.openxmlformats.org/drawingml/2006/picture">
                            <pic:nvPicPr>
                              <pic:cNvPr id="120" name="图片_133"/>
                              <pic:cNvPicPr/>
                              <pic:nvPr/>
                            </pic:nvPicPr>
                            <pic:blipFill>
                              <a:blip r:embed="rId134"/>
                              <a:stretch/>
                            </pic:blipFill>
                            <pic:spPr bwMode="auto">
                              <a:xfrm>
                                <a:off x="0" y="0"/>
                                <a:ext cx="876299" cy="571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61312;o:allowoverlap:true;o:allowincell:true;mso-position-horizontal-relative:text;margin-left:2.1pt;mso-position-horizontal:absolute;mso-position-vertical-relative:text;margin-top:1.4pt;mso-position-vertical:absolute;width:69.0pt;height:45.0pt;mso-wrap-distance-left:9.0pt;mso-wrap-distance-top:0.0pt;mso-wrap-distance-right:9.0pt;mso-wrap-distance-bottom:0.0pt;" stroked="f">
                      <v:path textboxrect="0,0,0,0"/>
                      <v:imagedata r:id="rId1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962"/>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橡皮泥板</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橡皮泥显示板采用木料制作，质地坚硬，长1.22米，宽10厘米，表面经批膏、打磨后漆成暗红色。</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-25400</wp:posOffset>
                      </wp:positionH>
                      <wp:positionV relativeFrom="paragraph">
                        <wp:posOffset>69850</wp:posOffset>
                      </wp:positionV>
                      <wp:extent cx="879475" cy="545465"/>
                      <wp:effectExtent l="0" t="0" r="15875" b="6985"/>
                      <wp:wrapNone/>
                      <wp:docPr id="121" name="图片_135"/>
                      <wp:cNvGraphicFramePr/>
                      <a:graphic xmlns:a="http://schemas.openxmlformats.org/drawingml/2006/main">
                        <a:graphicData uri="http://schemas.openxmlformats.org/drawingml/2006/picture">
                          <pic:pic xmlns:pic="http://schemas.openxmlformats.org/drawingml/2006/picture">
                            <pic:nvPicPr>
                              <pic:cNvPr id="121" name="图片_135"/>
                              <pic:cNvPicPr/>
                              <pic:nvPr/>
                            </pic:nvPicPr>
                            <pic:blipFill>
                              <a:blip r:embed="rId135"/>
                              <a:stretch/>
                            </pic:blipFill>
                            <pic:spPr bwMode="auto">
                              <a:xfrm>
                                <a:off x="0" y="0"/>
                                <a:ext cx="879475" cy="545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61312;o:allowoverlap:true;o:allowincell:true;mso-position-horizontal-relative:text;margin-left:-2.0pt;mso-position-horizontal:absolute;mso-position-vertical-relative:text;margin-top:5.5pt;mso-position-vertical:absolute;width:69.2pt;height:42.9pt;mso-wrap-distance-left:9.0pt;mso-wrap-distance-top:0.0pt;mso-wrap-distance-right:9.0pt;mso-wrap-distance-bottom:0.0pt;" stroked="f">
                      <v:path textboxrect="0,0,0,0"/>
                      <v:imagedata r:id="rId1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jc w:val="center"/>
          <w:trHeight w:val="983"/>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铅球抵趾板</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抵趾板宽度：112~300 mm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弧线的弦长：1210±10 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高出圈内地面尺寸：100±2mm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材质：木材，表面漆成白色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漆面质量：表面应平整、光滑、色泽均匀、结构牢固，不应有起皮脱落、漏涂、锈蚀、裂痕以及较明显的流痕、花斑、结点等缺陷；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45720</wp:posOffset>
                      </wp:positionH>
                      <wp:positionV relativeFrom="paragraph">
                        <wp:posOffset>3175</wp:posOffset>
                      </wp:positionV>
                      <wp:extent cx="857250" cy="514985"/>
                      <wp:effectExtent l="0" t="0" r="0" b="18415"/>
                      <wp:wrapNone/>
                      <wp:docPr id="122" name="图片_136"/>
                      <wp:cNvGraphicFramePr/>
                      <a:graphic xmlns:a="http://schemas.openxmlformats.org/drawingml/2006/main">
                        <a:graphicData uri="http://schemas.openxmlformats.org/drawingml/2006/picture">
                          <pic:pic xmlns:pic="http://schemas.openxmlformats.org/drawingml/2006/picture">
                            <pic:nvPicPr>
                              <pic:cNvPr id="122" name="图片_136"/>
                              <pic:cNvPicPr/>
                              <pic:nvPr/>
                            </pic:nvPicPr>
                            <pic:blipFill>
                              <a:blip r:embed="rId136"/>
                              <a:srcRect l="9993" t="13333" r="4040" b="10884"/>
                              <a:stretch/>
                            </pic:blipFill>
                            <pic:spPr bwMode="auto">
                              <a:xfrm>
                                <a:off x="0" y="0"/>
                                <a:ext cx="857250" cy="514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61312;o:allowoverlap:true;o:allowincell:true;mso-position-horizontal-relative:text;margin-left:3.6pt;mso-position-horizontal:absolute;mso-position-vertical-relative:text;margin-top:0.2pt;mso-position-vertical:absolute;width:67.5pt;height:40.5pt;mso-wrap-distance-left:9.0pt;mso-wrap-distance-top:0.0pt;mso-wrap-distance-right:9.0pt;mso-wrap-distance-bottom:0.0pt;" stroked="f">
                      <v:path textboxrect="0,0,0,0"/>
                      <v:imagedata r:id="rId1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458"/>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铅球投掷圈</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1.铅球投掷圈基本尺寸：内沿直径2135±5mm，投掷圈厚度≥6mm，边沿宽度70±1mm。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2、材质：投掷圈应用带状铁板、钢板或其他适宜材料制成。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外观：颜色为白色，投掷圈圆弧应圆滑一致，不得有起皱及明圆弧显的椭圆现象存在。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表面质量：焊接件的外露焊缝表面及相关表面，应焊接件光滑、规整，无漏焊、虚焊、烧穿及明显的焊瘤、咬边、凸起、凹陷、气孔、溅渣等缺陷。涂饰层的表面，应光滑平整、色泽均匀、结合牢固，不应有起皮脱落、漏涂、锈蚀、裂痕以及较明显的流痕、花斑、结点等缺。</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26035</wp:posOffset>
                      </wp:positionH>
                      <wp:positionV relativeFrom="paragraph">
                        <wp:posOffset>43815</wp:posOffset>
                      </wp:positionV>
                      <wp:extent cx="782320" cy="671195"/>
                      <wp:effectExtent l="0" t="0" r="17780" b="14604"/>
                      <wp:wrapNone/>
                      <wp:docPr id="123" name="图片_137"/>
                      <wp:cNvGraphicFramePr/>
                      <a:graphic xmlns:a="http://schemas.openxmlformats.org/drawingml/2006/main">
                        <a:graphicData uri="http://schemas.openxmlformats.org/drawingml/2006/picture">
                          <pic:pic xmlns:pic="http://schemas.openxmlformats.org/drawingml/2006/picture">
                            <pic:nvPicPr>
                              <pic:cNvPr id="123" name="图片_137"/>
                              <pic:cNvPicPr/>
                              <pic:nvPr/>
                            </pic:nvPicPr>
                            <pic:blipFill>
                              <a:blip r:embed="rId137"/>
                              <a:stretch/>
                            </pic:blipFill>
                            <pic:spPr bwMode="auto">
                              <a:xfrm>
                                <a:off x="0" y="0"/>
                                <a:ext cx="782320"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61312;o:allowoverlap:true;o:allowincell:true;mso-position-horizontal-relative:text;margin-left:2.0pt;mso-position-horizontal:absolute;mso-position-vertical-relative:text;margin-top:3.4pt;mso-position-vertical:absolute;width:61.6pt;height:52.8pt;mso-wrap-distance-left:9.0pt;mso-wrap-distance-top:0.0pt;mso-wrap-distance-right:9.0pt;mso-wrap-distance-bottom:0.0pt;" stroked="f">
                      <v:path textboxrect="0,0,0,0"/>
                      <v:imagedata r:id="rId1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left"/>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伸缩式活动看台</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产品设计要求：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1、体育馆伸缩看台两侧设置，每侧伸缩看台长度36米，看台6层，总座位数864包含6个过道，过道宽度1米，一侧36米长度布置3个过道，两侧一共6个过道，单层过道按照2个座位计算，过道换算座位总数72个。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2、看台的结构强度应能承受不小于4.5kN/㎡的均布静载荷，卸载后无损坏。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护栏设计满足承受水平力如下：为沿着主要通道或台阶行走（平行于护栏方向）的观众提供安全防护的护栏，其强度应能承受不小于1000N/m的均布静载荷；为垂直于护栏方向行走的观众提供安全防护的护栏，其强度应能承受不小于1000N/m的均布静载荷；为前排观众提供安全防护的护栏，其强度应能承受不小于1000N/m的均布静载荷；为已经落座的观众提供安全防护的护栏，其强度应能承受不小于1000N/m的均布静载荷；为后排观众提供安全防护的护栏，其强度应能承受不小于1000N/m的均布静载荷。卸载后护栏无明显变形和失效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4、看台两侧设有安全防护栏杆，表面喷塑。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5、看台前沿外表美观，且装有防滑条，避免观众上下时滑倒。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6、看台背后需要使用木板进行加封。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产品外形尺寸：看台层宽700±5mm，看台层高310±5mm，座宽410±5mm，座深（外包）420±5mm，背长185±5mm，座椅安装间距：480mm。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系统材料说明：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7、脚轮：采用宽幅PU轮，直径为不小于Φ125mm，轮辐为B≥40mm。内层采用双滚珠轴承，中间为尼龙层，再覆以高韧性耐磨聚氨酯层，能承受巨力且不磨损地板。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8、驱动轮有多条加强筋PU结构，提供看台所需驱动摩擦力，可轻易克服地面缺陷，满足看台使用需求，且不磨损地板。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9、伸缩脚：每排伸缩脚的数量可根据场地的大小及要求设置。每只伸缩脚下装有不小于3个脚轮。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10、骨架：采用组合件结构，主、副梁结构材料采用≥2mm合金钢通过高强度定拉型材冷拉而成。承重主支撑部件采用≥3mm厚钢管和≥4mm厚梯形导向支撑杆，承重辅支撑件采用≥2mm厚 C型钢。承重主、辅支撑被安装在主梁和副梁之间，采用高强螺栓连接固定。辅支撑件安装的最大中心距离约700mm，作为所有木支撑臂以及行走表面的结束元件。支撑构架之间的支撑臂，通过增加尼龙等组件消除之间的刚性滑动摩擦，减少看台伸缩摩擦阻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11、踏板：采用≥18mm厚黑色防水防滑层板。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12、床架前沿及踏步采用≥70×30mm特制铝钛合金包边，并在型材表面附有特制防滑线条 （加强摩擦力，防止观众走动时滑倒），并采用≥85×85mm角封头将边角包覆，以增加安全性。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同步伸缩装置：采用双层导向设计，上端采用同步导向轮机构，通过支撑滑轮传递减少摩擦阻力，保证导向轮沿直线运动。下端采用导轨机构，看台支脚型材采用精密模压设计，通过锁扣式导向滑槽与导轨连接，保证看台沿直线运动，同时增加侧向稳定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看台座椅：低靠背中空塑料椅。座椅的设计、选型和安装与体育场馆设计相配合，美观舒适、安全、耐用，便于安装维护和管理。椅面采用中空吹塑制造工艺，选用高密度聚乙烯材料（HDPE）一次加工成型，具有座椅表面棱角圆滑、分子量较集中、汇合缝处黏结强度高，较高的刚性及韧性，良好的力学性能及较高的使用温度，抗老化、抗冲击性、耐高低温、耐油性较好。椅面重量1.9±0.1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15、看台过道：每层设一个箱形踏步（工艺与看台台面制作相同），并设排号标牌。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看台安全护栏：看台安全护栏采用≥φ38和≥φ19钢性圆管，经拼装焊接后，表面喷涂颜色同活动看台本色。护栏支架的设置应是垂直的，且相邻杆件最小有效间距不大于100mm。根据活动看台设计要求不同，护栏在伸缩过程中可以采用插拔式或固定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17、看台刹车系统：看台采用升降式刹车系统，待看台伸出到位后，通过刹车手柄快速将刹车橡胶板降下，通过与地面摩擦，将看台固定。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18、喷塑：钢构件均经前期除锈处理后，在自动喷涂线上完成静电粉末喷塑（环氧树脂），以增强其抗腐蚀性。</w:t>
            </w:r>
            <w:r/>
          </w:p>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▲伸缩式活动看台须提供具有CMA认证标志检测报告，至少包含：①外观要求（1.表面平面，无刀口；2.金属焊接无脱焊、虚焊和焊穿、3 金属件漆膜无皱皮，无色差）；</w:t>
            </w:r>
            <w:r/>
          </w:p>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②床架结构强度、看台踏板或结构层面板（1.结构加载≧4500N/m2 荷载，去载后无损坏）；</w:t>
            </w:r>
            <w:r/>
          </w:p>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③护栏（栏杆顶部的水平加载≧1.0kN/m，竖向加载≧1.2kN/m，卸载后无损坏）；</w:t>
            </w:r>
            <w:r/>
          </w:p>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④床架安装（伸缩灵活，无异响，应无明显跑偏，收拢各层面前面应排列整齐，收拢各层面侧面应排列整齐）；</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⑤伸缩看台噪音（≤55dB（A））。</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25400</wp:posOffset>
                      </wp:positionH>
                      <wp:positionV relativeFrom="paragraph">
                        <wp:posOffset>285115</wp:posOffset>
                      </wp:positionV>
                      <wp:extent cx="888365" cy="834390"/>
                      <wp:effectExtent l="0" t="0" r="6985" b="3810"/>
                      <wp:wrapNone/>
                      <wp:docPr id="124" name="图片_34_SpCnt_1"/>
                      <wp:cNvGraphicFramePr/>
                      <a:graphic xmlns:a="http://schemas.openxmlformats.org/drawingml/2006/main">
                        <a:graphicData uri="http://schemas.openxmlformats.org/drawingml/2006/picture">
                          <pic:pic xmlns:pic="http://schemas.openxmlformats.org/drawingml/2006/picture">
                            <pic:nvPicPr>
                              <pic:cNvPr id="124" name="图片_34_SpCnt_1"/>
                              <pic:cNvPicPr/>
                              <pic:nvPr/>
                            </pic:nvPicPr>
                            <pic:blipFill>
                              <a:blip r:embed="rId138"/>
                              <a:stretch/>
                            </pic:blipFill>
                            <pic:spPr bwMode="auto">
                              <a:xfrm>
                                <a:off x="0" y="0"/>
                                <a:ext cx="888365" cy="834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61312;o:allowoverlap:true;o:allowincell:true;mso-position-horizontal-relative:text;margin-left:2.0pt;mso-position-horizontal:absolute;mso-position-vertical-relative:text;margin-top:22.4pt;mso-position-vertical:absolute;width:70.0pt;height:65.7pt;mso-wrap-distance-left:9.0pt;mso-wrap-distance-top:0.0pt;mso-wrap-distance-right:9.0pt;mso-wrap-distance-bottom:0.0pt;" stroked="f">
                      <v:path textboxrect="0,0,0,0"/>
                      <v:imagedata r:id="rId1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864</w:t>
            </w:r>
            <w:r/>
          </w:p>
        </w:tc>
      </w:tr>
      <w:tr>
        <w:trPr>
          <w:jc w:val="center"/>
          <w:trHeight w:val="1665"/>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restart"/>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健美操用花球</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尺寸：≥32cm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全新PET材质，环口光滑无毛刺，加厚设计指环，久持不累手，不同年龄段均适用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31750</wp:posOffset>
                      </wp:positionH>
                      <wp:positionV relativeFrom="paragraph">
                        <wp:posOffset>78740</wp:posOffset>
                      </wp:positionV>
                      <wp:extent cx="788035" cy="891540"/>
                      <wp:effectExtent l="0" t="0" r="12065" b="3810"/>
                      <wp:wrapNone/>
                      <wp:docPr id="125" name="图片_10"/>
                      <wp:cNvGraphicFramePr/>
                      <a:graphic xmlns:a="http://schemas.openxmlformats.org/drawingml/2006/main">
                        <a:graphicData uri="http://schemas.openxmlformats.org/drawingml/2006/picture">
                          <pic:pic xmlns:pic="http://schemas.openxmlformats.org/drawingml/2006/picture">
                            <pic:nvPicPr>
                              <pic:cNvPr id="125" name="图片_10"/>
                              <pic:cNvPicPr/>
                              <pic:nvPr/>
                            </pic:nvPicPr>
                            <pic:blipFill>
                              <a:blip r:embed="rId139"/>
                              <a:stretch/>
                            </pic:blipFill>
                            <pic:spPr bwMode="auto">
                              <a:xfrm>
                                <a:off x="0" y="0"/>
                                <a:ext cx="788034" cy="891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61312;o:allowoverlap:true;o:allowincell:true;mso-position-horizontal-relative:text;margin-left:2.5pt;mso-position-horizontal:absolute;mso-position-vertical-relative:text;margin-top:6.2pt;mso-position-vertical:absolute;width:62.0pt;height:70.2pt;mso-wrap-distance-left:9.0pt;mso-wrap-distance-top:0.0pt;mso-wrap-distance-right:9.0pt;mso-wrap-distance-bottom:0.0pt;" stroked="f">
                      <v:path textboxrect="0,0,0,0"/>
                      <v:imagedata r:id="rId1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jc w:val="center"/>
          <w:trHeight w:val="268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田径电子计时系统</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numPr>
                <w:ilvl w:val="0"/>
                <w:numId w:val="15"/>
              </w:numPr>
              <w:jc w:val="left"/>
              <w:keepLines w:val="0"/>
              <w:keepNext w:val="0"/>
              <w:widowControl/>
              <w:rPr>
                <w:rFonts w:hint="eastAsia"/>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高速摄像计时主机：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1）、24位全彩图像，千帧高速相机；抓取机、控制接收机集成一体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2）、实时视频调节对终点线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3）、≥720高清图像输出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4）、最大支持1000帧/秒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5）、千兆以太网通讯接口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6）、同时保存终点成绩图像及终点冲刺视频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7）、变焦工业镜头C接口焦距7—36mm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8）、计时精度为0.001秒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9）、无线传感器发令，空旷环境有效距离≥1000米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10）、支持无线拍摄按钮采集图像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11）、支持多次发令及重置发令时刻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12）、停止计时可继续抓取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13）、图像自动裁剪，过滤无效图像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14）、图像压缩预览，快速定位判读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15）、支持意外情况电脑死机重启软件恢复计时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16）、支持控制终点分段计时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17）、支持指定发令后固定时间自动抓拍图像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18）、高清JPG图像输出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19）、软件支持成绩算分表导入计算得分及等级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20）、支持成绩实时上LED大屏显示或电视显示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21）、与终点回放系统无缝对接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22）、软件支持自动与终点回放系统关联查看视频图像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23）、软件支持拍摄、内存判读、文件判读并行操作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24）、支持实时打印成绩单及其他多种格式成绩文档输出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25）、支持与田径运动会管理系统实时数据交互"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2、使用4根433MHZ天线通讯天线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3、1个FA 7—36mm 1:2.8C工业变焦镜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4、个三维微动云台，内置齿轮，30度平面微动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5、1副三脚架，展开高度范围50cm ～ 177cm，最大承重≥30KG；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6、1个拍摄按钮 ，≥5米长耐油耐磨控制线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7、1个电源适配器，输入电压：交流AC100-240V 50/60HZ，输出电压：直流DC12V输出电流：最大2A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8、1根网线，长度≥5M，硅胶万兆网线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9、1套供电电池 ，锂电池容量：12v20AH，2米供电线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10、1套无线发令手柄，内置锂电池供电，TYPE-C充电接口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11、1套校园电子发令 ，"发令距离不小于500米；电池类型：充电锂电池；续航时间：≥12小时；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13、1个航空箱，内嵌防潮反震海绵，外尺寸：50x40x21厘米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14、1个无线发令音响（选配），功率200W，续航≥12小时以上</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43815</wp:posOffset>
                      </wp:positionH>
                      <wp:positionV relativeFrom="paragraph">
                        <wp:posOffset>466090</wp:posOffset>
                      </wp:positionV>
                      <wp:extent cx="799465" cy="946150"/>
                      <wp:effectExtent l="0" t="0" r="635" b="6350"/>
                      <wp:wrapNone/>
                      <wp:docPr id="126" name="图片_62_SpCnt_1"/>
                      <wp:cNvGraphicFramePr/>
                      <a:graphic xmlns:a="http://schemas.openxmlformats.org/drawingml/2006/main">
                        <a:graphicData uri="http://schemas.openxmlformats.org/drawingml/2006/picture">
                          <pic:pic xmlns:pic="http://schemas.openxmlformats.org/drawingml/2006/picture">
                            <pic:nvPicPr>
                              <pic:cNvPr id="126" name="图片_62_SpCnt_1"/>
                              <pic:cNvPicPr/>
                              <pic:nvPr/>
                            </pic:nvPicPr>
                            <pic:blipFill>
                              <a:blip r:embed="rId140"/>
                              <a:stretch/>
                            </pic:blipFill>
                            <pic:spPr bwMode="auto">
                              <a:xfrm>
                                <a:off x="0" y="0"/>
                                <a:ext cx="799465" cy="946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61312;o:allowoverlap:true;o:allowincell:true;mso-position-horizontal-relative:text;margin-left:3.4pt;mso-position-horizontal:absolute;mso-position-vertical-relative:text;margin-top:36.7pt;mso-position-vertical:absolute;width:62.9pt;height:74.5pt;mso-wrap-distance-left:9.0pt;mso-wrap-distance-top:0.0pt;mso-wrap-distance-right:9.0pt;mso-wrap-distance-bottom:0.0pt;" stroked="f">
                      <v:path textboxrect="0,0,0,0"/>
                      <v:imagedata r:id="rId1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44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钉鞋</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1.采用植绒+三明治网布设计，柔软舒适，透气升级。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2、稳定型七钉排布。前三钉增强抓地，后四钉稳定支撑，增加爆发力。无缝响应步伐改变。顷刻迸发脚下动力。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3、EVA中底+后取橡胶底设计。减轻爆发力带来的运动伤害。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4、轻质尼龙头掌，支撑性强，全面稳定。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5、鞋码36 37 38 39 40 41 42各2个</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20955</wp:posOffset>
                      </wp:positionH>
                      <wp:positionV relativeFrom="paragraph">
                        <wp:posOffset>272415</wp:posOffset>
                      </wp:positionV>
                      <wp:extent cx="843280" cy="866140"/>
                      <wp:effectExtent l="0" t="0" r="13970" b="10160"/>
                      <wp:wrapNone/>
                      <wp:docPr id="127" name="图片_38"/>
                      <wp:cNvGraphicFramePr/>
                      <a:graphic xmlns:a="http://schemas.openxmlformats.org/drawingml/2006/main">
                        <a:graphicData uri="http://schemas.openxmlformats.org/drawingml/2006/picture">
                          <pic:pic xmlns:pic="http://schemas.openxmlformats.org/drawingml/2006/picture">
                            <pic:nvPicPr>
                              <pic:cNvPr id="127" name="图片_38"/>
                              <pic:cNvPicPr/>
                              <pic:nvPr/>
                            </pic:nvPicPr>
                            <pic:blipFill>
                              <a:blip r:embed="rId141"/>
                              <a:stretch/>
                            </pic:blipFill>
                            <pic:spPr bwMode="auto">
                              <a:xfrm>
                                <a:off x="0" y="0"/>
                                <a:ext cx="843280" cy="866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61312;o:allowoverlap:true;o:allowincell:true;mso-position-horizontal-relative:text;margin-left:1.6pt;mso-position-horizontal:absolute;mso-position-vertical-relative:text;margin-top:21.4pt;mso-position-vertical:absolute;width:66.4pt;height:68.2pt;mso-wrap-distance-left:9.0pt;mso-wrap-distance-top:0.0pt;mso-wrap-distance-right:9.0pt;mso-wrap-distance-bottom:0.0pt;" stroked="f">
                      <v:path textboxrect="0,0,0,0"/>
                      <v:imagedata r:id="rId1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r>
      <w:tr>
        <w:trPr>
          <w:jc w:val="center"/>
          <w:trHeight w:val="50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单杠</w:t>
            </w:r>
            <w:r/>
          </w:p>
        </w:tc>
        <w:tc>
          <w:tcPr>
            <w:shd w:val="clear" w:color="auto" w:fill="auto"/>
            <w:tcBorders>
              <w:top w:val="single" w:color="000000" w:sz="4" w:space="0"/>
              <w:left w:val="single" w:color="000000" w:sz="4" w:space="0"/>
              <w:bottom w:val="single" w:color="000000"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1.全重不小于150公斤，高度1900-2100—2300毫米。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2、杠面直径为不小于28毫米，长1800毫米弹簧钢，镀锌。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3、两边立柱采用不小于48毫米钢管焊成梯形，横纵向皆有拉杆支撑，以保持牢固稳定。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4、底座长≧2400毫米，≧宽1500毫米，采用不小于60*160毫米U型钢材焊接，厚度≧4毫米。</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80645</wp:posOffset>
                      </wp:positionH>
                      <wp:positionV relativeFrom="paragraph">
                        <wp:posOffset>201930</wp:posOffset>
                      </wp:positionV>
                      <wp:extent cx="838200" cy="972820"/>
                      <wp:effectExtent l="0" t="0" r="0" b="17780"/>
                      <wp:wrapNone/>
                      <wp:docPr id="128" name="图片_39"/>
                      <wp:cNvGraphicFramePr/>
                      <a:graphic xmlns:a="http://schemas.openxmlformats.org/drawingml/2006/main">
                        <a:graphicData uri="http://schemas.openxmlformats.org/drawingml/2006/picture">
                          <pic:pic xmlns:pic="http://schemas.openxmlformats.org/drawingml/2006/picture">
                            <pic:nvPicPr>
                              <pic:cNvPr id="128" name="图片_39"/>
                              <pic:cNvPicPr/>
                              <pic:nvPr/>
                            </pic:nvPicPr>
                            <pic:blipFill>
                              <a:blip r:embed="rId142"/>
                              <a:stretch/>
                            </pic:blipFill>
                            <pic:spPr bwMode="auto">
                              <a:xfrm>
                                <a:off x="0" y="0"/>
                                <a:ext cx="838200" cy="9728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61312;o:allowoverlap:true;o:allowincell:true;mso-position-horizontal-relative:text;margin-left:6.3pt;mso-position-horizontal:absolute;mso-position-vertical-relative:text;margin-top:15.9pt;mso-position-vertical:absolute;width:66.0pt;height:76.6pt;mso-wrap-distance-left:9.0pt;mso-wrap-distance-top:0.0pt;mso-wrap-distance-right:9.0pt;mso-wrap-distance-bottom:0.0pt;" stroked="f">
                      <v:path textboxrect="0,0,0,0"/>
                      <v:imagedata r:id="rId1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470"/>
        </w:trPr>
        <w:tc>
          <w:tcPr>
            <w:shd w:val="clear" w:color="auto" w:fill="auto"/>
            <w:tcBorders>
              <w:top w:val="single" w:color="000000" w:sz="4" w:space="0"/>
              <w:left w:val="single" w:color="000000" w:sz="8"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可调式活动双杠</w:t>
            </w:r>
            <w:r/>
          </w:p>
        </w:tc>
        <w:tc>
          <w:tcPr>
            <w:shd w:val="clear" w:color="auto" w:fill="auto"/>
            <w:tcBorders>
              <w:top w:val="single" w:color="000000" w:sz="4" w:space="0"/>
              <w:left w:val="single" w:color="000000" w:sz="4" w:space="0"/>
              <w:bottom w:val="single" w:color="auto" w:sz="4" w:space="0"/>
              <w:right w:val="single" w:color="000000"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1.双杠杠面尺寸≧：长x横截面=3500x（50x40）mm，杠面采用复合玻璃钢材料在专用模具上经特殊加工而成，其杠面有一定的弹性与韧性，且杠面表面具有较好的手感性。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2、双杠四立柱由内外立柱组成，外立柱采用≥Φ60×3mm圆管制作，设有调节锁紧机构，内立柱采用≥Φ42×3mm圆管制作，内立柱每50mm设一调节档，杠面高度调节范围：1400—1700mm之间。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3、底座基本尺寸：长×宽≥2800×1400（mm），采用≥Φ60×3mm圆管制作，通过螺栓联成“井”字形结构，便于拆装，底座下设置有橡胶垫块，保持产品在使用过程中具有良好的平衡性和抗震性。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4、双杠两杠面间距可调，调节范围：420—520mm。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5、双杠内立柱表面镀锌处理，产品具有耐酸碱、耐湿热、抗老化、外观美观等优点，能适合潮湿和酸雨环境，且前处理过程以及产品涂料配方均不含有毒元素，避免损害使用者的健康。</w:t>
            </w:r>
            <w:r/>
          </w:p>
        </w:tc>
        <w:tc>
          <w:tcPr>
            <w:shd w:val="clear" w:color="auto" w:fill="auto"/>
            <w:tcBorders>
              <w:top w:val="single" w:color="000000" w:sz="4" w:space="0"/>
              <w:left w:val="single" w:color="000000" w:sz="4" w:space="0"/>
              <w:bottom w:val="single" w:color="auto" w:sz="4" w:space="0"/>
              <w:right w:val="single" w:color="000000" w:sz="4" w:space="0"/>
            </w:tcBorders>
            <w:tcW w:w="157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wp:posOffset>
                      </wp:positionH>
                      <wp:positionV relativeFrom="paragraph">
                        <wp:posOffset>8890</wp:posOffset>
                      </wp:positionV>
                      <wp:extent cx="850265" cy="774065"/>
                      <wp:effectExtent l="0" t="0" r="6985" b="6985"/>
                      <wp:wrapNone/>
                      <wp:docPr id="129" name="图片_40"/>
                      <wp:cNvGraphicFramePr/>
                      <a:graphic xmlns:a="http://schemas.openxmlformats.org/drawingml/2006/main">
                        <a:graphicData uri="http://schemas.openxmlformats.org/drawingml/2006/picture">
                          <pic:pic xmlns:pic="http://schemas.openxmlformats.org/drawingml/2006/picture">
                            <pic:nvPicPr>
                              <pic:cNvPr id="129" name="图片_40"/>
                              <pic:cNvPicPr/>
                              <pic:nvPr/>
                            </pic:nvPicPr>
                            <pic:blipFill>
                              <a:blip r:embed="rId143"/>
                              <a:stretch/>
                            </pic:blipFill>
                            <pic:spPr bwMode="auto">
                              <a:xfrm>
                                <a:off x="0" y="0"/>
                                <a:ext cx="850265" cy="774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61312;o:allowoverlap:true;o:allowincell:true;mso-position-horizontal-relative:text;margin-left:0.1pt;mso-position-horizontal:absolute;mso-position-vertical-relative:text;margin-top:0.7pt;mso-position-vertical:absolute;width:67.0pt;height:60.9pt;mso-wrap-distance-left:9.0pt;mso-wrap-distance-top:0.0pt;mso-wrap-distance-right:9.0pt;mso-wrap-distance-bottom:0.0pt;" stroked="f">
                      <v:path textboxrect="0,0,0,0"/>
                      <v:imagedata r:id="rId143"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auto" w:sz="4" w:space="0"/>
              <w:right w:val="single" w:color="000000" w:sz="4" w:space="0"/>
            </w:tcBorders>
            <w:tcW w:w="59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579"/>
        </w:trPr>
        <w:tc>
          <w:tcPr>
            <w:shd w:val="clear" w:color="auto" w:fill="auto"/>
            <w:tcBorders>
              <w:top w:val="single" w:color="000000" w:sz="4" w:space="0"/>
              <w:left w:val="single" w:color="000000" w:sz="8" w:space="0"/>
              <w:bottom w:val="single" w:color="auto" w:sz="4" w:space="0"/>
              <w:right w:val="single" w:color="auto" w:sz="4" w:space="0"/>
            </w:tcBorders>
            <w:tcW w:w="690"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outlineLvl w:val="9"/>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c>
          <w:tcPr>
            <w:shd w:val="clear" w:color="auto" w:fill="auto"/>
            <w:tcBorders>
              <w:top w:val="single" w:color="auto" w:sz="4" w:space="0"/>
              <w:left w:val="single" w:color="000000" w:sz="4" w:space="0"/>
              <w:bottom w:val="single" w:color="auto" w:sz="4" w:space="0"/>
              <w:right w:val="single" w:color="auto"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运动吧</w:t>
            </w:r>
            <w:r/>
          </w:p>
        </w:tc>
        <w:tc>
          <w:tcPr>
            <w:shd w:val="clear" w:color="auto" w:fill="auto"/>
            <w:tcBorders>
              <w:top w:val="single" w:color="auto" w:sz="4" w:space="0"/>
              <w:left w:val="single" w:color="auto" w:sz="4" w:space="0"/>
              <w:bottom w:val="single" w:color="auto" w:sz="4" w:space="0"/>
              <w:right w:val="single" w:color="auto" w:sz="4" w:space="0"/>
            </w:tcBorders>
            <w:tcW w:w="526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摄像头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1、像素：≥400万，可变焦距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2、支持背光补偿，强光抑制，3D数据降噪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3、120dB宽动态，适应不同监控环境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4.支持ROI感兴趣区域增强编码，支持Smart264/265编码，可根据场景情况自适应调整码率分配，有效节省存储成本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5、摄像头帧率≥25，支持3路视频码流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二、显示屏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1、≥55寸显示终端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2、分辨率支持3840X2160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3、背光类型D-LED</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4、CPU:8核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5、内存：≥8G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6、储存：≥128G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7、2路 HDMI 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8、使用环境：温度-10℃~55℃/湿度 10%RH 90%RH</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9、≥3.0mm 高强度防爆透视钢化玻璃，自带算力芯片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三、运动吧智慧体育运动系统：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运动项目单设备支持多个运动项目包含不限于：5人跳绳测试；立定跳远测试；3人纵跳摸高测试；5人开合跳测试；3人仰卧起坐测试；5人深蹲测试；5人高抬腿（踩球）测试；能查看学生个人档案、成绩、曲线图，可查看单项目运动历史成绩记录以及相对应运动处方建议，历史视频可保存15天。各项目运动过程中可实时展示运动者的人体关节点、球的位置框等识别内容，以及实时的计数结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1、智慧跳绳测试仪：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1.1在1个摄像头下，可支持不小于5人运动同时测试、同时计时计数，运动过程中实现人脸识别、身份信息匹配，前端大屏跳绳过程数据实时显示、跳出测试区域提示、运动结束后分时间段计数、中断数的呈现。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1.2支持过程中人体姿态追踪，转体跳跃后仍正常计数。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1.3竞赛模式：单设备可支持3人同时跳绳竞赛。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1.4测试范围：0-2000次，分值1次，允许误差：±1次。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1.5运动结束后，形成个人运动报告，跳绳速率，并给出测评点评和锻炼建议，手机端查看视频回放。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2、智慧立定跳远测试仪：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2.1运动过程中可实现人脸识别、身份信息匹配，支持基于视频实现立定跳远测距，自动识别踩线、单脚起跳、垫步跳、出界等犯规提示、成绩的实时交互呈现。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2.2立定跳远过程中随来随测，在测试位自动识别身份，测试过程声音提示，测试成绩实时显示；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2.3跳远地垫刻度自动识别检测，可左右移动随意摆放；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2.4测试仪器无需跳毯，可直接在塑胶操场上进行测试，适应室内外测试环境。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2.5排行榜展示：支持在无人使用状态下显示项目排行榜，支持分性别显示排行榜状态。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2.6测试屏幕实时显示测试者身份信息、实时成绩，实时头像，分时动作切片组合图。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2.7测试结束，成绩实时上传，可在App实时查看，支持历史记录视频回放 ；成绩可纳入教学管理。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2.8测试者在测试位进行人脸识别，各测位独立进行测试，随来随测。测试成绩在屏幕实时显示。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2.9测试范围：0~300cm；分度值：1cm；允许误差：±1cm；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3、智慧纵跳摸高测试仪：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3.1在1个摄像头下，可支持不小于3人同时人脸识别进行摸高测距测试，运动过程中实现人脸识别、身份信息匹配，跳出界违规显示；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3.2支持前端大屏跳高结果数据显示、瞬间画面呈现。支持“新纪录”等特效动画及声音提示；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测试范围：0~320cm；分度值：1cm；允许误差：±1cm；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4、智慧开合跳测试仪：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4.1、1个摄像头下，可不小于5人同时运动计时计数，运动过程中实现人脸识别、身份信息匹配，支持前端大屏开合跳过程数据实时显示，支持前端大屏结束后的计数呈现。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4.2、犯规动作不计数：需双手双脚运动，手不动或脚不动不计数；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测试范围：0~500次；分度值：1次；允许误差：±1次；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5、智慧仰卧起坐测试仪：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5.1、测试全程人脸识别、身份绑定，具备防替考、防作弊、自由模式及考试模式，测试结果大屏实时显示。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5.2、单台设备单摄像头可支持不小于3个人运动同时计时计数。支持多名学生人脸识别同时开启测试，支持前端大屏仰卧起坐过程数据实时显示，支持前端大屏结束后的计数呈现；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5.3、测试设备自动判别动作有效性，无穿戴装备。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5.4、犯规检测：肩胛骨未触垫、手臂未触膝、膝盖未弯曲、顶胯、未抱头。可自主选择调试违规检测难度。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5.5、仰卧起坐板自动识别检测位置是否移动，屏幕可显示器材是否摆放准确；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5.6、测试屏幕在无人测试状态下显示个人 /班级实时排行榜数据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5.7、测试屏幕分别实时显示不小于3名测试者身份信息、实时成绩，实时头像，违规个数。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5.8、测试结束后，成绩实时上传，可在App实时查看，支持历史记录视频回放 ；成绩可纳入教学管理。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5.9、测试模式有自由模式和考试模式，自由模式测试者在测试位举右手进行人脸识别，各测位独立进行测试，随来随测。考试模式由老师控制，统一发令进行测试。测试成绩在屏幕实时显示；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5.10、测试范围：0~99次；分度值：1次；允许误差：±1次；</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6.智慧深蹲测试仪：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1个摄像头下，可支持不小于5人同时深蹲测试，运动过程中实现人脸识别、身份信息匹配，通过前端摄像头自动识别测量结果，测试结果大屏实时显示。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测试范围：0~500次；分度值：1次；允许误差：±1次；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7、智慧高抬腿测试仪：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1个摄像头下，可支持不小于5人同时高抬腿测试，运动过程中实现人脸识别、身份信息匹配，通过前端摄像头自动识别测量结果，测试结果大屏实时显示。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可支持高抬腿踩球运动，屏幕实时显示运动个数；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测试范围：0~500次；分度值：1次；允许误差：±1次；</w:t>
            </w:r>
            <w:r/>
          </w:p>
          <w:p>
            <w:pPr>
              <w:pStyle w:val="798"/>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▲运动吧中集成的智慧跳绳测试仪、智慧立定跳远测试仪、智慧仰卧起坐测试仪须提供符合GB/T 19851.12-2025、具有CMA认证标志检测报告，报告中须体现对应功能参数满足采购技术要求。</w:t>
            </w:r>
            <w:bookmarkStart w:id="154" w:name="_GoBack"/>
            <w:r/>
            <w:bookmarkEnd w:id="154"/>
            <w:r/>
            <w:r/>
          </w:p>
        </w:tc>
        <w:tc>
          <w:tcPr>
            <w:shd w:val="clear" w:color="auto" w:fill="auto"/>
            <w:tcBorders>
              <w:top w:val="single" w:color="auto" w:sz="4" w:space="0"/>
              <w:left w:val="single" w:color="auto" w:sz="4" w:space="0"/>
              <w:bottom w:val="single" w:color="auto" w:sz="4" w:space="0"/>
              <w:right w:val="single" w:color="000000" w:sz="4" w:space="0"/>
            </w:tcBorders>
            <w:tcW w:w="157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52070</wp:posOffset>
                      </wp:positionH>
                      <wp:positionV relativeFrom="paragraph">
                        <wp:posOffset>-712470</wp:posOffset>
                      </wp:positionV>
                      <wp:extent cx="768985" cy="490220"/>
                      <wp:effectExtent l="0" t="0" r="12065" b="5080"/>
                      <wp:wrapNone/>
                      <wp:docPr id="130"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09"/>
                              <pic:cNvPicPr>
                                <a:picLocks noChangeAspect="1"/>
                              </pic:cNvPicPr>
                              <pic:nvPr/>
                            </pic:nvPicPr>
                            <pic:blipFill>
                              <a:blip r:embed="rId144"/>
                              <a:srcRect l="9223" t="2794" r="8289" b="4022"/>
                              <a:stretch/>
                            </pic:blipFill>
                            <pic:spPr bwMode="auto">
                              <a:xfrm>
                                <a:off x="0" y="0"/>
                                <a:ext cx="768985" cy="4902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62336;o:allowoverlap:true;o:allowincell:true;mso-position-horizontal-relative:text;margin-left:4.1pt;mso-position-horizontal:absolute;mso-position-vertical-relative:text;margin-top:-56.1pt;mso-position-vertical:absolute;width:60.5pt;height:38.6pt;mso-wrap-distance-left:9.0pt;mso-wrap-distance-top:0.0pt;mso-wrap-distance-right:9.0pt;mso-wrap-distance-bottom:0.0pt;" stroked="f" strokeweight="0.75pt">
                      <v:path textboxrect="0,0,0,0"/>
                      <v:imagedata r:id="rId144" o:title=""/>
                    </v:shape>
                  </w:pict>
                </mc:Fallback>
              </mc:AlternateContent>
            </w: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24130</wp:posOffset>
                      </wp:positionH>
                      <wp:positionV relativeFrom="paragraph">
                        <wp:posOffset>764540</wp:posOffset>
                      </wp:positionV>
                      <wp:extent cx="821055" cy="656590"/>
                      <wp:effectExtent l="0" t="0" r="17145" b="10160"/>
                      <wp:wrapNone/>
                      <wp:docPr id="131" name="图片_100"/>
                      <wp:cNvGraphicFramePr/>
                      <a:graphic xmlns:a="http://schemas.openxmlformats.org/drawingml/2006/main">
                        <a:graphicData uri="http://schemas.openxmlformats.org/drawingml/2006/picture">
                          <pic:pic xmlns:pic="http://schemas.openxmlformats.org/drawingml/2006/picture">
                            <pic:nvPicPr>
                              <pic:cNvPr id="131" name="图片_100"/>
                              <pic:cNvPicPr/>
                              <pic:nvPr/>
                            </pic:nvPicPr>
                            <pic:blipFill>
                              <a:blip r:embed="rId145"/>
                              <a:stretch/>
                            </pic:blipFill>
                            <pic:spPr bwMode="auto">
                              <a:xfrm>
                                <a:off x="0" y="0"/>
                                <a:ext cx="821055" cy="656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61312;o:allowoverlap:true;o:allowincell:true;mso-position-horizontal-relative:text;margin-left:1.9pt;mso-position-horizontal:absolute;mso-position-vertical-relative:text;margin-top:60.2pt;mso-position-vertical:absolute;width:64.6pt;height:51.7pt;mso-wrap-distance-left:9.0pt;mso-wrap-distance-top:0.0pt;mso-wrap-distance-right:9.0pt;mso-wrap-distance-bottom:0.0pt;" stroked="f">
                      <v:path textboxrect="0,0,0,0"/>
                      <v:imagedata r:id="rId145" o:title=""/>
                    </v:shape>
                  </w:pict>
                </mc:Fallback>
              </mc:AlternateContent>
            </w: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40005</wp:posOffset>
                      </wp:positionH>
                      <wp:positionV relativeFrom="paragraph">
                        <wp:posOffset>93345</wp:posOffset>
                      </wp:positionV>
                      <wp:extent cx="798830" cy="698500"/>
                      <wp:effectExtent l="0" t="0" r="1270" b="6350"/>
                      <wp:wrapNone/>
                      <wp:docPr id="132" name="图片_43"/>
                      <wp:cNvGraphicFramePr/>
                      <a:graphic xmlns:a="http://schemas.openxmlformats.org/drawingml/2006/main">
                        <a:graphicData uri="http://schemas.openxmlformats.org/drawingml/2006/picture">
                          <pic:pic xmlns:pic="http://schemas.openxmlformats.org/drawingml/2006/picture">
                            <pic:nvPicPr>
                              <pic:cNvPr id="132" name="图片_43"/>
                              <pic:cNvPicPr/>
                              <pic:nvPr/>
                            </pic:nvPicPr>
                            <pic:blipFill>
                              <a:blip r:embed="rId146"/>
                              <a:stretch/>
                            </pic:blipFill>
                            <pic:spPr bwMode="auto">
                              <a:xfrm>
                                <a:off x="0" y="0"/>
                                <a:ext cx="798830"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61312;o:allowoverlap:true;o:allowincell:true;mso-position-horizontal-relative:text;margin-left:3.1pt;mso-position-horizontal:absolute;mso-position-vertical-relative:text;margin-top:7.3pt;mso-position-vertical:absolute;width:62.9pt;height:55.0pt;mso-wrap-distance-left:9.0pt;mso-wrap-distance-top:0.0pt;mso-wrap-distance-right:9.0pt;mso-wrap-distance-bottom:0.0pt;" stroked="f">
                      <v:path textboxrect="0,0,0,0"/>
                      <v:imagedata r:id="rId146" o:title=""/>
                    </v:shape>
                  </w:pict>
                </mc:Fallback>
              </mc:AlternateContent>
            </w:r>
            <w:r/>
          </w:p>
        </w:tc>
        <w:tc>
          <w:tcPr>
            <w:shd w:val="clear" w:color="auto" w:fill="auto"/>
            <w:tcBorders>
              <w:top w:val="single" w:color="auto" w:sz="4" w:space="0"/>
              <w:left w:val="single" w:color="000000" w:sz="4" w:space="0"/>
              <w:bottom w:val="single" w:color="auto" w:sz="4" w:space="0"/>
              <w:right w:val="single" w:color="000000" w:sz="4" w:space="0"/>
            </w:tcBorders>
            <w:tcW w:w="695"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auto" w:sz="4" w:space="0"/>
              <w:left w:val="single" w:color="000000" w:sz="4" w:space="0"/>
              <w:bottom w:val="single" w:color="auto" w:sz="4" w:space="0"/>
              <w:right w:val="single" w:color="auto" w:sz="4" w:space="0"/>
            </w:tcBorders>
            <w:tcW w:w="597"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bl>
    <w:p>
      <w:pPr>
        <w:ind w:firstLine="482"/>
        <w:keepLines w:val="0"/>
        <w:keepNext w:val="0"/>
        <w:pageBreakBefore w:val="0"/>
        <w:spacing w:before="181" w:line="360" w:lineRule="auto"/>
        <w:widowControl w:val="off"/>
        <w:rPr>
          <w:rFonts w:hint="eastAsia" w:eastAsia="宋体"/>
          <w:b/>
          <w:bCs/>
          <w:color w:val="auto"/>
          <w:highlight w:val="none"/>
          <w:lang w:val="en-US" w:eastAsia="zh-CN"/>
        </w:rPr>
      </w:pPr>
      <w:r>
        <w:rPr>
          <w:rFonts w:hint="eastAsia" w:ascii="宋体" w:hAnsi="宋体" w:eastAsia="宋体"/>
          <w:b/>
          <w:bCs/>
          <w:color w:val="auto"/>
          <w:sz w:val="24"/>
          <w:szCs w:val="24"/>
          <w:highlight w:val="none"/>
          <w:lang w:val="en-US" w:eastAsia="zh-CN"/>
        </w:rPr>
        <w:t xml:space="preserve">★注</w:t>
      </w:r>
      <w:r>
        <w:rPr>
          <w:rFonts w:hint="eastAsia" w:ascii="宋体" w:hAnsi="宋体" w:eastAsia="宋体" w:cs="Times New Roman"/>
          <w:b/>
          <w:bCs/>
          <w:color w:val="auto"/>
          <w:sz w:val="24"/>
          <w:szCs w:val="24"/>
          <w:highlight w:val="none"/>
          <w:lang w:val="en-US" w:eastAsia="zh-CN"/>
        </w:rPr>
        <w:t xml:space="preserve">：1）投标文件中提供的检测报告需包含以下资料：①检查报告扫描件加盖公章或签电子公章；②国家体育用品质量检验检测中心官网（https://gt.hebzjy.cn/）或通过检测机构官网、邮箱等可靠途径查询的能证明所提交检测报告真实性的证明材料或者检测机构盖章的证明材料原件扫描件；</w:t>
      </w:r>
      <w:r/>
    </w:p>
    <w:p>
      <w:pPr>
        <w:numPr>
          <w:ilvl w:val="0"/>
          <w:numId w:val="0"/>
        </w:numPr>
        <w:ind w:left="0" w:firstLine="422"/>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lang w:val="en-US" w:eastAsia="zh-CN" w:bidi="ar"/>
        </w:rPr>
        <w:t xml:space="preserve">2）</w:t>
      </w:r>
      <w:r>
        <w:rPr>
          <w:rFonts w:hint="eastAsia" w:ascii="宋体" w:hAnsi="宋体" w:eastAsia="宋体" w:cs="Times New Roman"/>
          <w:b/>
          <w:bCs/>
          <w:color w:val="auto"/>
          <w:sz w:val="24"/>
          <w:szCs w:val="24"/>
          <w:highlight w:val="none"/>
          <w:lang w:val="en-US" w:eastAsia="zh-CN"/>
        </w:rPr>
        <w:t xml:space="preserve">投标人在投标文件中提供的</w:t>
      </w:r>
      <w:r>
        <w:rPr>
          <w:rFonts w:hint="eastAsia" w:ascii="宋体" w:hAnsi="宋体" w:eastAsia="宋体" w:cs="宋体"/>
          <w:b/>
          <w:bCs/>
          <w:i w:val="0"/>
          <w:iCs w:val="0"/>
          <w:color w:val="auto"/>
          <w:sz w:val="24"/>
          <w:szCs w:val="24"/>
          <w:highlight w:val="none"/>
          <w:u w:val="none"/>
          <w:lang w:val="en-US" w:eastAsia="zh-CN" w:bidi="ar"/>
        </w:rPr>
        <w:t xml:space="preserve">检测报告上的名称与采购要求的名称无需完全一致，但内容（功能)需相同。名称与要求不同时，应提供内容（功能)说明及包含的关键信息，须与本次采购内容相关，否则不予认可；</w:t>
      </w:r>
      <w:r/>
    </w:p>
    <w:p>
      <w:pPr>
        <w:numPr>
          <w:ilvl w:val="0"/>
          <w:numId w:val="0"/>
        </w:numPr>
        <w:ind w:left="0" w:firstLine="422"/>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3）检测报告须带有CMA标识。投标文件中提供的检验报告材料必须清晰且完整含封底及封面，仅提供局部内容的检测报告视为无效；</w:t>
      </w:r>
      <w:r/>
    </w:p>
    <w:p>
      <w:pPr>
        <w:numPr>
          <w:ilvl w:val="0"/>
          <w:numId w:val="0"/>
        </w:numPr>
        <w:ind w:left="0" w:firstLine="422"/>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4）不提供或提供不符合要求的符合性检查不通过。</w:t>
      </w:r>
      <w:r/>
    </w:p>
    <w:p>
      <w:pPr>
        <w:ind w:left="0" w:right="0"/>
        <w:jc w:val="left"/>
        <w:keepLines w:val="0"/>
        <w:keepNext w:val="0"/>
        <w:pageBreakBefore w:val="0"/>
        <w:spacing w:before="0" w:beforeAutospacing="0" w:after="0" w:afterAutospacing="0" w:line="360" w:lineRule="auto"/>
        <w:widowControl w:val="off"/>
        <w:rPr>
          <w:rFonts w:hint="default" w:ascii="宋体" w:hAnsi="宋体" w:eastAsia="宋体" w:cs="宋体"/>
          <w:b/>
          <w:color w:val="auto"/>
          <w:sz w:val="24"/>
          <w:szCs w:val="24"/>
          <w:highlight w:val="none"/>
          <w:lang w:val="en-US" w:eastAsia="zh-CN"/>
        </w:rPr>
        <w:outlineLvl w:val="9"/>
        <w:suppressLineNumbers w:val="0"/>
      </w:pPr>
      <w:r>
        <w:rPr>
          <w:rFonts w:hint="eastAsia" w:ascii="宋体" w:hAnsi="宋体"/>
          <w:color w:val="auto"/>
          <w:sz w:val="24"/>
          <w:szCs w:val="24"/>
          <w:highlight w:val="none"/>
        </w:rPr>
        <w:br w:type="page" w:clear="all"/>
      </w:r>
      <w:r>
        <w:rPr>
          <w:rFonts w:hint="eastAsia" w:ascii="宋体" w:hAnsi="宋体" w:eastAsia="宋体" w:cs="宋体"/>
          <w:b/>
          <w:color w:val="auto"/>
          <w:sz w:val="24"/>
          <w:szCs w:val="24"/>
          <w:highlight w:val="none"/>
          <w:lang w:val="en-US" w:eastAsia="zh-CN"/>
        </w:rPr>
        <w:t xml:space="preserve">附体育馆基本图纸：</w:t>
      </w:r>
      <w:r/>
    </w:p>
    <w:p>
      <w:pPr>
        <w:ind w:left="0" w:firstLine="0"/>
        <w:jc w:val="both"/>
        <w:pageBreakBefore w:val="0"/>
        <w:spacing w:line="360" w:lineRule="auto"/>
        <w:rPr>
          <w:rFonts w:hint="eastAsia" w:ascii="宋体" w:hAnsi="宋体" w:eastAsia="宋体" w:cs="宋体"/>
          <w:color w:val="auto"/>
          <w:sz w:val="24"/>
          <w:szCs w:val="24"/>
          <w:highlight w:val="none"/>
        </w:rPr>
      </w:pPr>
      <w:r>
        <w:rPr>
          <w:rFonts w:hint="default" w:ascii="宋体" w:hAnsi="宋体" w:eastAsia="宋体" w:cs="宋体"/>
          <w:b/>
          <w:color w:val="auto"/>
          <w:sz w:val="24"/>
          <w:szCs w:val="24"/>
          <w:highlight w:val="none"/>
          <w:lang w:val="en-US" w:eastAsia="zh-CN"/>
        </w:rPr>
        <mc:AlternateContent>
          <mc:Choice Requires="wpg">
            <w:drawing>
              <wp:inline xmlns:wp="http://schemas.openxmlformats.org/drawingml/2006/wordprocessingDrawing" distT="0" distB="0" distL="0" distR="0">
                <wp:extent cx="8196580" cy="5949950"/>
                <wp:effectExtent l="0" t="0" r="8890" b="2540"/>
                <wp:docPr id="133" name="图片 109" descr="68d0edb8-9bcc-4f5f-87a6-4e72e96ebf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09" descr="68d0edb8-9bcc-4f5f-87a6-4e72e96ebfdf"/>
                        <pic:cNvPicPr>
                          <a:picLocks noChangeAspect="1"/>
                        </pic:cNvPicPr>
                        <pic:nvPr/>
                      </pic:nvPicPr>
                      <pic:blipFill>
                        <a:blip r:embed="rId147"/>
                        <a:stretch/>
                      </pic:blipFill>
                      <pic:spPr bwMode="auto">
                        <a:xfrm rot="16199998">
                          <a:off x="0" y="0"/>
                          <a:ext cx="8196580" cy="59499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645.4pt;height:468.5pt;mso-wrap-distance-left:0.0pt;mso-wrap-distance-top:0.0pt;mso-wrap-distance-right:0.0pt;mso-wrap-distance-bottom:0.0pt;rotation:269;" stroked="false">
                <v:path textboxrect="0,0,0,0"/>
                <v:imagedata r:id="rId147" o:title=""/>
              </v:shape>
            </w:pict>
          </mc:Fallback>
        </mc:AlternateConten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16"/>
        </w:numPr>
        <w:ind w:left="-62" w:firstLine="48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采购清单及技术要求：</w:t>
      </w:r>
      <w:r/>
    </w:p>
    <w:p>
      <w:pPr>
        <w:numPr>
          <w:ilvl w:val="0"/>
          <w:numId w:val="0"/>
        </w:numPr>
        <w:ind w:left="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投标人必须在满足招标文件要求的基础上进行报价，如有技术偏离请于投标偏离表中说明</w:t>
      </w:r>
      <w:r>
        <w:rPr>
          <w:rFonts w:hint="eastAsia" w:ascii="宋体" w:hAnsi="宋体" w:eastAsia="宋体" w:cs="宋体"/>
          <w:color w:val="auto"/>
          <w:sz w:val="24"/>
          <w:highlight w:val="none"/>
          <w:lang w:eastAsia="zh-CN"/>
        </w:rPr>
        <w:t xml:space="preserve">，投标人所投内容必须满足</w:t>
      </w:r>
      <w:r>
        <w:rPr>
          <w:rFonts w:hint="eastAsia" w:ascii="宋体" w:hAnsi="宋体" w:eastAsia="宋体" w:cs="宋体"/>
          <w:color w:val="auto"/>
          <w:sz w:val="24"/>
          <w:highlight w:val="none"/>
        </w:rPr>
        <w:t xml:space="preserve">招标文件要求</w:t>
      </w:r>
      <w:r>
        <w:rPr>
          <w:rFonts w:hint="eastAsia" w:ascii="宋体" w:hAnsi="宋体" w:eastAsia="宋体" w:cs="宋体"/>
          <w:color w:val="auto"/>
          <w:sz w:val="24"/>
          <w:highlight w:val="none"/>
          <w:lang w:eastAsia="zh-CN"/>
        </w:rPr>
        <w:t xml:space="preserve">，不得有负偏离</w:t>
      </w:r>
      <w:r>
        <w:rPr>
          <w:rFonts w:hint="eastAsia" w:ascii="宋体" w:hAnsi="宋体" w:eastAsia="宋体" w:cs="宋体"/>
          <w:color w:val="auto"/>
          <w:sz w:val="24"/>
          <w:highlight w:val="none"/>
        </w:rPr>
        <w:t xml:space="preserve">。（注：投标供应商应在投标偏离表中进行填报）。</w:t>
      </w:r>
      <w:r/>
    </w:p>
    <w:p>
      <w:pPr>
        <w:numPr>
          <w:ilvl w:val="0"/>
          <w:numId w:val="0"/>
        </w:numPr>
        <w:ind w:left="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如采用与上述要求不一致且主观认为高于上述要求的材质，则应当在投标文件中详细描述，且必须提供相关证明文件，或者相关的国家技术规范，但供应商应承担被评委判定为负偏离的风险。</w:t>
      </w:r>
      <w:r/>
    </w:p>
    <w:p>
      <w:pPr>
        <w:numPr>
          <w:ilvl w:val="0"/>
          <w:numId w:val="0"/>
        </w:numPr>
        <w:ind w:left="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凡配置清单中如有</w:t>
      </w:r>
      <w:r>
        <w:rPr>
          <w:rFonts w:hint="eastAsia" w:ascii="宋体" w:hAnsi="宋体" w:eastAsia="宋体" w:cs="宋体"/>
          <w:color w:val="auto"/>
          <w:sz w:val="24"/>
          <w:highlight w:val="none"/>
          <w:lang w:eastAsia="zh-CN"/>
        </w:rPr>
        <w:t xml:space="preserve">涉及</w:t>
      </w:r>
      <w:r>
        <w:rPr>
          <w:rFonts w:hint="eastAsia" w:ascii="宋体" w:hAnsi="宋体" w:eastAsia="宋体" w:cs="宋体"/>
          <w:color w:val="auto"/>
          <w:sz w:val="24"/>
          <w:highlight w:val="none"/>
        </w:rPr>
        <w:t xml:space="preserve">品牌及产地的部分均可用同档次或高于其品质的替代，并在明细表中明确。</w:t>
      </w:r>
      <w:r/>
    </w:p>
    <w:p>
      <w:pPr>
        <w:numPr>
          <w:ilvl w:val="0"/>
          <w:numId w:val="0"/>
        </w:numPr>
        <w:ind w:left="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本项目中所有产品均须符合国家环保等相关标准。</w:t>
      </w:r>
      <w:r/>
    </w:p>
    <w:p>
      <w:pPr>
        <w:numPr>
          <w:ilvl w:val="0"/>
          <w:numId w:val="0"/>
        </w:numPr>
        <w:ind w:left="0"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投标人可对现场进行勘查（不统一组织、因供应商不进行现场勘查造成辅材附件费用计算不准等的后果均由供应商负责）</w:t>
      </w:r>
      <w:r/>
    </w:p>
    <w:p>
      <w:pPr>
        <w:numPr>
          <w:ilvl w:val="0"/>
          <w:numId w:val="16"/>
        </w:numPr>
        <w:ind w:left="0" w:firstLine="422"/>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服务要求：</w:t>
      </w:r>
      <w:r/>
    </w:p>
    <w:p>
      <w:pPr>
        <w:pStyle w:val="836"/>
        <w:ind w:left="0" w:firstLine="420"/>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eastAsia="宋体"/>
          <w:color w:val="auto"/>
          <w:sz w:val="24"/>
          <w:szCs w:val="24"/>
          <w:highlight w:val="none"/>
        </w:rPr>
        <w:t xml:space="preserve">质量要求：符合国家、地方及相关行业标准。货物的验收包括：数量、外观、质量、性能、质保单、包装和乙方承诺的其他指标；验收标准根据有关规定及技术要求，原则上以通过计量检定或校准合格为准。</w:t>
      </w:r>
      <w:r/>
    </w:p>
    <w:p>
      <w:pPr>
        <w:ind w:left="0" w:firstLine="42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2.</w:t>
      </w:r>
      <w:r>
        <w:rPr>
          <w:rFonts w:hint="eastAsia" w:ascii="宋体" w:hAnsi="宋体" w:eastAsia="宋体"/>
          <w:color w:val="auto"/>
          <w:sz w:val="24"/>
          <w:szCs w:val="24"/>
          <w:highlight w:val="none"/>
        </w:rPr>
        <w:t xml:space="preserve">交货期：</w:t>
      </w:r>
      <w:r>
        <w:rPr>
          <w:rFonts w:hint="eastAsia" w:ascii="宋体" w:hAnsi="宋体"/>
          <w:bCs/>
          <w:color w:val="auto"/>
          <w:sz w:val="24"/>
          <w:highlight w:val="none"/>
        </w:rPr>
        <w:t xml:space="preserve">合同签订后，30</w:t>
      </w:r>
      <w:r>
        <w:rPr>
          <w:rFonts w:hint="eastAsia" w:ascii="宋体" w:hAnsi="宋体"/>
          <w:bCs/>
          <w:color w:val="auto"/>
          <w:sz w:val="24"/>
          <w:highlight w:val="none"/>
          <w:shd w:val="clear" w:color="auto" w:fill="auto"/>
        </w:rPr>
        <w:t xml:space="preserve">日历天内完成供货、安装、调试以及与之配套的辅助工作，通过验收后交付采购人使用。</w:t>
      </w:r>
      <w:r>
        <w:rPr>
          <w:rFonts w:hint="eastAsia" w:ascii="宋体" w:hAnsi="宋体"/>
          <w:bCs/>
          <w:color w:val="auto"/>
          <w:sz w:val="24"/>
          <w:highlight w:val="none"/>
        </w:rPr>
        <w:t xml:space="preserve">误期违约金：2000元/天，上限为合同价款的5%。</w:t>
      </w:r>
      <w:r/>
    </w:p>
    <w:p>
      <w:pPr>
        <w:pStyle w:val="836"/>
        <w:ind w:left="0" w:firstLine="420"/>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eastAsia="宋体"/>
          <w:color w:val="auto"/>
          <w:sz w:val="24"/>
          <w:szCs w:val="24"/>
          <w:highlight w:val="none"/>
        </w:rPr>
        <w:t xml:space="preserve">质保期：3年（自终验收双方签署终验收报告之日起开始计算，质保期满后提供</w:t>
      </w:r>
      <w:r>
        <w:rPr>
          <w:rFonts w:hint="eastAsia" w:ascii="宋体" w:hAnsi="宋体"/>
          <w:color w:val="auto"/>
          <w:sz w:val="24"/>
          <w:szCs w:val="24"/>
          <w:highlight w:val="none"/>
          <w:lang w:eastAsia="zh-CN"/>
        </w:rPr>
        <w:t xml:space="preserve">终身</w:t>
      </w:r>
      <w:r>
        <w:rPr>
          <w:rFonts w:hint="eastAsia" w:ascii="宋体" w:hAnsi="宋体" w:eastAsia="宋体"/>
          <w:color w:val="auto"/>
          <w:sz w:val="24"/>
          <w:szCs w:val="24"/>
          <w:highlight w:val="none"/>
        </w:rPr>
        <w:t xml:space="preserve">有偿维修服务）。</w:t>
      </w:r>
      <w:r/>
    </w:p>
    <w:p>
      <w:pPr>
        <w:pStyle w:val="836"/>
        <w:ind w:left="0" w:firstLine="420"/>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4.</w:t>
      </w:r>
      <w:r>
        <w:rPr>
          <w:rFonts w:hint="eastAsia" w:ascii="宋体" w:hAnsi="宋体" w:eastAsia="宋体"/>
          <w:color w:val="auto"/>
          <w:sz w:val="24"/>
          <w:szCs w:val="24"/>
          <w:highlight w:val="none"/>
        </w:rPr>
        <w:t xml:space="preserve">本项目实施地点：无锡市一中太湖新城分校</w:t>
      </w:r>
      <w:r/>
    </w:p>
    <w:p>
      <w:pPr>
        <w:pStyle w:val="836"/>
        <w:ind w:left="0" w:firstLine="420"/>
        <w:rPr>
          <w:rFonts w:ascii="宋体" w:hAnsi="宋体" w:cs="宋体"/>
          <w:color w:val="auto"/>
          <w:szCs w:val="24"/>
          <w:highlight w:val="none"/>
        </w:rPr>
      </w:pPr>
      <w:r>
        <w:rPr>
          <w:rFonts w:hint="eastAsia" w:ascii="宋体" w:hAnsi="宋体"/>
          <w:color w:val="auto"/>
          <w:sz w:val="24"/>
          <w:szCs w:val="24"/>
          <w:highlight w:val="none"/>
          <w:lang w:eastAsia="zh-CN"/>
        </w:rPr>
        <w:t xml:space="preserve">5.</w:t>
      </w:r>
      <w:r>
        <w:rPr>
          <w:rFonts w:hint="eastAsia" w:ascii="宋体" w:hAnsi="宋体" w:eastAsia="宋体"/>
          <w:color w:val="auto"/>
          <w:sz w:val="24"/>
          <w:szCs w:val="24"/>
          <w:highlight w:val="none"/>
        </w:rPr>
        <w:t xml:space="preserve">付款方式：合同签订生效后30日内，支付合同价款的30%；货到验收合格后办理移交手续，支付至合同价款的80%，项目审计结束支付至审定价的95%，余款于审计结束</w:t>
      </w:r>
      <w:r>
        <w:rPr>
          <w:rFonts w:hint="eastAsia" w:ascii="宋体" w:hAnsi="宋体"/>
          <w:color w:val="auto"/>
          <w:sz w:val="24"/>
          <w:szCs w:val="24"/>
          <w:highlight w:val="none"/>
          <w:lang w:eastAsia="zh-CN"/>
        </w:rPr>
        <w:t xml:space="preserve">一</w:t>
      </w:r>
      <w:r>
        <w:rPr>
          <w:rFonts w:hint="eastAsia" w:ascii="宋体" w:hAnsi="宋体" w:eastAsia="宋体"/>
          <w:color w:val="auto"/>
          <w:sz w:val="24"/>
          <w:szCs w:val="24"/>
          <w:highlight w:val="none"/>
        </w:rPr>
        <w:t xml:space="preserve">年后付清。</w:t>
      </w:r>
      <w:r/>
    </w:p>
    <w:p>
      <w:pPr>
        <w:ind w:left="0" w:firstLine="527"/>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第二部分  </w:t>
      </w:r>
      <w:r>
        <w:rPr>
          <w:rFonts w:hint="eastAsia" w:ascii="宋体" w:hAnsi="宋体" w:eastAsia="宋体" w:cs="宋体"/>
          <w:b/>
          <w:color w:val="auto"/>
          <w:sz w:val="30"/>
          <w:szCs w:val="30"/>
          <w:highlight w:val="none"/>
          <w:lang w:val="en-US" w:eastAsia="zh-CN"/>
        </w:rPr>
        <w:t xml:space="preserve">有关说明</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投标总报价包括满足本项目要求的所有产品及其配件、包装、运输、安装调试</w:t>
      </w:r>
      <w:r>
        <w:rPr>
          <w:rFonts w:hint="eastAsia" w:ascii="宋体" w:hAnsi="宋体" w:eastAsia="宋体" w:cs="宋体"/>
          <w:bCs/>
          <w:color w:val="auto"/>
          <w:sz w:val="24"/>
          <w:szCs w:val="24"/>
          <w:highlight w:val="none"/>
          <w:lang w:eastAsia="zh-CN"/>
        </w:rPr>
        <w:t xml:space="preserve">、培训</w:t>
      </w:r>
      <w:r>
        <w:rPr>
          <w:rFonts w:hint="eastAsia" w:ascii="宋体" w:hAnsi="宋体" w:eastAsia="宋体" w:cs="宋体"/>
          <w:bCs/>
          <w:color w:val="auto"/>
          <w:sz w:val="24"/>
          <w:szCs w:val="24"/>
          <w:highlight w:val="none"/>
        </w:rPr>
        <w:t xml:space="preserve">及售后服务等从项目中标起到项目正式交付以及质保期内所发生的一切费用。</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采购人成立验收小组，按照采购合同的约定对中标供应商的履约情况进行验收。验收时间以采购人政府采购履约验收通知单发出为准。验收时，采购人按照采购合同的约定对每一项技术、商务要求的履约情况进行确认。验收结束后，验收小组出具验收书，给出项目总体评价，验收双方共同签署并盖章，履约验收的各项资料存档备查。</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采购人在项目验收时如发现中标供应商所供产品技术参数与投标文件不符，采购人有权拒收货、拒付款，并按提供虚假材料谋取中标处理，供货方须承担相应的法律责任。</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产品质量必须符合《中华人民共和国国家标准》及我国最新颁布的与之相关的技术规范与正宗合格产品标准，同时必须满足采购清单中所列全部规格、型号、具体配置、技术条件及功能要求和供方承诺的其他指标；产品质量出现问题，供方负责包退、包换、包修，其费用由供方负责。</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供货期间，采购人可随时委托具有资质的第三方专业检测机构进行全过程跟踪检测，检测内容包括但不限于原材料、半成品、成品等。检测标准以国家、行业标准、招标文件及投标承诺为依据。供应商须无条件配合采购人、检测单位完成跟踪检测工作，并由采购人委托的检测单位出具检测报告及验收报告。</w:t>
      </w:r>
      <w:r>
        <w:rPr>
          <w:rFonts w:hint="eastAsia" w:ascii="宋体" w:hAnsi="宋体" w:eastAsia="宋体" w:cs="宋体"/>
          <w:bCs/>
          <w:color w:val="auto"/>
          <w:sz w:val="24"/>
          <w:szCs w:val="24"/>
          <w:highlight w:val="none"/>
          <w:lang w:val="en-US" w:eastAsia="zh-CN"/>
        </w:rPr>
        <w:t xml:space="preserve">检验</w:t>
      </w:r>
      <w:r>
        <w:rPr>
          <w:rFonts w:hint="eastAsia" w:ascii="宋体" w:hAnsi="宋体" w:eastAsia="宋体" w:cs="宋体"/>
          <w:bCs/>
          <w:color w:val="auto"/>
          <w:sz w:val="24"/>
          <w:szCs w:val="24"/>
          <w:highlight w:val="none"/>
        </w:rPr>
        <w:t xml:space="preserve">合格的，相关检测费用由采购人支付</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检测结果不合格</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，中标供应商须按要求整改</w:t>
      </w:r>
      <w:r>
        <w:rPr>
          <w:rFonts w:hint="eastAsia" w:ascii="宋体" w:hAnsi="宋体" w:eastAsia="宋体" w:cs="宋体"/>
          <w:bCs/>
          <w:color w:val="auto"/>
          <w:sz w:val="24"/>
          <w:szCs w:val="24"/>
          <w:highlight w:val="none"/>
          <w:lang w:val="en-US" w:eastAsia="zh-CN"/>
        </w:rPr>
        <w:t xml:space="preserve">并承担所有检测费用（包含复检费用）</w:t>
      </w:r>
      <w:r>
        <w:rPr>
          <w:rFonts w:hint="eastAsia" w:ascii="宋体" w:hAnsi="宋体" w:eastAsia="宋体" w:cs="宋体"/>
          <w:bCs/>
          <w:color w:val="auto"/>
          <w:sz w:val="24"/>
          <w:szCs w:val="24"/>
          <w:highlight w:val="none"/>
        </w:rPr>
        <w:t xml:space="preserve">；若</w:t>
      </w:r>
      <w:r>
        <w:rPr>
          <w:rFonts w:hint="eastAsia" w:ascii="宋体" w:hAnsi="宋体" w:eastAsia="宋体" w:cs="宋体"/>
          <w:bCs/>
          <w:color w:val="auto"/>
          <w:sz w:val="24"/>
          <w:szCs w:val="24"/>
          <w:highlight w:val="none"/>
          <w:lang w:eastAsia="zh-CN"/>
        </w:rPr>
        <w:t xml:space="preserve">复检</w:t>
      </w:r>
      <w:r>
        <w:rPr>
          <w:rFonts w:hint="eastAsia" w:ascii="宋体" w:hAnsi="宋体" w:eastAsia="宋体" w:cs="宋体"/>
          <w:bCs/>
          <w:color w:val="auto"/>
          <w:sz w:val="24"/>
          <w:szCs w:val="24"/>
          <w:highlight w:val="none"/>
        </w:rPr>
        <w:t xml:space="preserve">结果</w:t>
      </w:r>
      <w:r>
        <w:rPr>
          <w:rFonts w:hint="eastAsia" w:ascii="宋体" w:hAnsi="宋体" w:eastAsia="宋体" w:cs="宋体"/>
          <w:bCs/>
          <w:color w:val="auto"/>
          <w:sz w:val="24"/>
          <w:szCs w:val="24"/>
          <w:highlight w:val="none"/>
          <w:lang w:eastAsia="zh-CN"/>
        </w:rPr>
        <w:t xml:space="preserve">仍</w:t>
      </w:r>
      <w:r>
        <w:rPr>
          <w:rFonts w:hint="eastAsia" w:ascii="宋体" w:hAnsi="宋体" w:eastAsia="宋体" w:cs="宋体"/>
          <w:bCs/>
          <w:color w:val="auto"/>
          <w:sz w:val="24"/>
          <w:szCs w:val="24"/>
          <w:highlight w:val="none"/>
        </w:rPr>
        <w:t xml:space="preserve">没有达到中标单</w:t>
      </w:r>
      <w:r>
        <w:rPr>
          <w:rFonts w:hint="eastAsia" w:ascii="宋体" w:hAnsi="宋体" w:eastAsia="宋体" w:cs="宋体"/>
          <w:bCs/>
          <w:color w:val="auto"/>
          <w:sz w:val="24"/>
          <w:szCs w:val="24"/>
          <w:highlight w:val="none"/>
          <w:lang w:eastAsia="zh-CN"/>
        </w:rPr>
        <w:t xml:space="preserve">位在</w:t>
      </w:r>
      <w:r>
        <w:rPr>
          <w:rFonts w:hint="eastAsia" w:ascii="宋体" w:hAnsi="宋体" w:eastAsia="宋体" w:cs="宋体"/>
          <w:bCs/>
          <w:color w:val="auto"/>
          <w:sz w:val="24"/>
          <w:szCs w:val="24"/>
          <w:highlight w:val="none"/>
        </w:rPr>
        <w:t xml:space="preserve">投标文件中承诺的技术要求，采购人有权因此而终止部分直至全部合同，由此而造成的后果和责任由供应商全部承担。</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中标供应商为中小企业（或监狱企业或残疾人福利性单位），其中小企业声明函或残疾人福利性单位声明函或监狱企业证明材料将随中标公告同时发布，接受社会监督。投标人提供的声明函或证明材料与事实不符的，依照《中华人民共和国政府采购法》第七十七条第一款的规定追究法律责任。</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8.政府采购中实施本国产品标准及相关政策</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（1）本项目对采购本国产品给予政策支持，具体内容见招标文件</w:t>
      </w:r>
      <w:r>
        <w:rPr>
          <w:rFonts w:hint="eastAsia" w:ascii="宋体" w:hAnsi="宋体" w:eastAsia="宋体" w:cs="宋体"/>
          <w:color w:val="auto"/>
          <w:sz w:val="24"/>
          <w:szCs w:val="24"/>
          <w:highlight w:val="none"/>
        </w:rPr>
        <w:t xml:space="preserve">第五章</w:t>
      </w:r>
      <w:r>
        <w:rPr>
          <w:rFonts w:hint="eastAsia" w:ascii="宋体" w:hAnsi="宋体" w:eastAsia="宋体" w:cs="宋体"/>
          <w:color w:val="auto"/>
          <w:sz w:val="24"/>
          <w:szCs w:val="24"/>
          <w:highlight w:val="none"/>
          <w:lang w:val="en-US" w:eastAsia="zh-CN"/>
        </w:rPr>
        <w:t xml:space="preserve">第二部分</w:t>
      </w:r>
      <w:r>
        <w:rPr>
          <w:rFonts w:hint="eastAsia" w:ascii="宋体" w:hAnsi="宋体" w:eastAsia="宋体" w:cs="宋体"/>
          <w:bCs/>
          <w:color w:val="auto"/>
          <w:sz w:val="24"/>
          <w:szCs w:val="24"/>
          <w:highlight w:val="none"/>
        </w:rPr>
        <w:t xml:space="preserve">“一、落实政府采购政策的价格调整”</w:t>
      </w:r>
      <w:r>
        <w:rPr>
          <w:rFonts w:hint="eastAsia" w:ascii="宋体" w:hAnsi="宋体" w:eastAsia="宋体" w:cs="宋体"/>
          <w:bCs/>
          <w:color w:val="auto"/>
          <w:sz w:val="24"/>
          <w:szCs w:val="24"/>
          <w:highlight w:val="none"/>
          <w:lang w:val="en-US" w:eastAsia="zh-CN"/>
        </w:rPr>
        <w:t xml:space="preserve">。</w:t>
      </w:r>
      <w:r/>
    </w:p>
    <w:p>
      <w:pPr>
        <w:ind w:left="0" w:firstLine="42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25" w:leader="none"/>
          <w:tab w:val="left" w:pos="630" w:leader="none"/>
          <w:tab w:val="left" w:pos="735" w:leader="none"/>
          <w:tab w:val="left" w:pos="945" w:leader="none"/>
          <w:tab w:val="left" w:pos="1080"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凡涉及招标文件的补充说明或修正，均以书面依据为准。</w:t>
      </w:r>
      <w:r/>
    </w:p>
    <w:p>
      <w:pP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36"/>
          <w:szCs w:val="36"/>
          <w:highlight w:val="none"/>
        </w:rPr>
        <w:outlineLvl w:val="0"/>
      </w:pPr>
      <w:r>
        <w:rPr>
          <w:rFonts w:hint="eastAsia" w:ascii="宋体" w:hAnsi="宋体" w:eastAsia="宋体" w:cs="宋体"/>
          <w:b/>
          <w:color w:val="auto"/>
          <w:sz w:val="36"/>
          <w:szCs w:val="36"/>
          <w:highlight w:val="none"/>
        </w:rPr>
        <w:t xml:space="preserve">第五章</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评标方法与评标标准</w:t>
      </w:r>
      <w:r/>
    </w:p>
    <w:p>
      <w:pPr>
        <w:pStyle w:val="983"/>
        <w:keepLines w:val="0"/>
        <w:keepNext w:val="0"/>
        <w:spacing w:before="0" w:after="0" w:line="360" w:lineRule="auto"/>
        <w:rPr>
          <w:rFonts w:ascii="宋体" w:hAnsi="宋体" w:cs="宋体"/>
          <w:color w:val="auto"/>
          <w:sz w:val="30"/>
          <w:szCs w:val="30"/>
          <w:highlight w:val="none"/>
        </w:rPr>
        <w:outlineLvl w:val="1"/>
      </w:pPr>
      <w:r>
        <w:rPr>
          <w:rFonts w:hint="eastAsia" w:ascii="宋体" w:hAnsi="宋体" w:cs="宋体"/>
          <w:color w:val="auto"/>
          <w:sz w:val="30"/>
          <w:szCs w:val="30"/>
          <w:highlight w:val="none"/>
          <w:lang w:eastAsia="zh-CN"/>
        </w:rPr>
        <w:t xml:space="preserve">第一部分评标方法</w:t>
      </w:r>
      <w:r/>
    </w:p>
    <w:p>
      <w:pPr>
        <w:ind w:firstLine="480"/>
        <w:spacing w:line="360" w:lineRule="auto"/>
        <w:tabs>
          <w:tab w:val="left" w:pos="1288" w:leader="none"/>
          <w:tab w:val="left" w:pos="1365" w:leader="none"/>
        </w:tabs>
        <w:rPr>
          <w:rFonts w:hint="eastAsia" w:ascii="宋体" w:hAnsi="宋体" w:cs="宋体"/>
          <w:bCs/>
          <w:color w:val="auto"/>
          <w:sz w:val="24"/>
          <w:szCs w:val="32"/>
          <w:highlight w:val="none"/>
        </w:rPr>
        <w:outlineLvl w:val="9"/>
      </w:pPr>
      <w:r>
        <w:rPr>
          <w:rFonts w:hint="eastAsia" w:ascii="宋体" w:hAnsi="宋体" w:cs="宋体"/>
          <w:bCs/>
          <w:color w:val="auto"/>
          <w:sz w:val="24"/>
          <w:szCs w:val="32"/>
          <w:highlight w:val="none"/>
          <w:lang w:val="en-US" w:eastAsia="zh-CN"/>
        </w:rPr>
        <w:t xml:space="preserve">一、</w:t>
      </w:r>
      <w:r>
        <w:rPr>
          <w:rFonts w:hint="eastAsia" w:ascii="宋体" w:hAnsi="宋体" w:cs="宋体"/>
          <w:bCs/>
          <w:color w:val="auto"/>
          <w:sz w:val="24"/>
          <w:szCs w:val="32"/>
          <w:highlight w:val="none"/>
        </w:rPr>
        <w:t xml:space="preserve">投标供应商通过资格性检查和符合性检查的，方可进入比较与评价程序。</w:t>
      </w:r>
      <w:r/>
    </w:p>
    <w:p>
      <w:pPr>
        <w:ind w:firstLine="480"/>
        <w:spacing w:line="360" w:lineRule="auto"/>
        <w:tabs>
          <w:tab w:val="left" w:pos="1288" w:leader="none"/>
          <w:tab w:val="left" w:pos="1365" w:leader="none"/>
        </w:tabs>
        <w:rPr>
          <w:rFonts w:hint="eastAsia" w:ascii="宋体" w:hAnsi="宋体" w:cs="宋体"/>
          <w:bCs/>
          <w:color w:val="auto"/>
          <w:sz w:val="24"/>
          <w:szCs w:val="32"/>
          <w:highlight w:val="none"/>
        </w:rPr>
        <w:outlineLvl w:val="9"/>
      </w:pPr>
      <w:r>
        <w:rPr>
          <w:rFonts w:hint="eastAsia" w:ascii="宋体" w:hAnsi="宋体" w:cs="宋体"/>
          <w:bCs/>
          <w:color w:val="auto"/>
          <w:sz w:val="24"/>
          <w:szCs w:val="32"/>
          <w:highlight w:val="none"/>
          <w:lang w:val="en-US" w:eastAsia="zh-CN"/>
        </w:rPr>
        <w:t xml:space="preserve">二、</w:t>
      </w:r>
      <w:r>
        <w:rPr>
          <w:rFonts w:hint="eastAsia" w:ascii="宋体" w:hAnsi="宋体" w:cs="宋体"/>
          <w:bCs/>
          <w:color w:val="auto"/>
          <w:sz w:val="24"/>
          <w:szCs w:val="32"/>
          <w:highlight w:val="none"/>
        </w:rPr>
        <w:t xml:space="preserve">比较与评价采用综合评分法（计分均保留2位小数）。</w:t>
      </w:r>
      <w:r/>
    </w:p>
    <w:p>
      <w:pPr>
        <w:ind w:firstLine="480"/>
        <w:spacing w:line="360" w:lineRule="auto"/>
        <w:tabs>
          <w:tab w:val="left" w:pos="1288" w:leader="none"/>
          <w:tab w:val="left" w:pos="1365" w:leader="none"/>
        </w:tabs>
        <w:rPr>
          <w:rFonts w:hint="eastAsia" w:ascii="宋体" w:hAnsi="宋体" w:cs="宋体"/>
          <w:bCs/>
          <w:color w:val="auto"/>
          <w:sz w:val="24"/>
          <w:highlight w:val="none"/>
          <w:lang w:val="en-US" w:eastAsia="zh-CN"/>
        </w:rPr>
        <w:outlineLvl w:val="9"/>
      </w:pPr>
      <w:r>
        <w:rPr>
          <w:rFonts w:hint="eastAsia" w:ascii="宋体" w:hAnsi="宋体" w:cs="宋体"/>
          <w:bCs/>
          <w:color w:val="auto"/>
          <w:sz w:val="24"/>
          <w:highlight w:val="none"/>
        </w:rPr>
        <w:t xml:space="preserve">评审委员会遵循公平、公正、择优原则，独立按照评分标准分别评定投标人的分值；各投标人的最终得分为各评委所评定分值的平均值，评标结果按评审后得分由高到低顺序排列，并推荐三名中标候选人。投标文件满足招标文件全部实质性要求，且按照评审因素的量化指标评审得分最高的投标人为排名第一的中标候选人。若总得分相同，按报价得分由高到低顺序排列；总得分且报价得分相同，按技术方案优劣排列。未列入本评分细则的其他条件不作为评分内容。</w:t>
      </w:r>
      <w:r>
        <w:rPr>
          <w:rFonts w:hint="eastAsia" w:ascii="宋体" w:hAnsi="宋体" w:cs="宋体"/>
          <w:bCs/>
          <w:color w:val="auto"/>
          <w:sz w:val="24"/>
          <w:highlight w:val="none"/>
          <w:lang w:val="en-US" w:eastAsia="zh-CN"/>
        </w:rPr>
        <w:t xml:space="preserve">              </w:t>
      </w:r>
      <w:r/>
    </w:p>
    <w:p>
      <w:pPr>
        <w:numPr>
          <w:ilvl w:val="0"/>
          <w:numId w:val="0"/>
        </w:numPr>
        <w:ind w:firstLine="480"/>
        <w:spacing w:line="360" w:lineRule="auto"/>
        <w:tabs>
          <w:tab w:val="left" w:pos="1288" w:leader="none"/>
          <w:tab w:val="left" w:pos="1365" w:leader="none"/>
        </w:tabs>
        <w:rPr>
          <w:rFonts w:hint="eastAsia" w:ascii="宋体" w:hAnsi="宋体" w:cs="宋体"/>
          <w:b/>
          <w:bCs w:val="0"/>
          <w:color w:val="auto"/>
          <w:sz w:val="24"/>
          <w:highlight w:val="none"/>
        </w:rPr>
        <w:outlineLvl w:val="9"/>
      </w:pPr>
      <w:r>
        <w:rPr>
          <w:rFonts w:hint="eastAsia" w:ascii="宋体" w:hAnsi="宋体" w:cs="宋体"/>
          <w:b/>
          <w:bCs w:val="0"/>
          <w:color w:val="auto"/>
          <w:sz w:val="24"/>
          <w:highlight w:val="none"/>
          <w:lang w:val="en-US" w:eastAsia="zh-CN" w:bidi="ar-SA"/>
        </w:rPr>
        <w:t xml:space="preserve">三、</w:t>
      </w:r>
      <w:r>
        <w:rPr>
          <w:rFonts w:hint="eastAsia" w:ascii="宋体" w:hAnsi="宋体" w:cs="宋体"/>
          <w:b/>
          <w:bCs w:val="0"/>
          <w:color w:val="auto"/>
          <w:sz w:val="24"/>
          <w:highlight w:val="none"/>
        </w:rPr>
        <w:t xml:space="preserve">本项目核心产品：</w:t>
      </w:r>
      <w:r>
        <w:rPr>
          <w:rFonts w:hint="eastAsia" w:ascii="宋体" w:hAnsi="宋体" w:cs="宋体"/>
          <w:b/>
          <w:bCs w:val="0"/>
          <w:color w:val="auto"/>
          <w:sz w:val="24"/>
          <w:highlight w:val="none"/>
          <w:lang w:val="en-US" w:eastAsia="zh-CN"/>
        </w:rPr>
        <w:t xml:space="preserve">固定式单臂篮球架</w:t>
      </w:r>
      <w:r>
        <w:rPr>
          <w:rFonts w:hint="eastAsia" w:ascii="宋体" w:hAnsi="宋体" w:cs="宋体"/>
          <w:b/>
          <w:bCs w:val="0"/>
          <w:color w:val="auto"/>
          <w:sz w:val="24"/>
          <w:highlight w:val="none"/>
        </w:rPr>
        <w:t xml:space="preserve">。</w:t>
      </w:r>
      <w:r/>
    </w:p>
    <w:p>
      <w:pPr>
        <w:numPr>
          <w:ilvl w:val="0"/>
          <w:numId w:val="0"/>
        </w:numPr>
        <w:ind w:firstLine="480"/>
        <w:spacing w:line="360" w:lineRule="auto"/>
        <w:tabs>
          <w:tab w:val="left" w:pos="1288" w:leader="none"/>
          <w:tab w:val="left" w:pos="1365" w:leader="none"/>
        </w:tabs>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提供相同品牌产品且通过资格审查、符合性审查的不同投标人参加同一合同项下投标的，按一家投标人计算，评审后得分最高的同品牌投标人获得中标人推荐资格；评审得分相同的，由</w:t>
      </w:r>
      <w:r>
        <w:rPr>
          <w:rFonts w:hint="default" w:ascii="宋体" w:hAnsi="宋体" w:cs="宋体"/>
          <w:bCs/>
          <w:color w:val="auto"/>
          <w:sz w:val="24"/>
          <w:highlight w:val="none"/>
        </w:rPr>
        <w:t xml:space="preserve">评标委员会采取随机抽取方式确定中标候选人推荐资格</w:t>
      </w:r>
      <w:r>
        <w:rPr>
          <w:rFonts w:hint="eastAsia" w:ascii="宋体" w:hAnsi="宋体" w:cs="宋体"/>
          <w:bCs/>
          <w:color w:val="auto"/>
          <w:sz w:val="24"/>
          <w:highlight w:val="none"/>
        </w:rPr>
        <w:t xml:space="preserve">，其他同品牌投标人不作为中标候选人。非单一产品采购项目，多家投标人提供的核心产品品牌相同的，同上处理。</w:t>
      </w:r>
      <w:r/>
    </w:p>
    <w:p>
      <w:pPr>
        <w:pStyle w:val="983"/>
        <w:keepLines w:val="0"/>
        <w:keepNext w:val="0"/>
        <w:spacing w:before="0" w:after="0" w:line="360" w:lineRule="auto"/>
        <w:rPr>
          <w:rFonts w:hint="eastAsia" w:ascii="宋体" w:hAnsi="宋体" w:eastAsia="宋体" w:cs="宋体"/>
          <w:color w:val="auto"/>
          <w:sz w:val="30"/>
          <w:szCs w:val="30"/>
          <w:highlight w:val="none"/>
          <w:lang w:eastAsia="zh-CN"/>
        </w:rPr>
        <w:outlineLvl w:val="1"/>
      </w:pPr>
      <w:r>
        <w:rPr>
          <w:rFonts w:hint="eastAsia" w:ascii="宋体" w:hAnsi="宋体" w:eastAsia="宋体" w:cs="宋体"/>
          <w:color w:val="auto"/>
          <w:sz w:val="30"/>
          <w:szCs w:val="30"/>
          <w:highlight w:val="none"/>
          <w:lang w:eastAsia="zh-CN"/>
        </w:rPr>
        <w:t xml:space="preserve">第二部分评标标准</w:t>
      </w:r>
      <w:r/>
    </w:p>
    <w:p>
      <w:pPr>
        <w:pStyle w:val="1223"/>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ind w:firstLine="42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（1）提供本国产品进行投标（报价）的供应商需在其投标（响应）文件中提供《关于符合本国产品标准的声明函》（格式见</w:t>
      </w:r>
      <w:r>
        <w:rPr>
          <w:rFonts w:hint="eastAsia" w:ascii="宋体" w:hAnsi="宋体" w:eastAsia="宋体"/>
          <w:bCs/>
          <w:color w:val="auto"/>
          <w:sz w:val="24"/>
          <w:szCs w:val="24"/>
          <w:highlight w:val="none"/>
          <w:lang w:val="en-US" w:eastAsia="zh-CN"/>
        </w:rPr>
        <w:t xml:space="preserve">招标文件</w:t>
      </w:r>
      <w:r>
        <w:rPr>
          <w:rFonts w:hint="eastAsia" w:ascii="宋体" w:hAnsi="宋体"/>
          <w:bCs/>
          <w:color w:val="auto"/>
          <w:sz w:val="24"/>
          <w:szCs w:val="24"/>
          <w:highlight w:val="none"/>
        </w:rPr>
        <w:t xml:space="preserve">第六章）或财政部门会同有关部门规定的有关证明文件。供应商提供的《关于符合本国产品标准的声明函》应按要求逐一、准确填写“产品名称</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厂名</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三项信息。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w:t>
      </w:r>
      <w:r>
        <w:rPr>
          <w:rFonts w:hint="eastAsia" w:ascii="宋体" w:hAnsi="宋体" w:eastAsia="宋体"/>
          <w:bCs/>
          <w:color w:val="auto"/>
          <w:sz w:val="24"/>
          <w:szCs w:val="24"/>
          <w:highlight w:val="none"/>
          <w:lang w:val="en-US" w:eastAsia="zh-CN"/>
        </w:rPr>
        <w:t xml:space="preserve">招标文件</w:t>
      </w:r>
      <w:r>
        <w:rPr>
          <w:rFonts w:hint="eastAsia" w:ascii="宋体" w:hAnsi="宋体"/>
          <w:bCs/>
          <w:color w:val="auto"/>
          <w:sz w:val="24"/>
          <w:szCs w:val="24"/>
          <w:highlight w:val="none"/>
        </w:rPr>
        <w:t xml:space="preserve">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color w:val="auto"/>
          <w:highlight w:val="none"/>
          <w:shd w:val="clear" w:color="ffffff" w:fill="d9d9d9"/>
        </w:rPr>
      </w:pPr>
      <w:r>
        <w:rPr>
          <w:rFonts w:hint="eastAsia" w:ascii="宋体" w:hAnsi="宋体"/>
          <w:bCs/>
          <w:color w:val="auto"/>
          <w:sz w:val="24"/>
          <w:szCs w:val="24"/>
          <w:highlight w:val="none"/>
        </w:rPr>
        <w:t xml:space="preserve">1000000×[1-（10%+20%）]=700000元</w:t>
      </w:r>
      <w:r/>
    </w:p>
    <w:p>
      <w:pPr>
        <w:pStyle w:val="1223"/>
        <w:numPr>
          <w:ilvl w:val="0"/>
          <w:numId w:val="0"/>
        </w:numPr>
        <w:ind w:firstLine="482"/>
        <w:pageBreakBefore w:val="0"/>
        <w:spacing w:before="0" w:after="0"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pStyle w:val="1223"/>
        <w:numPr>
          <w:ilvl w:val="0"/>
          <w:numId w:val="0"/>
        </w:numPr>
        <w:ind w:firstLine="482"/>
        <w:pageBreakBefore w:val="0"/>
        <w:spacing w:before="0" w:after="0"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评分标准</w:t>
      </w:r>
      <w:r/>
    </w:p>
    <w:p>
      <w:pPr>
        <w:ind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（一）评分项目及总分（总分100分）</w:t>
      </w:r>
      <w:r/>
    </w:p>
    <w:p>
      <w:pPr>
        <w:numPr>
          <w:ilvl w:val="0"/>
          <w:numId w:val="0"/>
        </w:numPr>
        <w:ind w:firstLine="480"/>
        <w:pageBreakBefore w:val="0"/>
        <w:spacing w:line="360" w:lineRule="auto"/>
        <w:tabs>
          <w:tab w:val="left" w:pos="1288" w:leader="none"/>
          <w:tab w:val="left" w:pos="1365"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价格               50</w:t>
      </w:r>
      <w:r>
        <w:rPr>
          <w:rFonts w:hint="eastAsia" w:ascii="宋体" w:hAnsi="宋体" w:eastAsia="宋体" w:cs="宋体"/>
          <w:b w:val="0"/>
          <w:bCs w:val="0"/>
          <w:color w:val="auto"/>
          <w:sz w:val="24"/>
          <w:szCs w:val="24"/>
          <w:highlight w:val="none"/>
        </w:rPr>
        <w:t xml:space="preserve">分</w:t>
      </w:r>
      <w:r/>
    </w:p>
    <w:p>
      <w:pPr>
        <w:numPr>
          <w:ilvl w:val="0"/>
          <w:numId w:val="0"/>
        </w:numPr>
        <w:ind w:firstLine="480"/>
        <w:pageBreakBefore w:val="0"/>
        <w:spacing w:line="360" w:lineRule="auto"/>
        <w:tabs>
          <w:tab w:val="left" w:pos="1288" w:leader="none"/>
          <w:tab w:val="left" w:pos="1365" w:leader="none"/>
        </w:tabs>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）商务资信</w:t>
      </w:r>
      <w:r>
        <w:rPr>
          <w:rFonts w:hint="eastAsia" w:ascii="宋体" w:hAnsi="宋体" w:eastAsia="宋体" w:cs="宋体"/>
          <w:b w:val="0"/>
          <w:bCs w:val="0"/>
          <w:color w:val="auto"/>
          <w:sz w:val="24"/>
          <w:szCs w:val="24"/>
          <w:highlight w:val="none"/>
          <w:lang w:val="en-US" w:eastAsia="zh-CN"/>
        </w:rPr>
        <w:t xml:space="preserve">           7分</w:t>
      </w:r>
      <w:r/>
    </w:p>
    <w:p>
      <w:pPr>
        <w:numPr>
          <w:ilvl w:val="0"/>
          <w:numId w:val="0"/>
        </w:numPr>
        <w:ind w:firstLine="480"/>
        <w:pageBreakBefore w:val="0"/>
        <w:spacing w:line="360" w:lineRule="auto"/>
        <w:tabs>
          <w:tab w:val="left" w:pos="1288" w:leader="none"/>
          <w:tab w:val="left" w:pos="1365" w:leader="none"/>
        </w:tabs>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highlight w:val="none"/>
        </w:rPr>
        <w:t xml:space="preserve">产品功能视频演示</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5分</w:t>
      </w:r>
      <w:r/>
    </w:p>
    <w:p>
      <w:pPr>
        <w:numPr>
          <w:ilvl w:val="0"/>
          <w:numId w:val="0"/>
        </w:numPr>
        <w:ind w:firstLine="480"/>
        <w:pageBreakBefore w:val="0"/>
        <w:spacing w:line="360" w:lineRule="auto"/>
        <w:tabs>
          <w:tab w:val="left" w:pos="1288" w:leader="none"/>
          <w:tab w:val="left" w:pos="1365" w:leader="none"/>
        </w:tabs>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加分因素</w:t>
      </w:r>
      <w:r>
        <w:rPr>
          <w:rFonts w:hint="eastAsia" w:ascii="宋体" w:hAnsi="宋体" w:eastAsia="宋体" w:cs="宋体"/>
          <w:b w:val="0"/>
          <w:bCs w:val="0"/>
          <w:color w:val="auto"/>
          <w:sz w:val="24"/>
          <w:szCs w:val="24"/>
          <w:highlight w:val="none"/>
          <w:lang w:val="en-US" w:eastAsia="zh-CN"/>
        </w:rPr>
        <w:t xml:space="preserve">           3分</w:t>
      </w:r>
      <w:r/>
    </w:p>
    <w:p>
      <w:pPr>
        <w:numPr>
          <w:ilvl w:val="0"/>
          <w:numId w:val="0"/>
        </w:numPr>
        <w:ind w:firstLine="480"/>
        <w:pageBreakBefore w:val="0"/>
        <w:spacing w:line="360" w:lineRule="auto"/>
        <w:tabs>
          <w:tab w:val="left" w:pos="1288" w:leader="none"/>
          <w:tab w:val="left" w:pos="1365" w:leader="none"/>
        </w:tabs>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）技术</w:t>
      </w:r>
      <w:r>
        <w:rPr>
          <w:rFonts w:hint="eastAsia" w:ascii="宋体" w:hAnsi="宋体" w:eastAsia="宋体" w:cs="宋体"/>
          <w:b w:val="0"/>
          <w:bCs w:val="0"/>
          <w:color w:val="auto"/>
          <w:sz w:val="24"/>
          <w:szCs w:val="24"/>
          <w:highlight w:val="none"/>
          <w:lang w:val="en-US" w:eastAsia="zh-CN"/>
        </w:rPr>
        <w:t xml:space="preserve">方案           35分</w:t>
      </w:r>
      <w:r/>
    </w:p>
    <w:p>
      <w:pPr>
        <w:ind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（二）各项目评分标准</w:t>
      </w:r>
      <w:r/>
    </w:p>
    <w:p>
      <w:pPr>
        <w:ind w:firstLine="482"/>
        <w:pageBreakBefore w:val="0"/>
        <w:spacing w:line="360" w:lineRule="auto"/>
        <w:tabs>
          <w:tab w:val="left" w:pos="945" w:leader="none"/>
          <w:tab w:val="left" w:pos="1155" w:leader="none"/>
          <w:tab w:val="left" w:pos="22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）价格</w:t>
      </w:r>
      <w:r>
        <w:rPr>
          <w:rFonts w:hint="eastAsia" w:ascii="宋体" w:hAnsi="宋体" w:eastAsia="宋体" w:cs="宋体"/>
          <w:b/>
          <w:bCs/>
          <w:color w:val="auto"/>
          <w:sz w:val="24"/>
          <w:szCs w:val="24"/>
          <w:highlight w:val="none"/>
          <w:lang w:val="en-US" w:eastAsia="zh-CN"/>
        </w:rPr>
        <w:t xml:space="preserve">（50分）</w:t>
      </w:r>
      <w:r/>
    </w:p>
    <w:p>
      <w:pPr>
        <w:ind w:firstLine="480"/>
        <w:pageBreakBefore w:val="0"/>
        <w:spacing w:line="360" w:lineRule="auto"/>
        <w:rPr>
          <w:rFonts w:hint="eastAsia" w:ascii="宋体" w:hAnsi="宋体" w:eastAsia="宋体" w:cs="宋体"/>
          <w:bCs/>
          <w:color w:val="auto"/>
          <w:sz w:val="24"/>
          <w:szCs w:val="24"/>
          <w:highlight w:val="none"/>
        </w:rPr>
        <w:outlineLvl w:val="9"/>
      </w:pPr>
      <w:r/>
      <w:bookmarkStart w:id="144" w:name="_Hlk61121298"/>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w:t>
      </w:r>
      <w:r/>
    </w:p>
    <w:p>
      <w:pPr>
        <w:ind w:firstLine="48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关于价格扣除详见本章第二部分“一、落实政府采购政策的价格调整”。</w:t>
      </w:r>
      <w:r/>
    </w:p>
    <w:p>
      <w:pPr>
        <w:ind w:firstLine="482"/>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评标委员会认为投标人的报价明显低于其他通过符合性审查投标人的报价，有可能影响产品质量或者不能诚信履约的，将要求其在评标现场合理的时间内（30分钟内）提供书面说明，必要时提交相关证明材料；投标人不能证明其报价合理性的，评标委员会将其作为无效投标处理。</w:t>
      </w:r>
      <w:bookmarkEnd w:id="144"/>
      <w:r/>
      <w:r/>
    </w:p>
    <w:p>
      <w:pPr>
        <w:ind w:firstLine="482"/>
        <w:pageBreakBefore w:val="0"/>
        <w:spacing w:line="360" w:lineRule="auto"/>
        <w:tabs>
          <w:tab w:val="left" w:pos="945" w:leader="none"/>
          <w:tab w:val="left" w:pos="1155" w:leader="none"/>
          <w:tab w:val="left" w:pos="22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）商务资信</w:t>
      </w:r>
      <w:r>
        <w:rPr>
          <w:rFonts w:hint="eastAsia" w:ascii="宋体" w:hAnsi="宋体" w:eastAsia="宋体" w:cs="宋体"/>
          <w:b/>
          <w:bCs/>
          <w:color w:val="auto"/>
          <w:sz w:val="24"/>
          <w:szCs w:val="24"/>
          <w:highlight w:val="none"/>
          <w:lang w:val="en-US" w:eastAsia="zh-CN"/>
        </w:rPr>
        <w:t xml:space="preserve">（7分）</w:t>
      </w:r>
      <w:r/>
    </w:p>
    <w:p>
      <w:pPr>
        <w:ind w:left="0" w:firstLine="422"/>
        <w:jc w:val="both"/>
        <w:pageBreakBefore w:val="0"/>
        <w:spacing w:before="0" w:after="0" w:line="360" w:lineRule="auto"/>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en-US" w:eastAsia="zh-CN" w:bidi="ar-SA"/>
        </w:rPr>
        <w:t xml:space="preserve">产品投保情况（3分）：</w:t>
      </w:r>
      <w:r/>
    </w:p>
    <w:p>
      <w:pPr>
        <w:ind w:left="0" w:firstLine="420"/>
        <w:jc w:val="both"/>
        <w:pageBreakBefore w:val="0"/>
        <w:spacing w:before="0" w:after="0" w:line="360" w:lineRule="auto"/>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bidi="ar-SA"/>
        </w:rPr>
        <w:t xml:space="preserve">供应商所投核心产品生产厂家具有产品责任险、产品质量险、公众责任险的，得1分，最多得3分；</w:t>
      </w:r>
      <w:r>
        <w:rPr>
          <w:rFonts w:hint="eastAsia" w:ascii="宋体" w:hAnsi="宋体" w:eastAsia="宋体" w:cs="宋体"/>
          <w:b w:val="0"/>
          <w:bCs/>
          <w:color w:val="auto"/>
          <w:sz w:val="24"/>
          <w:szCs w:val="24"/>
          <w:highlight w:val="none"/>
          <w:lang w:val="en-US" w:eastAsia="zh-CN"/>
        </w:rPr>
        <w:t xml:space="preserve">（投标文件中提供保单原件扫描件并加盖公章或签电子公章，不提供或不符合要求均不得分）。</w:t>
      </w:r>
      <w:r/>
    </w:p>
    <w:p>
      <w:pPr>
        <w:numPr>
          <w:ilvl w:val="0"/>
          <w:numId w:val="0"/>
        </w:numPr>
        <w:ind w:left="0" w:firstLine="422"/>
        <w:jc w:val="left"/>
        <w:pageBreakBefore w:val="0"/>
        <w:spacing w:line="360" w:lineRule="auto"/>
        <w:widowControl/>
        <w:rPr>
          <w:rFonts w:hint="eastAsia" w:ascii="宋体" w:hAnsi="宋体" w:eastAsia="宋体" w:cs="宋体"/>
          <w:b/>
          <w:bCs w:val="0"/>
          <w:color w:val="auto"/>
          <w:sz w:val="24"/>
          <w:szCs w:val="24"/>
          <w:highlight w:val="none"/>
          <w:lang w:val="en-US" w:eastAsia="zh-CN" w:bidi="ar-SA"/>
        </w:rPr>
        <w:outlineLvl w:val="9"/>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bidi="ar-SA"/>
        </w:rPr>
        <w:t xml:space="preserve">供应商履约情况（2分）：</w:t>
      </w:r>
      <w:r/>
    </w:p>
    <w:p>
      <w:pPr>
        <w:numPr>
          <w:ilvl w:val="0"/>
          <w:numId w:val="0"/>
        </w:numPr>
        <w:ind w:left="0" w:firstLine="420"/>
        <w:jc w:val="left"/>
        <w:pageBreakBefore w:val="0"/>
        <w:spacing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投标人自2023年1月1日以来，承接过类似项目的（合同内容均能体现体育器材）业绩，有一个得1分，最高得2分。【合同（协议）扫描件、双方盖章移交单或验收单及不少于30%支付发票扫描件</w:t>
      </w:r>
      <w:r>
        <w:rPr>
          <w:rFonts w:hint="eastAsia" w:ascii="宋体" w:hAnsi="宋体" w:eastAsia="宋体" w:cs="宋体"/>
          <w:b w:val="0"/>
          <w:bCs/>
          <w:color w:val="auto"/>
          <w:sz w:val="24"/>
          <w:szCs w:val="24"/>
          <w:highlight w:val="none"/>
          <w:lang w:val="en-US" w:eastAsia="zh-CN"/>
        </w:rPr>
        <w:t xml:space="preserve">加盖公章或签电子公章</w:t>
      </w:r>
      <w:r>
        <w:rPr>
          <w:rFonts w:hint="eastAsia" w:ascii="宋体" w:hAnsi="宋体" w:eastAsia="宋体" w:cs="宋体"/>
          <w:b w:val="0"/>
          <w:bCs w:val="0"/>
          <w:color w:val="auto"/>
          <w:sz w:val="24"/>
          <w:szCs w:val="24"/>
          <w:highlight w:val="none"/>
          <w:lang w:val="en-US" w:eastAsia="zh-CN" w:bidi="ar-SA"/>
        </w:rPr>
        <w:t xml:space="preserve">列入投标文件中，不提供或提供不全不符合的不得分】</w:t>
      </w:r>
      <w:r/>
    </w:p>
    <w:p>
      <w:pPr>
        <w:numPr>
          <w:ilvl w:val="0"/>
          <w:numId w:val="0"/>
        </w:numPr>
        <w:ind w:left="0" w:firstLine="422"/>
        <w:jc w:val="left"/>
        <w:pageBreakBefore w:val="0"/>
        <w:spacing w:line="360" w:lineRule="auto"/>
        <w:widowControl/>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3）质保期（2分）：</w:t>
      </w:r>
      <w:r/>
    </w:p>
    <w:p>
      <w:pPr>
        <w:numPr>
          <w:ilvl w:val="0"/>
          <w:numId w:val="0"/>
        </w:numPr>
        <w:ind w:left="0" w:firstLine="420"/>
        <w:jc w:val="left"/>
        <w:pageBreakBefore w:val="0"/>
        <w:spacing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投标人在满足招标文件的基础上（质保期3年），承诺质保期每延长一年加1分，最高得2分。提供承诺书原件扫描件上传至电子标书中并加盖投标人电子公章，否则不得分。</w:t>
      </w:r>
      <w:r/>
    </w:p>
    <w:p>
      <w:pPr>
        <w:ind w:left="0" w:firstLine="422"/>
        <w:pageBreakBefore w:val="0"/>
        <w:spacing w:line="360" w:lineRule="auto"/>
        <w:tabs>
          <w:tab w:val="left" w:pos="945" w:leader="none"/>
          <w:tab w:val="left" w:pos="1155" w:leader="none"/>
          <w:tab w:val="left" w:pos="2250" w:leader="none"/>
        </w:tabs>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产品功能演示（5分）：</w:t>
      </w:r>
      <w:r/>
    </w:p>
    <w:p>
      <w:pPr>
        <w:ind w:firstLine="480"/>
        <w:keepLines w:val="0"/>
        <w:keepNext w:val="0"/>
        <w:pageBreakBefore w:val="0"/>
        <w:spacing w:after="0" w:line="360" w:lineRule="auto"/>
        <w:widowControl w:val="off"/>
        <w:rPr>
          <w:rFonts w:hint="eastAsia" w:ascii="宋体" w:hAnsi="宋体" w:eastAsia="宋体" w:cs="Times New Roman"/>
          <w:color w:val="auto"/>
          <w:sz w:val="24"/>
          <w:highlight w:val="none"/>
          <w:lang w:eastAsia="zh-CN"/>
        </w:rPr>
      </w:pPr>
      <w:r>
        <w:rPr>
          <w:rFonts w:hint="eastAsia" w:ascii="宋体" w:hAnsi="宋体" w:cs="Times New Roman"/>
          <w:color w:val="auto"/>
          <w:sz w:val="24"/>
          <w:highlight w:val="none"/>
        </w:rPr>
        <w:t xml:space="preserve">投标人根据以下要求通过录制视频方式进行展示演示，评审专家根据演示效果</w:t>
      </w:r>
      <w:r>
        <w:rPr>
          <w:rFonts w:hint="eastAsia" w:ascii="宋体" w:hAnsi="宋体" w:eastAsia="宋体" w:cs="Times New Roman"/>
          <w:color w:val="auto"/>
          <w:sz w:val="24"/>
          <w:highlight w:val="none"/>
          <w:lang w:val="en-US" w:eastAsia="zh-CN"/>
        </w:rPr>
        <w:t xml:space="preserve">和功能点</w:t>
      </w:r>
      <w:r>
        <w:rPr>
          <w:rFonts w:hint="eastAsia" w:ascii="宋体" w:hAnsi="宋体" w:cs="Times New Roman"/>
          <w:color w:val="auto"/>
          <w:sz w:val="24"/>
          <w:highlight w:val="none"/>
        </w:rPr>
        <w:t xml:space="preserve">进行打分，本项最高得</w:t>
      </w:r>
      <w:r>
        <w:rPr>
          <w:rFonts w:hint="eastAsia" w:ascii="宋体" w:hAnsi="宋体" w:eastAsia="宋体" w:cs="Times New Roman"/>
          <w:color w:val="auto"/>
          <w:sz w:val="24"/>
          <w:highlight w:val="none"/>
          <w:lang w:val="en-US" w:eastAsia="zh-CN"/>
        </w:rPr>
        <w:t xml:space="preserve">3</w:t>
      </w:r>
      <w:r>
        <w:rPr>
          <w:rFonts w:hint="eastAsia" w:ascii="宋体" w:hAnsi="宋体" w:cs="Times New Roman"/>
          <w:color w:val="auto"/>
          <w:sz w:val="24"/>
          <w:highlight w:val="none"/>
        </w:rPr>
        <w:t xml:space="preserve">分，演示视频时长总计不超过15分钟。</w:t>
      </w:r>
      <w:r>
        <w:rPr>
          <w:rFonts w:hint="eastAsia" w:ascii="宋体" w:hAnsi="宋体" w:eastAsia="宋体" w:cs="Times New Roman"/>
          <w:color w:val="auto"/>
          <w:sz w:val="24"/>
          <w:highlight w:val="none"/>
          <w:lang w:eastAsia="zh-CN"/>
        </w:rPr>
        <w:t xml:space="preserve">（</w:t>
      </w:r>
      <w:r>
        <w:rPr>
          <w:rFonts w:hint="eastAsia" w:ascii="宋体" w:hAnsi="宋体" w:cs="Times New Roman"/>
          <w:color w:val="auto"/>
          <w:sz w:val="24"/>
          <w:highlight w:val="none"/>
        </w:rPr>
        <w:t xml:space="preserve">将视频文件压缩为zip文件上传，单个文件不得大于</w:t>
      </w:r>
      <w:r>
        <w:rPr>
          <w:rFonts w:hint="eastAsia" w:ascii="宋体" w:hAnsi="宋体" w:eastAsia="宋体" w:cs="Times New Roman"/>
          <w:color w:val="auto"/>
          <w:sz w:val="24"/>
          <w:highlight w:val="none"/>
          <w:lang w:val="en-US" w:eastAsia="zh-CN"/>
        </w:rPr>
        <w:t xml:space="preserve">10</w:t>
      </w:r>
      <w:r>
        <w:rPr>
          <w:rFonts w:hint="eastAsia" w:ascii="宋体" w:hAnsi="宋体" w:cs="Times New Roman"/>
          <w:color w:val="auto"/>
          <w:sz w:val="24"/>
          <w:highlight w:val="none"/>
        </w:rPr>
        <w:t xml:space="preserve">0M，总文件大小不得大于300M</w:t>
      </w:r>
      <w:r>
        <w:rPr>
          <w:rFonts w:hint="eastAsia" w:ascii="宋体" w:hAnsi="宋体" w:eastAsia="宋体" w:cs="Times New Roman"/>
          <w:color w:val="auto"/>
          <w:sz w:val="24"/>
          <w:highlight w:val="none"/>
          <w:lang w:eastAsia="zh-CN"/>
        </w:rPr>
        <w:t xml:space="preserve">）。</w:t>
      </w:r>
      <w:r/>
    </w:p>
    <w:p>
      <w:pPr>
        <w:ind w:firstLine="480"/>
        <w:keepLines w:val="0"/>
        <w:keepNext w:val="0"/>
        <w:pageBreakBefore w:val="0"/>
        <w:spacing w:after="0" w:line="360" w:lineRule="auto"/>
        <w:widowControl w:val="off"/>
        <w:rPr>
          <w:rFonts w:ascii="宋体" w:hAnsi="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rPr>
        <w:t xml:space="preserve">录制的视频采用MP4格式（若视频为其他格式导致评审中不能正常播放的，责任自负）</w:t>
      </w:r>
      <w:r>
        <w:rPr>
          <w:rFonts w:hint="eastAsia" w:ascii="宋体" w:hAnsi="宋体" w:eastAsia="宋体" w:cs="Times New Roman"/>
          <w:color w:val="auto"/>
          <w:sz w:val="24"/>
          <w:highlight w:val="none"/>
          <w:lang w:eastAsia="zh-CN"/>
        </w:rPr>
        <w:t xml:space="preserve">。</w:t>
      </w:r>
      <w:r>
        <w:rPr>
          <w:rFonts w:hint="eastAsia" w:ascii="宋体" w:hAnsi="宋体" w:cs="Times New Roman"/>
          <w:color w:val="auto"/>
          <w:sz w:val="24"/>
          <w:highlight w:val="none"/>
        </w:rPr>
        <w:t xml:space="preserve">未提供演示或使用其他方式（如软件Demo、PPT 演示、图片原型或方案等）演示，此项不得分。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2.</w:t>
      </w:r>
      <w:r>
        <w:rPr>
          <w:rFonts w:hint="eastAsia" w:ascii="宋体" w:hAnsi="宋体" w:cs="Times New Roman"/>
          <w:color w:val="auto"/>
          <w:sz w:val="24"/>
          <w:highlight w:val="none"/>
        </w:rPr>
        <w:t xml:space="preserve">投标人每组视频录制时必须采用一镜到底的方式，不允许剪辑，否则不得分</w:t>
      </w:r>
      <w:r>
        <w:rPr>
          <w:rFonts w:hint="eastAsia" w:ascii="宋体" w:hAnsi="宋体" w:eastAsia="宋体" w:cs="宋体"/>
          <w:color w:val="auto"/>
          <w:sz w:val="24"/>
          <w:szCs w:val="24"/>
          <w:highlight w:val="none"/>
          <w:lang w:val="en-US" w:eastAsia="zh-CN"/>
        </w:rPr>
        <w:t xml:space="preserve">。</w:t>
      </w:r>
      <w:r/>
    </w:p>
    <w:p>
      <w:pPr>
        <w:ind w:left="0" w:firstLine="422"/>
        <w:pageBreakBefore w:val="0"/>
        <w:spacing w:line="360" w:lineRule="auto"/>
        <w:tabs>
          <w:tab w:val="left" w:pos="945" w:leader="none"/>
          <w:tab w:val="left" w:pos="1155" w:leader="none"/>
          <w:tab w:val="left" w:pos="2250"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演示产品：运动吧</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1.智慧开合跳演示（2分）</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①一个摄像头下，运动过程中实现人脸识别、身份信息匹配；支持前端大屏开合跳过程数据实时显示；支持前端大屏结束后的计数呈现。</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②犯规动作不计数：需双手双脚运动，手不动或脚不动不计数。</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2.纵跳摸高演示（1分）</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①1个摄像头下，可支持不小于3人同时人脸识别进行摸高测距测试，运动过程中实现人脸识别、身份信息匹配，跳出界违规显示。</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3.智慧高抬腿演示（1分）</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①1个摄像头下，可支持不小于5人同时高抬腿测试，运动过程中实现人脸识别、身份信息匹配，通过前端摄像头自动识别测量结果，测试结果大屏实时显示。</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4.智慧深蹲演示（1分）</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①1个摄像头下，可支持不小于5人同时深蹲测试，运动过程中实现人脸识别、身份信息匹配，通过前端摄像头自动识别测量结果，测试结果大屏实时显示。</w:t>
      </w:r>
      <w:r/>
    </w:p>
    <w:p>
      <w:pPr>
        <w:ind w:left="0" w:firstLine="420"/>
        <w:pageBreakBefore w:val="0"/>
        <w:spacing w:line="360" w:lineRule="auto"/>
        <w:tabs>
          <w:tab w:val="left" w:pos="945" w:leader="none"/>
          <w:tab w:val="left" w:pos="1155" w:leader="none"/>
          <w:tab w:val="left" w:pos="225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注：视频演示满足以上要求的，每满足一项得1分，演示不满足以上要求或不提供视频演示的该项不得分。</w:t>
      </w:r>
      <w:r/>
    </w:p>
    <w:p>
      <w:pPr>
        <w:ind w:left="0" w:firstLine="422"/>
        <w:pageBreakBefore w:val="0"/>
        <w:spacing w:line="360" w:lineRule="auto"/>
        <w:tabs>
          <w:tab w:val="left" w:pos="945" w:leader="none"/>
          <w:tab w:val="left" w:pos="1155" w:leader="none"/>
          <w:tab w:val="left" w:pos="2250"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（4）加分因素：（3分）</w:t>
      </w:r>
      <w:r/>
    </w:p>
    <w:p>
      <w:pPr>
        <w:ind w:left="0" w:firstLine="420"/>
        <w:jc w:val="left"/>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①投标供应商所投产</w:t>
      </w:r>
      <w:r>
        <w:rPr>
          <w:rFonts w:hint="eastAsia" w:ascii="宋体" w:hAnsi="宋体" w:eastAsia="宋体" w:cs="宋体"/>
          <w:bCs/>
          <w:color w:val="auto"/>
          <w:sz w:val="24"/>
          <w:szCs w:val="24"/>
          <w:highlight w:val="none"/>
        </w:rPr>
        <w:t xml:space="preserve">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注：同一产品同时具备节能产品认证证书、环境标志产品认证证书的，不重复计分。投标时提供认证证书</w:t>
      </w:r>
      <w:r>
        <w:rPr>
          <w:rFonts w:hint="eastAsia" w:ascii="宋体" w:hAnsi="宋体" w:eastAsia="宋体" w:cs="宋体"/>
          <w:bCs/>
          <w:color w:val="auto"/>
          <w:sz w:val="24"/>
          <w:szCs w:val="24"/>
          <w:highlight w:val="none"/>
          <w:lang w:val="en-US" w:eastAsia="zh-CN"/>
        </w:rPr>
        <w:t xml:space="preserve">扫描</w:t>
      </w:r>
      <w:r>
        <w:rPr>
          <w:rFonts w:hint="eastAsia" w:ascii="宋体" w:hAnsi="宋体" w:eastAsia="宋体" w:cs="宋体"/>
          <w:bCs/>
          <w:color w:val="auto"/>
          <w:sz w:val="24"/>
          <w:szCs w:val="24"/>
          <w:highlight w:val="none"/>
        </w:rPr>
        <w:t xml:space="preserve">件。</w:t>
      </w:r>
      <w:r/>
    </w:p>
    <w:p>
      <w:pPr>
        <w:ind w:left="0"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left="0" w:firstLine="422"/>
        <w:pageBreakBefore w:val="0"/>
        <w:spacing w:line="360" w:lineRule="auto"/>
        <w:tabs>
          <w:tab w:val="left" w:pos="945" w:leader="none"/>
          <w:tab w:val="left" w:pos="1155" w:leader="none"/>
          <w:tab w:val="left" w:pos="22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）技术方案（</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分） </w:t>
      </w:r>
      <w:r/>
    </w:p>
    <w:p>
      <w:pPr>
        <w:ind w:left="0" w:firstLine="422"/>
        <w:pageBreakBefore w:val="0"/>
        <w:spacing w:line="360" w:lineRule="auto"/>
        <w:tabs>
          <w:tab w:val="left" w:pos="18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项目效果</w:t>
      </w:r>
      <w:r>
        <w:rPr>
          <w:rFonts w:hint="eastAsia" w:ascii="宋体" w:hAnsi="宋体" w:eastAsia="宋体" w:cs="宋体"/>
          <w:b/>
          <w:color w:val="auto"/>
          <w:sz w:val="24"/>
          <w:szCs w:val="24"/>
          <w:highlight w:val="none"/>
          <w:lang w:val="en-US" w:eastAsia="zh-CN"/>
        </w:rPr>
        <w:t xml:space="preserve">设计</w:t>
      </w:r>
      <w:r>
        <w:rPr>
          <w:rFonts w:hint="eastAsia" w:ascii="宋体" w:hAnsi="宋体" w:eastAsia="宋体" w:cs="宋体"/>
          <w:b/>
          <w:color w:val="auto"/>
          <w:sz w:val="24"/>
          <w:szCs w:val="24"/>
          <w:highlight w:val="none"/>
        </w:rPr>
        <w:t xml:space="preserve">方案（</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投标供应商须</w:t>
      </w:r>
      <w:r>
        <w:rPr>
          <w:rFonts w:hint="eastAsia" w:ascii="宋体" w:hAnsi="宋体" w:eastAsia="宋体" w:cs="宋体"/>
          <w:color w:val="auto"/>
          <w:sz w:val="24"/>
          <w:szCs w:val="24"/>
          <w:highlight w:val="none"/>
        </w:rPr>
        <w:t xml:space="preserve">提</w:t>
      </w:r>
      <w:r>
        <w:rPr>
          <w:rFonts w:hint="eastAsia" w:ascii="宋体" w:hAnsi="宋体" w:eastAsia="宋体" w:cs="宋体"/>
          <w:color w:val="auto"/>
          <w:sz w:val="24"/>
          <w:szCs w:val="24"/>
          <w:highlight w:val="none"/>
          <w:lang w:eastAsia="zh-CN"/>
        </w:rPr>
        <w:t xml:space="preserve">供体</w:t>
      </w:r>
      <w:r>
        <w:rPr>
          <w:rFonts w:hint="eastAsia" w:ascii="宋体" w:hAnsi="宋体" w:eastAsia="宋体" w:cs="宋体"/>
          <w:color w:val="auto"/>
          <w:sz w:val="24"/>
          <w:szCs w:val="24"/>
          <w:highlight w:val="none"/>
        </w:rPr>
        <w:t xml:space="preserve">育馆</w:t>
      </w:r>
      <w:r>
        <w:rPr>
          <w:rFonts w:hint="eastAsia" w:ascii="宋体" w:hAnsi="宋体" w:eastAsia="宋体" w:cs="宋体"/>
          <w:color w:val="auto"/>
          <w:sz w:val="24"/>
          <w:szCs w:val="24"/>
          <w:highlight w:val="none"/>
          <w:lang w:val="en-US" w:eastAsia="zh-CN"/>
        </w:rPr>
        <w:t xml:space="preserve">功能设计排布图；包括但不限于提供</w:t>
      </w:r>
      <w:r>
        <w:rPr>
          <w:rFonts w:hint="eastAsia" w:ascii="宋体" w:hAnsi="宋体" w:eastAsia="宋体" w:cs="宋体"/>
          <w:color w:val="auto"/>
          <w:sz w:val="24"/>
          <w:szCs w:val="24"/>
          <w:highlight w:val="none"/>
        </w:rPr>
        <w:t xml:space="preserve">看台整体方案布局图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篮球场地</w:t>
      </w:r>
      <w:r>
        <w:rPr>
          <w:rFonts w:hint="eastAsia" w:ascii="宋体" w:hAnsi="宋体" w:eastAsia="宋体" w:cs="宋体"/>
          <w:color w:val="auto"/>
          <w:sz w:val="24"/>
          <w:szCs w:val="24"/>
          <w:highlight w:val="none"/>
        </w:rPr>
        <w:t xml:space="preserve">布局图及效果图，根据空间布局</w:t>
      </w:r>
      <w:r>
        <w:rPr>
          <w:rFonts w:hint="eastAsia" w:ascii="宋体" w:hAnsi="宋体" w:eastAsia="宋体" w:cs="宋体"/>
          <w:color w:val="auto"/>
          <w:sz w:val="24"/>
          <w:szCs w:val="24"/>
          <w:highlight w:val="none"/>
          <w:lang w:val="en-US" w:eastAsia="zh-CN"/>
        </w:rPr>
        <w:t xml:space="preserve">功能明确、能充分发挥体育馆功能利用最大化，设计</w:t>
      </w:r>
      <w:r>
        <w:rPr>
          <w:rFonts w:hint="eastAsia" w:ascii="宋体" w:hAnsi="宋体" w:eastAsia="宋体" w:cs="宋体"/>
          <w:color w:val="auto"/>
          <w:sz w:val="24"/>
          <w:szCs w:val="24"/>
          <w:highlight w:val="none"/>
        </w:rPr>
        <w:t xml:space="preserve">合理</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满足场地相关功能要求符合性与采购需求符合度等</w:t>
      </w:r>
      <w:r>
        <w:rPr>
          <w:rFonts w:hint="eastAsia" w:ascii="宋体" w:hAnsi="宋体" w:eastAsia="宋体" w:cs="宋体"/>
          <w:color w:val="auto"/>
          <w:sz w:val="24"/>
          <w:szCs w:val="24"/>
          <w:highlight w:val="none"/>
          <w:lang w:eastAsia="zh-CN"/>
        </w:rPr>
        <w:t xml:space="preserve">进行阐述，阐述内容须满足采购需求。</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方案全面详实、安排合理得当、与现场实际情况相符，得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方案基本全面、安排基本合理与现场实际情况基本相符，得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方案片面、考虑不当、未结合现场实际情况，得1分；</w:t>
      </w:r>
      <w:r/>
    </w:p>
    <w:p>
      <w:pPr>
        <w:ind w:left="0" w:firstLine="420"/>
        <w:pageBreakBefore w:val="0"/>
        <w:spacing w:line="360" w:lineRule="auto"/>
        <w:tabs>
          <w:tab w:val="left" w:pos="18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方案差或</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不得分。</w:t>
      </w:r>
      <w:r/>
    </w:p>
    <w:p>
      <w:pPr>
        <w:ind w:left="0" w:firstLine="422"/>
        <w:pageBreakBefore w:val="0"/>
        <w:spacing w:line="360" w:lineRule="auto"/>
        <w:tabs>
          <w:tab w:val="left" w:pos="18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）项目实施</w:t>
      </w:r>
      <w:r>
        <w:rPr>
          <w:rFonts w:hint="eastAsia" w:ascii="宋体" w:hAnsi="宋体" w:eastAsia="宋体" w:cs="宋体"/>
          <w:b/>
          <w:color w:val="auto"/>
          <w:sz w:val="24"/>
          <w:szCs w:val="24"/>
          <w:highlight w:val="none"/>
          <w:lang w:val="en-US" w:eastAsia="zh-CN"/>
        </w:rPr>
        <w:t xml:space="preserve">及</w:t>
      </w:r>
      <w:r>
        <w:rPr>
          <w:rFonts w:hint="eastAsia" w:ascii="宋体" w:hAnsi="宋体" w:eastAsia="宋体" w:cs="宋体"/>
          <w:b/>
          <w:color w:val="auto"/>
          <w:sz w:val="24"/>
          <w:szCs w:val="24"/>
          <w:highlight w:val="none"/>
        </w:rPr>
        <w:t xml:space="preserve">产品配送方案（</w:t>
      </w:r>
      <w:r>
        <w:rPr>
          <w:rFonts w:hint="eastAsia" w:ascii="宋体" w:hAnsi="宋体" w:eastAsia="宋体" w:cs="宋体"/>
          <w:b/>
          <w:color w:val="auto"/>
          <w:sz w:val="24"/>
          <w:szCs w:val="24"/>
          <w:highlight w:val="none"/>
          <w:lang w:val="en-US" w:eastAsia="zh-CN"/>
        </w:rPr>
        <w:t xml:space="preserve">16</w:t>
      </w:r>
      <w:r>
        <w:rPr>
          <w:rFonts w:hint="eastAsia" w:ascii="宋体" w:hAnsi="宋体" w:eastAsia="宋体" w:cs="宋体"/>
          <w:b/>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本项目的</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需包括：①</w:t>
      </w:r>
      <w:r>
        <w:rPr>
          <w:rFonts w:hint="eastAsia" w:ascii="宋体" w:hAnsi="宋体" w:eastAsia="宋体" w:cs="宋体"/>
          <w:color w:val="auto"/>
          <w:sz w:val="24"/>
          <w:szCs w:val="24"/>
          <w:highlight w:val="none"/>
        </w:rPr>
        <w:t xml:space="preserve">施工管理</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质量管控措施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安装调试措施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产品配送方案。投标供应商须针对上述</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条内容分别进行阐述，阐述内容须满足采购需求</w:t>
      </w:r>
      <w:r>
        <w:rPr>
          <w:rFonts w:hint="eastAsia" w:ascii="宋体" w:hAnsi="宋体" w:eastAsia="宋体" w:cs="宋体"/>
          <w:color w:val="auto"/>
          <w:sz w:val="24"/>
          <w:szCs w:val="24"/>
          <w:highlight w:val="none"/>
          <w:lang w:eastAsia="zh-CN"/>
        </w:rPr>
        <w:t xml:space="preserve">。</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每有一项内容</w:t>
      </w:r>
      <w:r>
        <w:rPr>
          <w:rFonts w:hint="eastAsia" w:ascii="宋体" w:hAnsi="宋体" w:eastAsia="宋体" w:cs="宋体"/>
          <w:color w:val="auto"/>
          <w:sz w:val="24"/>
          <w:szCs w:val="24"/>
          <w:highlight w:val="none"/>
        </w:rPr>
        <w:t xml:space="preserve">详细、具体、科学合理、最有效、可操作性最强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具有以往成功案例实施图文结合描述直观的得4</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每有一项内容较详细、较合理、可操作性较强的得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每有一项内容简单、可操作性一般的得1分；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每有一项内容差或未提供的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不得分。</w:t>
      </w:r>
      <w:r/>
    </w:p>
    <w:p>
      <w:pPr>
        <w:ind w:left="0" w:firstLine="422"/>
        <w:pageBreakBefore w:val="0"/>
        <w:spacing w:line="360" w:lineRule="auto"/>
        <w:tabs>
          <w:tab w:val="left" w:pos="18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）售后服务方案（</w:t>
      </w: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本项目的售后服务方案</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包括：①</w:t>
      </w:r>
      <w:r>
        <w:rPr>
          <w:rFonts w:hint="eastAsia" w:ascii="宋体" w:hAnsi="宋体" w:eastAsia="宋体" w:cs="宋体"/>
          <w:color w:val="auto"/>
          <w:sz w:val="24"/>
          <w:szCs w:val="24"/>
          <w:highlight w:val="none"/>
          <w:lang w:eastAsia="zh-CN"/>
        </w:rPr>
        <w:t xml:space="preserve">售后服务保障方案；</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eastAsia="zh-CN"/>
        </w:rPr>
        <w:t xml:space="preserve">人员培训计划；</w:t>
      </w:r>
      <w:r>
        <w:rPr>
          <w:rFonts w:hint="eastAsia" w:ascii="宋体" w:hAnsi="宋体" w:eastAsia="宋体" w:cs="宋体"/>
          <w:color w:val="auto"/>
          <w:sz w:val="24"/>
          <w:szCs w:val="24"/>
          <w:highlight w:val="none"/>
          <w:lang w:val="en-US" w:eastAsia="zh-CN"/>
        </w:rPr>
        <w:t xml:space="preserve">③售后服务</w:t>
      </w:r>
      <w:r>
        <w:rPr>
          <w:rFonts w:hint="eastAsia" w:ascii="宋体" w:hAnsi="宋体" w:eastAsia="宋体" w:cs="宋体"/>
          <w:color w:val="auto"/>
          <w:sz w:val="24"/>
          <w:szCs w:val="24"/>
          <w:highlight w:val="none"/>
          <w:lang w:eastAsia="zh-CN"/>
        </w:rPr>
        <w:t xml:space="preserve">技术支持</w:t>
      </w:r>
      <w:r>
        <w:rPr>
          <w:rFonts w:hint="eastAsia" w:ascii="宋体" w:hAnsi="宋体" w:eastAsia="宋体" w:cs="宋体"/>
          <w:color w:val="auto"/>
          <w:sz w:val="24"/>
          <w:szCs w:val="24"/>
          <w:highlight w:val="none"/>
        </w:rPr>
        <w:t xml:space="preserve">。投标供应商须针对上述</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条内容分别进行阐述，阐述内容须满足采购需求</w:t>
      </w:r>
      <w:r>
        <w:rPr>
          <w:rFonts w:hint="eastAsia" w:ascii="宋体" w:hAnsi="宋体" w:eastAsia="宋体" w:cs="宋体"/>
          <w:color w:val="auto"/>
          <w:sz w:val="24"/>
          <w:szCs w:val="24"/>
          <w:highlight w:val="none"/>
          <w:lang w:eastAsia="zh-CN"/>
        </w:rPr>
        <w:t xml:space="preserve">。</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每有一项内容</w:t>
      </w:r>
      <w:r>
        <w:rPr>
          <w:rFonts w:hint="eastAsia" w:ascii="宋体" w:hAnsi="宋体" w:eastAsia="宋体" w:cs="宋体"/>
          <w:color w:val="auto"/>
          <w:sz w:val="24"/>
          <w:szCs w:val="24"/>
          <w:highlight w:val="none"/>
        </w:rPr>
        <w:t xml:space="preserve">完整性、针对性、可行性较强</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每有一项内容</w:t>
      </w:r>
      <w:r>
        <w:rPr>
          <w:rFonts w:hint="eastAsia" w:ascii="宋体" w:hAnsi="宋体" w:eastAsia="宋体" w:cs="宋体"/>
          <w:color w:val="auto"/>
          <w:sz w:val="24"/>
          <w:szCs w:val="24"/>
          <w:highlight w:val="none"/>
        </w:rPr>
        <w:t xml:space="preserve">完整性、针对性、可行性一般</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每有一项内容</w:t>
      </w:r>
      <w:r>
        <w:rPr>
          <w:rFonts w:hint="eastAsia" w:ascii="宋体" w:hAnsi="宋体" w:eastAsia="宋体" w:cs="宋体"/>
          <w:color w:val="auto"/>
          <w:sz w:val="24"/>
          <w:szCs w:val="24"/>
          <w:highlight w:val="none"/>
        </w:rPr>
        <w:t xml:space="preserve">完整性、针对性、可行性较差</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得1分；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每有一项内容</w:t>
      </w:r>
      <w:r>
        <w:rPr>
          <w:rFonts w:hint="eastAsia" w:ascii="宋体" w:hAnsi="宋体" w:eastAsia="宋体" w:cs="宋体"/>
          <w:color w:val="auto"/>
          <w:sz w:val="24"/>
          <w:szCs w:val="24"/>
          <w:highlight w:val="none"/>
        </w:rPr>
        <w:t xml:space="preserve">差或未提供的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不得分。</w:t>
      </w:r>
      <w:r/>
    </w:p>
    <w:p>
      <w:pPr>
        <w:pStyle w:val="1182"/>
        <w:ind w:left="0" w:firstLine="422"/>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）应急处理预案（</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投标供应商须</w:t>
      </w:r>
      <w:r>
        <w:rPr>
          <w:rFonts w:hint="eastAsia" w:ascii="宋体" w:hAnsi="宋体" w:eastAsia="宋体" w:cs="宋体"/>
          <w:color w:val="auto"/>
          <w:sz w:val="24"/>
          <w:szCs w:val="24"/>
          <w:highlight w:val="none"/>
        </w:rPr>
        <w:t xml:space="preserve">针对</w:t>
      </w:r>
      <w:r>
        <w:rPr>
          <w:rFonts w:hint="eastAsia" w:ascii="宋体" w:hAnsi="宋体" w:eastAsia="宋体" w:cs="宋体"/>
          <w:color w:val="auto"/>
          <w:sz w:val="24"/>
          <w:szCs w:val="24"/>
          <w:highlight w:val="none"/>
          <w:lang w:val="en-US" w:eastAsia="zh-CN"/>
        </w:rPr>
        <w:t xml:space="preserve">突发情况分析及预测</w:t>
      </w:r>
      <w:r>
        <w:rPr>
          <w:rFonts w:hint="eastAsia" w:ascii="宋体" w:hAnsi="宋体" w:eastAsia="宋体" w:cs="宋体"/>
          <w:color w:val="auto"/>
          <w:sz w:val="24"/>
          <w:szCs w:val="24"/>
          <w:highlight w:val="none"/>
        </w:rPr>
        <w:t xml:space="preserve">提出实施过程中可能发生的突发事件以及</w:t>
      </w:r>
      <w:r>
        <w:rPr>
          <w:rFonts w:hint="eastAsia" w:ascii="宋体" w:hAnsi="宋体" w:eastAsia="宋体" w:cs="宋体"/>
          <w:color w:val="auto"/>
          <w:sz w:val="24"/>
          <w:szCs w:val="24"/>
          <w:highlight w:val="none"/>
          <w:lang w:eastAsia="zh-CN"/>
        </w:rPr>
        <w:t xml:space="preserve">应对</w:t>
      </w:r>
      <w:r>
        <w:rPr>
          <w:rFonts w:hint="eastAsia" w:ascii="宋体" w:hAnsi="宋体" w:eastAsia="宋体" w:cs="宋体"/>
          <w:color w:val="auto"/>
          <w:sz w:val="24"/>
          <w:szCs w:val="24"/>
          <w:highlight w:val="none"/>
        </w:rPr>
        <w:t xml:space="preserve">预案</w:t>
      </w:r>
      <w:r>
        <w:rPr>
          <w:rFonts w:hint="eastAsia" w:ascii="宋体" w:hAnsi="宋体" w:eastAsia="宋体" w:cs="宋体"/>
          <w:color w:val="auto"/>
          <w:sz w:val="24"/>
          <w:szCs w:val="24"/>
          <w:highlight w:val="none"/>
          <w:lang w:eastAsia="zh-CN"/>
        </w:rPr>
        <w:t xml:space="preserve">进行阐述，阐述内容须满足采购需求。</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整体方案考虑全面、应急预案科学合理的得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整体方案考虑</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、应急预案</w:t>
      </w:r>
      <w:r>
        <w:rPr>
          <w:rFonts w:hint="eastAsia" w:ascii="宋体" w:hAnsi="宋体" w:eastAsia="宋体" w:cs="宋体"/>
          <w:color w:val="auto"/>
          <w:sz w:val="24"/>
          <w:szCs w:val="24"/>
          <w:highlight w:val="none"/>
          <w:lang w:val="en-US" w:eastAsia="zh-CN"/>
        </w:rPr>
        <w:t xml:space="preserve">考虑一般</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整体方案考虑</w:t>
      </w:r>
      <w:r>
        <w:rPr>
          <w:rFonts w:hint="eastAsia" w:ascii="宋体" w:hAnsi="宋体" w:eastAsia="宋体" w:cs="宋体"/>
          <w:color w:val="auto"/>
          <w:sz w:val="24"/>
          <w:szCs w:val="24"/>
          <w:highlight w:val="none"/>
          <w:lang w:val="en-US" w:eastAsia="zh-CN"/>
        </w:rPr>
        <w:t xml:space="preserve">较差</w:t>
      </w:r>
      <w:r>
        <w:rPr>
          <w:rFonts w:hint="eastAsia" w:ascii="宋体" w:hAnsi="宋体" w:eastAsia="宋体" w:cs="宋体"/>
          <w:color w:val="auto"/>
          <w:sz w:val="24"/>
          <w:szCs w:val="24"/>
          <w:highlight w:val="none"/>
        </w:rPr>
        <w:t xml:space="preserve">的、提出可能发生的突发事件与应急预案出现不相符或不符合实际的得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firstLine="420"/>
        <w:pageBreakBefore w:val="0"/>
        <w:spacing w:line="360" w:lineRule="auto"/>
        <w:tabs>
          <w:tab w:val="left" w:pos="18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整体方案差或</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不得分。</w:t>
      </w:r>
      <w:r/>
    </w:p>
    <w:p>
      <w:pPr>
        <w:ind w:left="0" w:firstLine="42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未列入本评分细则的其他条件不作为评分内容。</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除技术文件编制粗糙、缺漏项较多或页数明显偏少的外，评委一般按照上述评分要求及项目实施方案实际内容酌情评分。技术方案评分取所有专家的评分的平均值。</w:t>
      </w:r>
      <w:r/>
    </w:p>
    <w:p>
      <w:pPr>
        <w:ind w:left="0"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采购人。未列入本评分细则的其他条件不作为评分内容。</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第六章  </w:t>
      </w:r>
      <w:bookmarkEnd w:id="141"/>
      <w:r/>
      <w:bookmarkEnd w:id="142"/>
      <w:r/>
      <w:bookmarkEnd w:id="143"/>
      <w:r>
        <w:rPr>
          <w:rFonts w:hint="eastAsia" w:ascii="宋体" w:hAnsi="宋体" w:eastAsia="宋体" w:cs="宋体"/>
          <w:bCs/>
          <w:color w:val="auto"/>
          <w:sz w:val="36"/>
          <w:szCs w:val="36"/>
          <w:highlight w:val="none"/>
        </w:rPr>
        <w:t xml:space="preserve">投标文件内容与格式</w:t>
      </w:r>
      <w:r/>
    </w:p>
    <w:p>
      <w:pPr>
        <w:pStyle w:val="1223"/>
        <w:ind w:firstLine="602"/>
        <w:spacing w:before="0" w:after="0"/>
        <w:rPr>
          <w:rFonts w:ascii="宋体" w:hAnsi="宋体" w:cs="宋体"/>
          <w:b/>
          <w:color w:val="auto"/>
          <w:sz w:val="30"/>
          <w:szCs w:val="30"/>
          <w:highlight w:val="none"/>
        </w:rPr>
        <w:outlineLvl w:val="1"/>
      </w:pPr>
      <w:r/>
      <w:bookmarkStart w:id="145" w:name="_Hlt26671244"/>
      <w:r/>
      <w:bookmarkEnd w:id="145"/>
      <w:r/>
      <w:bookmarkStart w:id="146" w:name="_Hlt26955039"/>
      <w:r/>
      <w:bookmarkEnd w:id="146"/>
      <w:r>
        <w:rPr>
          <w:rFonts w:hint="eastAsia" w:ascii="宋体" w:hAnsi="宋体" w:cs="宋体"/>
          <w:b/>
          <w:color w:val="auto"/>
          <w:sz w:val="30"/>
          <w:szCs w:val="30"/>
          <w:highlight w:val="none"/>
        </w:rPr>
        <w:t xml:space="preserve">第一部分投标文件内容</w:t>
      </w:r>
      <w:r/>
    </w:p>
    <w:p>
      <w:pPr>
        <w:pStyle w:val="1223"/>
        <w:numPr>
          <w:ilvl w:val="0"/>
          <w:numId w:val="0"/>
        </w:numPr>
        <w:ind w:firstLine="0"/>
        <w:spacing w:before="0" w:after="0"/>
        <w:rPr>
          <w:rFonts w:hint="eastAsia" w:ascii="宋体" w:hAnsi="宋体" w:eastAsia="宋体" w:cs="宋体"/>
          <w:b/>
          <w:color w:val="auto"/>
          <w:sz w:val="28"/>
          <w:szCs w:val="28"/>
          <w:highlight w:val="none"/>
        </w:rPr>
        <w:outlineLvl w:val="2"/>
      </w:pPr>
      <w:r>
        <w:rPr>
          <w:rFonts w:hint="eastAsia" w:ascii="宋体" w:hAnsi="宋体" w:cs="宋体"/>
          <w:b/>
          <w:color w:val="auto"/>
          <w:sz w:val="28"/>
          <w:szCs w:val="28"/>
          <w:highlight w:val="none"/>
          <w:lang w:val="en-US" w:eastAsia="zh-CN" w:bidi="ar-SA"/>
        </w:rPr>
        <w:t xml:space="preserve">一、资格、资信</w:t>
      </w:r>
      <w:r>
        <w:rPr>
          <w:rFonts w:hint="eastAsia" w:ascii="宋体" w:hAnsi="宋体" w:eastAsia="宋体" w:cs="宋体"/>
          <w:b/>
          <w:color w:val="auto"/>
          <w:sz w:val="28"/>
          <w:szCs w:val="28"/>
          <w:highlight w:val="none"/>
          <w:lang w:val="en-US" w:eastAsia="zh-CN" w:bidi="ar-SA"/>
        </w:rPr>
        <w:t xml:space="preserve">证明文件</w:t>
      </w:r>
      <w:r/>
    </w:p>
    <w:tbl>
      <w:tblPr>
        <w:tblStyle w:val="794"/>
        <w:tblW w:w="90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6255"/>
        <w:gridCol w:w="1926"/>
      </w:tblGrid>
      <w:tr>
        <w:trPr>
          <w:jc w:val="center"/>
          <w:trHeight w:val="1043"/>
        </w:trPr>
        <w:tc>
          <w:tcPr>
            <w:tcW w:w="855" w:type="dxa"/>
            <w:vAlign w:val="center"/>
            <w:textDirection w:val="lrTb"/>
            <w:noWrap w:val="false"/>
          </w:tcPr>
          <w:p>
            <w:pPr>
              <w:pStyle w:val="1223"/>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255" w:type="dxa"/>
            <w:vAlign w:val="center"/>
            <w:textDirection w:val="lrTb"/>
            <w:noWrap w:val="false"/>
          </w:tcPr>
          <w:p>
            <w:pPr>
              <w:pStyle w:val="1223"/>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1926" w:type="dxa"/>
            <w:vAlign w:val="center"/>
            <w:textDirection w:val="lrTb"/>
            <w:noWrap w:val="false"/>
          </w:tcPr>
          <w:p>
            <w:pPr>
              <w:pStyle w:val="1223"/>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043"/>
        </w:trPr>
        <w:tc>
          <w:tcPr>
            <w:tcW w:w="855" w:type="dxa"/>
            <w:vAlign w:val="center"/>
            <w:textDirection w:val="lrTb"/>
            <w:noWrap w:val="false"/>
          </w:tcPr>
          <w:p>
            <w:pPr>
              <w:pStyle w:val="122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255" w:type="dxa"/>
            <w:vAlign w:val="center"/>
            <w:textDirection w:val="lrTb"/>
            <w:noWrap w:val="false"/>
          </w:tcPr>
          <w:p>
            <w:pPr>
              <w:pStyle w:val="1223"/>
              <w:ind w:firstLine="0"/>
              <w:jc w:val="both"/>
              <w:spacing w:before="0" w:after="0"/>
              <w:rPr>
                <w:rFonts w:hint="eastAsia" w:ascii="宋体" w:hAnsi="宋体" w:eastAsia="宋体" w:cs="宋体"/>
                <w:color w:val="auto"/>
                <w:highlight w:val="none"/>
              </w:rPr>
            </w:pPr>
            <w:r>
              <w:rPr>
                <w:rFonts w:hint="eastAsia" w:ascii="宋体" w:hAnsi="宋体" w:cs="宋体"/>
                <w:color w:val="auto"/>
                <w:highlight w:val="none"/>
              </w:rPr>
              <w:t xml:space="preserve">关于资格的声明函（格式见附件）</w:t>
            </w:r>
            <w:r>
              <w:rPr>
                <w:rFonts w:hint="eastAsia" w:ascii="宋体" w:hAnsi="宋体" w:cs="宋体"/>
                <w:color w:val="auto"/>
                <w:highlight w:val="none"/>
                <w:lang w:eastAsia="zh-CN"/>
              </w:rPr>
              <w:t xml:space="preserve">。</w:t>
            </w:r>
            <w:r/>
          </w:p>
        </w:tc>
        <w:tc>
          <w:tcPr>
            <w:tcW w:w="1926" w:type="dxa"/>
            <w:vAlign w:val="center"/>
            <w:vMerge w:val="restart"/>
            <w:textDirection w:val="lrTb"/>
            <w:noWrap w:val="false"/>
          </w:tcPr>
          <w:p>
            <w:pPr>
              <w:pStyle w:val="1223"/>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1043"/>
        </w:trPr>
        <w:tc>
          <w:tcPr>
            <w:tcW w:w="855" w:type="dxa"/>
            <w:vAlign w:val="center"/>
            <w:textDirection w:val="lrTb"/>
            <w:noWrap w:val="false"/>
          </w:tcPr>
          <w:p>
            <w:pPr>
              <w:pStyle w:val="122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255" w:type="dxa"/>
            <w:vAlign w:val="center"/>
            <w:textDirection w:val="lrTb"/>
            <w:noWrap w:val="false"/>
          </w:tcPr>
          <w:p>
            <w:pPr>
              <w:pStyle w:val="1223"/>
              <w:ind w:firstLine="0"/>
              <w:jc w:val="both"/>
              <w:spacing w:before="0" w:after="0"/>
              <w:rPr>
                <w:rFonts w:hint="eastAsia" w:ascii="宋体" w:hAnsi="宋体" w:eastAsia="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具有独立承担民事责任能力的投标人营业执照或相关部门的登记证明文件原件扫描件并签章上传至投标系统（</w:t>
            </w:r>
            <w:r>
              <w:rPr>
                <w:rFonts w:hint="eastAsia" w:ascii="宋体" w:hAnsi="宋体" w:cs="宋体"/>
                <w:b/>
                <w:bCs/>
                <w:color w:val="auto"/>
                <w:highlight w:val="none"/>
              </w:rPr>
              <w:t xml:space="preserve">投标人</w:t>
            </w:r>
            <w:r>
              <w:rPr>
                <w:rFonts w:hint="eastAsia" w:ascii="宋体" w:hAnsi="宋体" w:cs="宋体"/>
                <w:b/>
                <w:bCs/>
                <w:color w:val="auto"/>
                <w:highlight w:val="none"/>
                <w:lang w:eastAsia="zh-CN"/>
              </w:rPr>
              <w:t xml:space="preserve">如</w:t>
            </w:r>
            <w:r>
              <w:rPr>
                <w:rFonts w:hint="eastAsia" w:ascii="宋体" w:hAnsi="宋体" w:cs="宋体"/>
                <w:b/>
                <w:bCs/>
                <w:color w:val="auto"/>
                <w:highlight w:val="none"/>
              </w:rPr>
              <w:t xml:space="preserve">允许以分支机构身份参加投标的，提供投标人分支机构的营业执照扫描件；投标人如是自然人情形的，提供有效身份证扫描件</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w:t>
            </w:r>
            <w:r/>
          </w:p>
        </w:tc>
        <w:tc>
          <w:tcPr>
            <w:tcW w:w="1926" w:type="dxa"/>
            <w:vAlign w:val="center"/>
            <w:vMerge w:val="continue"/>
            <w:textDirection w:val="lrTb"/>
            <w:noWrap w:val="false"/>
          </w:tcPr>
          <w:p>
            <w:pPr>
              <w:pStyle w:val="122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43"/>
        </w:trPr>
        <w:tc>
          <w:tcPr>
            <w:tcW w:w="855" w:type="dxa"/>
            <w:vAlign w:val="center"/>
            <w:textDirection w:val="lrTb"/>
            <w:noWrap w:val="false"/>
          </w:tcPr>
          <w:p>
            <w:pPr>
              <w:pStyle w:val="122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255"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投标人法定代表人授权委托书的原件扫描件并签章上传至投标系统（</w:t>
            </w:r>
            <w:r>
              <w:rPr>
                <w:rFonts w:hint="eastAsia" w:ascii="宋体" w:hAnsi="宋体" w:eastAsia="宋体" w:cs="宋体"/>
                <w:b/>
                <w:bCs w:val="0"/>
                <w:color w:val="auto"/>
                <w:sz w:val="24"/>
                <w:highlight w:val="none"/>
              </w:rPr>
              <w:t xml:space="preserve">法定代表人签署投标文件且亲自参与的必须提供《法定代表人亲自投标声明》，格式见附件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tc>
        <w:tc>
          <w:tcPr>
            <w:tcW w:w="1926" w:type="dxa"/>
            <w:vAlign w:val="center"/>
            <w:vMerge w:val="continue"/>
            <w:textDirection w:val="lrTb"/>
            <w:noWrap w:val="false"/>
          </w:tcPr>
          <w:p>
            <w:pPr>
              <w:pStyle w:val="122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43"/>
        </w:trPr>
        <w:tc>
          <w:tcPr>
            <w:tcW w:w="855" w:type="dxa"/>
            <w:vAlign w:val="center"/>
            <w:textDirection w:val="lrTb"/>
            <w:noWrap w:val="false"/>
          </w:tcPr>
          <w:p>
            <w:pPr>
              <w:pStyle w:val="122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255" w:type="dxa"/>
            <w:vAlign w:val="center"/>
            <w:textDirection w:val="lrTb"/>
            <w:noWrap w:val="false"/>
          </w:tcPr>
          <w:p>
            <w:pPr>
              <w:pStyle w:val="1223"/>
              <w:ind w:firstLine="0"/>
              <w:jc w:val="both"/>
              <w:spacing w:before="0" w:after="0"/>
              <w:rPr>
                <w:rFonts w:hint="eastAsia" w:ascii="宋体" w:hAnsi="宋体" w:eastAsia="宋体" w:cs="宋体"/>
                <w:color w:val="auto"/>
                <w:highlight w:val="none"/>
              </w:rPr>
            </w:pPr>
            <w:r>
              <w:rPr>
                <w:rFonts w:hint="eastAsia" w:ascii="宋体" w:hAnsi="宋体" w:cs="宋体"/>
                <w:color w:val="auto"/>
                <w:highlight w:val="none"/>
              </w:rPr>
              <w:t xml:space="preserve">投标人法定代表人身份证原件扫描件并签章上传至投标系统（身份证应为正、反面）</w:t>
            </w:r>
            <w:r>
              <w:rPr>
                <w:rFonts w:hint="eastAsia" w:ascii="宋体" w:hAnsi="宋体" w:cs="宋体"/>
                <w:color w:val="auto"/>
                <w:highlight w:val="none"/>
                <w:lang w:eastAsia="zh-CN"/>
              </w:rPr>
              <w:t xml:space="preserve">。</w:t>
            </w:r>
            <w:r/>
          </w:p>
        </w:tc>
        <w:tc>
          <w:tcPr>
            <w:tcW w:w="1926" w:type="dxa"/>
            <w:vAlign w:val="center"/>
            <w:vMerge w:val="continue"/>
            <w:textDirection w:val="lrTb"/>
            <w:noWrap w:val="false"/>
          </w:tcPr>
          <w:p>
            <w:pPr>
              <w:pStyle w:val="122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43"/>
        </w:trPr>
        <w:tc>
          <w:tcPr>
            <w:tcW w:w="855" w:type="dxa"/>
            <w:vAlign w:val="center"/>
            <w:textDirection w:val="lrTb"/>
            <w:noWrap w:val="false"/>
          </w:tcPr>
          <w:p>
            <w:pPr>
              <w:pStyle w:val="122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255" w:type="dxa"/>
            <w:vAlign w:val="center"/>
            <w:textDirection w:val="lrTb"/>
            <w:noWrap w:val="false"/>
          </w:tcPr>
          <w:p>
            <w:pPr>
              <w:pStyle w:val="122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投标人法定代表人授权代表身份证原件扫描件并签章上传至投标系统（身份证应为正、反面，法定代表人亲自参加投标的除外）。</w:t>
            </w:r>
            <w:r/>
          </w:p>
        </w:tc>
        <w:tc>
          <w:tcPr>
            <w:tcW w:w="1926" w:type="dxa"/>
            <w:vAlign w:val="center"/>
            <w:vMerge w:val="continue"/>
            <w:textDirection w:val="lrTb"/>
            <w:noWrap w:val="false"/>
          </w:tcPr>
          <w:p>
            <w:pPr>
              <w:pStyle w:val="122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43"/>
        </w:trPr>
        <w:tc>
          <w:tcPr>
            <w:tcW w:w="855" w:type="dxa"/>
            <w:vAlign w:val="center"/>
            <w:textDirection w:val="lrTb"/>
            <w:noWrap w:val="false"/>
          </w:tcPr>
          <w:p>
            <w:pPr>
              <w:pStyle w:val="122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255" w:type="dxa"/>
            <w:vAlign w:val="center"/>
            <w:textDirection w:val="lrTb"/>
            <w:noWrap w:val="false"/>
          </w:tcPr>
          <w:p>
            <w:pPr>
              <w:pStyle w:val="122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法定代表人授权代表具备与本企业签订的劳动合同，及《职工养老保险手册》（内附近一年中任意一个月份（不含投标当月）的缴费清单）或由社保机构出具本企业的近一年中任意一个月份（不含投标当月）的缴费证明扫描件并签章上传至投标系统（由相关主管部门出具，新成立公司除外、法定代表人亲自参加投标的除外）。</w:t>
            </w:r>
            <w:r/>
          </w:p>
        </w:tc>
        <w:tc>
          <w:tcPr>
            <w:tcW w:w="1926" w:type="dxa"/>
            <w:vAlign w:val="center"/>
            <w:vMerge w:val="continue"/>
            <w:textDirection w:val="lrTb"/>
            <w:noWrap w:val="false"/>
          </w:tcPr>
          <w:p>
            <w:pPr>
              <w:pStyle w:val="122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43"/>
        </w:trPr>
        <w:tc>
          <w:tcPr>
            <w:tcW w:w="855" w:type="dxa"/>
            <w:vAlign w:val="center"/>
            <w:textDirection w:val="lrTb"/>
            <w:noWrap w:val="false"/>
          </w:tcPr>
          <w:p>
            <w:pPr>
              <w:pStyle w:val="122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255" w:type="dxa"/>
            <w:vAlign w:val="center"/>
            <w:textDirection w:val="lrTb"/>
            <w:noWrap w:val="false"/>
          </w:tcPr>
          <w:p>
            <w:pPr>
              <w:pStyle w:val="122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投标人近一年中任意一个月份（不含投标当月）的财务状况报告（资产负债表和利润表）或由会计师事务所出具的近两年中任意一年度的审计报告和所附已审财务报告原件扫描件并签章上传至投标系统。</w:t>
            </w:r>
            <w:r/>
          </w:p>
        </w:tc>
        <w:tc>
          <w:tcPr>
            <w:tcW w:w="1926" w:type="dxa"/>
            <w:vAlign w:val="center"/>
            <w:vMerge w:val="continue"/>
            <w:textDirection w:val="lrTb"/>
            <w:noWrap w:val="false"/>
          </w:tcPr>
          <w:p>
            <w:pPr>
              <w:pStyle w:val="122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043"/>
        </w:trPr>
        <w:tc>
          <w:tcPr>
            <w:tcW w:w="855" w:type="dxa"/>
            <w:vAlign w:val="center"/>
            <w:textDirection w:val="lrTb"/>
            <w:noWrap w:val="false"/>
          </w:tcPr>
          <w:p>
            <w:pPr>
              <w:pStyle w:val="122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255" w:type="dxa"/>
            <w:vAlign w:val="center"/>
            <w:textDirection w:val="lrTb"/>
            <w:noWrap w:val="false"/>
          </w:tcPr>
          <w:p>
            <w:pPr>
              <w:pStyle w:val="1223"/>
              <w:ind w:firstLine="0"/>
              <w:spacing w:before="0" w:after="0"/>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投标人近一年中任意一个月份（不含投标当月）的依法缴纳税收的相关材料（提供相关主管部门证明或银行代扣证明）原件扫描件并签章上传至投标系统。</w:t>
            </w:r>
            <w:r/>
          </w:p>
        </w:tc>
        <w:tc>
          <w:tcPr>
            <w:tcW w:w="1926" w:type="dxa"/>
            <w:vAlign w:val="center"/>
            <w:vMerge w:val="continue"/>
            <w:textDirection w:val="lrTb"/>
            <w:noWrap w:val="false"/>
          </w:tcPr>
          <w:p>
            <w:pPr>
              <w:pStyle w:val="1223"/>
              <w:ind w:firstLine="0"/>
              <w:spacing w:before="0" w:after="0"/>
              <w:rPr>
                <w:rFonts w:ascii="宋体" w:hAnsi="宋体" w:cs="宋体"/>
                <w:color w:val="auto"/>
                <w:highlight w:val="none"/>
              </w:rPr>
            </w:pPr>
            <w:r>
              <w:rPr>
                <w:rFonts w:ascii="宋体" w:hAnsi="宋体" w:cs="宋体"/>
                <w:color w:val="auto"/>
                <w:highlight w:val="none"/>
              </w:rPr>
            </w:r>
            <w:r/>
          </w:p>
        </w:tc>
      </w:tr>
      <w:tr>
        <w:trPr>
          <w:jc w:val="center"/>
          <w:trHeight w:val="1043"/>
        </w:trPr>
        <w:tc>
          <w:tcPr>
            <w:tcW w:w="855" w:type="dxa"/>
            <w:vAlign w:val="center"/>
            <w:textDirection w:val="lrTb"/>
            <w:noWrap w:val="false"/>
          </w:tcPr>
          <w:p>
            <w:pPr>
              <w:pStyle w:val="1223"/>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255" w:type="dxa"/>
            <w:vAlign w:val="center"/>
            <w:textDirection w:val="lrTb"/>
            <w:noWrap w:val="false"/>
          </w:tcPr>
          <w:p>
            <w:pPr>
              <w:pStyle w:val="1223"/>
              <w:ind w:firstLine="0"/>
              <w:jc w:val="both"/>
              <w:spacing w:before="0" w:after="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投标人近一年中任意一个月份（不含投标当月）的依法缴纳社会保障资金的相关材料（提供相关主管部门证明或银行代扣证明）原件扫描件并签章上传至投标系统</w:t>
            </w:r>
            <w:r>
              <w:rPr>
                <w:rFonts w:hint="eastAsia" w:ascii="宋体" w:hAnsi="宋体" w:cs="宋体"/>
                <w:bCs/>
                <w:color w:val="auto"/>
                <w:sz w:val="24"/>
                <w:szCs w:val="24"/>
                <w:highlight w:val="none"/>
                <w:lang w:val="en-US" w:eastAsia="zh-CN" w:bidi="ar-SA"/>
              </w:rPr>
              <w:t xml:space="preserve">。</w:t>
            </w:r>
            <w:r/>
          </w:p>
        </w:tc>
        <w:tc>
          <w:tcPr>
            <w:tcW w:w="1926" w:type="dxa"/>
            <w:vAlign w:val="center"/>
            <w:vMerge w:val="continue"/>
            <w:textDirection w:val="lrTb"/>
            <w:noWrap w:val="false"/>
          </w:tcPr>
          <w:p>
            <w:pPr>
              <w:pStyle w:val="1223"/>
              <w:ind w:firstLine="0"/>
              <w:spacing w:before="0" w:after="0"/>
              <w:rPr>
                <w:rFonts w:ascii="宋体" w:hAnsi="宋体" w:cs="宋体"/>
                <w:bCs/>
                <w:color w:val="auto"/>
                <w:highlight w:val="none"/>
              </w:rPr>
            </w:pPr>
            <w:r>
              <w:rPr>
                <w:rFonts w:ascii="宋体" w:hAnsi="宋体" w:cs="宋体"/>
                <w:bCs/>
                <w:color w:val="auto"/>
                <w:highlight w:val="none"/>
              </w:rPr>
            </w:r>
            <w:r/>
          </w:p>
        </w:tc>
      </w:tr>
      <w:tr>
        <w:trPr>
          <w:jc w:val="center"/>
          <w:trHeight w:val="1043"/>
        </w:trPr>
        <w:tc>
          <w:tcPr>
            <w:tcW w:w="855" w:type="dxa"/>
            <w:vAlign w:val="center"/>
            <w:textDirection w:val="lrTb"/>
            <w:noWrap w:val="false"/>
          </w:tcPr>
          <w:p>
            <w:pPr>
              <w:pStyle w:val="1223"/>
              <w:ind w:firstLine="0"/>
              <w:jc w:val="center"/>
              <w:spacing w:before="0" w:after="0"/>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shd w:val="clear" w:color="auto" w:fill="auto"/>
            <w:tcW w:w="6255" w:type="dxa"/>
            <w:vAlign w:val="center"/>
            <w:textDirection w:val="lrTb"/>
            <w:noWrap w:val="false"/>
          </w:tcPr>
          <w:p>
            <w:pPr>
              <w:jc w:val="left"/>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满足中小微企业政策的证明文件（本项目专门面向中小企业（含监狱企业、残疾人福利性单位)采购，资格证明文件中必须提交《中小企业声明函》或《监狱企业证明文件》或《残疾人福利性单位声明函》。</w:t>
            </w:r>
            <w:r/>
          </w:p>
        </w:tc>
        <w:tc>
          <w:tcPr>
            <w:shd w:val="clear" w:color="auto" w:fill="auto"/>
            <w:tcW w:w="1926" w:type="dxa"/>
            <w:vAlign w:val="center"/>
            <w:vMerge w:val="continue"/>
            <w:textDirection w:val="lrTb"/>
            <w:noWrap w:val="false"/>
          </w:tcPr>
          <w:p>
            <w:pPr>
              <w:jc w:val="center"/>
              <w:keepLines w:val="0"/>
              <w:keepNext w:val="0"/>
              <w:pageBreakBefore w:val="0"/>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tc>
      </w:tr>
      <w:tr>
        <w:trPr>
          <w:jc w:val="center"/>
          <w:trHeight w:val="1043"/>
        </w:trPr>
        <w:tc>
          <w:tcPr>
            <w:tcW w:w="855" w:type="dxa"/>
            <w:vAlign w:val="center"/>
            <w:textDirection w:val="lrTb"/>
            <w:noWrap w:val="false"/>
          </w:tcPr>
          <w:p>
            <w:pPr>
              <w:pStyle w:val="1223"/>
              <w:ind w:firstLine="0"/>
              <w:jc w:val="center"/>
              <w:spacing w:before="0" w:after="0"/>
              <w:rPr>
                <w:rFonts w:hint="default" w:ascii="宋体" w:hAnsi="宋体" w:eastAsia="宋体" w:cs="宋体"/>
                <w:bCs/>
                <w:color w:val="auto"/>
                <w:highlight w:val="none"/>
              </w:rPr>
            </w:pPr>
            <w:r>
              <w:rPr>
                <w:rFonts w:hint="eastAsia" w:ascii="宋体" w:hAnsi="宋体" w:cs="宋体"/>
                <w:bCs/>
                <w:color w:val="auto"/>
                <w:highlight w:val="none"/>
                <w:lang w:val="en-US" w:eastAsia="zh-CN"/>
              </w:rPr>
              <w:t xml:space="preserve">11</w:t>
            </w:r>
            <w:r/>
          </w:p>
        </w:tc>
        <w:tc>
          <w:tcPr>
            <w:tcW w:w="6255" w:type="dxa"/>
            <w:vAlign w:val="center"/>
            <w:textDirection w:val="lrTb"/>
            <w:noWrap w:val="false"/>
          </w:tcPr>
          <w:p>
            <w:pPr>
              <w:pStyle w:val="1223"/>
              <w:ind w:firstLine="0"/>
              <w:jc w:val="both"/>
              <w:spacing w:before="0" w:after="0" w:line="360" w:lineRule="auto"/>
              <w:rPr>
                <w:rFonts w:hint="eastAsia" w:ascii="宋体" w:hAnsi="宋体" w:eastAsia="宋体" w:cs="宋体"/>
                <w:bCs/>
                <w:color w:val="auto"/>
                <w:highlight w:val="none"/>
                <w:lang w:eastAsia="zh-CN"/>
              </w:rPr>
            </w:pPr>
            <w:r>
              <w:rPr>
                <w:rFonts w:hint="eastAsia" w:ascii="宋体" w:hAnsi="宋体" w:cs="Times New Roman"/>
                <w:color w:val="auto"/>
                <w:sz w:val="24"/>
                <w:szCs w:val="20"/>
                <w:highlight w:val="none"/>
              </w:rPr>
              <w:t xml:space="preserve">具备履行合同所必需的设备和专业技术能力的书面声明扫描件并签章上传至投标系统（</w:t>
            </w:r>
            <w:r>
              <w:rPr>
                <w:rFonts w:hint="eastAsia" w:ascii="宋体" w:hAnsi="宋体" w:cs="Times New Roman"/>
                <w:b/>
                <w:bCs/>
                <w:color w:val="auto"/>
                <w:sz w:val="24"/>
                <w:szCs w:val="20"/>
                <w:highlight w:val="none"/>
              </w:rPr>
              <w:t xml:space="preserve">格式见附件</w:t>
            </w:r>
            <w:r>
              <w:rPr>
                <w:rFonts w:hint="eastAsia" w:ascii="宋体" w:hAnsi="宋体" w:cs="Times New Roman"/>
                <w:color w:val="auto"/>
                <w:sz w:val="24"/>
                <w:szCs w:val="20"/>
                <w:highlight w:val="none"/>
              </w:rPr>
              <w:t xml:space="preserve">）</w:t>
            </w:r>
            <w:r>
              <w:rPr>
                <w:rFonts w:hint="eastAsia" w:ascii="宋体" w:hAnsi="宋体" w:cs="Times New Roman"/>
                <w:color w:val="auto"/>
                <w:sz w:val="24"/>
                <w:szCs w:val="20"/>
                <w:highlight w:val="none"/>
                <w:lang w:eastAsia="zh-CN"/>
              </w:rPr>
              <w:t xml:space="preserve">。</w:t>
            </w:r>
            <w:r/>
          </w:p>
        </w:tc>
        <w:tc>
          <w:tcPr>
            <w:tcW w:w="1926" w:type="dxa"/>
            <w:vAlign w:val="center"/>
            <w:vMerge w:val="continue"/>
            <w:textDirection w:val="lrTb"/>
            <w:noWrap w:val="false"/>
          </w:tcPr>
          <w:p>
            <w:pPr>
              <w:pStyle w:val="1223"/>
              <w:ind w:firstLine="0"/>
              <w:spacing w:before="0" w:after="0"/>
              <w:rPr>
                <w:rFonts w:ascii="宋体" w:hAnsi="宋体" w:cs="宋体"/>
                <w:bCs/>
                <w:color w:val="auto"/>
                <w:highlight w:val="none"/>
              </w:rPr>
            </w:pPr>
            <w:r>
              <w:rPr>
                <w:rFonts w:ascii="宋体" w:hAnsi="宋体" w:cs="宋体"/>
                <w:bCs/>
                <w:color w:val="auto"/>
                <w:highlight w:val="none"/>
              </w:rPr>
            </w:r>
            <w:r/>
          </w:p>
        </w:tc>
      </w:tr>
      <w:tr>
        <w:trPr>
          <w:jc w:val="center"/>
          <w:trHeight w:val="1043"/>
        </w:trPr>
        <w:tc>
          <w:tcPr>
            <w:tcW w:w="855" w:type="dxa"/>
            <w:vAlign w:val="center"/>
            <w:textDirection w:val="lrTb"/>
            <w:noWrap w:val="false"/>
          </w:tcPr>
          <w:p>
            <w:pPr>
              <w:pStyle w:val="1223"/>
              <w:ind w:firstLine="0"/>
              <w:jc w:val="center"/>
              <w:spacing w:before="0" w:after="0"/>
              <w:rPr>
                <w:rFonts w:hint="default" w:ascii="宋体" w:hAnsi="宋体" w:cs="宋体"/>
                <w:bCs/>
                <w:color w:val="auto"/>
                <w:highlight w:val="none"/>
              </w:rPr>
            </w:pPr>
            <w:r>
              <w:rPr>
                <w:rFonts w:hint="eastAsia" w:ascii="宋体" w:hAnsi="宋体" w:cs="宋体"/>
                <w:bCs/>
                <w:color w:val="auto"/>
                <w:highlight w:val="none"/>
                <w:lang w:val="en-US" w:eastAsia="zh-CN"/>
              </w:rPr>
              <w:t xml:space="preserve">12</w:t>
            </w:r>
            <w:r/>
          </w:p>
        </w:tc>
        <w:tc>
          <w:tcPr>
            <w:tcW w:w="6255" w:type="dxa"/>
            <w:vAlign w:val="center"/>
            <w:textDirection w:val="lrTb"/>
            <w:noWrap w:val="false"/>
          </w:tcPr>
          <w:p>
            <w:pPr>
              <w:pStyle w:val="1223"/>
              <w:ind w:firstLine="0"/>
              <w:jc w:val="both"/>
              <w:spacing w:before="0" w:after="0"/>
              <w:rPr>
                <w:rFonts w:hint="eastAsia" w:ascii="宋体" w:hAnsi="宋体" w:eastAsia="宋体" w:cs="宋体"/>
                <w:bCs/>
                <w:color w:val="auto"/>
                <w:highlight w:val="none"/>
                <w:lang w:eastAsia="zh-CN"/>
              </w:rPr>
            </w:pPr>
            <w:r>
              <w:rPr>
                <w:rFonts w:hint="eastAsia" w:ascii="宋体" w:hAnsi="宋体" w:cs="Times New Roman"/>
                <w:color w:val="auto"/>
                <w:sz w:val="24"/>
                <w:szCs w:val="20"/>
                <w:highlight w:val="none"/>
              </w:rPr>
              <w:t xml:space="preserve">参加采购活动前3年内</w:t>
            </w:r>
            <w:r>
              <w:rPr>
                <w:rFonts w:hint="eastAsia" w:ascii="宋体" w:hAnsi="宋体" w:cs="Times New Roman"/>
                <w:color w:val="auto"/>
                <w:sz w:val="24"/>
                <w:szCs w:val="20"/>
                <w:highlight w:val="none"/>
                <w:lang w:eastAsia="zh-CN"/>
              </w:rPr>
              <w:t xml:space="preserve">（</w:t>
            </w:r>
            <w:r>
              <w:rPr>
                <w:rFonts w:hint="eastAsia" w:ascii="宋体" w:hAnsi="宋体" w:cs="Times New Roman"/>
                <w:color w:val="auto"/>
                <w:sz w:val="24"/>
                <w:szCs w:val="20"/>
                <w:highlight w:val="none"/>
              </w:rPr>
              <w:t xml:space="preserve">自公开招标文件发出之日起计算</w:t>
            </w:r>
            <w:r>
              <w:rPr>
                <w:rFonts w:hint="eastAsia" w:ascii="宋体" w:hAnsi="宋体" w:cs="Times New Roman"/>
                <w:color w:val="auto"/>
                <w:sz w:val="24"/>
                <w:szCs w:val="20"/>
                <w:highlight w:val="none"/>
                <w:lang w:eastAsia="zh-CN"/>
              </w:rPr>
              <w:t xml:space="preserve">）</w:t>
            </w:r>
            <w:r>
              <w:rPr>
                <w:rFonts w:hint="eastAsia" w:ascii="宋体" w:hAnsi="宋体" w:cs="Times New Roman"/>
                <w:color w:val="auto"/>
                <w:sz w:val="24"/>
                <w:szCs w:val="20"/>
                <w:highlight w:val="none"/>
              </w:rPr>
              <w:t xml:space="preserve">在经营活动中没有重大违法记录的书面声明扫描件并签章上传至投标系统（</w:t>
            </w:r>
            <w:r>
              <w:rPr>
                <w:rFonts w:hint="eastAsia" w:ascii="宋体" w:hAnsi="宋体" w:cs="Times New Roman"/>
                <w:b/>
                <w:bCs/>
                <w:color w:val="auto"/>
                <w:sz w:val="24"/>
                <w:szCs w:val="20"/>
                <w:highlight w:val="none"/>
              </w:rPr>
              <w:t xml:space="preserve">格式见附件</w:t>
            </w:r>
            <w:r>
              <w:rPr>
                <w:rFonts w:hint="eastAsia" w:ascii="宋体" w:hAnsi="宋体" w:cs="Times New Roman"/>
                <w:color w:val="auto"/>
                <w:sz w:val="24"/>
                <w:szCs w:val="20"/>
                <w:highlight w:val="none"/>
              </w:rPr>
              <w:t xml:space="preserve">）</w:t>
            </w:r>
            <w:r>
              <w:rPr>
                <w:rFonts w:hint="eastAsia" w:ascii="宋体" w:hAnsi="宋体" w:cs="Times New Roman"/>
                <w:color w:val="auto"/>
                <w:sz w:val="24"/>
                <w:szCs w:val="20"/>
                <w:highlight w:val="none"/>
                <w:lang w:eastAsia="zh-CN"/>
              </w:rPr>
              <w:t xml:space="preserve">。</w:t>
            </w:r>
            <w:r/>
          </w:p>
        </w:tc>
        <w:tc>
          <w:tcPr>
            <w:tcW w:w="1926" w:type="dxa"/>
            <w:vAlign w:val="center"/>
            <w:vMerge w:val="continue"/>
            <w:textDirection w:val="lrTb"/>
            <w:noWrap w:val="false"/>
          </w:tcPr>
          <w:p>
            <w:pPr>
              <w:pStyle w:val="1223"/>
              <w:ind w:firstLine="0"/>
              <w:spacing w:before="0" w:after="0"/>
              <w:rPr>
                <w:rFonts w:ascii="宋体" w:hAnsi="宋体" w:cs="宋体"/>
                <w:bCs/>
                <w:color w:val="auto"/>
                <w:highlight w:val="none"/>
              </w:rPr>
            </w:pPr>
            <w:r>
              <w:rPr>
                <w:rFonts w:ascii="宋体" w:hAnsi="宋体" w:cs="宋体"/>
                <w:bCs/>
                <w:color w:val="auto"/>
                <w:highlight w:val="none"/>
              </w:rPr>
            </w:r>
            <w:r/>
          </w:p>
        </w:tc>
      </w:tr>
    </w:tbl>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numPr>
          <w:ilvl w:val="0"/>
          <w:numId w:val="0"/>
        </w:num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上述证明文件中的资</w:t>
      </w:r>
      <w:r>
        <w:rPr>
          <w:rFonts w:hint="eastAsia" w:ascii="宋体" w:hAnsi="宋体" w:eastAsia="宋体" w:cs="宋体"/>
          <w:b/>
          <w:bCs/>
          <w:color w:val="auto"/>
          <w:sz w:val="24"/>
          <w:szCs w:val="24"/>
          <w:highlight w:val="none"/>
        </w:rPr>
        <w:t xml:space="preserve">格、资信证明文件必须全部提供，必须确保所有证明文件均为真实的、有效的且清晰的。如上述资格证明文件遇年检、换证，则必须提供法定年检、换证单位出具的有效证明扫描件。如上述资格证明文件第7、8、9三项遇有国家相关政策规定可不具备的（如依法享受缓缴、免缴税收、社会保障资金等），必须提供相关政策规定或相关单位出具的有效证明或情况说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numPr>
          <w:ilvl w:val="0"/>
          <w:numId w:val="0"/>
        </w:numPr>
        <w:ind w:firstLine="480"/>
        <w:spacing w:line="360" w:lineRule="auto"/>
        <w:rPr>
          <w:rFonts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left="0" w:firstLine="0"/>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w:t>
      </w:r>
      <w:r>
        <w:rPr>
          <w:rFonts w:hint="eastAsia" w:eastAsia="宋体"/>
          <w:b/>
          <w:color w:val="auto"/>
          <w:sz w:val="28"/>
          <w:szCs w:val="28"/>
          <w:highlight w:val="none"/>
          <w:lang w:val="en-US" w:eastAsia="zh-CN"/>
        </w:rPr>
        <w:t xml:space="preserve">符合性</w:t>
      </w:r>
      <w:r>
        <w:rPr>
          <w:rFonts w:hint="eastAsia"/>
          <w:b/>
          <w:color w:val="auto"/>
          <w:sz w:val="28"/>
          <w:szCs w:val="28"/>
          <w:highlight w:val="none"/>
        </w:rPr>
        <w:t xml:space="preserve">证明文件</w:t>
      </w:r>
      <w:r/>
    </w:p>
    <w:p>
      <w:pPr>
        <w:pStyle w:val="822"/>
        <w:rPr>
          <w:color w:val="auto"/>
          <w:highlight w:val="none"/>
        </w:rPr>
      </w:pPr>
      <w:r>
        <w:rPr>
          <w:color w:val="auto"/>
          <w:highlight w:val="none"/>
        </w:rPr>
      </w:r>
      <w:r/>
    </w:p>
    <w:tbl>
      <w:tblPr>
        <w:tblStyle w:val="7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7"/>
        <w:gridCol w:w="1979"/>
      </w:tblGrid>
      <w:tr>
        <w:trPr>
          <w:jc w:val="center"/>
          <w:trHeight w:val="663"/>
        </w:trPr>
        <w:tc>
          <w:tcPr>
            <w:tcW w:w="823" w:type="dxa"/>
            <w:vAlign w:val="center"/>
            <w:textDirection w:val="lrTb"/>
            <w:noWrap w:val="false"/>
          </w:tcPr>
          <w:p>
            <w:pPr>
              <w:pStyle w:val="122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097" w:type="dxa"/>
            <w:vAlign w:val="center"/>
            <w:textDirection w:val="lrTb"/>
            <w:noWrap w:val="false"/>
          </w:tcPr>
          <w:p>
            <w:pPr>
              <w:pStyle w:val="122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22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663"/>
        </w:trPr>
        <w:tc>
          <w:tcPr>
            <w:tcW w:w="823" w:type="dxa"/>
            <w:vAlign w:val="center"/>
            <w:textDirection w:val="lrTb"/>
            <w:noWrap w:val="false"/>
          </w:tcPr>
          <w:p>
            <w:pPr>
              <w:pStyle w:val="122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097" w:type="dxa"/>
            <w:vAlign w:val="center"/>
            <w:textDirection w:val="lrTb"/>
            <w:noWrap w:val="false"/>
          </w:tcPr>
          <w:p>
            <w:pPr>
              <w:pStyle w:val="122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投标函（给定格式）</w:t>
            </w:r>
            <w:r/>
          </w:p>
        </w:tc>
        <w:tc>
          <w:tcPr>
            <w:tcW w:w="1979" w:type="dxa"/>
            <w:vAlign w:val="center"/>
            <w:vMerge w:val="restart"/>
            <w:textDirection w:val="lrTb"/>
            <w:noWrap w:val="false"/>
          </w:tcPr>
          <w:p>
            <w:pPr>
              <w:pStyle w:val="122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商务符合性</w:t>
            </w:r>
            <w:r/>
          </w:p>
        </w:tc>
      </w:tr>
      <w:tr>
        <w:trPr>
          <w:jc w:val="center"/>
          <w:trHeight w:val="663"/>
        </w:trPr>
        <w:tc>
          <w:tcPr>
            <w:tcW w:w="823" w:type="dxa"/>
            <w:vAlign w:val="center"/>
            <w:textDirection w:val="lrTb"/>
            <w:noWrap w:val="false"/>
          </w:tcPr>
          <w:p>
            <w:pPr>
              <w:pStyle w:val="122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097" w:type="dxa"/>
            <w:vAlign w:val="center"/>
            <w:textDirection w:val="lrTb"/>
            <w:noWrap w:val="false"/>
          </w:tcPr>
          <w:p>
            <w:pPr>
              <w:pStyle w:val="122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承诺书（给定格式）</w:t>
            </w:r>
            <w:r/>
          </w:p>
        </w:tc>
        <w:tc>
          <w:tcPr>
            <w:tcW w:w="1979" w:type="dxa"/>
            <w:vAlign w:val="center"/>
            <w:vMerge w:val="continue"/>
            <w:textDirection w:val="lrTb"/>
            <w:noWrap w:val="false"/>
          </w:tcPr>
          <w:p>
            <w:pPr>
              <w:pStyle w:val="1223"/>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663"/>
        </w:trPr>
        <w:tc>
          <w:tcPr>
            <w:tcW w:w="823" w:type="dxa"/>
            <w:vAlign w:val="center"/>
            <w:textDirection w:val="lrTb"/>
            <w:noWrap w:val="false"/>
          </w:tcPr>
          <w:p>
            <w:pPr>
              <w:pStyle w:val="122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097" w:type="dxa"/>
            <w:vAlign w:val="center"/>
            <w:textDirection w:val="lrTb"/>
            <w:noWrap w:val="false"/>
          </w:tcPr>
          <w:p>
            <w:pPr>
              <w:pStyle w:val="122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开标一览表（“苏采云”系统中给定格式）</w:t>
            </w:r>
            <w:r/>
          </w:p>
        </w:tc>
        <w:tc>
          <w:tcPr>
            <w:tcW w:w="1979" w:type="dxa"/>
            <w:vAlign w:val="center"/>
            <w:vMerge w:val="restart"/>
            <w:textDirection w:val="lrTb"/>
            <w:noWrap w:val="false"/>
          </w:tcPr>
          <w:p>
            <w:pPr>
              <w:pStyle w:val="122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报价符合性</w:t>
            </w:r>
            <w:r/>
          </w:p>
        </w:tc>
      </w:tr>
      <w:tr>
        <w:trPr>
          <w:jc w:val="center"/>
          <w:trHeight w:val="663"/>
        </w:trPr>
        <w:tc>
          <w:tcPr>
            <w:tcW w:w="823" w:type="dxa"/>
            <w:vAlign w:val="center"/>
            <w:textDirection w:val="lrTb"/>
            <w:noWrap w:val="false"/>
          </w:tcPr>
          <w:p>
            <w:pPr>
              <w:pStyle w:val="122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097" w:type="dxa"/>
            <w:vAlign w:val="center"/>
            <w:textDirection w:val="lrTb"/>
            <w:noWrap w:val="false"/>
          </w:tcPr>
          <w:p>
            <w:pPr>
              <w:pStyle w:val="122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分项报价表（给定格式）</w:t>
            </w:r>
            <w:r/>
          </w:p>
        </w:tc>
        <w:tc>
          <w:tcPr>
            <w:tcW w:w="1979" w:type="dxa"/>
            <w:vAlign w:val="center"/>
            <w:vMerge w:val="continue"/>
            <w:textDirection w:val="lrTb"/>
            <w:noWrap w:val="false"/>
          </w:tcPr>
          <w:p>
            <w:pPr>
              <w:pStyle w:val="1223"/>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663"/>
        </w:trPr>
        <w:tc>
          <w:tcPr>
            <w:tcW w:w="823" w:type="dxa"/>
            <w:vAlign w:val="center"/>
            <w:textDirection w:val="lrTb"/>
            <w:noWrap w:val="false"/>
          </w:tcPr>
          <w:p>
            <w:pPr>
              <w:pStyle w:val="1223"/>
              <w:ind w:firstLine="0"/>
              <w:jc w:val="center"/>
              <w:spacing w:before="0" w:after="0"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p>
        </w:tc>
        <w:tc>
          <w:tcPr>
            <w:tcW w:w="6097" w:type="dxa"/>
            <w:vAlign w:val="center"/>
            <w:textDirection w:val="lrTb"/>
            <w:noWrap w:val="false"/>
          </w:tcPr>
          <w:p>
            <w:pPr>
              <w:pStyle w:val="122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投标偏离表（给定格式）</w:t>
            </w:r>
            <w:r/>
          </w:p>
        </w:tc>
        <w:tc>
          <w:tcPr>
            <w:tcW w:w="1979" w:type="dxa"/>
            <w:vAlign w:val="center"/>
            <w:vMerge w:val="restart"/>
            <w:textDirection w:val="lrTb"/>
            <w:noWrap w:val="false"/>
          </w:tcPr>
          <w:p>
            <w:pPr>
              <w:pStyle w:val="122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技术符合性</w:t>
            </w:r>
            <w:r/>
          </w:p>
        </w:tc>
      </w:tr>
      <w:tr>
        <w:trPr>
          <w:jc w:val="center"/>
          <w:trHeight w:val="674"/>
        </w:trPr>
        <w:tc>
          <w:tcPr>
            <w:tcW w:w="823" w:type="dxa"/>
            <w:vAlign w:val="center"/>
            <w:textDirection w:val="lrTb"/>
            <w:noWrap w:val="false"/>
          </w:tcPr>
          <w:p>
            <w:pPr>
              <w:pStyle w:val="1223"/>
              <w:ind w:firstLine="0"/>
              <w:jc w:val="center"/>
              <w:spacing w:before="0" w:after="0"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p>
        </w:tc>
        <w:tc>
          <w:tcPr>
            <w:tcW w:w="6097" w:type="dxa"/>
            <w:vAlign w:val="center"/>
            <w:textDirection w:val="lrTb"/>
            <w:noWrap w:val="false"/>
          </w:tcPr>
          <w:p>
            <w:pPr>
              <w:pStyle w:val="122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《采购需求》中要求提供的证明材料</w:t>
            </w:r>
            <w:r/>
          </w:p>
        </w:tc>
        <w:tc>
          <w:tcPr>
            <w:tcW w:w="1979" w:type="dxa"/>
            <w:vAlign w:val="center"/>
            <w:vMerge w:val="continue"/>
            <w:textDirection w:val="lrTb"/>
            <w:noWrap w:val="false"/>
          </w:tcPr>
          <w:p>
            <w:pPr>
              <w:pStyle w:val="1223"/>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s="Times New Roman"/>
          <w:color w:val="auto"/>
          <w:sz w:val="24"/>
          <w:szCs w:val="24"/>
          <w:highlight w:val="none"/>
        </w:rPr>
      </w:pPr>
      <w:r>
        <w:rPr>
          <w:rFonts w:hint="eastAsia" w:ascii="宋体" w:hAnsi="宋体"/>
          <w:color w:val="auto"/>
          <w:sz w:val="24"/>
          <w:szCs w:val="24"/>
          <w:highlight w:val="none"/>
        </w:rPr>
        <w:t xml:space="preserve">（1）上述符合性证明文件第1～</w:t>
      </w:r>
      <w:r>
        <w:rPr>
          <w:rFonts w:hint="eastAsia" w:ascii="宋体" w:hAnsi="宋体" w:eastAsia="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w:t>
      </w:r>
      <w:r>
        <w:rPr>
          <w:rFonts w:hint="eastAsia" w:ascii="宋体" w:hAnsi="宋体" w:cs="Times New Roman"/>
          <w:color w:val="auto"/>
          <w:sz w:val="24"/>
          <w:szCs w:val="24"/>
          <w:highlight w:val="none"/>
        </w:rPr>
        <w:t xml:space="preserve">按给定格式的要求正确填报并提供，相应格式见</w:t>
      </w:r>
      <w:r>
        <w:rPr>
          <w:rFonts w:hint="eastAsia" w:ascii="宋体" w:hAnsi="宋体" w:eastAsia="宋体" w:cs="Times New Roman"/>
          <w:color w:val="auto"/>
          <w:sz w:val="24"/>
          <w:szCs w:val="24"/>
          <w:highlight w:val="none"/>
          <w:lang w:val="en-US" w:eastAsia="zh-CN"/>
        </w:rPr>
        <w:t xml:space="preserve">第六章</w:t>
      </w:r>
      <w:r>
        <w:rPr>
          <w:rFonts w:hint="eastAsia" w:ascii="宋体" w:hAnsi="宋体" w:cs="Times New Roman"/>
          <w:color w:val="auto"/>
          <w:sz w:val="24"/>
          <w:szCs w:val="24"/>
          <w:highlight w:val="none"/>
        </w:rPr>
        <w:t xml:space="preserve">），否则投标文件无效。</w:t>
      </w:r>
      <w:r/>
    </w:p>
    <w:p>
      <w:pPr>
        <w:ind w:firstLine="480"/>
        <w:spacing w:line="500" w:lineRule="exact"/>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（2）上述符合性证明文件第</w:t>
      </w:r>
      <w:r>
        <w:rPr>
          <w:rFonts w:hint="eastAsia" w:ascii="宋体" w:hAnsi="宋体" w:eastAsia="宋体" w:cs="Times New Roman"/>
          <w:color w:val="auto"/>
          <w:sz w:val="24"/>
          <w:szCs w:val="24"/>
          <w:highlight w:val="none"/>
          <w:lang w:val="en-US" w:eastAsia="zh-CN"/>
        </w:rPr>
        <w:t xml:space="preserve">6</w:t>
      </w:r>
      <w:r>
        <w:rPr>
          <w:rFonts w:hint="eastAsia" w:ascii="宋体" w:hAnsi="宋体" w:cs="Times New Roman"/>
          <w:color w:val="auto"/>
          <w:sz w:val="24"/>
          <w:szCs w:val="24"/>
          <w:highlight w:val="none"/>
        </w:rPr>
        <w:t xml:space="preserve">项，《采购需求》中如有要求提供证明材料的，须按要求提供，否则投标文件无效</w:t>
      </w:r>
      <w:r>
        <w:rPr>
          <w:rFonts w:hint="eastAsia" w:ascii="宋体" w:hAnsi="宋体" w:eastAsia="宋体" w:cs="Times New Roman"/>
          <w:color w:val="auto"/>
          <w:sz w:val="24"/>
          <w:szCs w:val="24"/>
          <w:highlight w:val="none"/>
          <w:lang w:eastAsia="zh-CN"/>
        </w:rPr>
        <w:t xml:space="preserve">。</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spacing w:line="360" w:lineRule="auto"/>
        <w:rPr>
          <w:rFonts w:ascii="宋体" w:hAnsi="宋体" w:eastAsia="宋体" w:cs="宋体"/>
          <w:b/>
          <w:color w:val="auto"/>
          <w:sz w:val="30"/>
          <w:szCs w:val="30"/>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223"/>
        <w:ind w:firstLine="0"/>
        <w:spacing w:before="0" w:after="0"/>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封面格式（参考格式）：</w:t>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宋体" w:hAnsi="宋体" w:eastAsia="宋体" w:cs="宋体"/>
          <w:bCs/>
          <w:color w:val="auto"/>
          <w:sz w:val="28"/>
          <w:highlight w:val="none"/>
        </w:rPr>
      </w:pPr>
      <w:r>
        <w:rPr>
          <w:rFonts w:ascii="宋体" w:hAnsi="宋体" w:eastAsia="宋体" w:cs="宋体"/>
          <w:bCs/>
          <w:color w:val="auto"/>
          <w:sz w:val="28"/>
          <w:highlight w:val="none"/>
        </w:rPr>
      </w:r>
      <w:r/>
    </w:p>
    <w:p>
      <w:pPr>
        <w:ind w:firstLine="2715"/>
        <w:spacing w:line="360" w:lineRule="auto"/>
        <w:rPr>
          <w:rFonts w:ascii="宋体" w:hAnsi="宋体" w:eastAsia="宋体" w:cs="宋体"/>
          <w:bCs/>
          <w:color w:val="auto"/>
          <w:sz w:val="28"/>
          <w:szCs w:val="28"/>
          <w:highlight w:val="none"/>
        </w:rPr>
      </w:pPr>
      <w:r/>
      <w:bookmarkStart w:id="147"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ascii="宋体" w:hAnsi="宋体" w:eastAsia="宋体" w:cs="宋体"/>
          <w:bCs/>
          <w:color w:val="auto"/>
          <w:sz w:val="40"/>
          <w:szCs w:val="40"/>
          <w:highlight w:val="none"/>
        </w:rPr>
        <w:outlineLvl w:val="9"/>
      </w:pPr>
      <w:r>
        <w:rPr>
          <w:rFonts w:ascii="宋体" w:hAnsi="宋体" w:eastAsia="宋体" w:cs="宋体"/>
          <w:bCs/>
          <w:color w:val="auto"/>
          <w:sz w:val="40"/>
          <w:szCs w:val="40"/>
          <w:highlight w:val="none"/>
        </w:rPr>
      </w:r>
      <w:r/>
    </w:p>
    <w:p>
      <w:pPr>
        <w:jc w:val="center"/>
        <w:spacing w:line="360" w:lineRule="auto"/>
        <w:rPr>
          <w:rFonts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lang w:val="en-US" w:eastAsia="zh-CN"/>
        </w:rPr>
        <w:t xml:space="preserve">2026</w:t>
      </w:r>
      <w:r>
        <w:rPr>
          <w:rFonts w:hint="eastAsia" w:ascii="宋体" w:hAnsi="宋体" w:eastAsia="宋体" w:cs="宋体"/>
          <w:bCs/>
          <w:color w:val="auto"/>
          <w:sz w:val="28"/>
          <w:szCs w:val="28"/>
          <w:highlight w:val="none"/>
        </w:rPr>
        <w:t xml:space="preserve">年   月</w:t>
      </w:r>
      <w:bookmarkEnd w:id="147"/>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、投标函（给定格式）：</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致无锡市建汇建设工程咨询事务所有限公司：</w:t>
      </w:r>
      <w:r/>
    </w:p>
    <w:p>
      <w:pPr>
        <w:ind w:firstLine="480"/>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7"/>
        </w:numPr>
        <w:ind w:left="-105" w:firstLine="525"/>
        <w:spacing w:line="312"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我方愿意按照招标文件的一切要求，提供本项目的投标，投标优惠率见《开标一览表》。</w:t>
      </w:r>
      <w:r/>
    </w:p>
    <w:p>
      <w:pPr>
        <w:numPr>
          <w:ilvl w:val="0"/>
          <w:numId w:val="17"/>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217"/>
          <w:bCs/>
          <w:color w:val="auto"/>
          <w:highlight w:val="none"/>
        </w:rPr>
      </w:pPr>
      <w:r>
        <w:rPr>
          <w:rFonts w:hint="eastAsia" w:ascii="宋体" w:hAnsi="宋体" w:eastAsia="宋体" w:cs="宋体"/>
          <w:bCs/>
          <w:color w:val="auto"/>
          <w:sz w:val="24"/>
          <w:szCs w:val="24"/>
          <w:highlight w:val="none"/>
        </w:rPr>
        <w:t xml:space="preserve">我方愿意提供无锡市建汇建设工程咨询事务所有限公司在招标文件中要求的文件、资料。</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；传真：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；邮编：</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投标人名称（盖章）：</w:t>
      </w:r>
      <w:r/>
    </w:p>
    <w:p>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、承诺书（给定格式）：</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rPr>
          <w:rFonts w:hint="eastAsia" w:ascii="宋体" w:hAnsi="宋体" w:eastAsia="宋体" w:cs="宋体"/>
          <w:bCs/>
          <w:color w:val="auto"/>
          <w:sz w:val="28"/>
          <w:szCs w:val="28"/>
          <w:highlight w:val="none"/>
          <w:lang w:val="en-US" w:eastAsia="zh-CN"/>
        </w:rPr>
        <w:t xml:space="preserve">一</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color w:val="auto"/>
          <w:sz w:val="24"/>
          <w:szCs w:val="24"/>
          <w:highlight w:val="none"/>
        </w:rPr>
        <w:t xml:space="preserve">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2.本次投标没有借用别人资质，递交的投标文件内容真实、准确，没有使用虚假资质或虚假资料；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3.在投标过程中不串通投标、围标、哄抬报价，或不计成本、低价抢标等行为。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4.不使用贿赂等不正当手段。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6.我方本次投标提供的所有材料均为真实、有效，无虚假内容。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7.实事求是回答招标人提出的相关问题。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Cs/>
          <w:color w:val="auto"/>
          <w:sz w:val="28"/>
          <w:szCs w:val="28"/>
          <w:highlight w:val="none"/>
        </w:rPr>
        <w:t xml:space="preserve">承诺书</w:t>
      </w:r>
      <w:r>
        <w:rPr>
          <w:rFonts w:hint="eastAsia" w:ascii="宋体" w:hAnsi="宋体" w:eastAsia="宋体" w:cs="宋体"/>
          <w:bCs/>
          <w:color w:val="auto"/>
          <w:sz w:val="28"/>
          <w:szCs w:val="28"/>
          <w:highlight w:val="none"/>
          <w:lang w:val="en-US" w:eastAsia="zh-CN"/>
        </w:rPr>
        <w:t xml:space="preserve">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话：__________________，传 真：</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jc w:val="center"/>
        <w:rPr>
          <w:rFonts w:hint="eastAsia" w:ascii="宋体" w:hAnsi="宋体" w:eastAsia="宋体" w:cs="宋体"/>
          <w:b w:val="0"/>
          <w:bCs/>
          <w:color w:val="auto"/>
          <w:sz w:val="28"/>
          <w:szCs w:val="28"/>
          <w:highlight w:val="none"/>
        </w:rPr>
      </w:pP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期：</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、开标一览表（给定格式）：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hAnsi="Times New Roman" w:eastAsia="黑体" w:cs="黑体"/>
          <w:color w:val="auto"/>
          <w:sz w:val="28"/>
          <w:szCs w:val="28"/>
          <w:highlight w:val="none"/>
        </w:rPr>
        <w:t xml:space="preserve">开标一览表</w:t>
      </w:r>
      <w:r/>
    </w:p>
    <w:p>
      <w:pPr>
        <w:spacing w:after="0"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政府采购编号：</w:t>
      </w:r>
      <w:r/>
    </w:p>
    <w:tbl>
      <w:tblPr>
        <w:tblStyle w:val="794"/>
        <w:tblW w:w="919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8"/>
        <w:gridCol w:w="3795"/>
      </w:tblGrid>
      <w:tr>
        <w:trPr>
          <w:cantSplit/>
          <w:trHeight w:val="749"/>
        </w:trPr>
        <w:tc>
          <w:tcPr>
            <w:tcW w:w="539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79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398" w:type="dxa"/>
            <w:vAlign w:val="center"/>
            <w:textDirection w:val="lrTb"/>
            <w:noWrap w:val="false"/>
          </w:tcPr>
          <w:p>
            <w:pPr>
              <w:pStyle w:val="970"/>
              <w:jc w:val="center"/>
              <w:spacing w:line="400" w:lineRule="exact"/>
              <w:rPr>
                <w:rFonts w:hAnsi="宋体"/>
                <w:bCs/>
                <w:color w:val="auto"/>
                <w:szCs w:val="24"/>
                <w:highlight w:val="none"/>
              </w:rPr>
            </w:pPr>
            <w:r>
              <w:rPr>
                <w:rFonts w:hAnsi="宋体"/>
                <w:bCs/>
                <w:color w:val="auto"/>
                <w:szCs w:val="24"/>
                <w:highlight w:val="none"/>
              </w:rPr>
            </w:r>
            <w:r/>
          </w:p>
        </w:tc>
        <w:tc>
          <w:tcPr>
            <w:tcW w:w="3795" w:type="dxa"/>
            <w:vAlign w:val="center"/>
            <w:textDirection w:val="lrTb"/>
            <w:noWrap w:val="false"/>
          </w:tcPr>
          <w:p>
            <w:pPr>
              <w:pStyle w:val="970"/>
              <w:rPr>
                <w:rFonts w:hAnsi="宋体"/>
                <w:b/>
                <w:color w:val="auto"/>
                <w:szCs w:val="24"/>
                <w:highlight w:val="none"/>
              </w:rPr>
            </w:pPr>
            <w:r>
              <w:rPr>
                <w:rFonts w:hAnsi="宋体"/>
                <w:b/>
                <w:color w:val="auto"/>
                <w:szCs w:val="24"/>
                <w:highlight w:val="none"/>
              </w:rPr>
            </w:r>
            <w:r/>
          </w:p>
        </w:tc>
      </w:tr>
      <w:tr>
        <w:trPr>
          <w:cantSplit/>
          <w:trHeight w:val="780"/>
        </w:trPr>
        <w:tc>
          <w:tcPr>
            <w:gridSpan w:val="2"/>
            <w:tcW w:w="9193"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
          <w:color w:val="auto"/>
          <w:sz w:val="24"/>
          <w:szCs w:val="24"/>
          <w:highlight w:val="none"/>
          <w:lang w:eastAsia="zh-CN"/>
        </w:rPr>
        <w:t xml:space="preserve">。</w:t>
      </w:r>
      <w:r/>
    </w:p>
    <w:p>
      <w:pPr>
        <w:rPr>
          <w:b/>
          <w:color w:val="auto"/>
          <w:sz w:val="24"/>
          <w:szCs w:val="24"/>
          <w:highlight w:val="none"/>
        </w:rPr>
      </w:pPr>
      <w:r>
        <w:rPr>
          <w:b/>
          <w:color w:val="auto"/>
          <w:sz w:val="24"/>
          <w:szCs w:val="24"/>
          <w:highlight w:val="none"/>
        </w:rPr>
      </w:r>
      <w:r/>
    </w:p>
    <w:p>
      <w:pPr>
        <w:rPr>
          <w:b/>
          <w:color w:val="auto"/>
          <w:sz w:val="24"/>
          <w:szCs w:val="24"/>
          <w:highlight w:val="none"/>
        </w:rPr>
      </w:pPr>
      <w:r>
        <w:rPr>
          <w:rFonts w:hint="eastAsia"/>
          <w:b/>
          <w:color w:val="auto"/>
          <w:sz w:val="24"/>
          <w:szCs w:val="24"/>
          <w:highlight w:val="none"/>
        </w:rPr>
        <w:br w:type="page" w:clear="all"/>
      </w:r>
      <w:r/>
    </w:p>
    <w:p>
      <w:pPr>
        <w:ind w:left="0" w:firstLine="0"/>
        <w:spacing w:line="360" w:lineRule="auto"/>
        <w:rPr>
          <w:rFonts w:ascii="Times New Roman" w:eastAsia="宋体"/>
          <w:b/>
          <w:color w:val="auto"/>
          <w:sz w:val="28"/>
          <w:szCs w:val="28"/>
          <w:highlight w:val="none"/>
        </w:rPr>
        <w:outlineLvl w:val="2"/>
      </w:pPr>
      <w:r>
        <w:rPr>
          <w:rFonts w:hint="eastAsia" w:eastAsia="宋体"/>
          <w:b/>
          <w:color w:val="auto"/>
          <w:sz w:val="28"/>
          <w:szCs w:val="28"/>
          <w:highlight w:val="none"/>
          <w:lang w:val="en-US" w:eastAsia="zh-CN"/>
        </w:rPr>
        <w:t xml:space="preserve">四</w:t>
      </w:r>
      <w:r>
        <w:rPr>
          <w:rFonts w:hint="eastAsia"/>
          <w:b/>
          <w:color w:val="auto"/>
          <w:sz w:val="28"/>
          <w:szCs w:val="28"/>
          <w:highlight w:val="none"/>
        </w:rPr>
        <w:t xml:space="preserve">、分项</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line="360" w:lineRule="auto"/>
        <w:rPr>
          <w:rFonts w:ascii="黑体" w:eastAsia="黑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94"/>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785"/>
        <w:gridCol w:w="822"/>
        <w:gridCol w:w="1338"/>
        <w:gridCol w:w="720"/>
        <w:gridCol w:w="720"/>
        <w:gridCol w:w="720"/>
        <w:gridCol w:w="900"/>
        <w:gridCol w:w="1034"/>
      </w:tblGrid>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标的物名称</w:t>
            </w:r>
            <w:r/>
          </w:p>
        </w:tc>
        <w:tc>
          <w:tcPr>
            <w:tcW w:w="822"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品牌型号</w:t>
            </w:r>
            <w:r/>
          </w:p>
        </w:tc>
        <w:tc>
          <w:tcPr>
            <w:tcW w:w="1338" w:type="dxa"/>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性能指标</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720" w:type="dxa"/>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产地</w:t>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3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3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3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3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785"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82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3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72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90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34"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最终报价</w:t>
            </w:r>
            <w:r/>
          </w:p>
        </w:tc>
        <w:tc>
          <w:tcPr>
            <w:gridSpan w:val="8"/>
            <w:tcW w:w="8039" w:type="dxa"/>
            <w:vAlign w:val="center"/>
            <w:textDirection w:val="lrTb"/>
            <w:noWrap w:val="false"/>
          </w:tcPr>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金额</w:t>
            </w:r>
            <w:r>
              <w:rPr>
                <w:rFonts w:hint="eastAsia" w:ascii="宋体" w:hAnsi="宋体" w:eastAsia="宋体"/>
                <w:color w:val="auto"/>
                <w:sz w:val="24"/>
                <w:szCs w:val="24"/>
                <w:highlight w:val="none"/>
                <w:lang w:eastAsia="zh-CN"/>
              </w:rPr>
              <w:t xml:space="preserve">小</w:t>
            </w:r>
            <w:r>
              <w:rPr>
                <w:rFonts w:hint="eastAsia" w:ascii="宋体" w:hAnsi="宋体"/>
                <w:color w:val="auto"/>
                <w:sz w:val="24"/>
                <w:szCs w:val="24"/>
                <w:highlight w:val="none"/>
              </w:rPr>
              <w:t xml:space="preserve">写         元</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大写         元</w:t>
            </w:r>
            <w:r>
              <w:rPr>
                <w:rFonts w:hint="eastAsia" w:ascii="宋体" w:hAnsi="宋体" w:eastAsia="宋体"/>
                <w:color w:val="auto"/>
                <w:sz w:val="24"/>
                <w:szCs w:val="24"/>
                <w:highlight w:val="none"/>
                <w:lang w:val="en-US" w:eastAsia="zh-CN"/>
              </w:rPr>
              <w:t xml:space="preserve"> </w:t>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bCs/>
                <w:color w:val="auto"/>
                <w:sz w:val="24"/>
                <w:highlight w:val="none"/>
                <w:lang w:val="zh-CN"/>
              </w:rPr>
              <w:t xml:space="preserve">交货期</w:t>
            </w:r>
            <w:r/>
          </w:p>
        </w:tc>
        <w:tc>
          <w:tcPr>
            <w:gridSpan w:val="8"/>
            <w:tcW w:w="8039" w:type="dxa"/>
            <w:vAlign w:val="center"/>
            <w:textDirection w:val="lrTb"/>
            <w:noWrap w:val="false"/>
          </w:tcPr>
          <w:p>
            <w:pP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bCs/>
                <w:color w:val="auto"/>
                <w:sz w:val="24"/>
                <w:highlight w:val="none"/>
                <w:lang w:val="zh-CN"/>
              </w:rPr>
              <w:t xml:space="preserve">质量标准</w:t>
            </w:r>
            <w:r/>
          </w:p>
        </w:tc>
        <w:tc>
          <w:tcPr>
            <w:gridSpan w:val="8"/>
            <w:tcW w:w="8039" w:type="dxa"/>
            <w:vAlign w:val="center"/>
            <w:textDirection w:val="lrTb"/>
            <w:noWrap w:val="false"/>
          </w:tcPr>
          <w:p>
            <w:pP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tcW w:w="1311" w:type="dxa"/>
            <w:vAlign w:val="center"/>
            <w:textDirection w:val="lrTb"/>
            <w:noWrap w:val="false"/>
          </w:tcPr>
          <w:p>
            <w:pPr>
              <w:jc w:val="center"/>
              <w:spacing w:line="400" w:lineRule="exact"/>
              <w:rPr>
                <w:rFonts w:ascii="宋体" w:hAnsi="宋体"/>
                <w:bCs/>
                <w:color w:val="auto"/>
                <w:sz w:val="24"/>
                <w:highlight w:val="none"/>
              </w:rPr>
            </w:pPr>
            <w:r>
              <w:rPr>
                <w:rFonts w:hint="eastAsia" w:ascii="宋体" w:hAnsi="宋体"/>
                <w:bCs/>
                <w:color w:val="auto"/>
                <w:sz w:val="24"/>
                <w:highlight w:val="none"/>
                <w:lang w:val="zh-CN"/>
              </w:rPr>
              <w:t xml:space="preserve">质保期</w:t>
            </w:r>
            <w:r/>
          </w:p>
        </w:tc>
        <w:tc>
          <w:tcPr>
            <w:gridSpan w:val="8"/>
            <w:tcW w:w="8039" w:type="dxa"/>
            <w:vAlign w:val="center"/>
            <w:textDirection w:val="lrTb"/>
            <w:noWrap w:val="false"/>
          </w:tcPr>
          <w:p>
            <w:pPr>
              <w:spacing w:line="400" w:lineRule="exact"/>
              <w:rPr>
                <w:rFonts w:ascii="宋体" w:hAnsi="宋体"/>
                <w:color w:val="auto"/>
                <w:sz w:val="24"/>
                <w:szCs w:val="24"/>
                <w:highlight w:val="none"/>
              </w:rPr>
            </w:pPr>
            <w:r>
              <w:rPr>
                <w:rFonts w:ascii="宋体" w:hAnsi="宋体"/>
                <w:color w:val="auto"/>
                <w:sz w:val="24"/>
                <w:szCs w:val="24"/>
                <w:highlight w:val="none"/>
              </w:rPr>
            </w:r>
            <w:r/>
          </w:p>
        </w:tc>
      </w:tr>
      <w:tr>
        <w:trPr>
          <w:jc w:val="center"/>
          <w:trHeight w:val="567"/>
        </w:trPr>
        <w:tc>
          <w:tcPr>
            <w:gridSpan w:val="9"/>
            <w:tcW w:w="9350" w:type="dxa"/>
            <w:vAlign w:val="center"/>
            <w:textDirection w:val="lrTb"/>
            <w:noWrap w:val="false"/>
          </w:tcPr>
          <w:p>
            <w:pPr>
              <w:spacing w:line="288" w:lineRule="auto"/>
              <w:rPr>
                <w:rFonts w:hint="eastAsia" w:ascii="楷体" w:hAnsi="楷体" w:eastAsia="楷体"/>
                <w:bCs/>
                <w:color w:val="auto"/>
                <w:sz w:val="28"/>
                <w:szCs w:val="28"/>
                <w:highlight w:val="none"/>
              </w:rPr>
            </w:pPr>
            <w:r>
              <w:rPr>
                <w:rFonts w:hint="eastAsia" w:ascii="宋体" w:hAnsi="宋体" w:eastAsia="宋体"/>
                <w:color w:val="auto"/>
                <w:sz w:val="24"/>
                <w:szCs w:val="24"/>
                <w:highlight w:val="none"/>
                <w:lang w:eastAsia="zh-CN"/>
              </w:rPr>
              <w:tab/>
            </w:r>
            <w:r>
              <w:rPr>
                <w:rFonts w:hint="eastAsia" w:ascii="楷体" w:hAnsi="楷体" w:eastAsia="楷体"/>
                <w:bCs/>
                <w:color w:val="auto"/>
                <w:sz w:val="28"/>
                <w:szCs w:val="28"/>
                <w:highlight w:val="none"/>
              </w:rPr>
              <w:t xml:space="preserve">投标人承诺：</w:t>
            </w:r>
            <w:r/>
          </w:p>
          <w:p>
            <w:pPr>
              <w:spacing w:line="400" w:lineRule="exact"/>
              <w:tabs>
                <w:tab w:val="left" w:pos="1931" w:leader="none"/>
              </w:tabs>
              <w:rPr>
                <w:rFonts w:hint="eastAsia" w:ascii="宋体" w:hAnsi="宋体" w:eastAsia="宋体"/>
                <w:color w:val="auto"/>
                <w:sz w:val="24"/>
                <w:szCs w:val="24"/>
                <w:highlight w:val="none"/>
                <w:lang w:eastAsia="zh-CN"/>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line="400" w:lineRule="exact"/>
        <w:rPr>
          <w:rFonts w:ascii="宋体"/>
          <w:bCs/>
          <w:color w:val="auto"/>
          <w:highlight w:val="none"/>
        </w:rPr>
        <w:outlineLvl w:val="9"/>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eastAsia="宋体"/>
          <w:bCs/>
          <w:color w:val="auto"/>
          <w:highlight w:val="none"/>
          <w:lang w:eastAsia="zh-CN"/>
        </w:rPr>
        <w:t xml:space="preserve">（</w:t>
      </w:r>
      <w:r>
        <w:rPr>
          <w:rFonts w:hint="eastAsia" w:ascii="宋体"/>
          <w:bCs/>
          <w:color w:val="auto"/>
          <w:highlight w:val="none"/>
        </w:rPr>
        <w:t xml:space="preserve">含新疆生产建设兵团)出具的投标人属于监狱企业的证明文件</w:t>
      </w:r>
      <w:r>
        <w:rPr>
          <w:rFonts w:hint="eastAsia" w:ascii="宋体" w:eastAsia="宋体"/>
          <w:bCs/>
          <w:color w:val="auto"/>
          <w:highlight w:val="none"/>
          <w:lang w:val="en-US" w:eastAsia="zh-CN"/>
        </w:rPr>
        <w:t xml:space="preserve">扫描</w:t>
      </w:r>
      <w:r>
        <w:rPr>
          <w:rFonts w:hint="eastAsia" w:ascii="宋体"/>
          <w:bCs/>
          <w:color w:val="auto"/>
          <w:highlight w:val="none"/>
        </w:rPr>
        <w:t xml:space="preserve">件；或提供投标人《残疾人福利性单位声明函》。如未按要求填写和提供有效证明或相关内容表述不清的，不得享受价格扣除。投标人对所报相关数据的真实性负责</w:t>
      </w:r>
      <w:r>
        <w:rPr>
          <w:rFonts w:hint="eastAsia" w:ascii="宋体" w:eastAsia="宋体"/>
          <w:bCs/>
          <w:color w:val="auto"/>
          <w:highlight w:val="none"/>
          <w:lang w:eastAsia="zh-CN"/>
        </w:rPr>
        <w:t xml:space="preserve">，</w:t>
      </w:r>
      <w:r>
        <w:rPr>
          <w:rFonts w:hint="eastAsia" w:ascii="宋体"/>
          <w:bCs/>
          <w:color w:val="auto"/>
          <w:highlight w:val="none"/>
        </w:rPr>
        <w:t xml:space="preserve">无锡市建汇建设工程咨询事务所有限公司有权将相关内容进行公示；</w:t>
      </w:r>
      <w:r/>
    </w:p>
    <w:p>
      <w:pPr>
        <w:ind w:firstLine="315"/>
        <w:spacing w:line="400" w:lineRule="exact"/>
        <w:rPr>
          <w:rFonts w:ascii="宋体"/>
          <w:bCs/>
          <w:color w:val="auto"/>
          <w:highlight w:val="none"/>
        </w:rPr>
        <w:outlineLvl w:val="9"/>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9"/>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ind w:firstLine="315"/>
        <w:spacing w:line="400" w:lineRule="exact"/>
        <w:rPr>
          <w:rFonts w:hint="eastAsia" w:ascii="宋体" w:hAnsi="宋体"/>
          <w:bCs/>
          <w:color w:val="auto"/>
          <w:highlight w:val="none"/>
        </w:rPr>
        <w:outlineLvl w:val="9"/>
      </w:pPr>
      <w:r>
        <w:rPr>
          <w:rFonts w:hint="eastAsia" w:ascii="宋体" w:hAnsi="宋体"/>
          <w:bCs/>
          <w:color w:val="auto"/>
          <w:highlight w:val="none"/>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w:t>
      </w:r>
      <w:r>
        <w:rPr>
          <w:rFonts w:hint="eastAsia" w:ascii="宋体" w:hAnsi="宋体"/>
          <w:bCs/>
          <w:color w:val="auto"/>
          <w:highlight w:val="none"/>
          <w:lang w:val="en-US" w:eastAsia="zh-CN"/>
        </w:rPr>
        <w:t xml:space="preserve">二</w:t>
      </w:r>
      <w:r>
        <w:rPr>
          <w:rFonts w:hint="eastAsia" w:ascii="宋体" w:hAnsi="宋体"/>
          <w:bCs/>
          <w:color w:val="auto"/>
          <w:highlight w:val="none"/>
        </w:rPr>
        <w:t xml:space="preserve">部分“一、落实政府采购政策的价格调整”）</w:t>
      </w:r>
      <w:r/>
    </w:p>
    <w:p>
      <w:pPr>
        <w:ind w:firstLine="315"/>
        <w:spacing w:line="400" w:lineRule="exact"/>
        <w:rPr>
          <w:rFonts w:hint="eastAsia" w:ascii="宋体" w:hAnsi="宋体"/>
          <w:bCs/>
          <w:color w:val="auto"/>
          <w:highlight w:val="none"/>
          <w:u w:val="single"/>
        </w:rPr>
        <w:outlineLvl w:val="9"/>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ind w:firstLine="360"/>
        <w:spacing w:line="400" w:lineRule="exact"/>
        <w:rPr>
          <w:rFonts w:ascii="宋体" w:hAnsi="宋体"/>
          <w:color w:val="auto"/>
          <w:sz w:val="24"/>
          <w:szCs w:val="24"/>
          <w:highlight w:val="none"/>
        </w:rPr>
        <w:outlineLvl w:val="9"/>
      </w:pPr>
      <w:r>
        <w:rPr>
          <w:rFonts w:ascii="宋体" w:hAnsi="宋体"/>
          <w:color w:val="auto"/>
          <w:sz w:val="24"/>
          <w:szCs w:val="24"/>
          <w:highlight w:val="none"/>
        </w:rPr>
      </w:r>
      <w:r/>
    </w:p>
    <w:p>
      <w:pPr>
        <w:ind w:firstLine="360"/>
        <w:jc w:val="righ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投标人：（单位盖章）</w:t>
      </w:r>
      <w:r/>
    </w:p>
    <w:p>
      <w:pPr>
        <w:ind w:firstLine="360"/>
        <w:jc w:val="right"/>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法定代表人或代理人：（签字或盖章）  </w:t>
      </w:r>
      <w:r/>
    </w:p>
    <w:p>
      <w:pPr>
        <w:ind w:firstLine="36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spacing w:line="360" w:lineRule="auto"/>
        <w:rPr>
          <w:rFonts w:ascii="宋体" w:hAnsi="宋体" w:eastAsia="宋体" w:cs="宋体"/>
          <w:b/>
          <w:color w:val="auto"/>
          <w:sz w:val="28"/>
          <w:szCs w:val="28"/>
          <w:highlight w:val="none"/>
        </w:rPr>
        <w:outlineLvl w:val="2"/>
      </w:pPr>
      <w:r/>
      <w:bookmarkStart w:id="148" w:name="_Toc120614284"/>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、投标偏离表（给定格式）：</w:t>
      </w:r>
      <w:r/>
    </w:p>
    <w:p>
      <w:pPr>
        <w:jc w:val="center"/>
        <w:spacing w:line="360" w:lineRule="auto"/>
        <w:rPr>
          <w:rFonts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投标偏离表</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94"/>
        <w:tblW w:w="9337" w:type="dxa"/>
        <w:jc w:val="center"/>
        <w:tblLayout w:type="fixed"/>
        <w:tblCellMar>
          <w:left w:w="15" w:type="dxa"/>
          <w:top w:w="15" w:type="dxa"/>
          <w:right w:w="15" w:type="dxa"/>
          <w:bottom w:w="0" w:type="dxa"/>
        </w:tblCellMar>
        <w:tblLook w:val="04A0" w:firstRow="1" w:lastRow="0" w:firstColumn="1" w:lastColumn="0" w:noHBand="0" w:noVBand="1"/>
      </w:tblPr>
      <w:tblGrid>
        <w:gridCol w:w="1195"/>
        <w:gridCol w:w="1737"/>
        <w:gridCol w:w="2036"/>
        <w:gridCol w:w="1754"/>
        <w:gridCol w:w="2615"/>
      </w:tblGrid>
      <w:tr>
        <w:trPr>
          <w:cantSplit/>
          <w:jc w:val="center"/>
          <w:trHeight w:val="146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95" w:type="dxa"/>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投标货物名称</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招标技术要求</w:t>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投标货物技术指标描述</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选择项（正偏离、负偏离或符合）</w:t>
            </w:r>
            <w:r/>
          </w:p>
        </w:tc>
      </w:tr>
      <w:tr>
        <w:trPr>
          <w:cantSplit/>
          <w:jc w:val="center"/>
          <w:trHeight w:val="8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95" w:type="dxa"/>
            <w:vAlign w:val="center"/>
            <w:textDirection w:val="lrTb"/>
            <w:noWrap/>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（3）如有任何偏离项，请于本表中列明偏离内容，如需要可自行延长，其余无偏离内容</w:t>
      </w:r>
      <w:r>
        <w:rPr>
          <w:rFonts w:hint="eastAsia" w:ascii="宋体" w:hAnsi="宋体" w:eastAsia="宋体" w:cs="宋体"/>
          <w:bCs/>
          <w:color w:val="auto"/>
          <w:sz w:val="24"/>
          <w:szCs w:val="24"/>
          <w:highlight w:val="none"/>
          <w:lang w:eastAsia="zh-CN"/>
        </w:rPr>
        <w:t xml:space="preserve">无需</w:t>
      </w:r>
      <w:r>
        <w:rPr>
          <w:rFonts w:hint="eastAsia" w:ascii="宋体" w:hAnsi="宋体" w:eastAsia="宋体" w:cs="宋体"/>
          <w:bCs/>
          <w:color w:val="auto"/>
          <w:sz w:val="24"/>
          <w:szCs w:val="24"/>
          <w:highlight w:val="none"/>
        </w:rPr>
        <w:t xml:space="preserve">赘述。</w:t>
      </w:r>
      <w:bookmarkEnd w:id="148"/>
      <w:r/>
      <w:bookmarkStart w:id="149" w:name="_格式2__法定代表人授权书"/>
      <w:r/>
      <w:bookmarkEnd w:id="149"/>
      <w:r/>
      <w:bookmarkStart w:id="150" w:name="_Hlt26609389"/>
      <w:r/>
      <w:bookmarkEnd w:id="150"/>
      <w:r/>
      <w:bookmarkStart w:id="151" w:name="_Hlt26955066"/>
      <w:r/>
      <w:bookmarkEnd w:id="151"/>
      <w:r/>
      <w:bookmarkStart w:id="152" w:name="_Hlt26671374"/>
      <w:r/>
      <w:bookmarkEnd w:id="152"/>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、授权委托书（给定格式）：</w:t>
      </w:r>
      <w:r/>
    </w:p>
    <w:p>
      <w:pPr>
        <w:jc w:val="center"/>
        <w:rPr>
          <w:rFonts w:hint="eastAsia" w:ascii="宋体" w:hAnsi="宋体" w:cs="宋体"/>
          <w:bCs/>
          <w:color w:val="auto"/>
          <w:sz w:val="28"/>
          <w:szCs w:val="28"/>
          <w:highlight w:val="none"/>
        </w:rPr>
        <w:outlineLvl w:val="9"/>
      </w:pPr>
      <w:r>
        <w:rPr>
          <w:rFonts w:hint="eastAsia" w:ascii="宋体" w:hAnsi="宋体" w:cs="宋体"/>
          <w:bCs/>
          <w:color w:val="auto"/>
          <w:sz w:val="28"/>
          <w:szCs w:val="28"/>
          <w:highlight w:val="none"/>
        </w:rPr>
      </w:r>
      <w:r/>
    </w:p>
    <w:p>
      <w:pPr>
        <w:jc w:val="center"/>
        <w:rPr>
          <w:rFonts w:ascii="宋体" w:hAnsi="宋体" w:cs="宋体"/>
          <w:bCs/>
          <w:color w:val="auto"/>
          <w:sz w:val="24"/>
          <w:highlight w:val="none"/>
          <w:shd w:val="clear" w:color="ffffff" w:fill="d9d9d9"/>
        </w:rPr>
        <w:outlineLvl w:val="9"/>
      </w:pPr>
      <w:r>
        <w:rPr>
          <w:rFonts w:hint="eastAsia" w:ascii="宋体" w:hAnsi="宋体" w:cs="宋体"/>
          <w:bCs/>
          <w:color w:val="auto"/>
          <w:sz w:val="28"/>
          <w:szCs w:val="28"/>
          <w:highlight w:val="none"/>
        </w:rPr>
        <w:t xml:space="preserve">授权委托书</w:t>
      </w:r>
      <w:r/>
    </w:p>
    <w:p>
      <w:pPr>
        <w:pStyle w:val="1222"/>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222"/>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我公司（单位、联合体）针对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22"/>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被授权人的姓名：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；性别：</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；年龄：</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；职务：</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pStyle w:val="1222"/>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被授权人的身份证号码：</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；联系方式：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pStyle w:val="1222"/>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222"/>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222"/>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特此授权委托。</w:t>
      </w:r>
      <w:r/>
    </w:p>
    <w:p>
      <w:pPr>
        <w:pStyle w:val="1222"/>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授权日期：</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               投标人名称（盖章）：</w:t>
      </w:r>
      <w:r/>
    </w:p>
    <w:p>
      <w:pPr>
        <w:pStyle w:val="122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法定代表人签字或盖章：</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被授权人签字或盖章：</w:t>
      </w:r>
      <w:r>
        <w:rPr>
          <w:rFonts w:hint="eastAsia" w:ascii="宋体" w:hAnsi="宋体" w:cs="宋体"/>
          <w:bCs/>
          <w:color w:val="auto"/>
          <w:sz w:val="24"/>
          <w:szCs w:val="24"/>
          <w:highlight w:val="none"/>
          <w:u w:val="single"/>
        </w:rPr>
        <w:t xml:space="preserve">        </w:t>
      </w:r>
      <w:r/>
    </w:p>
    <w:p>
      <w:pPr>
        <w:pStyle w:val="122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（被授权人身份证原件扫描件附后）</w:t>
      </w:r>
      <w:r/>
    </w:p>
    <w:p>
      <w:pPr>
        <w:pStyle w:val="122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说明：</w:t>
      </w:r>
      <w:r/>
    </w:p>
    <w:p>
      <w:pPr>
        <w:pStyle w:val="1222"/>
        <w:numPr>
          <w:ilvl w:val="0"/>
          <w:numId w:val="18"/>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若投标人为事业单位或其他组织或分支机构，则法定代表人处的签字人可为单位负责人。</w:t>
      </w:r>
      <w:r/>
    </w:p>
    <w:p>
      <w:pPr>
        <w:pStyle w:val="1222"/>
        <w:numPr>
          <w:ilvl w:val="0"/>
          <w:numId w:val="18"/>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当被授权人为法定代表人（或上述情况的单位负责人）时，只需在法定代表人处签字或盖章即可。</w:t>
      </w:r>
      <w:r/>
    </w:p>
    <w:p>
      <w:pPr>
        <w:pStyle w:val="1222"/>
        <w:numPr>
          <w:ilvl w:val="0"/>
          <w:numId w:val="18"/>
        </w:num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供应商为自然人情形的，可不提供本《授权委托书》。</w:t>
      </w:r>
      <w:r/>
    </w:p>
    <w:p>
      <w:pPr>
        <w:jc w:val="left"/>
        <w:spacing w:line="360" w:lineRule="auto"/>
        <w:rPr>
          <w:rFonts w:ascii="黑体" w:eastAsia="黑体"/>
          <w:bCs/>
          <w:color w:val="auto"/>
          <w:sz w:val="28"/>
          <w:szCs w:val="28"/>
          <w:highlight w:val="none"/>
        </w:rPr>
        <w:outlineLvl w:val="9"/>
      </w:pPr>
      <w:r>
        <w:rPr>
          <w:rFonts w:hint="eastAsia" w:ascii="宋体" w:hAnsi="宋体" w:cs="宋体"/>
          <w:bCs/>
          <w:color w:val="auto"/>
          <w:sz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jc w:val="center"/>
        <w:rPr>
          <w:rFonts w:hint="eastAsia" w:ascii="宋体" w:hAnsi="宋体" w:cs="宋体"/>
          <w:bCs/>
          <w:color w:val="auto"/>
          <w:sz w:val="28"/>
          <w:szCs w:val="28"/>
          <w:highlight w:val="none"/>
        </w:rPr>
        <w:outlineLvl w:val="9"/>
      </w:pPr>
      <w:r>
        <w:rPr>
          <w:rFonts w:hint="eastAsia" w:ascii="宋体" w:hAnsi="宋体" w:cs="宋体"/>
          <w:bCs/>
          <w:color w:val="auto"/>
          <w:sz w:val="28"/>
          <w:szCs w:val="28"/>
          <w:highlight w:val="none"/>
        </w:rPr>
        <w:t xml:space="preserve">法定代表人亲自投标声明（如需）</w:t>
      </w:r>
      <w:r/>
    </w:p>
    <w:p>
      <w:pPr>
        <w:rPr>
          <w:color w:val="auto"/>
          <w:highlight w:val="none"/>
        </w:rPr>
      </w:pPr>
      <w:r>
        <w:rPr>
          <w:color w:val="auto"/>
          <w:highlight w:val="none"/>
        </w:rPr>
      </w:r>
      <w:r/>
    </w:p>
    <w:p>
      <w:pPr>
        <w:ind w:left="1470" w:right="1470"/>
        <w:spacing w:after="120"/>
        <w:rPr>
          <w:color w:val="auto"/>
          <w:highlight w:val="none"/>
        </w:rPr>
      </w:pPr>
      <w:r>
        <w:rPr>
          <w:color w:val="auto"/>
          <w:highlight w:val="none"/>
        </w:rPr>
      </w:r>
      <w:r/>
    </w:p>
    <w:p>
      <w:pPr>
        <w:spacing w:line="480" w:lineRule="auto"/>
        <w:rPr>
          <w:rFonts w:ascii="宋体" w:hAnsi="宋体"/>
          <w:bCs/>
          <w:color w:val="auto"/>
          <w:sz w:val="24"/>
          <w:szCs w:val="20"/>
          <w:highlight w:val="none"/>
        </w:rPr>
      </w:pPr>
      <w:r>
        <w:rPr>
          <w:rFonts w:hint="eastAsia" w:ascii="宋体" w:hAnsi="宋体"/>
          <w:bCs/>
          <w:color w:val="auto"/>
          <w:sz w:val="24"/>
          <w:szCs w:val="20"/>
          <w:highlight w:val="none"/>
        </w:rPr>
        <w:t xml:space="preserve">无锡市建汇建设工程咨询事务所有限公司：</w:t>
      </w:r>
      <w:r/>
    </w:p>
    <w:p>
      <w:pPr>
        <w:ind w:firstLine="480"/>
        <w:spacing w:after="0" w:line="48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系中华人民共和国合法企业。法定地址：</w:t>
      </w:r>
      <w:r>
        <w:rPr>
          <w:rFonts w:hint="eastAsia" w:ascii="宋体" w:hAnsi="宋体"/>
          <w:bCs/>
          <w:color w:val="auto"/>
          <w:sz w:val="24"/>
          <w:szCs w:val="24"/>
          <w:highlight w:val="none"/>
          <w:u w:val="single"/>
        </w:rPr>
        <w:t xml:space="preserve">　　　　　</w:t>
      </w:r>
      <w:r/>
    </w:p>
    <w:p>
      <w:pPr>
        <w:spacing w:after="0" w:line="480" w:lineRule="auto"/>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。本项目（</w:t>
      </w:r>
      <w:r>
        <w:rPr>
          <w:rFonts w:hint="eastAsia" w:ascii="宋体" w:hAnsi="宋体" w:eastAsia="宋体"/>
          <w:b/>
          <w:color w:val="auto"/>
          <w:sz w:val="24"/>
          <w:szCs w:val="24"/>
          <w:highlight w:val="none"/>
          <w:lang w:val="en-US" w:eastAsia="zh-CN"/>
        </w:rPr>
        <w:t xml:space="preserve">      </w:t>
      </w:r>
      <w:r>
        <w:rPr>
          <w:rFonts w:hint="eastAsia" w:ascii="宋体" w:hAnsi="宋体"/>
          <w:bCs/>
          <w:color w:val="auto"/>
          <w:sz w:val="24"/>
          <w:szCs w:val="24"/>
          <w:highlight w:val="none"/>
        </w:rPr>
        <w:t xml:space="preserve">）由我单位法定代表人亲自参加投标、评标、签约等具体工作，并签署全部有关的文件、协议及合同。</w:t>
      </w:r>
      <w:r/>
    </w:p>
    <w:p>
      <w:pPr>
        <w:ind w:left="1470" w:right="1470"/>
        <w:spacing w:after="120"/>
        <w:rPr>
          <w:color w:val="auto"/>
          <w:highlight w:val="none"/>
        </w:rPr>
      </w:pPr>
      <w:r>
        <w:rPr>
          <w:color w:val="auto"/>
          <w:highlight w:val="none"/>
        </w:rPr>
      </w:r>
      <w:r/>
    </w:p>
    <w:p>
      <w:pPr>
        <w:ind w:firstLine="480"/>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法定代表人情况：</w:t>
      </w:r>
      <w:r/>
    </w:p>
    <w:p>
      <w:pPr>
        <w:ind w:firstLine="480"/>
        <w:spacing w:line="400" w:lineRule="exact"/>
        <w:rPr>
          <w:rFonts w:hint="eastAsia"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姓名：                        性别：       </w:t>
      </w:r>
      <w:r/>
    </w:p>
    <w:p>
      <w:pPr>
        <w:ind w:firstLine="480"/>
        <w:spacing w:line="400" w:lineRule="exact"/>
        <w:rPr>
          <w:rFonts w:hint="eastAsia"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身份证件号码：                电话：</w:t>
      </w:r>
      <w:r/>
    </w:p>
    <w:p>
      <w:pPr>
        <w:ind w:firstLine="480"/>
        <w:spacing w:line="400" w:lineRule="exact"/>
        <w:rPr>
          <w:rFonts w:hint="eastAsia"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通讯地址：</w:t>
      </w:r>
      <w:r/>
    </w:p>
    <w:p>
      <w:pPr>
        <w:ind w:left="1470" w:right="1470"/>
        <w:spacing w:after="120"/>
        <w:rPr>
          <w:color w:val="auto"/>
          <w:highlight w:val="none"/>
        </w:rPr>
      </w:pPr>
      <w:r>
        <w:rPr>
          <w:color w:val="auto"/>
          <w:highlight w:val="none"/>
        </w:rPr>
      </w:r>
      <w:r/>
    </w:p>
    <w:p>
      <w:pPr>
        <w:ind w:left="1470" w:right="1470"/>
        <w:spacing w:after="120"/>
        <w:rPr>
          <w:color w:val="auto"/>
          <w:highlight w:val="none"/>
        </w:rPr>
      </w:pPr>
      <w:r>
        <w:rPr>
          <w:color w:val="auto"/>
          <w:highlight w:val="none"/>
        </w:rPr>
      </w:r>
      <w:r/>
    </w:p>
    <w:p>
      <w:pPr>
        <w:ind w:right="480" w:firstLine="3480"/>
        <w:spacing w:line="400" w:lineRule="exact"/>
        <w:rPr>
          <w:rFonts w:ascii="宋体" w:hAnsi="宋体"/>
          <w:bCs/>
          <w:color w:val="auto"/>
          <w:sz w:val="24"/>
          <w:highlight w:val="none"/>
        </w:rPr>
      </w:pPr>
      <w:r>
        <w:rPr>
          <w:rFonts w:hint="eastAsia" w:ascii="宋体" w:hAnsi="宋体"/>
          <w:bCs/>
          <w:color w:val="auto"/>
          <w:sz w:val="24"/>
          <w:highlight w:val="none"/>
        </w:rPr>
        <w:t xml:space="preserve">单位名称（盖章）：</w:t>
      </w:r>
      <w:r/>
    </w:p>
    <w:p>
      <w:pPr>
        <w:ind w:right="480" w:firstLine="2520"/>
        <w:spacing w:line="400" w:lineRule="exact"/>
        <w:rPr>
          <w:rFonts w:ascii="宋体" w:hAnsi="宋体"/>
          <w:bCs/>
          <w:color w:val="auto"/>
          <w:sz w:val="24"/>
          <w:highlight w:val="none"/>
        </w:rPr>
      </w:pPr>
      <w:r>
        <w:rPr>
          <w:rFonts w:hint="eastAsia" w:ascii="宋体" w:hAnsi="宋体"/>
          <w:bCs/>
          <w:color w:val="auto"/>
          <w:sz w:val="24"/>
          <w:highlight w:val="none"/>
        </w:rPr>
        <w:t xml:space="preserve">法定代表人（签名或盖章）：</w:t>
      </w:r>
      <w:r/>
    </w:p>
    <w:p>
      <w:pPr>
        <w:pStyle w:val="1222"/>
        <w:ind w:firstLine="2383"/>
        <w:jc w:val="left"/>
        <w:keepLines w:val="0"/>
        <w:keepNext w:val="0"/>
        <w:pageBreakBefore w:val="0"/>
        <w:spacing w:line="400" w:lineRule="exact"/>
        <w:widowControl w:val="off"/>
        <w:rPr>
          <w:rFonts w:hint="eastAsia" w:ascii="宋体" w:hAnsi="宋体" w:eastAsia="Arial" w:cs="Times New Roman"/>
          <w:bCs/>
          <w:color w:val="auto"/>
          <w:sz w:val="24"/>
          <w:szCs w:val="22"/>
          <w:highlight w:val="none"/>
        </w:rPr>
      </w:pPr>
      <w:r>
        <w:rPr>
          <w:rFonts w:hint="eastAsia" w:ascii="宋体" w:hAnsi="宋体" w:eastAsia="Arial" w:cs="Times New Roman"/>
          <w:bCs/>
          <w:color w:val="auto"/>
          <w:sz w:val="24"/>
          <w:szCs w:val="22"/>
          <w:highlight w:val="none"/>
          <w:lang w:val="en-US" w:eastAsia="zh-CN" w:bidi="ar-SA"/>
        </w:rPr>
        <w:t xml:space="preserve">（法定代表人身份证原件扫描件附后）</w:t>
      </w:r>
      <w:r/>
    </w:p>
    <w:p>
      <w:pPr>
        <w:pStyle w:val="1222"/>
        <w:ind w:firstLine="0"/>
        <w:rPr>
          <w:rFonts w:ascii="宋体" w:hAnsi="宋体" w:cs="宋体"/>
          <w:b/>
          <w:color w:val="auto"/>
          <w:szCs w:val="28"/>
          <w:highlight w:val="none"/>
        </w:rPr>
        <w:outlineLvl w:val="2"/>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lang w:val="en-US" w:eastAsia="zh-CN"/>
        </w:rPr>
        <w:t xml:space="preserve">七</w:t>
      </w:r>
      <w:r>
        <w:rPr>
          <w:rFonts w:hint="eastAsia" w:ascii="宋体" w:hAnsi="宋体" w:cs="宋体"/>
          <w:b/>
          <w:color w:val="auto"/>
          <w:szCs w:val="28"/>
          <w:highlight w:val="none"/>
        </w:rPr>
        <w:t xml:space="preserve">、资格声明函（给定格式）：</w:t>
      </w:r>
      <w:r/>
    </w:p>
    <w:p>
      <w:pPr>
        <w:jc w:val="center"/>
        <w:rPr>
          <w:rFonts w:hint="eastAsia" w:ascii="宋体" w:hAnsi="宋体" w:eastAsia="宋体" w:cs="宋体"/>
          <w:bCs/>
          <w:color w:val="auto"/>
          <w:sz w:val="28"/>
          <w:szCs w:val="28"/>
          <w:highlight w:val="none"/>
        </w:rPr>
        <w:outlineLvl w:val="9"/>
      </w:pPr>
      <w:r/>
      <w:bookmarkStart w:id="153" w:name="报价方关于资格的声明函（格式）"/>
      <w:r/>
      <w:bookmarkEnd w:id="153"/>
      <w:r/>
      <w:r/>
    </w:p>
    <w:p>
      <w:pPr>
        <w:jc w:val="center"/>
        <w:rPr>
          <w:rFonts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t xml:space="preserve">资格声明函</w:t>
      </w:r>
      <w:r/>
    </w:p>
    <w:p>
      <w:pPr>
        <w:jc w:val="cente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无锡市建汇建设工程咨询事务所有限公司：</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我公司（单位、联合体）针对本次项目进行投标，并作如下声明</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ascii="宋体" w:hAnsi="宋体" w:eastAsia="宋体" w:cs="宋体"/>
          <w:bCs/>
          <w:color w:val="auto"/>
          <w:highlight w:val="none"/>
        </w:rPr>
      </w:pPr>
      <w:r>
        <w:rPr>
          <w:rFonts w:hint="eastAsia" w:ascii="宋体" w:hAnsi="宋体" w:eastAsia="宋体" w:cs="宋体"/>
          <w:color w:val="auto"/>
          <w:sz w:val="24"/>
          <w:highlight w:val="none"/>
        </w:rPr>
        <w:t xml:space="preserve">日期： </w:t>
      </w:r>
      <w:r/>
    </w:p>
    <w:p>
      <w:pPr>
        <w:spacing w:line="360" w:lineRule="auto"/>
        <w:rPr>
          <w:rFonts w:ascii="宋体" w:hAnsi="宋体" w:eastAsia="宋体" w:cs="宋体"/>
          <w:bCs/>
          <w:color w:val="auto"/>
          <w:highlight w:val="none"/>
        </w:rPr>
        <w:outlineLvl w:val="9"/>
      </w:pPr>
      <w:r>
        <w:rPr>
          <w:rFonts w:ascii="宋体" w:hAnsi="宋体" w:eastAsia="宋体" w:cs="宋体"/>
          <w:bCs/>
          <w:color w:val="auto"/>
          <w:highlight w:val="none"/>
        </w:rPr>
      </w:r>
      <w:r/>
    </w:p>
    <w:p>
      <w:pPr>
        <w:spacing w:line="360" w:lineRule="auto"/>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rPr>
          <w:rFonts w:ascii="宋体" w:hAnsi="宋体" w:eastAsia="宋体" w:cs="宋体"/>
          <w:b/>
          <w:color w:val="auto"/>
          <w:sz w:val="28"/>
          <w:szCs w:val="28"/>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中小企业声明函（给定格式）：</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中小企业声明函（货物）</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财库〔2020〕46号</w:t>
      </w:r>
      <w:r>
        <w:rPr>
          <w:rFonts w:hint="eastAsia" w:ascii="宋体" w:hAnsi="宋体" w:eastAsia="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的规定，本公司（联合体）参加无锡市建汇建设工程咨询事务所有限公司组织的</w:t>
      </w:r>
      <w:r>
        <w:rPr>
          <w:rFonts w:hint="eastAsia" w:ascii="宋体" w:hAnsi="宋体"/>
          <w:color w:val="auto"/>
          <w:sz w:val="24"/>
          <w:szCs w:val="24"/>
          <w:highlight w:val="none"/>
          <w:u w:val="single"/>
        </w:rPr>
        <w:t xml:space="preserve">（单位名称）</w:t>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      </w:t>
      </w:r>
      <w:r>
        <w:rPr>
          <w:rFonts w:hint="eastAsia" w:ascii="宋体" w:hAnsi="宋体"/>
          <w:color w:val="auto"/>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ind w:firstLine="360"/>
        <w:keepLines w:val="0"/>
        <w:keepNext w:val="0"/>
        <w:pageBreakBefore w:val="0"/>
        <w:spacing w:line="360" w:lineRule="auto"/>
        <w:widowControl w:val="off"/>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（供应商填写招标文件中明确的所属行业）工业 </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keepLines w:val="0"/>
        <w:keepNext w:val="0"/>
        <w:pageBreakBefore w:val="0"/>
        <w:spacing w:line="360" w:lineRule="auto"/>
        <w:widowControl w:val="off"/>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（供应商填写招标文件中明确的所属行业）工业 </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hint="eastAsia" w:ascii="宋体" w:hAnsi="宋体" w:eastAsia="宋体"/>
          <w:color w:val="auto"/>
          <w:sz w:val="24"/>
          <w:szCs w:val="24"/>
          <w:highlight w:val="none"/>
          <w:lang w:eastAsia="zh-CN"/>
        </w:rPr>
        <w:t xml:space="preserve">。</w:t>
      </w:r>
      <w:r/>
    </w:p>
    <w:p>
      <w:pPr>
        <w:ind w:right="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480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20"/>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t xml:space="preserve">注：1.从业人员、营业收入、资产总额填报上一年度数据，无上一年度数据的新成立企业可不填报。</w:t>
      </w:r>
      <w:r/>
    </w:p>
    <w:p>
      <w:pPr>
        <w:ind w:firstLine="420"/>
        <w:spacing w:line="360" w:lineRule="auto"/>
        <w:rPr>
          <w:rFonts w:hint="eastAsia"/>
          <w:color w:val="auto"/>
          <w:highlight w:val="none"/>
        </w:rPr>
      </w:pPr>
      <w:r>
        <w:rPr>
          <w:rFonts w:hint="eastAsia"/>
          <w:color w:val="auto"/>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360" w:lineRule="auto"/>
        <w:rPr>
          <w:rFonts w:hint="eastAsia"/>
          <w:color w:val="auto"/>
          <w:highlight w:val="none"/>
        </w:rPr>
      </w:pPr>
      <w:r>
        <w:rPr>
          <w:rFonts w:hint="eastAsia"/>
          <w:color w:val="auto"/>
          <w:highlight w:val="none"/>
        </w:rPr>
        <w:t xml:space="preserve">3.供应商应对照《工业和信息化部、国家统计局、国家发展和改革委员会、财政部关于印发中小企业划型标准规定的通知》</w:t>
      </w:r>
      <w:r>
        <w:rPr>
          <w:rFonts w:hint="eastAsia" w:eastAsia="宋体"/>
          <w:color w:val="auto"/>
          <w:highlight w:val="none"/>
          <w:lang w:eastAsia="zh-CN"/>
        </w:rPr>
        <w:t xml:space="preserve">（</w:t>
      </w:r>
      <w:r>
        <w:rPr>
          <w:rFonts w:hint="eastAsia"/>
          <w:color w:val="auto"/>
          <w:highlight w:val="none"/>
        </w:rPr>
        <w:t xml:space="preserve">工信部联企业〔2011〕300号</w:t>
      </w:r>
      <w:r>
        <w:rPr>
          <w:rFonts w:hint="eastAsia" w:eastAsia="宋体"/>
          <w:color w:val="auto"/>
          <w:highlight w:val="none"/>
          <w:lang w:eastAsia="zh-CN"/>
        </w:rPr>
        <w:t xml:space="preserve">）</w:t>
      </w:r>
      <w:r>
        <w:rPr>
          <w:rFonts w:hint="eastAsia"/>
          <w:color w:val="auto"/>
          <w:highlight w:val="none"/>
        </w:rPr>
        <w:t xml:space="preserve">《国家统计局关于印发〈统计上大中小微型企业划分办法（2017）〉的通知》（国统字〔2017〕213号）的规定，自行勾选制造商的企业规模类型。</w:t>
      </w:r>
      <w:r/>
    </w:p>
    <w:p>
      <w:pPr>
        <w:ind w:firstLine="420"/>
        <w:spacing w:line="360" w:lineRule="auto"/>
        <w:rPr>
          <w:color w:val="auto"/>
          <w:highlight w:val="none"/>
        </w:rPr>
      </w:pPr>
      <w:r>
        <w:rPr>
          <w:rFonts w:hint="eastAsia"/>
          <w:color w:val="auto"/>
          <w:highlight w:val="none"/>
        </w:rPr>
        <w:t xml:space="preserve">在政府采购活动中，供应商提供的货物符合下列情形的，享受本办法规定的中小企业扶持政策：货物由中小企业制造，即货物由中小企业生产且使用该中小企业商号或者注册商标。（即本项目采购标的物</w:t>
      </w:r>
      <w:r>
        <w:rPr>
          <w:rFonts w:hint="eastAsia" w:eastAsia="宋体"/>
          <w:color w:val="auto"/>
          <w:highlight w:val="none"/>
          <w:lang w:eastAsia="zh-CN"/>
        </w:rPr>
        <w:t xml:space="preserve">的</w:t>
      </w:r>
      <w:r>
        <w:rPr>
          <w:rFonts w:hint="eastAsia"/>
          <w:color w:val="auto"/>
          <w:highlight w:val="none"/>
        </w:rPr>
        <w:t xml:space="preserve">每一采购标的均应由中小企业制造。）</w:t>
      </w:r>
      <w:r>
        <w:rPr>
          <w:color w:val="auto"/>
          <w:highlight w:val="none"/>
        </w:rPr>
        <w:br w:type="page" w:clear="all"/>
      </w:r>
      <w:r/>
    </w:p>
    <w:p>
      <w:pPr>
        <w:spacing w:line="360" w:lineRule="auto"/>
        <w:rPr>
          <w:rFonts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、残疾人福利性单位声明函（给定格式）：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left="0" w:firstLine="0"/>
        <w:spacing w:line="400" w:lineRule="exact"/>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十、项目人员配置表（给定格式）：</w:t>
      </w:r>
      <w:r/>
    </w:p>
    <w:p>
      <w:pPr>
        <w:jc w:val="center"/>
        <w:spacing w:line="360" w:lineRule="auto"/>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jc w:val="center"/>
        <w:spacing w:line="360" w:lineRule="auto"/>
        <w:rPr>
          <w:rFonts w:ascii="宋体" w:hAnsi="宋体" w:eastAsia="宋体" w:cs="宋体"/>
          <w:bCs/>
          <w:color w:val="auto"/>
          <w:sz w:val="24"/>
          <w:szCs w:val="24"/>
          <w:highlight w:val="none"/>
        </w:rPr>
        <w:outlineLvl w:val="9"/>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94"/>
        <w:tblW w:w="10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2773"/>
      </w:tblGrid>
      <w:tr>
        <w:trPr>
          <w:trHeight w:val="865"/>
        </w:trPr>
        <w:tc>
          <w:tcPr>
            <w:tcW w:w="596"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7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br w:type="page" w:clear="all"/>
      </w:r>
      <w:r/>
    </w:p>
    <w:p>
      <w:pPr>
        <w:ind w:left="0" w:firstLine="0"/>
        <w:spacing w:line="400" w:lineRule="exact"/>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、关于符合本国产品标准的声明函（给定格式）：</w:t>
      </w:r>
      <w:r/>
    </w:p>
    <w:p>
      <w:pPr>
        <w:jc w:val="center"/>
        <w:spacing w:line="360" w:lineRule="auto"/>
        <w:rPr>
          <w:rFonts w:hint="eastAsia"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r>
      <w:r/>
    </w:p>
    <w:p>
      <w:pPr>
        <w:jc w:val="center"/>
        <w:spacing w:line="360" w:lineRule="auto"/>
        <w:rPr>
          <w:rFonts w:ascii="黑体" w:hAnsi="Times New Roman" w:eastAsia="黑体" w:cs="黑体"/>
          <w:color w:val="auto"/>
          <w:sz w:val="28"/>
          <w:szCs w:val="28"/>
          <w:highlight w:val="none"/>
        </w:rPr>
      </w:pPr>
      <w:r>
        <w:rPr>
          <w:rFonts w:hint="eastAsia" w:ascii="黑体" w:hAnsi="Times New Roman" w:eastAsia="黑体" w:cs="黑体"/>
          <w:color w:val="auto"/>
          <w:sz w:val="28"/>
          <w:szCs w:val="28"/>
          <w:highlight w:val="none"/>
        </w:rPr>
        <w:t xml:space="preserve">关于符合本国产品标准的声明函</w:t>
      </w:r>
      <w:r/>
    </w:p>
    <w:p>
      <w:pPr>
        <w:ind w:firstLine="5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（产品名称1）</w:t>
      </w:r>
      <w:r>
        <w:rPr>
          <w:rFonts w:hint="eastAsia" w:ascii="宋体" w:hAnsi="宋体"/>
          <w:b/>
          <w:color w:val="auto"/>
          <w:sz w:val="24"/>
          <w:szCs w:val="24"/>
          <w:highlight w:val="none"/>
          <w:u w:val="single"/>
          <w:vertAlign w:val="superscript"/>
        </w:rPr>
        <w:t xml:space="preserve">1</w:t>
      </w:r>
      <w:r>
        <w:rPr>
          <w:rFonts w:hint="eastAsia" w:ascii="宋体" w:hAnsi="宋体"/>
          <w:bCs/>
          <w:color w:val="auto"/>
          <w:sz w:val="24"/>
          <w:szCs w:val="24"/>
          <w:highlight w:val="none"/>
        </w:rPr>
        <w:t xml:space="preserve">，生产厂为</w:t>
      </w:r>
      <w:r>
        <w:rPr>
          <w:rFonts w:hint="eastAsia" w:ascii="宋体" w:hAnsi="宋体"/>
          <w:bCs/>
          <w:color w:val="auto"/>
          <w:sz w:val="24"/>
          <w:szCs w:val="24"/>
          <w:highlight w:val="none"/>
          <w:u w:val="single"/>
        </w:rPr>
        <w:t xml:space="preserve">（厂名）</w:t>
      </w:r>
      <w:r>
        <w:rPr>
          <w:rFonts w:hint="eastAsia" w:ascii="宋体" w:hAnsi="宋体"/>
          <w:b/>
          <w:color w:val="auto"/>
          <w:sz w:val="24"/>
          <w:szCs w:val="24"/>
          <w:highlight w:val="none"/>
          <w:u w:val="single"/>
          <w:vertAlign w:val="superscript"/>
        </w:rPr>
        <w:t xml:space="preserve">2</w:t>
      </w:r>
      <w:r>
        <w:rPr>
          <w:rFonts w:hint="eastAsia" w:ascii="宋体" w:hAnsi="宋体"/>
          <w:bCs/>
          <w:color w:val="auto"/>
          <w:sz w:val="24"/>
          <w:szCs w:val="24"/>
          <w:highlight w:val="none"/>
        </w:rPr>
        <w:t xml:space="preserve">，厂址为</w:t>
      </w:r>
      <w:r>
        <w:rPr>
          <w:rFonts w:hint="eastAsia" w:ascii="宋体" w:hAnsi="宋体"/>
          <w:bCs/>
          <w:color w:val="auto"/>
          <w:sz w:val="24"/>
          <w:szCs w:val="24"/>
          <w:highlight w:val="none"/>
          <w:u w:val="single"/>
        </w:rPr>
        <w:t xml:space="preserve">（生产厂址）</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color w:val="auto"/>
          <w:sz w:val="24"/>
          <w:szCs w:val="24"/>
          <w:highlight w:val="none"/>
          <w:u w:val="single"/>
        </w:rPr>
        <w:t xml:space="preserve">（规定比例）</w:t>
      </w:r>
      <w:r>
        <w:rPr>
          <w:rFonts w:hint="eastAsia" w:ascii="宋体" w:hAnsi="宋体"/>
          <w:b/>
          <w:color w:val="auto"/>
          <w:sz w:val="24"/>
          <w:szCs w:val="24"/>
          <w:highlight w:val="none"/>
          <w:u w:val="single"/>
          <w:vertAlign w:val="superscript"/>
        </w:rPr>
        <w:t xml:space="preserve">3</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（关键组件）</w:t>
      </w:r>
      <w:r>
        <w:rPr>
          <w:rFonts w:hint="eastAsia" w:ascii="宋体" w:hAnsi="宋体"/>
          <w:b/>
          <w:color w:val="auto"/>
          <w:sz w:val="24"/>
          <w:szCs w:val="24"/>
          <w:highlight w:val="none"/>
          <w:u w:val="singl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（关键工序）</w:t>
      </w:r>
      <w:r>
        <w:rPr>
          <w:rFonts w:hint="eastAsia" w:ascii="宋体" w:hAnsi="宋体"/>
          <w:b/>
          <w:color w:val="auto"/>
          <w:sz w:val="24"/>
          <w:szCs w:val="24"/>
          <w:highlight w:val="none"/>
          <w:u w:val="single"/>
          <w:vertAlign w:val="superscript"/>
        </w:rPr>
        <w:t xml:space="preserve">5</w:t>
      </w:r>
      <w:r>
        <w:rPr>
          <w:rFonts w:hint="eastAsia" w:ascii="宋体" w:hAnsi="宋体"/>
          <w:bCs/>
          <w:color w:val="auto"/>
          <w:sz w:val="24"/>
          <w:szCs w:val="24"/>
          <w:highlight w:val="none"/>
        </w:rPr>
        <w:t xml:space="preserve">在中国境内完成。</w:t>
      </w:r>
      <w:r/>
    </w:p>
    <w:p>
      <w:pPr>
        <w:ind w:firstLine="5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，生产厂为</w:t>
      </w:r>
      <w:r>
        <w:rPr>
          <w:rFonts w:hint="eastAsia" w:ascii="宋体" w:hAnsi="宋体"/>
          <w:bCs/>
          <w:color w:val="auto"/>
          <w:sz w:val="24"/>
          <w:szCs w:val="24"/>
          <w:highlight w:val="none"/>
          <w:u w:val="single"/>
        </w:rPr>
        <w:t xml:space="preserve">（厂名）</w:t>
      </w:r>
      <w:r>
        <w:rPr>
          <w:rFonts w:hint="eastAsia" w:ascii="宋体" w:hAnsi="宋体"/>
          <w:bCs/>
          <w:color w:val="auto"/>
          <w:sz w:val="24"/>
          <w:szCs w:val="24"/>
          <w:highlight w:val="none"/>
        </w:rPr>
        <w:t xml:space="preserve">，厂址为</w:t>
      </w:r>
      <w:r>
        <w:rPr>
          <w:rFonts w:hint="eastAsia" w:ascii="宋体" w:hAnsi="宋体"/>
          <w:bCs/>
          <w:color w:val="auto"/>
          <w:sz w:val="24"/>
          <w:szCs w:val="24"/>
          <w:highlight w:val="none"/>
          <w:u w:val="single"/>
        </w:rPr>
        <w:t xml:space="preserve">（生产厂址）</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color w:val="auto"/>
          <w:sz w:val="24"/>
          <w:szCs w:val="24"/>
          <w:highlight w:val="none"/>
          <w:u w:val="singl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（关键组件）</w:t>
      </w:r>
      <w:r>
        <w:rPr>
          <w:rFonts w:hint="eastAsia" w:ascii="宋体" w:hAnsi="宋体"/>
          <w:bCs/>
          <w:color w:val="auto"/>
          <w:sz w:val="24"/>
          <w:szCs w:val="24"/>
          <w:highlight w:val="none"/>
        </w:rPr>
        <w:t xml:space="preserve">在中国境内生产。</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（关键工序）</w:t>
      </w:r>
      <w:r>
        <w:rPr>
          <w:rFonts w:hint="eastAsia" w:ascii="宋体" w:hAnsi="宋体"/>
          <w:bCs/>
          <w:color w:val="auto"/>
          <w:sz w:val="24"/>
          <w:szCs w:val="24"/>
          <w:highlight w:val="none"/>
        </w:rPr>
        <w:t xml:space="preserve">在中国境内完成。</w:t>
      </w:r>
      <w:r/>
    </w:p>
    <w:p>
      <w:pPr>
        <w:ind w:firstLine="5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5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0"/>
        <w:jc w:val="right"/>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0"/>
        <w:jc w:val="right"/>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0"/>
        <w:jc w:val="right"/>
        <w:spacing w:after="0"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日期：</w:t>
      </w:r>
      <w:r>
        <w:rPr>
          <w:rFonts w:hint="eastAsia" w:ascii="宋体" w:hAnsi="宋体"/>
          <w:bCs/>
          <w:color w:val="auto"/>
          <w:sz w:val="24"/>
          <w:szCs w:val="24"/>
          <w:highlight w:val="none"/>
          <w:lang w:val="en-US" w:eastAsia="zh-CN"/>
        </w:rPr>
        <w:t xml:space="preserve"> </w:t>
      </w:r>
      <w:r/>
    </w:p>
    <w:p>
      <w:pPr>
        <w:ind w:firstLine="480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p>
      <w:pPr>
        <w:ind w:firstLine="56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5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_____________________________</w:t>
      </w:r>
      <w:r/>
    </w:p>
    <w:p>
      <w:pPr>
        <w:pStyle w:val="819"/>
        <w:ind w:firstLine="420"/>
        <w:spacing w:before="30" w:beforeAutospacing="0" w:after="30" w:afterAutospacing="0" w:line="240" w:lineRule="auto"/>
        <w:shd w:val="clear" w:color="auto" w:fill="ffffff"/>
        <w:rPr>
          <w:rFonts w:ascii="楷体" w:hAnsi="楷体" w:eastAsia="楷体" w:cs="楷体"/>
          <w:color w:val="auto"/>
          <w:highlight w:val="none"/>
          <w:shd w:val="clear" w:color="auto" w:fill="ffffff"/>
        </w:rPr>
      </w:pPr>
      <w:r>
        <w:rPr>
          <w:rFonts w:hint="eastAsia" w:ascii="楷体" w:hAnsi="楷体" w:eastAsia="楷体" w:cs="楷体"/>
          <w:color w:val="auto"/>
          <w:highlight w:val="none"/>
          <w:shd w:val="clear" w:color="auto" w:fill="ffffff"/>
        </w:rPr>
        <w:t xml:space="preserve">1.产品如有型号，请在“产品名称”栏一并填写。</w:t>
      </w:r>
      <w:r/>
    </w:p>
    <w:p>
      <w:pPr>
        <w:pStyle w:val="819"/>
        <w:ind w:firstLine="420"/>
        <w:spacing w:before="30" w:beforeAutospacing="0" w:after="30" w:afterAutospacing="0" w:line="240" w:lineRule="auto"/>
        <w:shd w:val="clear" w:color="auto" w:fill="ffffff"/>
        <w:rPr>
          <w:rFonts w:ascii="楷体" w:hAnsi="楷体" w:eastAsia="楷体" w:cs="楷体"/>
          <w:color w:val="auto"/>
          <w:highlight w:val="none"/>
          <w:shd w:val="clear" w:color="auto" w:fill="ffffff"/>
        </w:rPr>
      </w:pPr>
      <w:r>
        <w:rPr>
          <w:rFonts w:hint="eastAsia" w:ascii="楷体" w:hAnsi="楷体" w:eastAsia="楷体" w:cs="楷体"/>
          <w:color w:val="auto"/>
          <w:highlight w:val="none"/>
          <w:shd w:val="clear" w:color="auto" w:fill="ffffff"/>
        </w:rPr>
        <w:t xml:space="preserve">2.生产厂名与厂址应与生产厂营业执照载明的相关信息保持一致。</w:t>
      </w:r>
      <w:r/>
    </w:p>
    <w:p>
      <w:pPr>
        <w:pStyle w:val="819"/>
        <w:ind w:firstLine="420"/>
        <w:spacing w:before="30" w:beforeAutospacing="0" w:after="30" w:afterAutospacing="0" w:line="240" w:lineRule="auto"/>
        <w:shd w:val="clear" w:color="auto" w:fill="ffffff"/>
        <w:rPr>
          <w:rFonts w:ascii="楷体" w:hAnsi="楷体" w:eastAsia="楷体" w:cs="楷体"/>
          <w:color w:val="auto"/>
          <w:highlight w:val="none"/>
          <w:shd w:val="clear" w:color="auto" w:fill="ffffff"/>
        </w:rPr>
      </w:pPr>
      <w:r>
        <w:rPr>
          <w:rFonts w:hint="eastAsia" w:ascii="楷体" w:hAnsi="楷体" w:eastAsia="楷体" w:cs="楷体"/>
          <w:color w:val="auto"/>
          <w:highlight w:val="none"/>
          <w:shd w:val="clear" w:color="auto" w:fill="ffffff"/>
        </w:rPr>
        <w:t xml:space="preserve">3.该产品的中国境内生产的组件成本占比相关要求实施前，“规定比例”栏可不填，下同。（在分产品确定的中国境内生产组件成本占比要求正式实施前，只要产品符合“在中华人民共和国关境内完成制造、加工或组装”的基本条件，即可视同为本国产品，无需填写具体的比例数值）</w:t>
      </w:r>
      <w:r/>
    </w:p>
    <w:p>
      <w:pPr>
        <w:pStyle w:val="819"/>
        <w:ind w:firstLine="420"/>
        <w:spacing w:before="30" w:beforeAutospacing="0" w:after="30" w:afterAutospacing="0" w:line="240" w:lineRule="auto"/>
        <w:shd w:val="clear" w:color="auto" w:fill="ffffff"/>
        <w:rPr>
          <w:rFonts w:ascii="楷体" w:hAnsi="楷体" w:eastAsia="楷体" w:cs="楷体"/>
          <w:color w:val="auto"/>
          <w:highlight w:val="none"/>
          <w:shd w:val="clear" w:color="auto" w:fill="ffffff"/>
        </w:rPr>
      </w:pPr>
      <w:r>
        <w:rPr>
          <w:rFonts w:hint="eastAsia" w:ascii="楷体" w:hAnsi="楷体" w:eastAsia="楷体" w:cs="楷体"/>
          <w:color w:val="auto"/>
          <w:highlight w:val="none"/>
          <w:shd w:val="clear" w:color="auto" w:fill="ffffff"/>
        </w:rPr>
        <w:t xml:space="preserve">4.该产品的关键组件要求实施前，“关键组件”栏可不填，下同。</w:t>
      </w:r>
      <w:r/>
    </w:p>
    <w:p>
      <w:pPr>
        <w:pStyle w:val="819"/>
        <w:ind w:firstLine="420"/>
        <w:spacing w:before="30" w:beforeAutospacing="0" w:after="30" w:afterAutospacing="0" w:line="240" w:lineRule="auto"/>
        <w:shd w:val="clear" w:color="auto" w:fill="ffffff"/>
        <w:rPr>
          <w:rFonts w:ascii="楷体" w:hAnsi="楷体" w:eastAsia="楷体" w:cs="楷体"/>
          <w:color w:val="auto"/>
          <w:highlight w:val="none"/>
          <w:shd w:val="clear" w:color="auto" w:fill="ffffff"/>
        </w:rPr>
      </w:pPr>
      <w:r>
        <w:rPr>
          <w:rFonts w:hint="eastAsia" w:ascii="楷体" w:hAnsi="楷体" w:eastAsia="楷体" w:cs="楷体"/>
          <w:color w:val="auto"/>
          <w:highlight w:val="none"/>
          <w:shd w:val="clear" w:color="auto" w:fill="ffffff"/>
        </w:rPr>
        <w:t xml:space="preserve">5.该产品的关键工序要求实施前，“关键工序”栏可不填，下同。</w:t>
      </w:r>
      <w:r>
        <w:rPr>
          <w:color w:val="auto"/>
          <w:highlight w:val="none"/>
        </w:rPr>
        <w:br w:type="page" w:clear="all"/>
      </w:r>
      <w:r/>
    </w:p>
    <w:p>
      <w:pPr>
        <w:ind w:left="0" w:firstLine="0"/>
        <w:spacing w:line="400" w:lineRule="exact"/>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、具备履行合同所必需的设备和专业技术能力的书面声明（给定格式）：</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480"/>
        <w:spacing w:line="58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主要设备有：</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主要专业技术能力有：</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投标人名称（盖章）：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日  期：</w:t>
      </w:r>
      <w:r/>
    </w:p>
    <w:p>
      <w:pPr>
        <w:rPr>
          <w:rFonts w:ascii="黑体" w:hAnsi="黑体" w:eastAsia="黑体" w:cs="黑体"/>
          <w:bCs/>
          <w:color w:val="auto"/>
          <w:sz w:val="28"/>
          <w:szCs w:val="28"/>
          <w:highlight w:val="none"/>
        </w:rPr>
        <w:sectPr>
          <w:headerReference w:type="default" r:id="rId11"/>
          <w:footerReference w:type="default" r:id="rId15"/>
          <w:footnotePr/>
          <w:endnotePr/>
          <w:type w:val="nextPage"/>
          <w:pgSz w:w="11906" w:h="16838" w:orient="portrait"/>
          <w:pgMar w:top="1440" w:right="1440" w:bottom="1440" w:left="1287" w:header="850" w:footer="992" w:gutter="0"/>
          <w:cols w:num="1" w:sep="0" w:space="1701" w:equalWidth="1"/>
          <w:docGrid w:linePitch="360"/>
        </w:sectPr>
        <w:outlineLvl w:val="1"/>
      </w:pPr>
      <w:r>
        <w:rPr>
          <w:rFonts w:ascii="黑体" w:hAnsi="黑体" w:eastAsia="黑体" w:cs="黑体"/>
          <w:bCs/>
          <w:color w:val="auto"/>
          <w:sz w:val="28"/>
          <w:szCs w:val="28"/>
          <w:highlight w:val="none"/>
        </w:rPr>
      </w:r>
      <w:r/>
    </w:p>
    <w:p>
      <w:pPr>
        <w:ind w:left="0" w:firstLine="0"/>
        <w:spacing w:line="400" w:lineRule="exact"/>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、参加采购活动前3年内</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自公开招标文件发出之日起计算</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在经营活动中没有重大违法记录的书面声明（给定格式）：</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bCs/>
          <w:color w:val="auto"/>
          <w:sz w:val="24"/>
          <w:szCs w:val="24"/>
          <w:highlight w:val="none"/>
          <w:lang w:eastAsia="zh-CN"/>
        </w:rPr>
        <w:t xml:space="preserve">吃</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投标人名称（盖章）：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日  期：</w:t>
      </w:r>
      <w:r/>
    </w:p>
    <w:p>
      <w:pPr>
        <w:rPr>
          <w:rFonts w:ascii="黑体" w:hAnsi="黑体" w:eastAsia="黑体" w:cs="黑体"/>
          <w:bCs/>
          <w:color w:val="auto"/>
          <w:sz w:val="28"/>
          <w:szCs w:val="28"/>
          <w:highlight w:val="none"/>
        </w:rPr>
        <w:sectPr>
          <w:headerReference w:type="default" r:id="rId12"/>
          <w:footerReference w:type="default" r:id="rId16"/>
          <w:footnotePr/>
          <w:endnotePr/>
          <w:type w:val="nextPage"/>
          <w:pgSz w:w="11906" w:h="16838" w:orient="portrait"/>
          <w:pgMar w:top="1440" w:right="1440" w:bottom="1440" w:left="1287" w:header="850" w:footer="992" w:gutter="0"/>
          <w:cols w:num="1" w:sep="0" w:space="1701" w:equalWidth="1"/>
          <w:docGrid w:linePitch="360"/>
        </w:sectPr>
        <w:outlineLvl w:val="1"/>
      </w:pPr>
      <w:r>
        <w:rPr>
          <w:rFonts w:ascii="黑体" w:hAnsi="黑体" w:eastAsia="黑体" w:cs="黑体"/>
          <w:bCs/>
          <w:color w:val="auto"/>
          <w:sz w:val="28"/>
          <w:szCs w:val="28"/>
          <w:highlight w:val="none"/>
        </w:rPr>
      </w:r>
      <w:r/>
    </w:p>
    <w:p>
      <w:pPr>
        <w:ind w:left="0" w:firstLine="0"/>
        <w:spacing w:line="400" w:lineRule="exact"/>
        <w:rPr>
          <w:rFonts w:hint="eastAsia" w:ascii="黑体" w:eastAsia="宋体"/>
          <w:bCs/>
          <w:color w:val="auto"/>
          <w:sz w:val="28"/>
          <w:szCs w:val="28"/>
          <w:highlight w:val="none"/>
          <w:lang w:eastAsia="zh-CN"/>
        </w:rPr>
        <w:outlineLvl w:val="2"/>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、技术方案</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格式自拟</w:t>
      </w:r>
      <w:r>
        <w:rPr>
          <w:rFonts w:hint="eastAsia" w:ascii="宋体" w:hAnsi="宋体" w:eastAsia="宋体" w:cs="宋体"/>
          <w:b/>
          <w:color w:val="auto"/>
          <w:sz w:val="28"/>
          <w:szCs w:val="28"/>
          <w:highlight w:val="none"/>
          <w:lang w:eastAsia="zh-CN"/>
        </w:rPr>
        <w:t xml:space="preserve">）</w:t>
      </w:r>
      <w:r/>
    </w:p>
    <w:p>
      <w:pPr>
        <w:jc w:val="center"/>
        <w:spacing w:after="200" w:line="360" w:lineRule="auto"/>
        <w:widowControl/>
        <w:rPr>
          <w:rFonts w:hint="eastAsia" w:ascii="黑体" w:eastAsia="黑体" w:cs="宋体"/>
          <w:bCs/>
          <w:color w:val="auto"/>
          <w:sz w:val="28"/>
          <w:szCs w:val="28"/>
          <w:highlight w:val="none"/>
        </w:rPr>
      </w:pPr>
      <w:r>
        <w:rPr>
          <w:rFonts w:hint="eastAsia" w:ascii="黑体" w:eastAsia="黑体" w:cs="宋体"/>
          <w:bCs/>
          <w:color w:val="auto"/>
          <w:sz w:val="28"/>
          <w:szCs w:val="28"/>
          <w:highlight w:val="none"/>
        </w:rPr>
      </w:r>
      <w:r/>
    </w:p>
    <w:p>
      <w:pPr>
        <w:jc w:val="center"/>
        <w:spacing w:after="200" w:line="360" w:lineRule="auto"/>
        <w:widowControl/>
        <w:rPr>
          <w:rFonts w:hint="eastAsia" w:ascii="黑体" w:eastAsia="黑体" w:cs="宋体"/>
          <w:bCs/>
          <w:color w:val="auto"/>
          <w:sz w:val="28"/>
          <w:szCs w:val="28"/>
          <w:highlight w:val="none"/>
          <w:lang w:eastAsia="zh-CN"/>
        </w:rPr>
      </w:pPr>
      <w:r>
        <w:rPr>
          <w:rFonts w:hint="eastAsia" w:ascii="黑体" w:eastAsia="黑体" w:cs="宋体"/>
          <w:bCs/>
          <w:color w:val="auto"/>
          <w:sz w:val="28"/>
          <w:szCs w:val="28"/>
          <w:highlight w:val="none"/>
        </w:rPr>
        <w:t xml:space="preserve">技术方案</w:t>
      </w:r>
      <w:r>
        <w:rPr>
          <w:rFonts w:hint="eastAsia" w:ascii="黑体" w:eastAsia="黑体" w:cs="宋体"/>
          <w:bCs/>
          <w:color w:val="auto"/>
          <w:sz w:val="28"/>
          <w:szCs w:val="28"/>
          <w:highlight w:val="none"/>
          <w:lang w:eastAsia="zh-CN"/>
        </w:rPr>
        <w:t xml:space="preserve">（</w:t>
      </w:r>
      <w:r>
        <w:rPr>
          <w:rFonts w:hint="eastAsia" w:ascii="黑体" w:eastAsia="黑体" w:cs="宋体"/>
          <w:bCs/>
          <w:color w:val="auto"/>
          <w:sz w:val="28"/>
          <w:szCs w:val="28"/>
          <w:highlight w:val="none"/>
          <w:lang w:val="en-US" w:eastAsia="zh-CN"/>
        </w:rPr>
        <w:t xml:space="preserve">格式自拟</w:t>
      </w:r>
      <w:r>
        <w:rPr>
          <w:rFonts w:hint="eastAsia" w:ascii="黑体" w:eastAsia="黑体" w:cs="宋体"/>
          <w:bCs/>
          <w:color w:val="auto"/>
          <w:sz w:val="28"/>
          <w:szCs w:val="28"/>
          <w:highlight w:val="none"/>
          <w:lang w:eastAsia="zh-CN"/>
        </w:rPr>
        <w:t xml:space="preserve">）</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sectPr>
      <w:footerReference w:type="default" r:id="rId17"/>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910"/>
      </w:rPr>
      <w:framePr w:wrap="around" w:vAnchor="text" w:hAnchor="margin" w:xAlign="center" w:y="1"/>
    </w:pPr>
    <w:r>
      <w:rPr>
        <w:rStyle w:val="910"/>
      </w:rPr>
      <w:fldChar w:fldCharType="begin"/>
    </w:r>
    <w:r>
      <w:rPr>
        <w:rStyle w:val="910"/>
      </w:rPr>
      <w:instrText xml:space="preserve">PAGE  </w:instrText>
    </w:r>
    <w:r>
      <w:rPr>
        <w:rStyle w:val="910"/>
      </w:rPr>
      <w:fldChar w:fldCharType="separate"/>
    </w:r>
    <w:r>
      <w:rPr>
        <w:rStyle w:val="910"/>
      </w:rPr>
      <w:t xml:space="preserve">1</w:t>
    </w:r>
    <w:r>
      <w:rPr>
        <w:rStyle w:val="910"/>
      </w:rPr>
      <w:fldChar w:fldCharType="end"/>
    </w:r>
    <w:r/>
  </w:p>
  <w:p>
    <w:pPr>
      <w:pStyle w:val="87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instrText xml:space="preserve">PAGE \* MERGEFORMAT</w:instrText>
    </w:r>
    <w:r>
      <w:fldChar w:fldCharType="separate"/>
    </w:r>
    <w:r>
      <w:t xml:space="preserve">1</w:t>
    </w:r>
    <w:r>
      <w:fldChar w:fldCharType="end"/>
    </w:r>
    <w:r/>
  </w:p>
  <w:p>
    <w:pPr>
      <w:pStyle w:val="8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instrText xml:space="preserve">PAGE \* MERGEFORMAT</w:instrText>
    </w:r>
    <w:r>
      <w:fldChar w:fldCharType="separate"/>
    </w:r>
    <w:r>
      <w:t xml:space="preserve">1</w:t>
    </w:r>
    <w:r>
      <w:fldChar w:fldCharType="end"/>
    </w:r>
    <w:r/>
  </w:p>
  <w:p>
    <w:pPr>
      <w:pStyle w:val="80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pPr>
    <w:r>
      <w:fldChar w:fldCharType="begin"/>
    </w:r>
    <w:r>
      <w:instrText xml:space="preserve">PAGE \* MERGEFORMAT</w:instrText>
    </w:r>
    <w:r>
      <w:fldChar w:fldCharType="separate"/>
    </w:r>
    <w:r>
      <w:t xml:space="preserve">1</w:t>
    </w:r>
    <w:r>
      <w:fldChar w:fldCharType="end"/>
    </w:r>
    <w:r/>
  </w:p>
  <w:p>
    <w:pPr>
      <w:pStyle w:val="8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both"/>
      <w:rPr>
        <w:rFonts w:eastAsia="华文新魏"/>
        <w:sz w:val="21"/>
      </w:rPr>
      <w:pBdr>
        <w:bottom w:val="none" w:color="000000" w:sz="0" w:space="1"/>
      </w:pBdr>
    </w:pPr>
    <w:r>
      <w:rPr>
        <w:rFonts w:hint="eastAsia" w:eastAsia="华文新魏"/>
        <w:sz w:val="21"/>
      </w:rPr>
      <w:t xml:space="preserve">  </w:t>
    </w:r>
    <w:r>
      <w:rPr>
        <w:rFonts w:hint="eastAsia"/>
      </w:rPr>
      <w:t xml:space="preserve">          </w:t>
    </w:r>
    <w:r>
      <w:rPr>
        <w:rFonts w:hint="eastAsia" w:eastAsia="华文新魏"/>
        <w:sz w:val="21"/>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both"/>
      <w:rPr>
        <w:rFonts w:eastAsia="华文新魏"/>
        <w:sz w:val="21"/>
      </w:rPr>
      <w:pBdr>
        <w:bottom w:val="none" w:color="000000" w:sz="0" w:space="1"/>
      </w:pBdr>
    </w:pPr>
    <w:r>
      <w:rPr>
        <w:rFonts w:hint="eastAsia" w:eastAsia="华文新魏"/>
        <w:sz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30"/>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2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974"/>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83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ind w:left="-62"/>
      </w:pPr>
      <w:rPr>
        <w:rFonts w:hint="eastAsia"/>
      </w:rPr>
    </w:lvl>
    <w:lvl w:ilvl="1">
      <w:start w:val="1"/>
      <w:numFmt w:val="bullet"/>
      <w:isLgl w:val="false"/>
      <w:suff w:val="tab"/>
      <w:lvlText w:val="o"/>
      <w:lvlJc w:val="left"/>
      <w:pPr>
        <w:ind w:left="1378" w:hanging="360"/>
      </w:pPr>
      <w:rPr>
        <w:rFonts w:hint="default" w:ascii="Courier New" w:hAnsi="Courier New" w:eastAsia="Courier New" w:cs="Courier New"/>
      </w:rPr>
    </w:lvl>
    <w:lvl w:ilvl="2">
      <w:start w:val="1"/>
      <w:numFmt w:val="bullet"/>
      <w:isLgl w:val="false"/>
      <w:suff w:val="tab"/>
      <w:lvlText w:val="§"/>
      <w:lvlJc w:val="left"/>
      <w:pPr>
        <w:ind w:left="2098" w:hanging="360"/>
      </w:pPr>
      <w:rPr>
        <w:rFonts w:hint="default" w:ascii="Wingdings" w:hAnsi="Wingdings" w:eastAsia="Wingdings" w:cs="Wingdings"/>
      </w:rPr>
    </w:lvl>
    <w:lvl w:ilvl="3">
      <w:start w:val="1"/>
      <w:numFmt w:val="bullet"/>
      <w:isLgl w:val="false"/>
      <w:suff w:val="tab"/>
      <w:lvlText w:val="·"/>
      <w:lvlJc w:val="left"/>
      <w:pPr>
        <w:ind w:left="2818" w:hanging="360"/>
      </w:pPr>
      <w:rPr>
        <w:rFonts w:hint="default" w:ascii="Symbol" w:hAnsi="Symbol" w:eastAsia="Symbol" w:cs="Symbol"/>
      </w:rPr>
    </w:lvl>
    <w:lvl w:ilvl="4">
      <w:start w:val="1"/>
      <w:numFmt w:val="bullet"/>
      <w:isLgl w:val="false"/>
      <w:suff w:val="tab"/>
      <w:lvlText w:val="o"/>
      <w:lvlJc w:val="left"/>
      <w:pPr>
        <w:ind w:left="3538" w:hanging="360"/>
      </w:pPr>
      <w:rPr>
        <w:rFonts w:hint="default" w:ascii="Courier New" w:hAnsi="Courier New" w:eastAsia="Courier New" w:cs="Courier New"/>
      </w:rPr>
    </w:lvl>
    <w:lvl w:ilvl="5">
      <w:start w:val="1"/>
      <w:numFmt w:val="bullet"/>
      <w:isLgl w:val="false"/>
      <w:suff w:val="tab"/>
      <w:lvlText w:val="§"/>
      <w:lvlJc w:val="left"/>
      <w:pPr>
        <w:ind w:left="4258" w:hanging="360"/>
      </w:pPr>
      <w:rPr>
        <w:rFonts w:hint="default" w:ascii="Wingdings" w:hAnsi="Wingdings" w:eastAsia="Wingdings" w:cs="Wingdings"/>
      </w:rPr>
    </w:lvl>
    <w:lvl w:ilvl="6">
      <w:start w:val="1"/>
      <w:numFmt w:val="bullet"/>
      <w:isLgl w:val="false"/>
      <w:suff w:val="tab"/>
      <w:lvlText w:val="·"/>
      <w:lvlJc w:val="left"/>
      <w:pPr>
        <w:ind w:left="4978" w:hanging="360"/>
      </w:pPr>
      <w:rPr>
        <w:rFonts w:hint="default" w:ascii="Symbol" w:hAnsi="Symbol" w:eastAsia="Symbol" w:cs="Symbol"/>
      </w:rPr>
    </w:lvl>
    <w:lvl w:ilvl="7">
      <w:start w:val="1"/>
      <w:numFmt w:val="bullet"/>
      <w:isLgl w:val="false"/>
      <w:suff w:val="tab"/>
      <w:lvlText w:val="o"/>
      <w:lvlJc w:val="left"/>
      <w:pPr>
        <w:ind w:left="5698" w:hanging="360"/>
      </w:pPr>
      <w:rPr>
        <w:rFonts w:hint="default" w:ascii="Courier New" w:hAnsi="Courier New" w:eastAsia="Courier New" w:cs="Courier New"/>
      </w:rPr>
    </w:lvl>
    <w:lvl w:ilvl="8">
      <w:start w:val="1"/>
      <w:numFmt w:val="bullet"/>
      <w:isLgl w:val="false"/>
      <w:suff w:val="tab"/>
      <w:lvlText w:val="§"/>
      <w:lvlJc w:val="left"/>
      <w:pPr>
        <w:ind w:left="6418" w:hanging="360"/>
      </w:pPr>
      <w:rPr>
        <w:rFonts w:hint="default" w:ascii="Wingdings" w:hAnsi="Wingdings" w:eastAsia="Wingdings" w:cs="Wingdings"/>
      </w:rPr>
    </w:lvl>
  </w:abstractNum>
  <w:abstractNum w:abstractNumId="1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56"/>
      <w:isLgl w:val="false"/>
      <w:suff w:val="nothing"/>
      <w:lvlText w:val=""/>
      <w:lvlJc w:val="left"/>
      <w:pPr>
        <w:ind w:left="0" w:firstLine="0"/>
      </w:pPr>
      <w:rPr>
        <w:rFonts w:hint="eastAsia"/>
      </w:rPr>
    </w:lvl>
    <w:lvl w:ilvl="6">
      <w:start w:val="1"/>
      <w:numFmt w:val="decimal"/>
      <w:pStyle w:val="1158"/>
      <w:isLgl w:val="false"/>
      <w:suff w:val="nothing"/>
      <w:lvlText w:val=""/>
      <w:lvlJc w:val="left"/>
      <w:pPr>
        <w:ind w:left="0" w:firstLine="0"/>
      </w:pPr>
      <w:rPr>
        <w:rFonts w:hint="eastAsia"/>
      </w:rPr>
    </w:lvl>
    <w:lvl w:ilvl="7">
      <w:start w:val="1"/>
      <w:numFmt w:val="decimal"/>
      <w:pStyle w:val="1160"/>
      <w:isLgl w:val="false"/>
      <w:suff w:val="nothing"/>
      <w:lvlText w:val=""/>
      <w:lvlJc w:val="left"/>
      <w:pPr>
        <w:ind w:left="0" w:firstLine="0"/>
      </w:pPr>
      <w:rPr>
        <w:rFonts w:hint="eastAsia"/>
      </w:rPr>
    </w:lvl>
    <w:lvl w:ilvl="8">
      <w:start w:val="1"/>
      <w:numFmt w:val="decimal"/>
      <w:pStyle w:val="1162"/>
      <w:isLgl w:val="false"/>
      <w:suff w:val="nothing"/>
      <w:lvlText w:val=""/>
      <w:lvlJc w:val="left"/>
      <w:pPr>
        <w:ind w:left="0" w:firstLine="0"/>
      </w:pPr>
      <w:rPr>
        <w:rFonts w:hint="eastAsia"/>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uiPriority w:val="0"/>
    <w:qFormat/>
    <w:pPr>
      <w:jc w:val="both"/>
      <w:widowControl w:val="off"/>
    </w:pPr>
    <w:rPr>
      <w:rFonts w:hint="default" w:ascii="Calibri" w:hAnsi="Calibri" w:eastAsia="Arial" w:cs="Times New Roman"/>
      <w:sz w:val="21"/>
      <w:szCs w:val="22"/>
      <w:lang w:val="en-US" w:eastAsia="zh-CN" w:bidi="ar-SA"/>
    </w:rPr>
  </w:style>
  <w:style w:type="paragraph" w:styleId="784">
    <w:name w:val="Heading 1"/>
    <w:basedOn w:val="783"/>
    <w:next w:val="783"/>
    <w:uiPriority w:val="9"/>
    <w:qFormat/>
    <w:pPr>
      <w:keepLines/>
      <w:keepNext/>
      <w:spacing w:before="480" w:after="200"/>
      <w:outlineLvl w:val="0"/>
    </w:pPr>
    <w:rPr>
      <w:rFonts w:ascii="Arial" w:hAnsi="Arial" w:cs="Arial"/>
      <w:sz w:val="40"/>
      <w:szCs w:val="40"/>
    </w:rPr>
  </w:style>
  <w:style w:type="paragraph" w:styleId="785">
    <w:name w:val="Heading 2"/>
    <w:basedOn w:val="783"/>
    <w:next w:val="783"/>
    <w:uiPriority w:val="9"/>
    <w:unhideWhenUsed/>
    <w:qFormat/>
    <w:pPr>
      <w:keepLines/>
      <w:keepNext/>
      <w:spacing w:before="360" w:after="200"/>
      <w:outlineLvl w:val="1"/>
    </w:pPr>
    <w:rPr>
      <w:rFonts w:ascii="Arial" w:hAnsi="Arial" w:cs="Arial"/>
      <w:sz w:val="34"/>
    </w:rPr>
  </w:style>
  <w:style w:type="paragraph" w:styleId="786">
    <w:name w:val="Heading 3"/>
    <w:basedOn w:val="783"/>
    <w:next w:val="795"/>
    <w:uiPriority w:val="9"/>
    <w:unhideWhenUsed/>
    <w:qFormat/>
    <w:pPr>
      <w:keepLines/>
      <w:keepNext/>
      <w:spacing w:before="320" w:after="200"/>
      <w:outlineLvl w:val="2"/>
    </w:pPr>
    <w:rPr>
      <w:rFonts w:ascii="Arial" w:hAnsi="Arial" w:cs="Arial"/>
      <w:sz w:val="30"/>
      <w:szCs w:val="30"/>
    </w:rPr>
  </w:style>
  <w:style w:type="paragraph" w:styleId="787">
    <w:name w:val="Heading 4"/>
    <w:basedOn w:val="783"/>
    <w:next w:val="783"/>
    <w:uiPriority w:val="9"/>
    <w:unhideWhenUsed/>
    <w:qFormat/>
    <w:pPr>
      <w:keepLines/>
      <w:keepNext/>
      <w:spacing w:before="320" w:after="200"/>
      <w:outlineLvl w:val="3"/>
    </w:pPr>
    <w:rPr>
      <w:rFonts w:ascii="Arial" w:hAnsi="Arial" w:cs="Arial"/>
      <w:b/>
      <w:bCs/>
      <w:sz w:val="26"/>
      <w:szCs w:val="26"/>
    </w:rPr>
  </w:style>
  <w:style w:type="paragraph" w:styleId="788">
    <w:name w:val="Heading 5"/>
    <w:basedOn w:val="783"/>
    <w:next w:val="783"/>
    <w:uiPriority w:val="9"/>
    <w:unhideWhenUsed/>
    <w:qFormat/>
    <w:pPr>
      <w:keepLines/>
      <w:keepNext/>
      <w:spacing w:before="320" w:after="200"/>
      <w:outlineLvl w:val="4"/>
    </w:pPr>
    <w:rPr>
      <w:rFonts w:ascii="Arial" w:hAnsi="Arial" w:cs="Arial"/>
      <w:b/>
      <w:bCs/>
      <w:sz w:val="24"/>
      <w:szCs w:val="24"/>
    </w:rPr>
  </w:style>
  <w:style w:type="paragraph" w:styleId="789">
    <w:name w:val="Heading 6"/>
    <w:basedOn w:val="783"/>
    <w:next w:val="783"/>
    <w:uiPriority w:val="9"/>
    <w:unhideWhenUsed/>
    <w:qFormat/>
    <w:pPr>
      <w:keepLines/>
      <w:keepNext/>
      <w:spacing w:before="320" w:after="200"/>
      <w:outlineLvl w:val="5"/>
    </w:pPr>
    <w:rPr>
      <w:rFonts w:ascii="Arial" w:hAnsi="Arial" w:cs="Arial"/>
      <w:b/>
      <w:bCs/>
      <w:sz w:val="22"/>
    </w:rPr>
  </w:style>
  <w:style w:type="paragraph" w:styleId="790">
    <w:name w:val="Heading 7"/>
    <w:basedOn w:val="783"/>
    <w:next w:val="783"/>
    <w:uiPriority w:val="9"/>
    <w:unhideWhenUsed/>
    <w:qFormat/>
    <w:pPr>
      <w:keepLines/>
      <w:keepNext/>
      <w:spacing w:before="320" w:after="200"/>
      <w:outlineLvl w:val="6"/>
    </w:pPr>
    <w:rPr>
      <w:rFonts w:ascii="Arial" w:hAnsi="Arial" w:cs="Arial"/>
      <w:b/>
      <w:bCs/>
      <w:i/>
      <w:iCs/>
      <w:sz w:val="22"/>
    </w:rPr>
  </w:style>
  <w:style w:type="paragraph" w:styleId="791">
    <w:name w:val="Heading 8"/>
    <w:basedOn w:val="783"/>
    <w:next w:val="783"/>
    <w:uiPriority w:val="9"/>
    <w:unhideWhenUsed/>
    <w:qFormat/>
    <w:pPr>
      <w:keepLines/>
      <w:keepNext/>
      <w:spacing w:before="320" w:after="200"/>
      <w:outlineLvl w:val="7"/>
    </w:pPr>
    <w:rPr>
      <w:rFonts w:ascii="Arial" w:hAnsi="Arial" w:cs="Arial"/>
      <w:i/>
      <w:iCs/>
      <w:sz w:val="22"/>
    </w:rPr>
  </w:style>
  <w:style w:type="paragraph" w:styleId="792">
    <w:name w:val="Heading 9"/>
    <w:basedOn w:val="783"/>
    <w:next w:val="783"/>
    <w:uiPriority w:val="9"/>
    <w:unhideWhenUsed/>
    <w:qFormat/>
    <w:pPr>
      <w:keepLines/>
      <w:keepNext/>
      <w:spacing w:before="320" w:after="200"/>
      <w:outlineLvl w:val="8"/>
    </w:pPr>
    <w:rPr>
      <w:rFonts w:ascii="Arial" w:hAnsi="Arial" w:cs="Arial"/>
      <w:i/>
      <w:iCs/>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Normal Indent"/>
    <w:basedOn w:val="783"/>
    <w:uiPriority w:val="0"/>
    <w:qFormat/>
    <w:pPr>
      <w:ind w:firstLine="420"/>
    </w:pPr>
    <w:rPr>
      <w:sz w:val="20"/>
    </w:rPr>
  </w:style>
  <w:style w:type="paragraph" w:styleId="796">
    <w:name w:val="toc 7"/>
    <w:basedOn w:val="783"/>
    <w:next w:val="783"/>
    <w:uiPriority w:val="39"/>
    <w:unhideWhenUsed/>
    <w:qFormat/>
    <w:pPr>
      <w:ind w:left="1701"/>
      <w:spacing w:after="57"/>
    </w:pPr>
  </w:style>
  <w:style w:type="paragraph" w:styleId="797">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annotation text"/>
    <w:basedOn w:val="783"/>
    <w:uiPriority w:val="99"/>
    <w:semiHidden/>
    <w:unhideWhenUsed/>
    <w:qFormat/>
    <w:pPr>
      <w:jc w:val="left"/>
    </w:pPr>
  </w:style>
  <w:style w:type="paragraph" w:styleId="799">
    <w:name w:val="Body Text"/>
    <w:basedOn w:val="783"/>
    <w:uiPriority w:val="99"/>
    <w:qFormat/>
    <w:rPr>
      <w:rFonts w:ascii="华文中宋" w:hAnsi="Times New Roman" w:eastAsia="华文中宋"/>
      <w:bCs/>
      <w:sz w:val="28"/>
      <w:szCs w:val="20"/>
    </w:rPr>
  </w:style>
  <w:style w:type="paragraph" w:styleId="800">
    <w:name w:val="Body Text Indent"/>
    <w:basedOn w:val="783"/>
    <w:next w:val="801"/>
    <w:uiPriority w:val="99"/>
    <w:qFormat/>
    <w:pPr>
      <w:ind w:firstLine="576"/>
    </w:pPr>
    <w:rPr>
      <w:rFonts w:ascii="Times New Roman" w:hAnsi="Times New Roman" w:eastAsia="宋体"/>
      <w:b/>
      <w:sz w:val="30"/>
      <w:szCs w:val="20"/>
    </w:rPr>
  </w:style>
  <w:style w:type="paragraph" w:styleId="801">
    <w:name w:val="envelope return"/>
    <w:basedOn w:val="783"/>
    <w:uiPriority w:val="99"/>
    <w:unhideWhenUsed/>
    <w:qFormat/>
    <w:rPr>
      <w:rFonts w:ascii="Arial" w:hAnsi="Arial"/>
    </w:rPr>
  </w:style>
  <w:style w:type="paragraph" w:styleId="802">
    <w:name w:val="index 4"/>
    <w:basedOn w:val="783"/>
    <w:next w:val="783"/>
    <w:uiPriority w:val="0"/>
    <w:qFormat/>
    <w:pPr>
      <w:ind w:left="600"/>
      <w:spacing w:line="360" w:lineRule="auto"/>
    </w:pPr>
    <w:rPr>
      <w:sz w:val="24"/>
    </w:rPr>
  </w:style>
  <w:style w:type="paragraph" w:styleId="803">
    <w:name w:val="toc 5"/>
    <w:basedOn w:val="783"/>
    <w:next w:val="783"/>
    <w:uiPriority w:val="39"/>
    <w:unhideWhenUsed/>
    <w:qFormat/>
    <w:pPr>
      <w:ind w:left="1134"/>
      <w:spacing w:after="57"/>
    </w:pPr>
  </w:style>
  <w:style w:type="paragraph" w:styleId="804">
    <w:name w:val="toc 3"/>
    <w:basedOn w:val="783"/>
    <w:next w:val="783"/>
    <w:uiPriority w:val="39"/>
    <w:unhideWhenUsed/>
    <w:qFormat/>
    <w:pPr>
      <w:ind w:left="567"/>
      <w:spacing w:after="57"/>
    </w:pPr>
  </w:style>
  <w:style w:type="paragraph" w:styleId="805">
    <w:name w:val="toc 8"/>
    <w:basedOn w:val="783"/>
    <w:next w:val="783"/>
    <w:uiPriority w:val="39"/>
    <w:unhideWhenUsed/>
    <w:qFormat/>
    <w:pPr>
      <w:ind w:left="1984"/>
      <w:spacing w:after="57"/>
    </w:pPr>
  </w:style>
  <w:style w:type="paragraph" w:styleId="806">
    <w:name w:val="endnote text"/>
    <w:basedOn w:val="783"/>
    <w:uiPriority w:val="99"/>
    <w:semiHidden/>
    <w:unhideWhenUsed/>
    <w:qFormat/>
    <w:rPr>
      <w:sz w:val="20"/>
    </w:rPr>
  </w:style>
  <w:style w:type="paragraph" w:styleId="807">
    <w:name w:val="Balloon Text"/>
    <w:basedOn w:val="783"/>
    <w:link w:val="1257"/>
    <w:uiPriority w:val="99"/>
    <w:semiHidden/>
    <w:unhideWhenUsed/>
    <w:qFormat/>
    <w:rPr>
      <w:sz w:val="18"/>
      <w:szCs w:val="18"/>
    </w:rPr>
  </w:style>
  <w:style w:type="paragraph" w:styleId="808">
    <w:name w:val="Footer"/>
    <w:basedOn w:val="783"/>
    <w:uiPriority w:val="99"/>
    <w:unhideWhenUsed/>
    <w:qFormat/>
    <w:pPr>
      <w:tabs>
        <w:tab w:val="center" w:pos="7143" w:leader="none"/>
        <w:tab w:val="right" w:pos="14287" w:leader="none"/>
      </w:tabs>
    </w:pPr>
  </w:style>
  <w:style w:type="paragraph" w:styleId="809">
    <w:name w:val="Header"/>
    <w:basedOn w:val="783"/>
    <w:uiPriority w:val="99"/>
    <w:unhideWhenUsed/>
    <w:qFormat/>
    <w:pPr>
      <w:tabs>
        <w:tab w:val="center" w:pos="7143" w:leader="none"/>
        <w:tab w:val="right" w:pos="14287" w:leader="none"/>
      </w:tabs>
    </w:pPr>
  </w:style>
  <w:style w:type="paragraph" w:styleId="810">
    <w:name w:val="toc 1"/>
    <w:basedOn w:val="783"/>
    <w:next w:val="783"/>
    <w:uiPriority w:val="39"/>
    <w:unhideWhenUsed/>
    <w:qFormat/>
    <w:pPr>
      <w:spacing w:after="57"/>
    </w:pPr>
  </w:style>
  <w:style w:type="paragraph" w:styleId="811">
    <w:name w:val="toc 4"/>
    <w:basedOn w:val="783"/>
    <w:next w:val="783"/>
    <w:uiPriority w:val="39"/>
    <w:unhideWhenUsed/>
    <w:qFormat/>
    <w:pPr>
      <w:ind w:left="850"/>
      <w:spacing w:after="57"/>
    </w:pPr>
  </w:style>
  <w:style w:type="paragraph" w:styleId="812">
    <w:name w:val="Subtitle"/>
    <w:basedOn w:val="783"/>
    <w:next w:val="783"/>
    <w:uiPriority w:val="11"/>
    <w:qFormat/>
    <w:pPr>
      <w:spacing w:before="200" w:after="200"/>
    </w:pPr>
    <w:rPr>
      <w:sz w:val="24"/>
      <w:szCs w:val="24"/>
    </w:rPr>
  </w:style>
  <w:style w:type="paragraph" w:styleId="813">
    <w:name w:val="List"/>
    <w:basedOn w:val="783"/>
    <w:uiPriority w:val="0"/>
    <w:qFormat/>
    <w:pPr>
      <w:ind w:left="360" w:hanging="360"/>
      <w:spacing w:after="20" w:line="288" w:lineRule="auto"/>
      <w:tabs>
        <w:tab w:val="left" w:pos="360" w:leader="none"/>
      </w:tabs>
    </w:pPr>
    <w:rPr>
      <w:szCs w:val="20"/>
      <w:lang w:val="en-GB"/>
    </w:rPr>
  </w:style>
  <w:style w:type="paragraph" w:styleId="814">
    <w:name w:val="footnote text"/>
    <w:basedOn w:val="783"/>
    <w:uiPriority w:val="99"/>
    <w:semiHidden/>
    <w:unhideWhenUsed/>
    <w:qFormat/>
    <w:pPr>
      <w:spacing w:after="40"/>
    </w:pPr>
    <w:rPr>
      <w:sz w:val="18"/>
    </w:rPr>
  </w:style>
  <w:style w:type="paragraph" w:styleId="815">
    <w:name w:val="toc 6"/>
    <w:basedOn w:val="783"/>
    <w:next w:val="783"/>
    <w:uiPriority w:val="39"/>
    <w:unhideWhenUsed/>
    <w:qFormat/>
    <w:pPr>
      <w:ind w:left="1417"/>
      <w:spacing w:after="57"/>
    </w:pPr>
  </w:style>
  <w:style w:type="paragraph" w:styleId="816">
    <w:name w:val="table of figures"/>
    <w:basedOn w:val="783"/>
    <w:next w:val="783"/>
    <w:uiPriority w:val="99"/>
    <w:unhideWhenUsed/>
    <w:qFormat/>
  </w:style>
  <w:style w:type="paragraph" w:styleId="817">
    <w:name w:val="toc 2"/>
    <w:basedOn w:val="783"/>
    <w:next w:val="783"/>
    <w:uiPriority w:val="39"/>
    <w:unhideWhenUsed/>
    <w:qFormat/>
    <w:pPr>
      <w:ind w:left="283"/>
      <w:spacing w:after="57"/>
    </w:pPr>
  </w:style>
  <w:style w:type="paragraph" w:styleId="818">
    <w:name w:val="toc 9"/>
    <w:basedOn w:val="783"/>
    <w:next w:val="783"/>
    <w:uiPriority w:val="39"/>
    <w:unhideWhenUsed/>
    <w:qFormat/>
    <w:pPr>
      <w:ind w:left="2268"/>
      <w:spacing w:after="57"/>
    </w:pPr>
  </w:style>
  <w:style w:type="paragraph" w:styleId="819">
    <w:name w:val="Normal (Web)"/>
    <w:basedOn w:val="783"/>
    <w:uiPriority w:val="0"/>
    <w:qFormat/>
    <w:pPr>
      <w:ind w:firstLine="420"/>
      <w:jc w:val="left"/>
      <w:spacing w:before="100" w:beforeAutospacing="1" w:after="100" w:afterAutospacing="1" w:line="288" w:lineRule="auto"/>
      <w:widowControl/>
    </w:pPr>
    <w:rPr>
      <w:rFonts w:ascii="宋体" w:hAnsi="宋体"/>
      <w:sz w:val="24"/>
    </w:rPr>
  </w:style>
  <w:style w:type="paragraph" w:styleId="820">
    <w:name w:val="Title"/>
    <w:basedOn w:val="783"/>
    <w:next w:val="783"/>
    <w:uiPriority w:val="10"/>
    <w:qFormat/>
    <w:pPr>
      <w:contextualSpacing/>
      <w:spacing w:before="300" w:after="200"/>
    </w:pPr>
    <w:rPr>
      <w:sz w:val="48"/>
      <w:szCs w:val="48"/>
    </w:rPr>
  </w:style>
  <w:style w:type="paragraph" w:styleId="821">
    <w:name w:val="Body Text First Indent"/>
    <w:basedOn w:val="799"/>
    <w:uiPriority w:val="99"/>
    <w:unhideWhenUsed/>
    <w:qFormat/>
    <w:pPr>
      <w:ind w:firstLine="420"/>
      <w:spacing w:after="120"/>
    </w:pPr>
    <w:rPr>
      <w:rFonts w:ascii="Calibri" w:hAnsi="Calibri" w:eastAsia="宋体"/>
      <w:sz w:val="21"/>
      <w:szCs w:val="22"/>
    </w:rPr>
  </w:style>
  <w:style w:type="paragraph" w:styleId="822">
    <w:name w:val="Body Text First Indent 2"/>
    <w:basedOn w:val="800"/>
    <w:next w:val="783"/>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8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Strong"/>
    <w:basedOn w:val="793"/>
    <w:uiPriority w:val="22"/>
    <w:qFormat/>
    <w:rPr>
      <w:b/>
    </w:rPr>
  </w:style>
  <w:style w:type="character" w:styleId="825">
    <w:name w:val="endnote reference"/>
    <w:uiPriority w:val="99"/>
    <w:semiHidden/>
    <w:unhideWhenUsed/>
    <w:qFormat/>
    <w:rPr>
      <w:vertAlign w:val="superscript"/>
    </w:rPr>
  </w:style>
  <w:style w:type="character" w:styleId="826">
    <w:name w:val="Emphasis"/>
    <w:uiPriority w:val="0"/>
    <w:qFormat/>
    <w:rPr>
      <w:rFonts w:ascii="Times New Roman" w:hAnsi="Times New Roman" w:eastAsia="宋体" w:cs="Times New Roman"/>
      <w:i/>
    </w:rPr>
  </w:style>
  <w:style w:type="character" w:styleId="827">
    <w:name w:val="Hyperlink"/>
    <w:basedOn w:val="793"/>
    <w:uiPriority w:val="99"/>
    <w:unhideWhenUsed/>
    <w:qFormat/>
    <w:rPr>
      <w:color w:val="0000ff" w:themeColor="hyperlink"/>
      <w:u w:val="single"/>
      <w14:textFill>
        <w14:solidFill>
          <w14:schemeClr w14:val="hlink"/>
        </w14:solidFill>
      </w14:textFill>
    </w:rPr>
  </w:style>
  <w:style w:type="character" w:styleId="828">
    <w:name w:val="annotation reference"/>
    <w:basedOn w:val="793"/>
    <w:uiPriority w:val="99"/>
    <w:semiHidden/>
    <w:unhideWhenUsed/>
    <w:qFormat/>
    <w:rPr>
      <w:sz w:val="21"/>
      <w:szCs w:val="21"/>
    </w:rPr>
  </w:style>
  <w:style w:type="character" w:styleId="829">
    <w:name w:val="footnote reference"/>
    <w:uiPriority w:val="99"/>
    <w:unhideWhenUsed/>
    <w:qFormat/>
    <w:rPr>
      <w:vertAlign w:val="superscript"/>
    </w:rPr>
  </w:style>
  <w:style w:type="paragraph" w:styleId="830" w:customStyle="1">
    <w:name w:val="_Style 1"/>
    <w:basedOn w:val="783"/>
    <w:uiPriority w:val="34"/>
    <w:qFormat/>
    <w:pPr>
      <w:ind w:firstLine="420"/>
    </w:pPr>
  </w:style>
  <w:style w:type="paragraph" w:styleId="831" w:customStyle="1">
    <w:name w:val="TOC Heading"/>
    <w:uiPriority w:val="39"/>
    <w:unhideWhenUsed/>
    <w:qFormat/>
    <w:rPr>
      <w:rFonts w:hint="default" w:ascii="Times New Roman" w:hAnsi="Times New Roman" w:eastAsia="宋体" w:cs="Times New Roman"/>
    </w:rPr>
  </w:style>
  <w:style w:type="paragraph" w:styleId="832" w:customStyle="1">
    <w:name w:val="标题 111"/>
    <w:basedOn w:val="783"/>
    <w:next w:val="783"/>
    <w:link w:val="845"/>
    <w:uiPriority w:val="9"/>
    <w:qFormat/>
    <w:pPr>
      <w:jc w:val="center"/>
      <w:keepNext/>
      <w:outlineLvl w:val="0"/>
    </w:pPr>
    <w:rPr>
      <w:rFonts w:ascii="楷体_GB2312" w:hAnsi="Times New Roman" w:eastAsia="楷体_GB2312"/>
      <w:b/>
      <w:sz w:val="28"/>
      <w:szCs w:val="20"/>
    </w:rPr>
  </w:style>
  <w:style w:type="paragraph" w:styleId="833" w:customStyle="1">
    <w:name w:val="标题 211"/>
    <w:basedOn w:val="783"/>
    <w:next w:val="783"/>
    <w:link w:val="846"/>
    <w:uiPriority w:val="9"/>
    <w:qFormat/>
    <w:pPr>
      <w:jc w:val="center"/>
      <w:keepNext/>
      <w:outlineLvl w:val="1"/>
    </w:pPr>
    <w:rPr>
      <w:rFonts w:ascii="楷体_GB2312" w:hAnsi="Times New Roman" w:eastAsia="楷体_GB2312"/>
      <w:b/>
      <w:bCs/>
      <w:sz w:val="18"/>
      <w:szCs w:val="20"/>
    </w:rPr>
  </w:style>
  <w:style w:type="paragraph" w:styleId="834" w:customStyle="1">
    <w:name w:val="标题 311"/>
    <w:basedOn w:val="835"/>
    <w:next w:val="783"/>
    <w:link w:val="848"/>
    <w:uiPriority w:val="9"/>
    <w:qFormat/>
    <w:pPr>
      <w:jc w:val="left"/>
      <w:keepNext/>
    </w:pPr>
    <w:rPr>
      <w:rFonts w:ascii="Arial" w:hAnsi="Arial" w:eastAsia="Arial"/>
      <w:bCs/>
      <w:sz w:val="24"/>
      <w:szCs w:val="24"/>
      <w:lang w:eastAsia="zh-CN"/>
    </w:rPr>
  </w:style>
  <w:style w:type="paragraph" w:styleId="835" w:customStyle="1">
    <w:name w:val="Cn Heading3"/>
    <w:basedOn w:val="836"/>
    <w:uiPriority w:val="0"/>
    <w:qFormat/>
    <w:pPr>
      <w:ind w:firstLine="0"/>
      <w:spacing w:line="480" w:lineRule="auto"/>
      <w:outlineLvl w:val="2"/>
    </w:pPr>
    <w:rPr>
      <w:rFonts w:ascii="微软雅黑" w:hAnsi="微软雅黑" w:eastAsia="微软雅黑"/>
      <w:b/>
      <w:sz w:val="28"/>
      <w:szCs w:val="28"/>
      <w:lang w:eastAsia="ja-JP"/>
    </w:rPr>
  </w:style>
  <w:style w:type="paragraph" w:styleId="836" w:customStyle="1">
    <w:name w:val="列出段落1"/>
    <w:basedOn w:val="783"/>
    <w:link w:val="847"/>
    <w:uiPriority w:val="0"/>
    <w:qFormat/>
    <w:pPr>
      <w:ind w:firstLine="420"/>
      <w:spacing w:before="120" w:after="120" w:line="360" w:lineRule="auto"/>
    </w:pPr>
    <w:rPr>
      <w:rFonts w:eastAsia="宋体"/>
      <w:sz w:val="24"/>
    </w:rPr>
  </w:style>
  <w:style w:type="paragraph" w:styleId="837" w:customStyle="1">
    <w:name w:val="标题 411"/>
    <w:basedOn w:val="783"/>
    <w:next w:val="783"/>
    <w:link w:val="849"/>
    <w:uiPriority w:val="9"/>
    <w:qFormat/>
    <w:pPr>
      <w:keepNext/>
      <w:outlineLvl w:val="3"/>
    </w:pPr>
    <w:rPr>
      <w:rFonts w:ascii="Times New Roman" w:hAnsi="Times New Roman" w:eastAsia="楷体_GB2312"/>
      <w:b/>
      <w:bCs/>
      <w:sz w:val="15"/>
      <w:szCs w:val="20"/>
    </w:rPr>
  </w:style>
  <w:style w:type="paragraph" w:styleId="838" w:customStyle="1">
    <w:name w:val="标题 511"/>
    <w:basedOn w:val="783"/>
    <w:next w:val="783"/>
    <w:link w:val="850"/>
    <w:uiPriority w:val="9"/>
    <w:qFormat/>
    <w:pPr>
      <w:numPr>
        <w:ilvl w:val="0"/>
        <w:numId w:val="1"/>
      </w:numPr>
      <w:keepNext/>
      <w:outlineLvl w:val="4"/>
    </w:pPr>
    <w:rPr>
      <w:rFonts w:ascii="楷体_GB2312" w:hAnsi="Times New Roman" w:eastAsia="楷体_GB2312"/>
      <w:bCs/>
      <w:sz w:val="28"/>
      <w:szCs w:val="20"/>
    </w:rPr>
  </w:style>
  <w:style w:type="paragraph" w:styleId="839" w:customStyle="1">
    <w:name w:val="标题 611"/>
    <w:basedOn w:val="783"/>
    <w:next w:val="783"/>
    <w:link w:val="851"/>
    <w:uiPriority w:val="9"/>
    <w:qFormat/>
    <w:pPr>
      <w:keepLines/>
      <w:keepNext/>
      <w:spacing w:before="320" w:after="200"/>
      <w:outlineLvl w:val="5"/>
    </w:pPr>
    <w:rPr>
      <w:rFonts w:ascii="Arial" w:hAnsi="Arial" w:cs="Arial"/>
      <w:b/>
      <w:bCs/>
      <w:sz w:val="22"/>
    </w:rPr>
  </w:style>
  <w:style w:type="paragraph" w:styleId="840" w:customStyle="1">
    <w:name w:val="标题 711"/>
    <w:basedOn w:val="783"/>
    <w:next w:val="783"/>
    <w:link w:val="852"/>
    <w:uiPriority w:val="9"/>
    <w:qFormat/>
    <w:pPr>
      <w:keepLines/>
      <w:keepNext/>
      <w:spacing w:before="320" w:after="200"/>
      <w:outlineLvl w:val="6"/>
    </w:pPr>
    <w:rPr>
      <w:rFonts w:ascii="Arial" w:hAnsi="Arial" w:cs="Arial"/>
      <w:b/>
      <w:bCs/>
      <w:i/>
      <w:iCs/>
      <w:sz w:val="22"/>
    </w:rPr>
  </w:style>
  <w:style w:type="paragraph" w:styleId="841" w:customStyle="1">
    <w:name w:val="标题 811"/>
    <w:basedOn w:val="783"/>
    <w:next w:val="783"/>
    <w:link w:val="853"/>
    <w:uiPriority w:val="9"/>
    <w:qFormat/>
    <w:pPr>
      <w:keepLines/>
      <w:keepNext/>
      <w:spacing w:before="320" w:after="200"/>
      <w:outlineLvl w:val="7"/>
    </w:pPr>
    <w:rPr>
      <w:rFonts w:ascii="Arial" w:hAnsi="Arial" w:cs="Arial"/>
      <w:i/>
      <w:iCs/>
      <w:sz w:val="22"/>
    </w:rPr>
  </w:style>
  <w:style w:type="paragraph" w:styleId="842" w:customStyle="1">
    <w:name w:val="标题 911"/>
    <w:basedOn w:val="783"/>
    <w:next w:val="783"/>
    <w:link w:val="854"/>
    <w:uiPriority w:val="9"/>
    <w:qFormat/>
    <w:pPr>
      <w:keepLines/>
      <w:keepNext/>
      <w:spacing w:before="320" w:after="200"/>
      <w:outlineLvl w:val="8"/>
    </w:pPr>
    <w:rPr>
      <w:rFonts w:ascii="Arial" w:hAnsi="Arial" w:cs="Arial"/>
      <w:i/>
      <w:iCs/>
      <w:szCs w:val="21"/>
    </w:rPr>
  </w:style>
  <w:style w:type="character" w:styleId="843" w:customStyle="1">
    <w:name w:val="默认段落字体11"/>
    <w:uiPriority w:val="1"/>
    <w:unhideWhenUsed/>
    <w:qFormat/>
  </w:style>
  <w:style w:type="table" w:styleId="844" w:customStyle="1">
    <w:name w:val="普通表格11"/>
    <w:uiPriority w:val="99"/>
    <w:unhideWhenUsed/>
    <w:qFormat/>
    <w:tblPr>
      <w:tblCellMar>
        <w:left w:w="0" w:type="dxa"/>
        <w:top w:w="0" w:type="dxa"/>
        <w:right w:w="0" w:type="dxa"/>
        <w:bottom w:w="0" w:type="dxa"/>
      </w:tblCellMar>
    </w:tblPr>
  </w:style>
  <w:style w:type="character" w:styleId="845" w:customStyle="1">
    <w:name w:val="标题 1 Char1"/>
    <w:basedOn w:val="843"/>
    <w:link w:val="832"/>
    <w:uiPriority w:val="9"/>
    <w:qFormat/>
    <w:rPr>
      <w:rFonts w:ascii="楷体_GB2312" w:hAnsi="Times New Roman" w:eastAsia="楷体_GB2312" w:cs="Times New Roman"/>
      <w:b/>
      <w:sz w:val="28"/>
      <w:szCs w:val="20"/>
    </w:rPr>
  </w:style>
  <w:style w:type="character" w:styleId="846" w:customStyle="1">
    <w:name w:val="标题 2 Char1"/>
    <w:basedOn w:val="843"/>
    <w:link w:val="833"/>
    <w:uiPriority w:val="9"/>
    <w:qFormat/>
    <w:rPr>
      <w:rFonts w:ascii="楷体_GB2312" w:hAnsi="Times New Roman" w:eastAsia="楷体_GB2312" w:cs="Times New Roman"/>
      <w:b/>
      <w:bCs/>
      <w:sz w:val="18"/>
      <w:szCs w:val="20"/>
    </w:rPr>
  </w:style>
  <w:style w:type="character" w:styleId="847" w:customStyle="1">
    <w:name w:val="列出段落 Char"/>
    <w:link w:val="836"/>
    <w:uiPriority w:val="0"/>
    <w:qFormat/>
    <w:rPr>
      <w:rFonts w:ascii="Calibri" w:hAnsi="Calibri" w:eastAsia="宋体" w:cs="Times New Roman"/>
      <w:sz w:val="24"/>
      <w:szCs w:val="22"/>
    </w:rPr>
  </w:style>
  <w:style w:type="character" w:styleId="848" w:customStyle="1">
    <w:name w:val="标题 3 Char1"/>
    <w:basedOn w:val="843"/>
    <w:link w:val="834"/>
    <w:uiPriority w:val="9"/>
    <w:qFormat/>
    <w:rPr>
      <w:rFonts w:ascii="Arial" w:hAnsi="Arial"/>
      <w:b/>
      <w:bCs/>
      <w:sz w:val="24"/>
      <w:szCs w:val="24"/>
    </w:rPr>
  </w:style>
  <w:style w:type="character" w:styleId="849" w:customStyle="1">
    <w:name w:val="标题 4 Char1"/>
    <w:basedOn w:val="843"/>
    <w:link w:val="837"/>
    <w:uiPriority w:val="9"/>
    <w:qFormat/>
    <w:rPr>
      <w:rFonts w:ascii="Times New Roman" w:hAnsi="Times New Roman" w:eastAsia="楷体_GB2312" w:cs="Times New Roman"/>
      <w:b/>
      <w:bCs/>
      <w:sz w:val="15"/>
    </w:rPr>
  </w:style>
  <w:style w:type="character" w:styleId="850" w:customStyle="1">
    <w:name w:val="标题 5 Char1"/>
    <w:basedOn w:val="843"/>
    <w:link w:val="838"/>
    <w:uiPriority w:val="9"/>
    <w:qFormat/>
    <w:rPr>
      <w:rFonts w:ascii="楷体_GB2312" w:hAnsi="Times New Roman" w:eastAsia="楷体_GB2312" w:cs="Times New Roman"/>
      <w:bCs/>
      <w:sz w:val="28"/>
    </w:rPr>
  </w:style>
  <w:style w:type="character" w:styleId="851" w:customStyle="1">
    <w:name w:val="标题 6 Char1"/>
    <w:basedOn w:val="843"/>
    <w:link w:val="839"/>
    <w:uiPriority w:val="9"/>
    <w:qFormat/>
    <w:rPr>
      <w:rFonts w:ascii="Arial" w:hAnsi="Arial" w:eastAsia="Arial" w:cs="Arial"/>
      <w:b/>
      <w:bCs/>
      <w:sz w:val="22"/>
      <w:szCs w:val="22"/>
    </w:rPr>
  </w:style>
  <w:style w:type="character" w:styleId="852" w:customStyle="1">
    <w:name w:val="标题 7 Char1"/>
    <w:basedOn w:val="843"/>
    <w:link w:val="840"/>
    <w:uiPriority w:val="9"/>
    <w:qFormat/>
    <w:rPr>
      <w:rFonts w:ascii="Arial" w:hAnsi="Arial" w:eastAsia="Arial" w:cs="Arial"/>
      <w:b/>
      <w:bCs/>
      <w:i/>
      <w:iCs/>
      <w:sz w:val="22"/>
      <w:szCs w:val="22"/>
    </w:rPr>
  </w:style>
  <w:style w:type="character" w:styleId="853" w:customStyle="1">
    <w:name w:val="标题 8 Char1"/>
    <w:basedOn w:val="843"/>
    <w:link w:val="841"/>
    <w:uiPriority w:val="9"/>
    <w:qFormat/>
    <w:rPr>
      <w:rFonts w:ascii="Arial" w:hAnsi="Arial" w:eastAsia="Arial" w:cs="Arial"/>
      <w:i/>
      <w:iCs/>
      <w:sz w:val="22"/>
      <w:szCs w:val="22"/>
    </w:rPr>
  </w:style>
  <w:style w:type="character" w:styleId="854" w:customStyle="1">
    <w:name w:val="标题 9 Char1"/>
    <w:basedOn w:val="843"/>
    <w:link w:val="842"/>
    <w:uiPriority w:val="9"/>
    <w:qFormat/>
    <w:rPr>
      <w:rFonts w:ascii="Arial" w:hAnsi="Arial" w:eastAsia="Arial" w:cs="Arial"/>
      <w:i/>
      <w:iCs/>
      <w:sz w:val="21"/>
      <w:szCs w:val="21"/>
    </w:rPr>
  </w:style>
  <w:style w:type="paragraph" w:styleId="855" w:customStyle="1">
    <w:name w:val="目录 7111"/>
    <w:basedOn w:val="783"/>
    <w:next w:val="783"/>
    <w:uiPriority w:val="39"/>
    <w:unhideWhenUsed/>
    <w:qFormat/>
    <w:pPr>
      <w:ind w:left="1701"/>
      <w:spacing w:after="57"/>
    </w:pPr>
    <w:rPr>
      <w:rFonts w:ascii="Times New Roman" w:hAnsi="Times New Roman" w:eastAsia="宋体"/>
      <w:szCs w:val="21"/>
    </w:rPr>
  </w:style>
  <w:style w:type="paragraph" w:styleId="856" w:customStyle="1">
    <w:name w:val="正文缩进11"/>
    <w:basedOn w:val="783"/>
    <w:uiPriority w:val="99"/>
    <w:qFormat/>
    <w:pPr>
      <w:ind w:firstLine="420"/>
    </w:pPr>
    <w:rPr>
      <w:rFonts w:ascii="Times New Roman" w:hAnsi="Times New Roman" w:eastAsia="宋体"/>
      <w:szCs w:val="20"/>
    </w:rPr>
  </w:style>
  <w:style w:type="paragraph" w:styleId="857" w:customStyle="1">
    <w:name w:val="题注1"/>
    <w:basedOn w:val="783"/>
    <w:next w:val="783"/>
    <w:uiPriority w:val="35"/>
    <w:qFormat/>
    <w:pPr>
      <w:spacing w:line="276" w:lineRule="auto"/>
    </w:pPr>
    <w:rPr>
      <w:rFonts w:ascii="Times New Roman" w:hAnsi="Times New Roman" w:eastAsia="宋体"/>
      <w:b/>
      <w:bCs/>
      <w:color w:val="4f81bd"/>
      <w:sz w:val="18"/>
      <w:szCs w:val="18"/>
    </w:rPr>
  </w:style>
  <w:style w:type="paragraph" w:styleId="858" w:customStyle="1">
    <w:name w:val="文档结构图11"/>
    <w:basedOn w:val="783"/>
    <w:link w:val="859"/>
    <w:uiPriority w:val="99"/>
    <w:semiHidden/>
    <w:qFormat/>
    <w:pPr>
      <w:shd w:val="clear" w:color="auto" w:fill="000080"/>
    </w:pPr>
    <w:rPr>
      <w:rFonts w:ascii="Times New Roman" w:hAnsi="Times New Roman" w:eastAsia="宋体"/>
      <w:sz w:val="20"/>
      <w:szCs w:val="20"/>
    </w:rPr>
  </w:style>
  <w:style w:type="character" w:styleId="859" w:customStyle="1">
    <w:name w:val="文档结构图 Char1"/>
    <w:basedOn w:val="843"/>
    <w:link w:val="858"/>
    <w:uiPriority w:val="99"/>
    <w:semiHidden/>
    <w:qFormat/>
    <w:rPr>
      <w:rFonts w:ascii="Times New Roman" w:hAnsi="Times New Roman" w:eastAsia="宋体" w:cs="Times New Roman"/>
      <w:sz w:val="20"/>
      <w:szCs w:val="20"/>
      <w:shd w:val="clear" w:color="auto" w:fill="000080"/>
    </w:rPr>
  </w:style>
  <w:style w:type="paragraph" w:styleId="860" w:customStyle="1">
    <w:name w:val="批注文字11"/>
    <w:basedOn w:val="783"/>
    <w:link w:val="861"/>
    <w:uiPriority w:val="99"/>
    <w:unhideWhenUsed/>
    <w:qFormat/>
    <w:pPr>
      <w:jc w:val="left"/>
    </w:pPr>
  </w:style>
  <w:style w:type="character" w:styleId="861" w:customStyle="1">
    <w:name w:val="批注文字 Char1"/>
    <w:basedOn w:val="843"/>
    <w:link w:val="860"/>
    <w:uiPriority w:val="99"/>
    <w:semiHidden/>
    <w:qFormat/>
  </w:style>
  <w:style w:type="paragraph" w:styleId="862" w:customStyle="1">
    <w:name w:val="正文文本11"/>
    <w:basedOn w:val="783"/>
    <w:link w:val="863"/>
    <w:uiPriority w:val="99"/>
    <w:qFormat/>
    <w:rPr>
      <w:rFonts w:ascii="华文中宋" w:hAnsi="Times New Roman" w:eastAsia="华文中宋"/>
      <w:bCs/>
      <w:sz w:val="28"/>
      <w:szCs w:val="20"/>
    </w:rPr>
  </w:style>
  <w:style w:type="character" w:styleId="863" w:customStyle="1">
    <w:name w:val="正文文本 Char1"/>
    <w:basedOn w:val="843"/>
    <w:link w:val="862"/>
    <w:uiPriority w:val="99"/>
    <w:qFormat/>
    <w:rPr>
      <w:rFonts w:ascii="华文中宋" w:hAnsi="Times New Roman" w:eastAsia="华文中宋" w:cs="Times New Roman"/>
      <w:bCs/>
      <w:sz w:val="28"/>
      <w:szCs w:val="20"/>
    </w:rPr>
  </w:style>
  <w:style w:type="paragraph" w:styleId="864" w:customStyle="1">
    <w:name w:val="正文文本缩进11"/>
    <w:basedOn w:val="783"/>
    <w:link w:val="865"/>
    <w:uiPriority w:val="99"/>
    <w:qFormat/>
    <w:pPr>
      <w:ind w:firstLine="576"/>
    </w:pPr>
    <w:rPr>
      <w:rFonts w:ascii="Times New Roman" w:hAnsi="Times New Roman" w:eastAsia="宋体"/>
      <w:b/>
      <w:sz w:val="30"/>
      <w:szCs w:val="20"/>
    </w:rPr>
  </w:style>
  <w:style w:type="character" w:styleId="865" w:customStyle="1">
    <w:name w:val="正文文本缩进 Char1"/>
    <w:basedOn w:val="843"/>
    <w:link w:val="864"/>
    <w:uiPriority w:val="99"/>
    <w:qFormat/>
    <w:rPr>
      <w:rFonts w:ascii="Times New Roman" w:hAnsi="Times New Roman" w:eastAsia="宋体" w:cs="Times New Roman"/>
      <w:b/>
      <w:sz w:val="30"/>
      <w:szCs w:val="20"/>
    </w:rPr>
  </w:style>
  <w:style w:type="paragraph" w:styleId="866" w:customStyle="1">
    <w:name w:val="索引 41"/>
    <w:basedOn w:val="783"/>
    <w:next w:val="783"/>
    <w:uiPriority w:val="99"/>
    <w:qFormat/>
    <w:pPr>
      <w:ind w:left="600"/>
    </w:pPr>
    <w:rPr>
      <w:szCs w:val="24"/>
    </w:rPr>
  </w:style>
  <w:style w:type="paragraph" w:styleId="867" w:customStyle="1">
    <w:name w:val="目录 5111"/>
    <w:basedOn w:val="783"/>
    <w:next w:val="783"/>
    <w:uiPriority w:val="39"/>
    <w:unhideWhenUsed/>
    <w:qFormat/>
    <w:pPr>
      <w:ind w:left="1134"/>
      <w:spacing w:after="57"/>
    </w:pPr>
    <w:rPr>
      <w:rFonts w:ascii="Times New Roman" w:hAnsi="Times New Roman" w:eastAsia="宋体"/>
      <w:szCs w:val="21"/>
    </w:rPr>
  </w:style>
  <w:style w:type="paragraph" w:styleId="868" w:customStyle="1">
    <w:name w:val="目录 3111"/>
    <w:basedOn w:val="783"/>
    <w:next w:val="783"/>
    <w:uiPriority w:val="39"/>
    <w:unhideWhenUsed/>
    <w:qFormat/>
    <w:pPr>
      <w:ind w:left="567"/>
      <w:spacing w:after="57"/>
    </w:pPr>
    <w:rPr>
      <w:rFonts w:ascii="Times New Roman" w:hAnsi="Times New Roman" w:eastAsia="宋体"/>
      <w:szCs w:val="21"/>
    </w:rPr>
  </w:style>
  <w:style w:type="paragraph" w:styleId="869" w:customStyle="1">
    <w:name w:val="纯文本11"/>
    <w:basedOn w:val="783"/>
    <w:uiPriority w:val="0"/>
    <w:qFormat/>
    <w:rPr>
      <w:rFonts w:ascii="黑体"/>
      <w:szCs w:val="21"/>
    </w:rPr>
  </w:style>
  <w:style w:type="paragraph" w:styleId="870" w:customStyle="1">
    <w:name w:val="目录 8111"/>
    <w:basedOn w:val="783"/>
    <w:next w:val="783"/>
    <w:uiPriority w:val="39"/>
    <w:unhideWhenUsed/>
    <w:qFormat/>
    <w:pPr>
      <w:ind w:left="1984"/>
      <w:spacing w:after="57"/>
    </w:pPr>
    <w:rPr>
      <w:rFonts w:ascii="Times New Roman" w:hAnsi="Times New Roman" w:eastAsia="宋体"/>
      <w:szCs w:val="21"/>
    </w:rPr>
  </w:style>
  <w:style w:type="paragraph" w:styleId="871" w:customStyle="1">
    <w:name w:val="日期11"/>
    <w:basedOn w:val="783"/>
    <w:next w:val="783"/>
    <w:link w:val="872"/>
    <w:uiPriority w:val="99"/>
    <w:qFormat/>
    <w:rPr>
      <w:rFonts w:ascii="Times New Roman" w:hAnsi="Times New Roman" w:eastAsia="黑体"/>
      <w:b/>
      <w:sz w:val="36"/>
      <w:szCs w:val="20"/>
    </w:rPr>
  </w:style>
  <w:style w:type="character" w:styleId="872" w:customStyle="1">
    <w:name w:val="日期 Char1"/>
    <w:basedOn w:val="843"/>
    <w:link w:val="871"/>
    <w:uiPriority w:val="99"/>
    <w:qFormat/>
    <w:rPr>
      <w:rFonts w:ascii="Times New Roman" w:hAnsi="Times New Roman" w:eastAsia="黑体" w:cs="Times New Roman"/>
      <w:b/>
      <w:sz w:val="36"/>
      <w:szCs w:val="20"/>
    </w:rPr>
  </w:style>
  <w:style w:type="paragraph" w:styleId="873" w:customStyle="1">
    <w:name w:val="正文文本缩进 211"/>
    <w:basedOn w:val="783"/>
    <w:link w:val="874"/>
    <w:uiPriority w:val="99"/>
    <w:qFormat/>
    <w:pPr>
      <w:ind w:left="900"/>
    </w:pPr>
    <w:rPr>
      <w:rFonts w:ascii="楷体_GB2312" w:hAnsi="Times New Roman" w:eastAsia="楷体_GB2312"/>
      <w:b/>
      <w:sz w:val="28"/>
      <w:szCs w:val="20"/>
    </w:rPr>
  </w:style>
  <w:style w:type="character" w:styleId="874" w:customStyle="1">
    <w:name w:val="正文文本缩进 2 Char1"/>
    <w:basedOn w:val="843"/>
    <w:link w:val="873"/>
    <w:uiPriority w:val="99"/>
    <w:qFormat/>
    <w:rPr>
      <w:rFonts w:ascii="楷体_GB2312" w:hAnsi="Times New Roman" w:eastAsia="楷体_GB2312" w:cs="Times New Roman"/>
      <w:b/>
      <w:sz w:val="28"/>
      <w:szCs w:val="20"/>
    </w:rPr>
  </w:style>
  <w:style w:type="paragraph" w:styleId="875" w:customStyle="1">
    <w:name w:val="尾注文本1"/>
    <w:basedOn w:val="783"/>
    <w:link w:val="876"/>
    <w:uiPriority w:val="99"/>
    <w:unhideWhenUsed/>
    <w:qFormat/>
    <w:rPr>
      <w:rFonts w:ascii="Times New Roman" w:hAnsi="Times New Roman" w:eastAsia="宋体"/>
      <w:sz w:val="20"/>
      <w:szCs w:val="21"/>
    </w:rPr>
  </w:style>
  <w:style w:type="character" w:styleId="876" w:customStyle="1">
    <w:name w:val="尾注文本 Char"/>
    <w:basedOn w:val="843"/>
    <w:link w:val="875"/>
    <w:uiPriority w:val="99"/>
    <w:qFormat/>
    <w:rPr>
      <w:rFonts w:ascii="Times New Roman" w:hAnsi="Times New Roman" w:eastAsia="宋体" w:cs="Times New Roman"/>
      <w:szCs w:val="21"/>
    </w:rPr>
  </w:style>
  <w:style w:type="paragraph" w:styleId="877" w:customStyle="1">
    <w:name w:val="批注框文本11"/>
    <w:basedOn w:val="783"/>
    <w:link w:val="878"/>
    <w:uiPriority w:val="99"/>
    <w:unhideWhenUsed/>
    <w:qFormat/>
    <w:rPr>
      <w:rFonts w:ascii="Times New Roman" w:hAnsi="Times New Roman" w:eastAsia="宋体"/>
      <w:sz w:val="18"/>
      <w:szCs w:val="18"/>
    </w:rPr>
  </w:style>
  <w:style w:type="character" w:styleId="878" w:customStyle="1">
    <w:name w:val="批注框文本 Char1"/>
    <w:basedOn w:val="843"/>
    <w:link w:val="877"/>
    <w:uiPriority w:val="99"/>
    <w:semiHidden/>
    <w:qFormat/>
    <w:rPr>
      <w:rFonts w:ascii="Times New Roman" w:hAnsi="Times New Roman" w:eastAsia="宋体" w:cs="Times New Roman"/>
      <w:sz w:val="18"/>
      <w:szCs w:val="18"/>
    </w:rPr>
  </w:style>
  <w:style w:type="paragraph" w:styleId="879" w:customStyle="1">
    <w:name w:val="页脚11"/>
    <w:basedOn w:val="783"/>
    <w:next w:val="880"/>
    <w:link w:val="881"/>
    <w:uiPriority w:val="99"/>
    <w:qFormat/>
    <w:pPr>
      <w:jc w:val="left"/>
      <w:tabs>
        <w:tab w:val="center" w:pos="4153" w:leader="none"/>
        <w:tab w:val="right" w:pos="8306" w:leader="none"/>
      </w:tabs>
    </w:pPr>
    <w:rPr>
      <w:rFonts w:ascii="Times New Roman" w:hAnsi="Times New Roman" w:eastAsia="宋体"/>
      <w:sz w:val="18"/>
      <w:szCs w:val="20"/>
    </w:rPr>
  </w:style>
  <w:style w:type="paragraph" w:styleId="880" w:customStyle="1">
    <w:name w:val="明显引用1"/>
    <w:next w:val="783"/>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881" w:customStyle="1">
    <w:name w:val="页脚 Char1"/>
    <w:basedOn w:val="843"/>
    <w:link w:val="879"/>
    <w:uiPriority w:val="99"/>
    <w:qFormat/>
    <w:rPr>
      <w:rFonts w:ascii="Times New Roman" w:hAnsi="Times New Roman" w:eastAsia="宋体" w:cs="Times New Roman"/>
      <w:sz w:val="18"/>
      <w:szCs w:val="20"/>
    </w:rPr>
  </w:style>
  <w:style w:type="paragraph" w:styleId="882" w:customStyle="1">
    <w:name w:val="页眉11"/>
    <w:basedOn w:val="783"/>
    <w:link w:val="883"/>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83" w:customStyle="1">
    <w:name w:val="页眉 Char1"/>
    <w:basedOn w:val="843"/>
    <w:link w:val="882"/>
    <w:uiPriority w:val="99"/>
    <w:qFormat/>
    <w:rPr>
      <w:rFonts w:ascii="Times New Roman" w:hAnsi="Times New Roman" w:eastAsia="宋体" w:cs="Times New Roman"/>
      <w:sz w:val="18"/>
      <w:szCs w:val="20"/>
    </w:rPr>
  </w:style>
  <w:style w:type="paragraph" w:styleId="884" w:customStyle="1">
    <w:name w:val="目录 1112"/>
    <w:basedOn w:val="783"/>
    <w:next w:val="783"/>
    <w:uiPriority w:val="39"/>
    <w:unhideWhenUsed/>
    <w:qFormat/>
    <w:pPr>
      <w:spacing w:after="57"/>
    </w:pPr>
    <w:rPr>
      <w:rFonts w:ascii="Times New Roman" w:hAnsi="Times New Roman" w:eastAsia="宋体"/>
      <w:szCs w:val="21"/>
    </w:rPr>
  </w:style>
  <w:style w:type="paragraph" w:styleId="885" w:customStyle="1">
    <w:name w:val="目录 4111"/>
    <w:basedOn w:val="783"/>
    <w:next w:val="783"/>
    <w:uiPriority w:val="39"/>
    <w:unhideWhenUsed/>
    <w:qFormat/>
    <w:pPr>
      <w:ind w:left="850"/>
      <w:spacing w:after="57"/>
    </w:pPr>
    <w:rPr>
      <w:rFonts w:ascii="Times New Roman" w:hAnsi="Times New Roman" w:eastAsia="宋体"/>
      <w:szCs w:val="21"/>
    </w:rPr>
  </w:style>
  <w:style w:type="paragraph" w:styleId="886" w:customStyle="1">
    <w:name w:val="副标题1"/>
    <w:basedOn w:val="783"/>
    <w:next w:val="783"/>
    <w:link w:val="887"/>
    <w:uiPriority w:val="11"/>
    <w:qFormat/>
    <w:pPr>
      <w:ind w:firstLine="471"/>
      <w:jc w:val="center"/>
      <w:spacing w:before="240" w:after="60" w:line="312" w:lineRule="atLeast"/>
      <w:outlineLvl w:val="1"/>
    </w:pPr>
    <w:rPr>
      <w:rFonts w:ascii="Arial" w:hAnsi="Arial"/>
      <w:b/>
      <w:bCs/>
      <w:sz w:val="32"/>
      <w:szCs w:val="32"/>
    </w:rPr>
  </w:style>
  <w:style w:type="character" w:styleId="887" w:customStyle="1">
    <w:name w:val="副标题 Char"/>
    <w:link w:val="886"/>
    <w:uiPriority w:val="11"/>
    <w:qFormat/>
    <w:rPr>
      <w:rFonts w:ascii="Arial" w:hAnsi="Arial"/>
      <w:b/>
      <w:bCs/>
      <w:sz w:val="32"/>
      <w:szCs w:val="32"/>
    </w:rPr>
  </w:style>
  <w:style w:type="paragraph" w:styleId="888" w:customStyle="1">
    <w:name w:val="列表11"/>
    <w:basedOn w:val="783"/>
    <w:uiPriority w:val="0"/>
    <w:qFormat/>
    <w:pPr>
      <w:ind w:firstLine="480"/>
      <w:spacing w:after="20" w:line="360" w:lineRule="auto"/>
      <w:tabs>
        <w:tab w:val="left" w:pos="420" w:leader="none"/>
      </w:tabs>
    </w:pPr>
    <w:rPr>
      <w:rFonts w:ascii="宋体" w:hAnsi="宋体" w:eastAsia="宋体" w:cs="宋体"/>
      <w:sz w:val="24"/>
      <w:szCs w:val="24"/>
    </w:rPr>
  </w:style>
  <w:style w:type="paragraph" w:styleId="889" w:customStyle="1">
    <w:name w:val="脚注文本1"/>
    <w:basedOn w:val="783"/>
    <w:link w:val="890"/>
    <w:uiPriority w:val="99"/>
    <w:unhideWhenUsed/>
    <w:qFormat/>
    <w:pPr>
      <w:spacing w:after="40"/>
    </w:pPr>
    <w:rPr>
      <w:rFonts w:ascii="Times New Roman" w:hAnsi="Times New Roman" w:eastAsia="宋体"/>
      <w:sz w:val="18"/>
      <w:szCs w:val="21"/>
    </w:rPr>
  </w:style>
  <w:style w:type="character" w:styleId="890" w:customStyle="1">
    <w:name w:val="脚注文本 Char"/>
    <w:basedOn w:val="843"/>
    <w:link w:val="889"/>
    <w:uiPriority w:val="99"/>
    <w:qFormat/>
    <w:rPr>
      <w:rFonts w:ascii="Times New Roman" w:hAnsi="Times New Roman" w:eastAsia="宋体" w:cs="Times New Roman"/>
      <w:sz w:val="18"/>
      <w:szCs w:val="21"/>
    </w:rPr>
  </w:style>
  <w:style w:type="paragraph" w:styleId="891" w:customStyle="1">
    <w:name w:val="目录 6111"/>
    <w:basedOn w:val="783"/>
    <w:next w:val="783"/>
    <w:uiPriority w:val="39"/>
    <w:unhideWhenUsed/>
    <w:qFormat/>
    <w:pPr>
      <w:ind w:left="1417"/>
      <w:spacing w:after="57"/>
    </w:pPr>
    <w:rPr>
      <w:rFonts w:ascii="Times New Roman" w:hAnsi="Times New Roman" w:eastAsia="宋体"/>
      <w:szCs w:val="21"/>
    </w:rPr>
  </w:style>
  <w:style w:type="paragraph" w:styleId="892" w:customStyle="1">
    <w:name w:val="正文文本缩进 311"/>
    <w:basedOn w:val="783"/>
    <w:link w:val="893"/>
    <w:uiPriority w:val="99"/>
    <w:qFormat/>
    <w:pPr>
      <w:ind w:left="359" w:firstLine="359"/>
    </w:pPr>
    <w:rPr>
      <w:rFonts w:ascii="Times New Roman" w:hAnsi="Times New Roman" w:eastAsia="宋体"/>
      <w:sz w:val="20"/>
      <w:szCs w:val="20"/>
    </w:rPr>
  </w:style>
  <w:style w:type="character" w:styleId="893" w:customStyle="1">
    <w:name w:val="正文文本缩进 3 Char1"/>
    <w:basedOn w:val="843"/>
    <w:link w:val="892"/>
    <w:uiPriority w:val="99"/>
    <w:qFormat/>
    <w:rPr>
      <w:rFonts w:ascii="Times New Roman" w:hAnsi="Times New Roman" w:eastAsia="宋体" w:cs="Times New Roman"/>
      <w:sz w:val="20"/>
      <w:szCs w:val="20"/>
    </w:rPr>
  </w:style>
  <w:style w:type="paragraph" w:styleId="894" w:customStyle="1">
    <w:name w:val="图表目录11"/>
    <w:basedOn w:val="783"/>
    <w:next w:val="783"/>
    <w:uiPriority w:val="99"/>
    <w:unhideWhenUsed/>
    <w:qFormat/>
    <w:rPr>
      <w:rFonts w:ascii="Times New Roman" w:hAnsi="Times New Roman" w:eastAsia="宋体"/>
      <w:szCs w:val="21"/>
    </w:rPr>
  </w:style>
  <w:style w:type="paragraph" w:styleId="895" w:customStyle="1">
    <w:name w:val="目录 2111"/>
    <w:basedOn w:val="783"/>
    <w:next w:val="783"/>
    <w:uiPriority w:val="39"/>
    <w:unhideWhenUsed/>
    <w:qFormat/>
    <w:pPr>
      <w:ind w:left="283"/>
      <w:spacing w:after="57"/>
    </w:pPr>
    <w:rPr>
      <w:rFonts w:ascii="Times New Roman" w:hAnsi="Times New Roman" w:eastAsia="宋体"/>
      <w:szCs w:val="21"/>
    </w:rPr>
  </w:style>
  <w:style w:type="paragraph" w:styleId="896" w:customStyle="1">
    <w:name w:val="目录 9111"/>
    <w:basedOn w:val="783"/>
    <w:next w:val="783"/>
    <w:uiPriority w:val="39"/>
    <w:unhideWhenUsed/>
    <w:qFormat/>
    <w:pPr>
      <w:ind w:left="2268"/>
      <w:spacing w:after="57"/>
    </w:pPr>
    <w:rPr>
      <w:rFonts w:ascii="Times New Roman" w:hAnsi="Times New Roman" w:eastAsia="宋体"/>
      <w:szCs w:val="21"/>
    </w:rPr>
  </w:style>
  <w:style w:type="paragraph" w:styleId="897" w:customStyle="1">
    <w:name w:val="正文文本 211"/>
    <w:basedOn w:val="783"/>
    <w:link w:val="898"/>
    <w:uiPriority w:val="99"/>
    <w:qFormat/>
    <w:pPr>
      <w:spacing w:after="120" w:line="480" w:lineRule="auto"/>
    </w:pPr>
    <w:rPr>
      <w:rFonts w:ascii="Times New Roman" w:hAnsi="Times New Roman" w:eastAsia="宋体"/>
      <w:sz w:val="20"/>
      <w:szCs w:val="20"/>
    </w:rPr>
  </w:style>
  <w:style w:type="character" w:styleId="898" w:customStyle="1">
    <w:name w:val="正文文本 2 Char1"/>
    <w:basedOn w:val="843"/>
    <w:link w:val="897"/>
    <w:uiPriority w:val="99"/>
    <w:qFormat/>
    <w:rPr>
      <w:rFonts w:ascii="Times New Roman" w:hAnsi="Times New Roman" w:eastAsia="宋体" w:cs="Times New Roman"/>
      <w:sz w:val="20"/>
      <w:szCs w:val="20"/>
    </w:rPr>
  </w:style>
  <w:style w:type="paragraph" w:styleId="899" w:customStyle="1">
    <w:name w:val="普通(网站)11"/>
    <w:basedOn w:val="783"/>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00" w:customStyle="1">
    <w:name w:val="标题11"/>
    <w:basedOn w:val="783"/>
    <w:next w:val="783"/>
    <w:link w:val="901"/>
    <w:uiPriority w:val="10"/>
    <w:qFormat/>
    <w:pPr>
      <w:contextualSpacing/>
      <w:spacing w:before="300" w:after="200"/>
    </w:pPr>
    <w:rPr>
      <w:rFonts w:ascii="Times New Roman" w:hAnsi="Times New Roman" w:eastAsia="宋体"/>
      <w:sz w:val="48"/>
      <w:szCs w:val="48"/>
    </w:rPr>
  </w:style>
  <w:style w:type="character" w:styleId="901" w:customStyle="1">
    <w:name w:val="标题 Char"/>
    <w:basedOn w:val="843"/>
    <w:link w:val="900"/>
    <w:uiPriority w:val="10"/>
    <w:qFormat/>
    <w:rPr>
      <w:rFonts w:ascii="Times New Roman" w:hAnsi="Times New Roman" w:eastAsia="宋体" w:cs="Times New Roman"/>
      <w:sz w:val="48"/>
      <w:szCs w:val="48"/>
    </w:rPr>
  </w:style>
  <w:style w:type="paragraph" w:styleId="902" w:customStyle="1">
    <w:name w:val="批注主题11"/>
    <w:basedOn w:val="860"/>
    <w:next w:val="860"/>
    <w:link w:val="903"/>
    <w:uiPriority w:val="99"/>
    <w:unhideWhenUsed/>
    <w:qFormat/>
    <w:rPr>
      <w:b/>
      <w:bCs/>
    </w:rPr>
  </w:style>
  <w:style w:type="character" w:styleId="903" w:customStyle="1">
    <w:name w:val="批注主题 Char1"/>
    <w:basedOn w:val="861"/>
    <w:link w:val="902"/>
    <w:uiPriority w:val="99"/>
    <w:semiHidden/>
    <w:qFormat/>
    <w:rPr>
      <w:b/>
      <w:bCs/>
    </w:rPr>
  </w:style>
  <w:style w:type="paragraph" w:styleId="904" w:customStyle="1">
    <w:name w:val="正文首行缩进11"/>
    <w:basedOn w:val="862"/>
    <w:uiPriority w:val="99"/>
    <w:unhideWhenUsed/>
    <w:qFormat/>
    <w:pPr>
      <w:ind w:firstLine="420"/>
      <w:spacing w:after="120"/>
    </w:pPr>
    <w:rPr>
      <w:rFonts w:ascii="Calibri" w:hAnsi="Calibri" w:eastAsia="宋体"/>
      <w:sz w:val="21"/>
      <w:szCs w:val="22"/>
    </w:rPr>
  </w:style>
  <w:style w:type="paragraph" w:styleId="905" w:customStyle="1">
    <w:name w:val="正文首行缩进 211"/>
    <w:basedOn w:val="864"/>
    <w:next w:val="783"/>
    <w:link w:val="906"/>
    <w:uiPriority w:val="99"/>
    <w:unhideWhenUsed/>
    <w:qFormat/>
    <w:pPr>
      <w:ind w:left="420" w:firstLine="420"/>
      <w:spacing w:after="120"/>
    </w:pPr>
    <w:rPr>
      <w:rFonts w:ascii="Calibri" w:hAnsi="Calibri" w:eastAsia="Arial"/>
      <w:b w:val="0"/>
      <w:sz w:val="21"/>
      <w:szCs w:val="22"/>
    </w:rPr>
  </w:style>
  <w:style w:type="character" w:styleId="906" w:customStyle="1">
    <w:name w:val="正文首行缩进 2 Char1"/>
    <w:basedOn w:val="865"/>
    <w:link w:val="905"/>
    <w:uiPriority w:val="99"/>
    <w:semiHidden/>
    <w:qFormat/>
    <w:rPr>
      <w:rFonts w:ascii="Times New Roman" w:hAnsi="Times New Roman" w:eastAsia="宋体" w:cs="Times New Roman"/>
      <w:b w:val="0"/>
      <w:sz w:val="21"/>
      <w:szCs w:val="22"/>
    </w:rPr>
  </w:style>
  <w:style w:type="table" w:styleId="907" w:customStyle="1">
    <w:name w:val="网格型11"/>
    <w:basedOn w:val="844"/>
    <w:uiPriority w:val="59"/>
    <w:qFormat/>
    <w:rPr>
      <w:rFonts w:eastAsia="Times New Roman"/>
    </w:rPr>
    <w:tblPr>
      <w:tblCellMar>
        <w:left w:w="0" w:type="dxa"/>
        <w:top w:w="0" w:type="dxa"/>
        <w:right w:w="0" w:type="dxa"/>
        <w:bottom w:w="0" w:type="dxa"/>
      </w:tblCellMar>
    </w:tblPr>
  </w:style>
  <w:style w:type="character" w:styleId="908" w:customStyle="1">
    <w:name w:val="要点11"/>
    <w:uiPriority w:val="99"/>
    <w:qFormat/>
    <w:rPr>
      <w:rFonts w:cs="Times New Roman"/>
      <w:b/>
      <w:bCs/>
    </w:rPr>
  </w:style>
  <w:style w:type="character" w:styleId="909" w:customStyle="1">
    <w:name w:val="尾注引用1"/>
    <w:uiPriority w:val="99"/>
    <w:unhideWhenUsed/>
    <w:qFormat/>
    <w:rPr>
      <w:vertAlign w:val="superscript"/>
    </w:rPr>
  </w:style>
  <w:style w:type="character" w:styleId="910" w:customStyle="1">
    <w:name w:val="页码11"/>
    <w:uiPriority w:val="99"/>
    <w:qFormat/>
    <w:rPr>
      <w:rFonts w:cs="Times New Roman"/>
    </w:rPr>
  </w:style>
  <w:style w:type="character" w:styleId="911" w:customStyle="1">
    <w:name w:val="已访问的超链接11"/>
    <w:uiPriority w:val="99"/>
    <w:unhideWhenUsed/>
    <w:qFormat/>
    <w:rPr>
      <w:color w:val="800080"/>
      <w:u w:val="single"/>
    </w:rPr>
  </w:style>
  <w:style w:type="character" w:styleId="912" w:customStyle="1">
    <w:name w:val="HTML 打字机11"/>
    <w:uiPriority w:val="99"/>
    <w:qFormat/>
    <w:rPr>
      <w:rFonts w:ascii="宋体" w:hAnsi="宋体" w:eastAsia="宋体" w:cs="宋体"/>
      <w:sz w:val="24"/>
      <w:szCs w:val="24"/>
    </w:rPr>
  </w:style>
  <w:style w:type="character" w:styleId="913" w:customStyle="1">
    <w:name w:val="超链接11"/>
    <w:uiPriority w:val="99"/>
    <w:qFormat/>
    <w:rPr>
      <w:rFonts w:cs="Times New Roman"/>
      <w:color w:val="000000"/>
      <w:u w:val="none"/>
    </w:rPr>
  </w:style>
  <w:style w:type="character" w:styleId="914" w:customStyle="1">
    <w:name w:val="批注引用11"/>
    <w:basedOn w:val="843"/>
    <w:uiPriority w:val="0"/>
    <w:unhideWhenUsed/>
    <w:qFormat/>
    <w:rPr>
      <w:sz w:val="21"/>
      <w:szCs w:val="21"/>
    </w:rPr>
  </w:style>
  <w:style w:type="character" w:styleId="915" w:customStyle="1">
    <w:name w:val="脚注引用1"/>
    <w:uiPriority w:val="99"/>
    <w:unhideWhenUsed/>
    <w:qFormat/>
    <w:rPr>
      <w:vertAlign w:val="superscript"/>
    </w:rPr>
  </w:style>
  <w:style w:type="character" w:styleId="916" w:customStyle="1">
    <w:name w:val="批注引用1"/>
    <w:uiPriority w:val="0"/>
    <w:semiHidden/>
    <w:qFormat/>
    <w:rPr>
      <w:rFonts w:ascii="Calibri" w:hAnsi="Calibri" w:eastAsia="Arial" w:cs="Times New Roman"/>
      <w:sz w:val="21"/>
      <w:szCs w:val="22"/>
    </w:rPr>
  </w:style>
  <w:style w:type="paragraph" w:styleId="917" w:customStyle="1">
    <w:name w:val="段"/>
    <w:next w:val="783"/>
    <w:uiPriority w:val="0"/>
    <w:qFormat/>
    <w:pPr>
      <w:ind w:firstLine="200"/>
      <w:jc w:val="both"/>
    </w:pPr>
    <w:rPr>
      <w:rFonts w:hint="default" w:ascii="宋体" w:hAnsi="Times New Roman" w:eastAsia="宋体" w:cs="Times New Roman"/>
      <w:sz w:val="21"/>
      <w:lang w:val="en-US" w:eastAsia="zh-CN" w:bidi="ar-SA"/>
    </w:rPr>
  </w:style>
  <w:style w:type="paragraph" w:styleId="918" w:customStyle="1">
    <w:name w:val="TOC 标题1"/>
    <w:uiPriority w:val="39"/>
    <w:unhideWhenUsed/>
    <w:qFormat/>
    <w:rPr>
      <w:rFonts w:hint="default" w:ascii="Calibri" w:hAnsi="Calibri" w:eastAsia="Arial" w:cs="Times New Roman"/>
      <w:lang w:val="en-US" w:eastAsia="zh-CN" w:bidi="ar-SA"/>
    </w:rPr>
  </w:style>
  <w:style w:type="paragraph" w:styleId="919" w:customStyle="1">
    <w:name w:val="font5"/>
    <w:basedOn w:val="783"/>
    <w:uiPriority w:val="0"/>
    <w:qFormat/>
    <w:pPr>
      <w:jc w:val="left"/>
      <w:spacing w:before="100" w:beforeAutospacing="1" w:after="100" w:afterAutospacing="1"/>
      <w:widowControl/>
    </w:pPr>
    <w:rPr>
      <w:rFonts w:ascii="宋体" w:hAnsi="宋体" w:eastAsia="宋体"/>
      <w:sz w:val="18"/>
      <w:szCs w:val="18"/>
    </w:rPr>
  </w:style>
  <w:style w:type="paragraph" w:styleId="920" w:customStyle="1">
    <w:name w:val="font6"/>
    <w:basedOn w:val="783"/>
    <w:uiPriority w:val="0"/>
    <w:qFormat/>
    <w:pPr>
      <w:jc w:val="left"/>
      <w:spacing w:before="100" w:beforeAutospacing="1" w:after="100" w:afterAutospacing="1"/>
      <w:widowControl/>
    </w:pPr>
    <w:rPr>
      <w:rFonts w:ascii="宋体" w:hAnsi="宋体" w:eastAsia="宋体"/>
      <w:b/>
      <w:bCs/>
      <w:sz w:val="20"/>
      <w:szCs w:val="20"/>
    </w:rPr>
  </w:style>
  <w:style w:type="paragraph" w:styleId="921" w:customStyle="1">
    <w:name w:val="font7"/>
    <w:basedOn w:val="783"/>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22" w:customStyle="1">
    <w:name w:val="font8"/>
    <w:basedOn w:val="783"/>
    <w:uiPriority w:val="99"/>
    <w:qFormat/>
    <w:pPr>
      <w:jc w:val="left"/>
      <w:spacing w:before="100" w:beforeAutospacing="1" w:after="100" w:afterAutospacing="1"/>
      <w:widowControl/>
    </w:pPr>
    <w:rPr>
      <w:rFonts w:ascii="宋体" w:hAnsi="宋体" w:eastAsia="宋体"/>
      <w:b/>
      <w:bCs/>
      <w:i/>
      <w:iCs/>
      <w:sz w:val="20"/>
      <w:szCs w:val="20"/>
    </w:rPr>
  </w:style>
  <w:style w:type="paragraph" w:styleId="923" w:customStyle="1">
    <w:name w:val="font9"/>
    <w:basedOn w:val="783"/>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24" w:customStyle="1">
    <w:name w:val="xl24"/>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5" w:customStyle="1">
    <w:name w:val="xl25"/>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6" w:customStyle="1">
    <w:name w:val="xl26"/>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7" w:customStyle="1">
    <w:name w:val="xl27"/>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8" w:customStyle="1">
    <w:name w:val="xl28"/>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9" w:customStyle="1">
    <w:name w:val="xl29"/>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0" w:customStyle="1">
    <w:name w:val="xl30"/>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1" w:customStyle="1">
    <w:name w:val="xl31"/>
    <w:basedOn w:val="78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32" w:customStyle="1">
    <w:name w:val="xl32"/>
    <w:basedOn w:val="7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3" w:customStyle="1">
    <w:name w:val="xl33"/>
    <w:basedOn w:val="78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4" w:customStyle="1">
    <w:name w:val="xl34"/>
    <w:basedOn w:val="7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5" w:customStyle="1">
    <w:name w:val="xl35"/>
    <w:basedOn w:val="7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36" w:customStyle="1">
    <w:name w:val="xl36"/>
    <w:basedOn w:val="7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7" w:customStyle="1">
    <w:name w:val="xl37"/>
    <w:basedOn w:val="7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38" w:customStyle="1">
    <w:name w:val="xl38"/>
    <w:basedOn w:val="7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9" w:customStyle="1">
    <w:name w:val="xl39"/>
    <w:basedOn w:val="7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40" w:customStyle="1">
    <w:name w:val="xl40"/>
    <w:basedOn w:val="7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41" w:customStyle="1">
    <w:name w:val="xl41"/>
    <w:basedOn w:val="78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2" w:customStyle="1">
    <w:name w:val="xl42"/>
    <w:basedOn w:val="78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3" w:customStyle="1">
    <w:name w:val="xl43"/>
    <w:basedOn w:val="78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44" w:customStyle="1">
    <w:name w:val="xl44"/>
    <w:basedOn w:val="78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45" w:customStyle="1">
    <w:name w:val="xl45"/>
    <w:basedOn w:val="783"/>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46" w:customStyle="1">
    <w:name w:val="xl46"/>
    <w:basedOn w:val="783"/>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47" w:customStyle="1">
    <w:name w:val="xl47"/>
    <w:basedOn w:val="78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48" w:customStyle="1">
    <w:name w:val="xl48"/>
    <w:basedOn w:val="78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49" w:customStyle="1">
    <w:name w:val="xl49"/>
    <w:basedOn w:val="783"/>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50" w:customStyle="1">
    <w:name w:val="xl50"/>
    <w:basedOn w:val="78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1" w:customStyle="1">
    <w:name w:val="xl51"/>
    <w:basedOn w:val="783"/>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52" w:customStyle="1">
    <w:name w:val="xl52"/>
    <w:basedOn w:val="783"/>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53" w:customStyle="1">
    <w:name w:val="xl53"/>
    <w:basedOn w:val="783"/>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4" w:customStyle="1">
    <w:name w:val="xl54"/>
    <w:basedOn w:val="783"/>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55" w:customStyle="1">
    <w:name w:val="xl55"/>
    <w:basedOn w:val="783"/>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56" w:customStyle="1">
    <w:name w:val="xl56"/>
    <w:basedOn w:val="783"/>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7" w:customStyle="1">
    <w:name w:val="xl57"/>
    <w:basedOn w:val="78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58" w:customStyle="1">
    <w:name w:val="xl58"/>
    <w:basedOn w:val="783"/>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59" w:customStyle="1">
    <w:name w:val="xl59"/>
    <w:basedOn w:val="78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0" w:customStyle="1">
    <w:name w:val="xl60"/>
    <w:basedOn w:val="783"/>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61" w:customStyle="1">
    <w:name w:val="xl61"/>
    <w:basedOn w:val="783"/>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62" w:customStyle="1">
    <w:name w:val="xl62"/>
    <w:basedOn w:val="783"/>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3" w:customStyle="1">
    <w:name w:val="xl63"/>
    <w:basedOn w:val="783"/>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64" w:customStyle="1">
    <w:name w:val="font10"/>
    <w:basedOn w:val="783"/>
    <w:uiPriority w:val="99"/>
    <w:qFormat/>
    <w:pPr>
      <w:jc w:val="left"/>
      <w:spacing w:before="100" w:beforeAutospacing="1" w:after="100" w:afterAutospacing="1"/>
      <w:widowControl/>
    </w:pPr>
    <w:rPr>
      <w:rFonts w:ascii="楷体_GB2312" w:hAnsi="宋体" w:eastAsia="楷体_GB2312"/>
      <w:b/>
      <w:bCs/>
      <w:sz w:val="18"/>
      <w:szCs w:val="18"/>
    </w:rPr>
  </w:style>
  <w:style w:type="paragraph" w:styleId="965" w:customStyle="1">
    <w:name w:val="font11"/>
    <w:basedOn w:val="783"/>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66" w:customStyle="1">
    <w:name w:val="font12"/>
    <w:basedOn w:val="783"/>
    <w:uiPriority w:val="99"/>
    <w:qFormat/>
    <w:pPr>
      <w:jc w:val="left"/>
      <w:spacing w:before="100" w:beforeAutospacing="1" w:after="100" w:afterAutospacing="1"/>
      <w:widowControl/>
    </w:pPr>
    <w:rPr>
      <w:rFonts w:ascii="宋体" w:hAnsi="宋体" w:eastAsia="宋体"/>
      <w:sz w:val="36"/>
      <w:szCs w:val="36"/>
    </w:rPr>
  </w:style>
  <w:style w:type="paragraph" w:styleId="967" w:customStyle="1">
    <w:name w:val="font13"/>
    <w:basedOn w:val="783"/>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68" w:customStyle="1">
    <w:name w:val="font14"/>
    <w:basedOn w:val="783"/>
    <w:uiPriority w:val="99"/>
    <w:qFormat/>
    <w:pPr>
      <w:jc w:val="left"/>
      <w:spacing w:before="100" w:beforeAutospacing="1" w:after="100" w:afterAutospacing="1"/>
      <w:widowControl/>
    </w:pPr>
    <w:rPr>
      <w:rFonts w:ascii="Times New Roman" w:hAnsi="Times New Roman" w:eastAsia="宋体"/>
      <w:sz w:val="36"/>
      <w:szCs w:val="36"/>
    </w:rPr>
  </w:style>
  <w:style w:type="character" w:styleId="969" w:customStyle="1">
    <w:name w:val="case31"/>
    <w:uiPriority w:val="99"/>
    <w:qFormat/>
    <w:rPr>
      <w:rFonts w:cs="Times New Roman"/>
      <w:spacing w:val="390"/>
      <w:sz w:val="21"/>
      <w:szCs w:val="21"/>
    </w:rPr>
  </w:style>
  <w:style w:type="paragraph" w:styleId="970" w:customStyle="1">
    <w:name w:val="普通文字"/>
    <w:basedOn w:val="783"/>
    <w:next w:val="783"/>
    <w:uiPriority w:val="99"/>
    <w:qFormat/>
    <w:rPr>
      <w:rFonts w:ascii="宋体" w:hAnsi="Times New Roman" w:eastAsia="宋体"/>
      <w:sz w:val="24"/>
      <w:szCs w:val="20"/>
    </w:rPr>
  </w:style>
  <w:style w:type="paragraph" w:styleId="971" w:customStyle="1">
    <w:name w:val="默认段落字体 Para Char"/>
    <w:basedOn w:val="783"/>
    <w:uiPriority w:val="99"/>
    <w:qFormat/>
    <w:pPr>
      <w:ind w:left="552" w:hanging="420"/>
      <w:tabs>
        <w:tab w:val="left" w:pos="552" w:leader="none"/>
      </w:tabs>
    </w:pPr>
    <w:rPr>
      <w:rFonts w:ascii="Times New Roman" w:hAnsi="Times New Roman" w:eastAsia="宋体"/>
      <w:sz w:val="24"/>
      <w:szCs w:val="24"/>
    </w:rPr>
  </w:style>
  <w:style w:type="paragraph" w:styleId="972" w:customStyle="1">
    <w:name w:val="Char Char Char Char"/>
    <w:basedOn w:val="858"/>
    <w:uiPriority w:val="0"/>
    <w:qFormat/>
    <w:pPr>
      <w:spacing w:line="360" w:lineRule="auto"/>
    </w:pPr>
    <w:rPr>
      <w:rFonts w:ascii="Tahoma" w:hAnsi="Tahoma"/>
      <w:sz w:val="24"/>
      <w:szCs w:val="24"/>
    </w:rPr>
  </w:style>
  <w:style w:type="paragraph" w:styleId="973" w:customStyle="1">
    <w:name w:val="Char Char1 Char Char Char Char"/>
    <w:basedOn w:val="858"/>
    <w:uiPriority w:val="99"/>
    <w:qFormat/>
    <w:pPr>
      <w:ind w:left="357"/>
      <w:jc w:val="left"/>
      <w:spacing w:line="436" w:lineRule="exact"/>
      <w:outlineLvl w:val="3"/>
    </w:pPr>
    <w:rPr>
      <w:rFonts w:ascii="Tahoma" w:hAnsi="Tahoma"/>
      <w:b/>
      <w:sz w:val="24"/>
      <w:szCs w:val="24"/>
    </w:rPr>
  </w:style>
  <w:style w:type="paragraph" w:styleId="974">
    <w:name w:val="List Paragraph"/>
    <w:basedOn w:val="783"/>
    <w:uiPriority w:val="34"/>
    <w:qFormat/>
    <w:pPr>
      <w:numPr>
        <w:ilvl w:val="0"/>
        <w:numId w:val="2"/>
      </w:numPr>
      <w:spacing w:line="360" w:lineRule="auto"/>
    </w:pPr>
    <w:rPr>
      <w:rFonts w:ascii="Arial" w:hAnsi="Arial" w:eastAsia="宋体" w:cs="宋体"/>
      <w:b/>
      <w:sz w:val="24"/>
      <w:szCs w:val="20"/>
    </w:rPr>
  </w:style>
  <w:style w:type="paragraph" w:styleId="975" w:customStyle="1">
    <w:name w:val="修订1"/>
    <w:uiPriority w:val="99"/>
    <w:semiHidden/>
    <w:qFormat/>
    <w:rPr>
      <w:rFonts w:hint="default" w:ascii="Times New Roman" w:hAnsi="Times New Roman" w:eastAsia="宋体" w:cs="Times New Roman"/>
      <w:sz w:val="21"/>
      <w:lang w:val="en-US" w:eastAsia="zh-CN" w:bidi="ar-SA"/>
    </w:rPr>
  </w:style>
  <w:style w:type="paragraph" w:styleId="976" w:customStyle="1">
    <w:name w:val="列表段落1"/>
    <w:basedOn w:val="783"/>
    <w:uiPriority w:val="34"/>
    <w:qFormat/>
    <w:pPr>
      <w:ind w:firstLine="420"/>
    </w:pPr>
  </w:style>
  <w:style w:type="paragraph" w:styleId="977" w:customStyle="1">
    <w:name w:val="样式 小四 段前: 5 磅 段后: 5 磅 首行缩进:  2 字符"/>
    <w:basedOn w:val="783"/>
    <w:uiPriority w:val="0"/>
    <w:qFormat/>
    <w:pPr>
      <w:spacing w:line="360" w:lineRule="auto"/>
    </w:pPr>
    <w:rPr>
      <w:rFonts w:ascii="宋体" w:hAnsi="宋体"/>
      <w:szCs w:val="21"/>
    </w:rPr>
  </w:style>
  <w:style w:type="table" w:styleId="978" w:customStyle="1">
    <w:name w:val="网格型1"/>
    <w:basedOn w:val="844"/>
    <w:uiPriority w:val="59"/>
    <w:qFormat/>
    <w:tblPr>
      <w:tblCellMar>
        <w:left w:w="0" w:type="dxa"/>
        <w:top w:w="0" w:type="dxa"/>
        <w:right w:w="0" w:type="dxa"/>
        <w:bottom w:w="0" w:type="dxa"/>
      </w:tblCellMar>
    </w:tblPr>
  </w:style>
  <w:style w:type="table" w:styleId="979" w:customStyle="1">
    <w:name w:val="网格型2"/>
    <w:basedOn w:val="844"/>
    <w:uiPriority w:val="39"/>
    <w:qFormat/>
    <w:tblPr>
      <w:tblCellMar>
        <w:left w:w="0" w:type="dxa"/>
        <w:top w:w="0" w:type="dxa"/>
        <w:right w:w="0" w:type="dxa"/>
        <w:bottom w:w="0" w:type="dxa"/>
      </w:tblCellMar>
    </w:tblPr>
  </w:style>
  <w:style w:type="table" w:styleId="980" w:customStyle="1">
    <w:name w:val="网格型3"/>
    <w:basedOn w:val="844"/>
    <w:uiPriority w:val="39"/>
    <w:qFormat/>
    <w:tblPr>
      <w:tblCellMar>
        <w:left w:w="0" w:type="dxa"/>
        <w:top w:w="0" w:type="dxa"/>
        <w:right w:w="0" w:type="dxa"/>
        <w:bottom w:w="0" w:type="dxa"/>
      </w:tblCellMar>
    </w:tblPr>
  </w:style>
  <w:style w:type="table" w:styleId="981" w:customStyle="1">
    <w:name w:val="网格型4"/>
    <w:basedOn w:val="844"/>
    <w:uiPriority w:val="39"/>
    <w:qFormat/>
    <w:tblPr>
      <w:tblCellMar>
        <w:left w:w="0" w:type="dxa"/>
        <w:top w:w="0" w:type="dxa"/>
        <w:right w:w="0" w:type="dxa"/>
        <w:bottom w:w="0" w:type="dxa"/>
      </w:tblCellMar>
    </w:tblPr>
  </w:style>
  <w:style w:type="paragraph" w:styleId="982" w:customStyle="1">
    <w:name w:val="List Paragraph1"/>
    <w:basedOn w:val="783"/>
    <w:uiPriority w:val="0"/>
    <w:qFormat/>
    <w:pPr>
      <w:ind w:firstLine="420"/>
    </w:pPr>
    <w:rPr>
      <w:szCs w:val="21"/>
    </w:rPr>
  </w:style>
  <w:style w:type="paragraph" w:styleId="983" w:customStyle="1">
    <w:name w:val="标题 31"/>
    <w:basedOn w:val="783"/>
    <w:next w:val="783"/>
    <w:link w:val="984"/>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84" w:customStyle="1">
    <w:name w:val="标题 3 Char"/>
    <w:link w:val="983"/>
    <w:uiPriority w:val="0"/>
    <w:qFormat/>
    <w:rPr>
      <w:rFonts w:ascii="Times New Roman" w:hAnsi="Times New Roman" w:eastAsia="宋体" w:cs="Times New Roman"/>
      <w:b/>
      <w:bCs/>
      <w:sz w:val="32"/>
      <w:szCs w:val="32"/>
      <w:lang w:eastAsia="en-US"/>
    </w:rPr>
  </w:style>
  <w:style w:type="character" w:styleId="985" w:customStyle="1">
    <w:name w:val="Heading 1 Char"/>
    <w:uiPriority w:val="9"/>
    <w:qFormat/>
    <w:rPr>
      <w:rFonts w:ascii="Arial" w:hAnsi="Arial" w:eastAsia="Arial" w:cs="Arial"/>
      <w:sz w:val="40"/>
      <w:szCs w:val="40"/>
    </w:rPr>
  </w:style>
  <w:style w:type="character" w:styleId="986" w:customStyle="1">
    <w:name w:val="Heading 2 Char"/>
    <w:uiPriority w:val="9"/>
    <w:qFormat/>
    <w:rPr>
      <w:rFonts w:ascii="Arial" w:hAnsi="Arial" w:eastAsia="Arial" w:cs="Arial"/>
      <w:sz w:val="34"/>
    </w:rPr>
  </w:style>
  <w:style w:type="character" w:styleId="987" w:customStyle="1">
    <w:name w:val="Heading 3 Char"/>
    <w:uiPriority w:val="9"/>
    <w:qFormat/>
    <w:rPr>
      <w:rFonts w:ascii="Arial" w:hAnsi="Arial" w:eastAsia="Arial" w:cs="Arial"/>
      <w:sz w:val="30"/>
      <w:szCs w:val="30"/>
    </w:rPr>
  </w:style>
  <w:style w:type="character" w:styleId="988" w:customStyle="1">
    <w:name w:val="Heading 4 Char"/>
    <w:uiPriority w:val="9"/>
    <w:qFormat/>
    <w:rPr>
      <w:rFonts w:ascii="Arial" w:hAnsi="Arial" w:eastAsia="Arial" w:cs="Arial"/>
      <w:b/>
      <w:bCs/>
      <w:sz w:val="26"/>
      <w:szCs w:val="26"/>
    </w:rPr>
  </w:style>
  <w:style w:type="character" w:styleId="989" w:customStyle="1">
    <w:name w:val="Heading 5 Char"/>
    <w:uiPriority w:val="9"/>
    <w:qFormat/>
    <w:rPr>
      <w:rFonts w:ascii="Arial" w:hAnsi="Arial" w:eastAsia="Arial" w:cs="Arial"/>
      <w:b/>
      <w:bCs/>
      <w:sz w:val="24"/>
      <w:szCs w:val="24"/>
    </w:rPr>
  </w:style>
  <w:style w:type="character" w:styleId="990" w:customStyle="1">
    <w:name w:val="Heading 6 Char"/>
    <w:uiPriority w:val="9"/>
    <w:qFormat/>
    <w:rPr>
      <w:rFonts w:ascii="Arial" w:hAnsi="Arial" w:eastAsia="Arial" w:cs="Arial"/>
      <w:b/>
      <w:bCs/>
      <w:sz w:val="22"/>
      <w:szCs w:val="22"/>
    </w:rPr>
  </w:style>
  <w:style w:type="character" w:styleId="991" w:customStyle="1">
    <w:name w:val="Heading 7 Char"/>
    <w:uiPriority w:val="9"/>
    <w:qFormat/>
    <w:rPr>
      <w:rFonts w:ascii="Arial" w:hAnsi="Arial" w:eastAsia="Arial" w:cs="Arial"/>
      <w:b/>
      <w:bCs/>
      <w:i/>
      <w:iCs/>
      <w:sz w:val="22"/>
      <w:szCs w:val="22"/>
    </w:rPr>
  </w:style>
  <w:style w:type="character" w:styleId="992" w:customStyle="1">
    <w:name w:val="Heading 8 Char"/>
    <w:uiPriority w:val="9"/>
    <w:qFormat/>
    <w:rPr>
      <w:rFonts w:ascii="Arial" w:hAnsi="Arial" w:eastAsia="Arial" w:cs="Arial"/>
      <w:i/>
      <w:iCs/>
      <w:sz w:val="22"/>
      <w:szCs w:val="22"/>
    </w:rPr>
  </w:style>
  <w:style w:type="character" w:styleId="993" w:customStyle="1">
    <w:name w:val="Heading 9 Char"/>
    <w:uiPriority w:val="9"/>
    <w:qFormat/>
    <w:rPr>
      <w:rFonts w:ascii="Arial" w:hAnsi="Arial" w:eastAsia="Arial" w:cs="Arial"/>
      <w:i/>
      <w:iCs/>
      <w:sz w:val="21"/>
      <w:szCs w:val="21"/>
    </w:rPr>
  </w:style>
  <w:style w:type="paragraph" w:styleId="994">
    <w:name w:val="No Spacing"/>
    <w:uiPriority w:val="1"/>
    <w:qFormat/>
    <w:rPr>
      <w:rFonts w:hint="default" w:ascii="Calibri" w:hAnsi="Calibri" w:eastAsia="宋体" w:cs="Times New Roman"/>
      <w:lang w:val="en-US" w:eastAsia="zh-CN" w:bidi="ar-SA"/>
    </w:rPr>
  </w:style>
  <w:style w:type="character" w:styleId="995" w:customStyle="1">
    <w:name w:val="Title Char"/>
    <w:uiPriority w:val="10"/>
    <w:qFormat/>
    <w:rPr>
      <w:sz w:val="48"/>
      <w:szCs w:val="48"/>
    </w:rPr>
  </w:style>
  <w:style w:type="character" w:styleId="996" w:customStyle="1">
    <w:name w:val="Subtitle Char"/>
    <w:uiPriority w:val="11"/>
    <w:qFormat/>
    <w:rPr>
      <w:sz w:val="24"/>
      <w:szCs w:val="24"/>
    </w:rPr>
  </w:style>
  <w:style w:type="paragraph" w:styleId="997">
    <w:name w:val="Quote"/>
    <w:basedOn w:val="783"/>
    <w:next w:val="783"/>
    <w:link w:val="998"/>
    <w:uiPriority w:val="29"/>
    <w:qFormat/>
    <w:pPr>
      <w:ind w:left="720" w:right="720"/>
    </w:pPr>
    <w:rPr>
      <w:rFonts w:ascii="Times New Roman" w:hAnsi="Times New Roman" w:eastAsia="宋体"/>
      <w:i/>
      <w:szCs w:val="21"/>
    </w:rPr>
  </w:style>
  <w:style w:type="character" w:styleId="998" w:customStyle="1">
    <w:name w:val="引用 Char"/>
    <w:basedOn w:val="843"/>
    <w:link w:val="997"/>
    <w:uiPriority w:val="29"/>
    <w:qFormat/>
    <w:rPr>
      <w:rFonts w:ascii="Times New Roman" w:hAnsi="Times New Roman" w:eastAsia="宋体" w:cs="Times New Roman"/>
      <w:i/>
      <w:sz w:val="21"/>
      <w:szCs w:val="21"/>
    </w:rPr>
  </w:style>
  <w:style w:type="character" w:styleId="999" w:customStyle="1">
    <w:name w:val="Quote Char"/>
    <w:uiPriority w:val="29"/>
    <w:qFormat/>
    <w:rPr>
      <w:i/>
    </w:rPr>
  </w:style>
  <w:style w:type="paragraph" w:styleId="1000">
    <w:name w:val="Intense Quote"/>
    <w:basedOn w:val="783"/>
    <w:next w:val="783"/>
    <w:link w:val="10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01" w:customStyle="1">
    <w:name w:val="明显引用 Char"/>
    <w:basedOn w:val="843"/>
    <w:link w:val="1000"/>
    <w:uiPriority w:val="30"/>
    <w:qFormat/>
    <w:rPr>
      <w:rFonts w:ascii="Times New Roman" w:hAnsi="Times New Roman" w:eastAsia="宋体" w:cs="Times New Roman"/>
      <w:i/>
      <w:sz w:val="21"/>
      <w:szCs w:val="21"/>
      <w:shd w:val="clear" w:color="auto" w:fill="f2f2f2"/>
    </w:rPr>
  </w:style>
  <w:style w:type="character" w:styleId="1002" w:customStyle="1">
    <w:name w:val="Intense Quote Char"/>
    <w:uiPriority w:val="30"/>
    <w:qFormat/>
    <w:rPr>
      <w:i/>
    </w:rPr>
  </w:style>
  <w:style w:type="character" w:styleId="1003" w:customStyle="1">
    <w:name w:val="Header Char"/>
    <w:uiPriority w:val="99"/>
    <w:qFormat/>
  </w:style>
  <w:style w:type="character" w:styleId="1004" w:customStyle="1">
    <w:name w:val="Footer Char"/>
    <w:uiPriority w:val="99"/>
    <w:qFormat/>
  </w:style>
  <w:style w:type="character" w:styleId="1005" w:customStyle="1">
    <w:name w:val="Caption Char"/>
    <w:uiPriority w:val="99"/>
    <w:qFormat/>
  </w:style>
  <w:style w:type="character" w:styleId="1006" w:customStyle="1">
    <w:name w:val="Footnote Text Char"/>
    <w:uiPriority w:val="99"/>
    <w:qFormat/>
    <w:rPr>
      <w:sz w:val="18"/>
    </w:rPr>
  </w:style>
  <w:style w:type="character" w:styleId="1007" w:customStyle="1">
    <w:name w:val="Endnote Text Char"/>
    <w:uiPriority w:val="99"/>
    <w:qFormat/>
    <w:rPr>
      <w:sz w:val="20"/>
    </w:rPr>
  </w:style>
  <w:style w:type="paragraph" w:styleId="1008" w:customStyle="1">
    <w:name w:val="目录 71"/>
    <w:basedOn w:val="783"/>
    <w:next w:val="783"/>
    <w:uiPriority w:val="39"/>
    <w:unhideWhenUsed/>
    <w:qFormat/>
    <w:pPr>
      <w:ind w:left="1701"/>
      <w:spacing w:after="57"/>
    </w:pPr>
    <w:rPr>
      <w:rFonts w:ascii="Times New Roman" w:hAnsi="Times New Roman" w:eastAsia="宋体"/>
      <w:szCs w:val="21"/>
    </w:rPr>
  </w:style>
  <w:style w:type="paragraph" w:styleId="1009" w:customStyle="1">
    <w:name w:val="目录 51"/>
    <w:basedOn w:val="783"/>
    <w:next w:val="783"/>
    <w:uiPriority w:val="39"/>
    <w:unhideWhenUsed/>
    <w:qFormat/>
    <w:pPr>
      <w:ind w:left="1134"/>
      <w:spacing w:after="57"/>
    </w:pPr>
    <w:rPr>
      <w:rFonts w:ascii="Times New Roman" w:hAnsi="Times New Roman" w:eastAsia="宋体"/>
      <w:szCs w:val="21"/>
    </w:rPr>
  </w:style>
  <w:style w:type="paragraph" w:styleId="1010" w:customStyle="1">
    <w:name w:val="目录 31"/>
    <w:basedOn w:val="783"/>
    <w:next w:val="783"/>
    <w:uiPriority w:val="39"/>
    <w:unhideWhenUsed/>
    <w:qFormat/>
    <w:pPr>
      <w:ind w:left="567"/>
      <w:spacing w:after="57"/>
    </w:pPr>
    <w:rPr>
      <w:rFonts w:ascii="Times New Roman" w:hAnsi="Times New Roman" w:eastAsia="宋体"/>
      <w:szCs w:val="21"/>
    </w:rPr>
  </w:style>
  <w:style w:type="paragraph" w:styleId="1011" w:customStyle="1">
    <w:name w:val="目录 81"/>
    <w:basedOn w:val="783"/>
    <w:next w:val="783"/>
    <w:uiPriority w:val="39"/>
    <w:unhideWhenUsed/>
    <w:qFormat/>
    <w:pPr>
      <w:ind w:left="1984"/>
      <w:spacing w:after="57"/>
    </w:pPr>
    <w:rPr>
      <w:rFonts w:ascii="Times New Roman" w:hAnsi="Times New Roman" w:eastAsia="宋体"/>
      <w:szCs w:val="21"/>
    </w:rPr>
  </w:style>
  <w:style w:type="character" w:styleId="1012" w:customStyle="1">
    <w:name w:val="页脚 字符1"/>
    <w:uiPriority w:val="99"/>
    <w:qFormat/>
  </w:style>
  <w:style w:type="paragraph" w:styleId="1013" w:customStyle="1">
    <w:name w:val="目录 11"/>
    <w:basedOn w:val="783"/>
    <w:next w:val="783"/>
    <w:uiPriority w:val="39"/>
    <w:unhideWhenUsed/>
    <w:qFormat/>
    <w:pPr>
      <w:spacing w:after="57"/>
    </w:pPr>
    <w:rPr>
      <w:rFonts w:ascii="Times New Roman" w:hAnsi="Times New Roman" w:eastAsia="宋体"/>
      <w:szCs w:val="21"/>
    </w:rPr>
  </w:style>
  <w:style w:type="paragraph" w:styleId="1014" w:customStyle="1">
    <w:name w:val="目录 41"/>
    <w:basedOn w:val="783"/>
    <w:next w:val="783"/>
    <w:uiPriority w:val="39"/>
    <w:unhideWhenUsed/>
    <w:qFormat/>
    <w:pPr>
      <w:ind w:left="850"/>
      <w:spacing w:after="57"/>
    </w:pPr>
    <w:rPr>
      <w:rFonts w:ascii="Times New Roman" w:hAnsi="Times New Roman" w:eastAsia="宋体"/>
      <w:szCs w:val="21"/>
    </w:rPr>
  </w:style>
  <w:style w:type="paragraph" w:styleId="1015" w:customStyle="1">
    <w:name w:val="目录 61"/>
    <w:basedOn w:val="783"/>
    <w:next w:val="783"/>
    <w:uiPriority w:val="39"/>
    <w:unhideWhenUsed/>
    <w:qFormat/>
    <w:pPr>
      <w:ind w:left="1417"/>
      <w:spacing w:after="57"/>
    </w:pPr>
    <w:rPr>
      <w:rFonts w:ascii="Times New Roman" w:hAnsi="Times New Roman" w:eastAsia="宋体"/>
      <w:szCs w:val="21"/>
    </w:rPr>
  </w:style>
  <w:style w:type="paragraph" w:styleId="1016" w:customStyle="1">
    <w:name w:val="目录 21"/>
    <w:basedOn w:val="783"/>
    <w:next w:val="783"/>
    <w:uiPriority w:val="39"/>
    <w:unhideWhenUsed/>
    <w:qFormat/>
    <w:pPr>
      <w:ind w:left="283"/>
      <w:spacing w:after="57"/>
    </w:pPr>
    <w:rPr>
      <w:rFonts w:ascii="Times New Roman" w:hAnsi="Times New Roman" w:eastAsia="宋体"/>
      <w:szCs w:val="21"/>
    </w:rPr>
  </w:style>
  <w:style w:type="paragraph" w:styleId="1017" w:customStyle="1">
    <w:name w:val="目录 91"/>
    <w:basedOn w:val="783"/>
    <w:next w:val="783"/>
    <w:uiPriority w:val="39"/>
    <w:unhideWhenUsed/>
    <w:qFormat/>
    <w:pPr>
      <w:ind w:left="2268"/>
      <w:spacing w:after="57"/>
    </w:pPr>
    <w:rPr>
      <w:rFonts w:ascii="Times New Roman" w:hAnsi="Times New Roman" w:eastAsia="宋体"/>
      <w:szCs w:val="21"/>
    </w:rPr>
  </w:style>
  <w:style w:type="character" w:styleId="1018" w:customStyle="1">
    <w:name w:val="font5 Char"/>
    <w:uiPriority w:val="0"/>
    <w:qFormat/>
    <w:rPr>
      <w:rFonts w:ascii="宋体" w:hAnsi="宋体" w:eastAsia="宋体"/>
      <w:sz w:val="28"/>
      <w:szCs w:val="28"/>
      <w:lang w:val="en-US" w:eastAsia="zh-CN" w:bidi="ar-SA"/>
    </w:rPr>
  </w:style>
  <w:style w:type="paragraph" w:styleId="1019" w:customStyle="1">
    <w:name w:val="列出段落2"/>
    <w:basedOn w:val="783"/>
    <w:uiPriority w:val="34"/>
    <w:qFormat/>
    <w:pPr>
      <w:contextualSpacing/>
      <w:ind w:left="720"/>
    </w:pPr>
    <w:rPr>
      <w:rFonts w:ascii="Times New Roman" w:hAnsi="Times New Roman" w:eastAsia="宋体"/>
      <w:szCs w:val="21"/>
    </w:rPr>
  </w:style>
  <w:style w:type="table" w:styleId="1020" w:customStyle="1">
    <w:name w:val="Table Grid Light"/>
    <w:uiPriority w:val="59"/>
    <w:qFormat/>
    <w:rPr>
      <w:rFonts w:ascii="Calibri" w:hAnsi="Calibri"/>
    </w:rPr>
    <w:tblPr>
      <w:tblCellMar>
        <w:left w:w="0" w:type="dxa"/>
        <w:top w:w="0" w:type="dxa"/>
        <w:right w:w="0" w:type="dxa"/>
        <w:bottom w:w="0" w:type="dxa"/>
      </w:tblCellMar>
    </w:tblPr>
  </w:style>
  <w:style w:type="table" w:styleId="1021" w:customStyle="1">
    <w:name w:val="Plain Table 1"/>
    <w:uiPriority w:val="59"/>
    <w:qFormat/>
    <w:rPr>
      <w:rFonts w:ascii="Calibri" w:hAnsi="Calibri"/>
    </w:rPr>
    <w:tblPr>
      <w:tblCellMar>
        <w:left w:w="0" w:type="dxa"/>
        <w:top w:w="0" w:type="dxa"/>
        <w:right w:w="0" w:type="dxa"/>
        <w:bottom w:w="0" w:type="dxa"/>
      </w:tblCellMar>
    </w:tblPr>
  </w:style>
  <w:style w:type="table" w:styleId="1022" w:customStyle="1">
    <w:name w:val="Plain Table 2"/>
    <w:uiPriority w:val="59"/>
    <w:qFormat/>
    <w:rPr>
      <w:rFonts w:ascii="Calibri" w:hAnsi="Calibri"/>
    </w:rPr>
    <w:tblPr>
      <w:tblCellMar>
        <w:left w:w="0" w:type="dxa"/>
        <w:top w:w="0" w:type="dxa"/>
        <w:right w:w="0" w:type="dxa"/>
        <w:bottom w:w="0" w:type="dxa"/>
      </w:tblCellMar>
    </w:tblPr>
  </w:style>
  <w:style w:type="table" w:styleId="1023" w:customStyle="1">
    <w:name w:val="Plain Table 3"/>
    <w:uiPriority w:val="99"/>
    <w:qFormat/>
    <w:rPr>
      <w:rFonts w:ascii="Calibri" w:hAnsi="Calibri"/>
    </w:rPr>
    <w:tblPr>
      <w:tblCellMar>
        <w:left w:w="0" w:type="dxa"/>
        <w:top w:w="0" w:type="dxa"/>
        <w:right w:w="0" w:type="dxa"/>
        <w:bottom w:w="0" w:type="dxa"/>
      </w:tblCellMar>
    </w:tblPr>
  </w:style>
  <w:style w:type="table" w:styleId="1024" w:customStyle="1">
    <w:name w:val="Plain Table 4"/>
    <w:uiPriority w:val="99"/>
    <w:qFormat/>
    <w:rPr>
      <w:rFonts w:ascii="Calibri" w:hAnsi="Calibri"/>
    </w:rPr>
    <w:tblPr>
      <w:tblCellMar>
        <w:left w:w="0" w:type="dxa"/>
        <w:top w:w="0" w:type="dxa"/>
        <w:right w:w="0" w:type="dxa"/>
        <w:bottom w:w="0" w:type="dxa"/>
      </w:tblCellMar>
    </w:tblPr>
  </w:style>
  <w:style w:type="table" w:styleId="1025" w:customStyle="1">
    <w:name w:val="Plain Table 5"/>
    <w:uiPriority w:val="99"/>
    <w:qFormat/>
    <w:rPr>
      <w:rFonts w:ascii="Calibri" w:hAnsi="Calibri"/>
    </w:rPr>
    <w:tblPr>
      <w:tblCellMar>
        <w:left w:w="0" w:type="dxa"/>
        <w:top w:w="0" w:type="dxa"/>
        <w:right w:w="0" w:type="dxa"/>
        <w:bottom w:w="0" w:type="dxa"/>
      </w:tblCellMar>
    </w:tblPr>
  </w:style>
  <w:style w:type="table" w:styleId="1026" w:customStyle="1">
    <w:name w:val="Grid Table 1 Light"/>
    <w:uiPriority w:val="99"/>
    <w:qFormat/>
    <w:rPr>
      <w:rFonts w:ascii="Calibri" w:hAnsi="Calibri"/>
    </w:rPr>
    <w:tblPr>
      <w:tblCellMar>
        <w:left w:w="0" w:type="dxa"/>
        <w:top w:w="0" w:type="dxa"/>
        <w:right w:w="0" w:type="dxa"/>
        <w:bottom w:w="0" w:type="dxa"/>
      </w:tblCellMar>
    </w:tblPr>
  </w:style>
  <w:style w:type="table" w:styleId="1027" w:customStyle="1">
    <w:name w:val="Grid Table 1 Light - Accent 1"/>
    <w:uiPriority w:val="99"/>
    <w:qFormat/>
    <w:rPr>
      <w:rFonts w:ascii="Calibri" w:hAnsi="Calibri"/>
    </w:rPr>
    <w:tblPr>
      <w:tblCellMar>
        <w:left w:w="0" w:type="dxa"/>
        <w:top w:w="0" w:type="dxa"/>
        <w:right w:w="0" w:type="dxa"/>
        <w:bottom w:w="0" w:type="dxa"/>
      </w:tblCellMar>
    </w:tblPr>
  </w:style>
  <w:style w:type="table" w:styleId="1028" w:customStyle="1">
    <w:name w:val="Grid Table 1 Light - Accent 2"/>
    <w:uiPriority w:val="99"/>
    <w:qFormat/>
    <w:rPr>
      <w:rFonts w:ascii="Calibri" w:hAnsi="Calibri"/>
    </w:rPr>
    <w:tblPr>
      <w:tblCellMar>
        <w:left w:w="0" w:type="dxa"/>
        <w:top w:w="0" w:type="dxa"/>
        <w:right w:w="0" w:type="dxa"/>
        <w:bottom w:w="0" w:type="dxa"/>
      </w:tblCellMar>
    </w:tblPr>
  </w:style>
  <w:style w:type="table" w:styleId="1029" w:customStyle="1">
    <w:name w:val="Grid Table 1 Light - Accent 3"/>
    <w:uiPriority w:val="99"/>
    <w:qFormat/>
    <w:rPr>
      <w:rFonts w:ascii="Calibri" w:hAnsi="Calibri"/>
    </w:rPr>
    <w:tblPr>
      <w:tblCellMar>
        <w:left w:w="0" w:type="dxa"/>
        <w:top w:w="0" w:type="dxa"/>
        <w:right w:w="0" w:type="dxa"/>
        <w:bottom w:w="0" w:type="dxa"/>
      </w:tblCellMar>
    </w:tblPr>
  </w:style>
  <w:style w:type="table" w:styleId="1030" w:customStyle="1">
    <w:name w:val="Grid Table 1 Light - Accent 4"/>
    <w:uiPriority w:val="99"/>
    <w:qFormat/>
    <w:rPr>
      <w:rFonts w:ascii="Calibri" w:hAnsi="Calibri"/>
    </w:rPr>
    <w:tblPr>
      <w:tblCellMar>
        <w:left w:w="0" w:type="dxa"/>
        <w:top w:w="0" w:type="dxa"/>
        <w:right w:w="0" w:type="dxa"/>
        <w:bottom w:w="0" w:type="dxa"/>
      </w:tblCellMar>
    </w:tblPr>
  </w:style>
  <w:style w:type="table" w:styleId="1031" w:customStyle="1">
    <w:name w:val="Grid Table 1 Light - Accent 5"/>
    <w:uiPriority w:val="99"/>
    <w:qFormat/>
    <w:rPr>
      <w:rFonts w:ascii="Calibri" w:hAnsi="Calibri"/>
    </w:rPr>
    <w:tblPr>
      <w:tblCellMar>
        <w:left w:w="0" w:type="dxa"/>
        <w:top w:w="0" w:type="dxa"/>
        <w:right w:w="0" w:type="dxa"/>
        <w:bottom w:w="0" w:type="dxa"/>
      </w:tblCellMar>
    </w:tblPr>
  </w:style>
  <w:style w:type="table" w:styleId="1032" w:customStyle="1">
    <w:name w:val="Grid Table 1 Light - Accent 6"/>
    <w:uiPriority w:val="99"/>
    <w:qFormat/>
    <w:rPr>
      <w:rFonts w:ascii="Calibri" w:hAnsi="Calibri"/>
    </w:rPr>
    <w:tblPr>
      <w:tblCellMar>
        <w:left w:w="0" w:type="dxa"/>
        <w:top w:w="0" w:type="dxa"/>
        <w:right w:w="0" w:type="dxa"/>
        <w:bottom w:w="0" w:type="dxa"/>
      </w:tblCellMar>
    </w:tblPr>
  </w:style>
  <w:style w:type="table" w:styleId="1033" w:customStyle="1">
    <w:name w:val="Grid Table 2"/>
    <w:uiPriority w:val="99"/>
    <w:qFormat/>
    <w:rPr>
      <w:rFonts w:ascii="Calibri" w:hAnsi="Calibri"/>
    </w:rPr>
    <w:tblPr>
      <w:tblCellMar>
        <w:left w:w="0" w:type="dxa"/>
        <w:top w:w="0" w:type="dxa"/>
        <w:right w:w="0" w:type="dxa"/>
        <w:bottom w:w="0" w:type="dxa"/>
      </w:tblCellMar>
    </w:tblPr>
  </w:style>
  <w:style w:type="table" w:styleId="1034" w:customStyle="1">
    <w:name w:val="Grid Table 2 - Accent 1"/>
    <w:uiPriority w:val="99"/>
    <w:qFormat/>
    <w:rPr>
      <w:rFonts w:ascii="Calibri" w:hAnsi="Calibri"/>
    </w:rPr>
    <w:tblPr>
      <w:tblCellMar>
        <w:left w:w="0" w:type="dxa"/>
        <w:top w:w="0" w:type="dxa"/>
        <w:right w:w="0" w:type="dxa"/>
        <w:bottom w:w="0" w:type="dxa"/>
      </w:tblCellMar>
    </w:tblPr>
  </w:style>
  <w:style w:type="table" w:styleId="1035" w:customStyle="1">
    <w:name w:val="Grid Table 2 - Accent 2"/>
    <w:uiPriority w:val="99"/>
    <w:qFormat/>
    <w:rPr>
      <w:rFonts w:ascii="Calibri" w:hAnsi="Calibri"/>
    </w:rPr>
    <w:tblPr>
      <w:tblCellMar>
        <w:left w:w="0" w:type="dxa"/>
        <w:top w:w="0" w:type="dxa"/>
        <w:right w:w="0" w:type="dxa"/>
        <w:bottom w:w="0" w:type="dxa"/>
      </w:tblCellMar>
    </w:tblPr>
  </w:style>
  <w:style w:type="table" w:styleId="1036" w:customStyle="1">
    <w:name w:val="Grid Table 2 - Accent 3"/>
    <w:uiPriority w:val="99"/>
    <w:qFormat/>
    <w:rPr>
      <w:rFonts w:ascii="Calibri" w:hAnsi="Calibri"/>
    </w:rPr>
    <w:tblPr>
      <w:tblCellMar>
        <w:left w:w="0" w:type="dxa"/>
        <w:top w:w="0" w:type="dxa"/>
        <w:right w:w="0" w:type="dxa"/>
        <w:bottom w:w="0" w:type="dxa"/>
      </w:tblCellMar>
    </w:tblPr>
  </w:style>
  <w:style w:type="table" w:styleId="1037" w:customStyle="1">
    <w:name w:val="Grid Table 2 - Accent 4"/>
    <w:uiPriority w:val="99"/>
    <w:qFormat/>
    <w:rPr>
      <w:rFonts w:ascii="Calibri" w:hAnsi="Calibri"/>
    </w:rPr>
    <w:tblPr>
      <w:tblCellMar>
        <w:left w:w="0" w:type="dxa"/>
        <w:top w:w="0" w:type="dxa"/>
        <w:right w:w="0" w:type="dxa"/>
        <w:bottom w:w="0" w:type="dxa"/>
      </w:tblCellMar>
    </w:tblPr>
  </w:style>
  <w:style w:type="table" w:styleId="1038" w:customStyle="1">
    <w:name w:val="Grid Table 2 - Accent 5"/>
    <w:uiPriority w:val="99"/>
    <w:qFormat/>
    <w:rPr>
      <w:rFonts w:ascii="Calibri" w:hAnsi="Calibri"/>
    </w:rPr>
    <w:tblPr>
      <w:tblCellMar>
        <w:left w:w="0" w:type="dxa"/>
        <w:top w:w="0" w:type="dxa"/>
        <w:right w:w="0" w:type="dxa"/>
        <w:bottom w:w="0" w:type="dxa"/>
      </w:tblCellMar>
    </w:tblPr>
  </w:style>
  <w:style w:type="table" w:styleId="1039" w:customStyle="1">
    <w:name w:val="Grid Table 2 - Accent 6"/>
    <w:uiPriority w:val="99"/>
    <w:qFormat/>
    <w:rPr>
      <w:rFonts w:ascii="Calibri" w:hAnsi="Calibri"/>
    </w:rPr>
    <w:tblPr>
      <w:tblCellMar>
        <w:left w:w="0" w:type="dxa"/>
        <w:top w:w="0" w:type="dxa"/>
        <w:right w:w="0" w:type="dxa"/>
        <w:bottom w:w="0" w:type="dxa"/>
      </w:tblCellMar>
    </w:tblPr>
  </w:style>
  <w:style w:type="table" w:styleId="1040" w:customStyle="1">
    <w:name w:val="Grid Table 3"/>
    <w:uiPriority w:val="99"/>
    <w:qFormat/>
    <w:rPr>
      <w:rFonts w:ascii="Calibri" w:hAnsi="Calibri"/>
    </w:rPr>
    <w:tblPr>
      <w:tblCellMar>
        <w:left w:w="0" w:type="dxa"/>
        <w:top w:w="0" w:type="dxa"/>
        <w:right w:w="0" w:type="dxa"/>
        <w:bottom w:w="0" w:type="dxa"/>
      </w:tblCellMar>
    </w:tblPr>
  </w:style>
  <w:style w:type="table" w:styleId="1041" w:customStyle="1">
    <w:name w:val="Grid Table 3 - Accent 1"/>
    <w:uiPriority w:val="99"/>
    <w:qFormat/>
    <w:rPr>
      <w:rFonts w:ascii="Calibri" w:hAnsi="Calibri"/>
    </w:rPr>
    <w:tblPr>
      <w:tblCellMar>
        <w:left w:w="0" w:type="dxa"/>
        <w:top w:w="0" w:type="dxa"/>
        <w:right w:w="0" w:type="dxa"/>
        <w:bottom w:w="0" w:type="dxa"/>
      </w:tblCellMar>
    </w:tblPr>
  </w:style>
  <w:style w:type="table" w:styleId="1042" w:customStyle="1">
    <w:name w:val="Grid Table 3 - Accent 2"/>
    <w:uiPriority w:val="99"/>
    <w:qFormat/>
    <w:rPr>
      <w:rFonts w:ascii="Calibri" w:hAnsi="Calibri"/>
    </w:rPr>
    <w:tblPr>
      <w:tblCellMar>
        <w:left w:w="0" w:type="dxa"/>
        <w:top w:w="0" w:type="dxa"/>
        <w:right w:w="0" w:type="dxa"/>
        <w:bottom w:w="0" w:type="dxa"/>
      </w:tblCellMar>
    </w:tblPr>
  </w:style>
  <w:style w:type="table" w:styleId="1043" w:customStyle="1">
    <w:name w:val="Grid Table 3 - Accent 3"/>
    <w:uiPriority w:val="99"/>
    <w:qFormat/>
    <w:rPr>
      <w:rFonts w:ascii="Calibri" w:hAnsi="Calibri"/>
    </w:rPr>
    <w:tblPr>
      <w:tblCellMar>
        <w:left w:w="0" w:type="dxa"/>
        <w:top w:w="0" w:type="dxa"/>
        <w:right w:w="0" w:type="dxa"/>
        <w:bottom w:w="0" w:type="dxa"/>
      </w:tblCellMar>
    </w:tblPr>
  </w:style>
  <w:style w:type="table" w:styleId="1044" w:customStyle="1">
    <w:name w:val="Grid Table 3 - Accent 4"/>
    <w:uiPriority w:val="99"/>
    <w:qFormat/>
    <w:rPr>
      <w:rFonts w:ascii="Calibri" w:hAnsi="Calibri"/>
    </w:rPr>
    <w:tblPr>
      <w:tblCellMar>
        <w:left w:w="0" w:type="dxa"/>
        <w:top w:w="0" w:type="dxa"/>
        <w:right w:w="0" w:type="dxa"/>
        <w:bottom w:w="0" w:type="dxa"/>
      </w:tblCellMar>
    </w:tblPr>
  </w:style>
  <w:style w:type="table" w:styleId="1045" w:customStyle="1">
    <w:name w:val="Grid Table 3 - Accent 5"/>
    <w:uiPriority w:val="99"/>
    <w:qFormat/>
    <w:rPr>
      <w:rFonts w:ascii="Calibri" w:hAnsi="Calibri"/>
    </w:rPr>
    <w:tblPr>
      <w:tblCellMar>
        <w:left w:w="0" w:type="dxa"/>
        <w:top w:w="0" w:type="dxa"/>
        <w:right w:w="0" w:type="dxa"/>
        <w:bottom w:w="0" w:type="dxa"/>
      </w:tblCellMar>
    </w:tblPr>
  </w:style>
  <w:style w:type="table" w:styleId="1046" w:customStyle="1">
    <w:name w:val="Grid Table 3 - Accent 6"/>
    <w:uiPriority w:val="99"/>
    <w:qFormat/>
    <w:rPr>
      <w:rFonts w:ascii="Calibri" w:hAnsi="Calibri"/>
    </w:rPr>
    <w:tblPr>
      <w:tblCellMar>
        <w:left w:w="0" w:type="dxa"/>
        <w:top w:w="0" w:type="dxa"/>
        <w:right w:w="0" w:type="dxa"/>
        <w:bottom w:w="0" w:type="dxa"/>
      </w:tblCellMar>
    </w:tblPr>
  </w:style>
  <w:style w:type="table" w:styleId="1047" w:customStyle="1">
    <w:name w:val="Grid Table 4"/>
    <w:uiPriority w:val="59"/>
    <w:qFormat/>
    <w:rPr>
      <w:rFonts w:ascii="Calibri" w:hAnsi="Calibri"/>
    </w:rPr>
    <w:tblPr>
      <w:tblCellMar>
        <w:left w:w="0" w:type="dxa"/>
        <w:top w:w="0" w:type="dxa"/>
        <w:right w:w="0" w:type="dxa"/>
        <w:bottom w:w="0" w:type="dxa"/>
      </w:tblCellMar>
    </w:tblPr>
  </w:style>
  <w:style w:type="table" w:styleId="1048" w:customStyle="1">
    <w:name w:val="Grid Table 4 - Accent 1"/>
    <w:uiPriority w:val="59"/>
    <w:qFormat/>
    <w:rPr>
      <w:rFonts w:ascii="Calibri" w:hAnsi="Calibri"/>
    </w:rPr>
    <w:tblPr>
      <w:tblCellMar>
        <w:left w:w="0" w:type="dxa"/>
        <w:top w:w="0" w:type="dxa"/>
        <w:right w:w="0" w:type="dxa"/>
        <w:bottom w:w="0" w:type="dxa"/>
      </w:tblCellMar>
    </w:tblPr>
  </w:style>
  <w:style w:type="table" w:styleId="1049" w:customStyle="1">
    <w:name w:val="Grid Table 4 - Accent 2"/>
    <w:uiPriority w:val="59"/>
    <w:qFormat/>
    <w:rPr>
      <w:rFonts w:ascii="Calibri" w:hAnsi="Calibri"/>
    </w:rPr>
    <w:tblPr>
      <w:tblCellMar>
        <w:left w:w="0" w:type="dxa"/>
        <w:top w:w="0" w:type="dxa"/>
        <w:right w:w="0" w:type="dxa"/>
        <w:bottom w:w="0" w:type="dxa"/>
      </w:tblCellMar>
    </w:tblPr>
  </w:style>
  <w:style w:type="table" w:styleId="1050" w:customStyle="1">
    <w:name w:val="Grid Table 4 - Accent 3"/>
    <w:uiPriority w:val="59"/>
    <w:qFormat/>
    <w:rPr>
      <w:rFonts w:ascii="Calibri" w:hAnsi="Calibri"/>
    </w:rPr>
    <w:tblPr>
      <w:tblCellMar>
        <w:left w:w="0" w:type="dxa"/>
        <w:top w:w="0" w:type="dxa"/>
        <w:right w:w="0" w:type="dxa"/>
        <w:bottom w:w="0" w:type="dxa"/>
      </w:tblCellMar>
    </w:tblPr>
  </w:style>
  <w:style w:type="table" w:styleId="1051" w:customStyle="1">
    <w:name w:val="Grid Table 4 - Accent 4"/>
    <w:uiPriority w:val="59"/>
    <w:qFormat/>
    <w:rPr>
      <w:rFonts w:ascii="Calibri" w:hAnsi="Calibri"/>
    </w:rPr>
    <w:tblPr>
      <w:tblCellMar>
        <w:left w:w="0" w:type="dxa"/>
        <w:top w:w="0" w:type="dxa"/>
        <w:right w:w="0" w:type="dxa"/>
        <w:bottom w:w="0" w:type="dxa"/>
      </w:tblCellMar>
    </w:tblPr>
  </w:style>
  <w:style w:type="table" w:styleId="1052" w:customStyle="1">
    <w:name w:val="Grid Table 4 - Accent 5"/>
    <w:uiPriority w:val="59"/>
    <w:qFormat/>
    <w:rPr>
      <w:rFonts w:ascii="Calibri" w:hAnsi="Calibri"/>
    </w:rPr>
    <w:tblPr>
      <w:tblCellMar>
        <w:left w:w="0" w:type="dxa"/>
        <w:top w:w="0" w:type="dxa"/>
        <w:right w:w="0" w:type="dxa"/>
        <w:bottom w:w="0" w:type="dxa"/>
      </w:tblCellMar>
    </w:tblPr>
  </w:style>
  <w:style w:type="table" w:styleId="1053" w:customStyle="1">
    <w:name w:val="Grid Table 4 - Accent 6"/>
    <w:uiPriority w:val="59"/>
    <w:qFormat/>
    <w:rPr>
      <w:rFonts w:ascii="Calibri" w:hAnsi="Calibri"/>
    </w:rPr>
    <w:tblPr>
      <w:tblCellMar>
        <w:left w:w="0" w:type="dxa"/>
        <w:top w:w="0" w:type="dxa"/>
        <w:right w:w="0" w:type="dxa"/>
        <w:bottom w:w="0" w:type="dxa"/>
      </w:tblCellMar>
    </w:tblPr>
  </w:style>
  <w:style w:type="table" w:styleId="1054" w:customStyle="1">
    <w:name w:val="Grid Table 5 Dark"/>
    <w:uiPriority w:val="99"/>
    <w:qFormat/>
    <w:rPr>
      <w:rFonts w:ascii="Calibri" w:hAnsi="Calibri"/>
    </w:rPr>
    <w:tblPr>
      <w:tblCellMar>
        <w:left w:w="0" w:type="dxa"/>
        <w:top w:w="0" w:type="dxa"/>
        <w:right w:w="0" w:type="dxa"/>
        <w:bottom w:w="0" w:type="dxa"/>
      </w:tblCellMar>
    </w:tblPr>
  </w:style>
  <w:style w:type="table" w:styleId="1055" w:customStyle="1">
    <w:name w:val="Grid Table 5 Dark- Accent 1"/>
    <w:uiPriority w:val="99"/>
    <w:qFormat/>
    <w:rPr>
      <w:rFonts w:ascii="Calibri" w:hAnsi="Calibri"/>
    </w:rPr>
    <w:tblPr>
      <w:tblCellMar>
        <w:left w:w="0" w:type="dxa"/>
        <w:top w:w="0" w:type="dxa"/>
        <w:right w:w="0" w:type="dxa"/>
        <w:bottom w:w="0" w:type="dxa"/>
      </w:tblCellMar>
    </w:tblPr>
  </w:style>
  <w:style w:type="table" w:styleId="1056" w:customStyle="1">
    <w:name w:val="Grid Table 5 Dark - Accent 2"/>
    <w:uiPriority w:val="99"/>
    <w:qFormat/>
    <w:rPr>
      <w:rFonts w:ascii="Calibri" w:hAnsi="Calibri"/>
    </w:rPr>
    <w:tblPr>
      <w:tblCellMar>
        <w:left w:w="0" w:type="dxa"/>
        <w:top w:w="0" w:type="dxa"/>
        <w:right w:w="0" w:type="dxa"/>
        <w:bottom w:w="0" w:type="dxa"/>
      </w:tblCellMar>
    </w:tblPr>
  </w:style>
  <w:style w:type="table" w:styleId="1057" w:customStyle="1">
    <w:name w:val="Grid Table 5 Dark - Accent 3"/>
    <w:uiPriority w:val="99"/>
    <w:qFormat/>
    <w:rPr>
      <w:rFonts w:ascii="Calibri" w:hAnsi="Calibri"/>
    </w:rPr>
    <w:tblPr>
      <w:tblCellMar>
        <w:left w:w="0" w:type="dxa"/>
        <w:top w:w="0" w:type="dxa"/>
        <w:right w:w="0" w:type="dxa"/>
        <w:bottom w:w="0" w:type="dxa"/>
      </w:tblCellMar>
    </w:tblPr>
  </w:style>
  <w:style w:type="table" w:styleId="1058" w:customStyle="1">
    <w:name w:val="Grid Table 5 Dark- Accent 4"/>
    <w:uiPriority w:val="99"/>
    <w:qFormat/>
    <w:rPr>
      <w:rFonts w:ascii="Calibri" w:hAnsi="Calibri"/>
    </w:rPr>
    <w:tblPr>
      <w:tblCellMar>
        <w:left w:w="0" w:type="dxa"/>
        <w:top w:w="0" w:type="dxa"/>
        <w:right w:w="0" w:type="dxa"/>
        <w:bottom w:w="0" w:type="dxa"/>
      </w:tblCellMar>
    </w:tblPr>
  </w:style>
  <w:style w:type="table" w:styleId="1059" w:customStyle="1">
    <w:name w:val="Grid Table 5 Dark - Accent 5"/>
    <w:uiPriority w:val="99"/>
    <w:qFormat/>
    <w:rPr>
      <w:rFonts w:ascii="Calibri" w:hAnsi="Calibri"/>
    </w:rPr>
    <w:tblPr>
      <w:tblCellMar>
        <w:left w:w="0" w:type="dxa"/>
        <w:top w:w="0" w:type="dxa"/>
        <w:right w:w="0" w:type="dxa"/>
        <w:bottom w:w="0" w:type="dxa"/>
      </w:tblCellMar>
    </w:tblPr>
  </w:style>
  <w:style w:type="table" w:styleId="1060" w:customStyle="1">
    <w:name w:val="Grid Table 5 Dark - Accent 6"/>
    <w:uiPriority w:val="99"/>
    <w:qFormat/>
    <w:rPr>
      <w:rFonts w:ascii="Calibri" w:hAnsi="Calibri"/>
    </w:rPr>
    <w:tblPr>
      <w:tblCellMar>
        <w:left w:w="0" w:type="dxa"/>
        <w:top w:w="0" w:type="dxa"/>
        <w:right w:w="0" w:type="dxa"/>
        <w:bottom w:w="0" w:type="dxa"/>
      </w:tblCellMar>
    </w:tblPr>
  </w:style>
  <w:style w:type="table" w:styleId="1061" w:customStyle="1">
    <w:name w:val="Grid Table 6 Colorful"/>
    <w:uiPriority w:val="99"/>
    <w:qFormat/>
    <w:rPr>
      <w:rFonts w:ascii="Calibri" w:hAnsi="Calibri"/>
    </w:rPr>
    <w:tblPr>
      <w:tblCellMar>
        <w:left w:w="0" w:type="dxa"/>
        <w:top w:w="0" w:type="dxa"/>
        <w:right w:w="0" w:type="dxa"/>
        <w:bottom w:w="0" w:type="dxa"/>
      </w:tblCellMar>
    </w:tblPr>
  </w:style>
  <w:style w:type="table" w:styleId="1062"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63"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64"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65"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66"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67"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68" w:customStyle="1">
    <w:name w:val="Grid Table 7 Colorful"/>
    <w:uiPriority w:val="99"/>
    <w:qFormat/>
    <w:rPr>
      <w:rFonts w:ascii="Calibri" w:hAnsi="Calibri"/>
    </w:rPr>
    <w:tblPr>
      <w:tblCellMar>
        <w:left w:w="0" w:type="dxa"/>
        <w:top w:w="0" w:type="dxa"/>
        <w:right w:w="0" w:type="dxa"/>
        <w:bottom w:w="0" w:type="dxa"/>
      </w:tblCellMar>
    </w:tblPr>
  </w:style>
  <w:style w:type="table" w:styleId="1069"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70"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71"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72"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73"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74"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75" w:customStyle="1">
    <w:name w:val="List Table 1 Light"/>
    <w:uiPriority w:val="99"/>
    <w:qFormat/>
    <w:rPr>
      <w:rFonts w:ascii="Calibri" w:hAnsi="Calibri"/>
    </w:rPr>
    <w:tblPr>
      <w:tblCellMar>
        <w:left w:w="0" w:type="dxa"/>
        <w:top w:w="0" w:type="dxa"/>
        <w:right w:w="0" w:type="dxa"/>
        <w:bottom w:w="0" w:type="dxa"/>
      </w:tblCellMar>
    </w:tblPr>
  </w:style>
  <w:style w:type="table" w:styleId="1076" w:customStyle="1">
    <w:name w:val="List Table 1 Light - Accent 1"/>
    <w:uiPriority w:val="99"/>
    <w:qFormat/>
    <w:rPr>
      <w:rFonts w:ascii="Calibri" w:hAnsi="Calibri"/>
    </w:rPr>
    <w:tblPr>
      <w:tblCellMar>
        <w:left w:w="0" w:type="dxa"/>
        <w:top w:w="0" w:type="dxa"/>
        <w:right w:w="0" w:type="dxa"/>
        <w:bottom w:w="0" w:type="dxa"/>
      </w:tblCellMar>
    </w:tblPr>
  </w:style>
  <w:style w:type="table" w:styleId="1077" w:customStyle="1">
    <w:name w:val="List Table 1 Light - Accent 2"/>
    <w:uiPriority w:val="99"/>
    <w:qFormat/>
    <w:rPr>
      <w:rFonts w:ascii="Calibri" w:hAnsi="Calibri"/>
    </w:rPr>
    <w:tblPr>
      <w:tblCellMar>
        <w:left w:w="0" w:type="dxa"/>
        <w:top w:w="0" w:type="dxa"/>
        <w:right w:w="0" w:type="dxa"/>
        <w:bottom w:w="0" w:type="dxa"/>
      </w:tblCellMar>
    </w:tblPr>
  </w:style>
  <w:style w:type="table" w:styleId="1078" w:customStyle="1">
    <w:name w:val="List Table 1 Light - Accent 3"/>
    <w:uiPriority w:val="99"/>
    <w:qFormat/>
    <w:rPr>
      <w:rFonts w:ascii="Calibri" w:hAnsi="Calibri"/>
    </w:rPr>
    <w:tblPr>
      <w:tblCellMar>
        <w:left w:w="0" w:type="dxa"/>
        <w:top w:w="0" w:type="dxa"/>
        <w:right w:w="0" w:type="dxa"/>
        <w:bottom w:w="0" w:type="dxa"/>
      </w:tblCellMar>
    </w:tblPr>
  </w:style>
  <w:style w:type="table" w:styleId="1079" w:customStyle="1">
    <w:name w:val="List Table 1 Light - Accent 4"/>
    <w:uiPriority w:val="99"/>
    <w:qFormat/>
    <w:rPr>
      <w:rFonts w:ascii="Calibri" w:hAnsi="Calibri"/>
    </w:rPr>
    <w:tblPr>
      <w:tblCellMar>
        <w:left w:w="0" w:type="dxa"/>
        <w:top w:w="0" w:type="dxa"/>
        <w:right w:w="0" w:type="dxa"/>
        <w:bottom w:w="0" w:type="dxa"/>
      </w:tblCellMar>
    </w:tblPr>
  </w:style>
  <w:style w:type="table" w:styleId="1080" w:customStyle="1">
    <w:name w:val="List Table 1 Light - Accent 5"/>
    <w:uiPriority w:val="99"/>
    <w:qFormat/>
    <w:rPr>
      <w:rFonts w:ascii="Calibri" w:hAnsi="Calibri"/>
    </w:rPr>
    <w:tblPr>
      <w:tblCellMar>
        <w:left w:w="0" w:type="dxa"/>
        <w:top w:w="0" w:type="dxa"/>
        <w:right w:w="0" w:type="dxa"/>
        <w:bottom w:w="0" w:type="dxa"/>
      </w:tblCellMar>
    </w:tblPr>
  </w:style>
  <w:style w:type="table" w:styleId="1081" w:customStyle="1">
    <w:name w:val="List Table 1 Light - Accent 6"/>
    <w:uiPriority w:val="99"/>
    <w:qFormat/>
    <w:rPr>
      <w:rFonts w:ascii="Calibri" w:hAnsi="Calibri"/>
    </w:rPr>
    <w:tblPr>
      <w:tblCellMar>
        <w:left w:w="0" w:type="dxa"/>
        <w:top w:w="0" w:type="dxa"/>
        <w:right w:w="0" w:type="dxa"/>
        <w:bottom w:w="0" w:type="dxa"/>
      </w:tblCellMar>
    </w:tblPr>
  </w:style>
  <w:style w:type="table" w:styleId="1082" w:customStyle="1">
    <w:name w:val="List Table 2"/>
    <w:uiPriority w:val="99"/>
    <w:qFormat/>
    <w:rPr>
      <w:rFonts w:ascii="Calibri" w:hAnsi="Calibri"/>
    </w:rPr>
    <w:tblPr>
      <w:tblCellMar>
        <w:left w:w="0" w:type="dxa"/>
        <w:top w:w="0" w:type="dxa"/>
        <w:right w:w="0" w:type="dxa"/>
        <w:bottom w:w="0" w:type="dxa"/>
      </w:tblCellMar>
    </w:tblPr>
  </w:style>
  <w:style w:type="table" w:styleId="1083" w:customStyle="1">
    <w:name w:val="List Table 2 - Accent 1"/>
    <w:uiPriority w:val="99"/>
    <w:qFormat/>
    <w:rPr>
      <w:rFonts w:ascii="Calibri" w:hAnsi="Calibri"/>
    </w:rPr>
    <w:tblPr>
      <w:tblCellMar>
        <w:left w:w="0" w:type="dxa"/>
        <w:top w:w="0" w:type="dxa"/>
        <w:right w:w="0" w:type="dxa"/>
        <w:bottom w:w="0" w:type="dxa"/>
      </w:tblCellMar>
    </w:tblPr>
  </w:style>
  <w:style w:type="table" w:styleId="1084" w:customStyle="1">
    <w:name w:val="List Table 2 - Accent 2"/>
    <w:uiPriority w:val="99"/>
    <w:qFormat/>
    <w:rPr>
      <w:rFonts w:ascii="Calibri" w:hAnsi="Calibri"/>
    </w:rPr>
    <w:tblPr>
      <w:tblCellMar>
        <w:left w:w="0" w:type="dxa"/>
        <w:top w:w="0" w:type="dxa"/>
        <w:right w:w="0" w:type="dxa"/>
        <w:bottom w:w="0" w:type="dxa"/>
      </w:tblCellMar>
    </w:tblPr>
  </w:style>
  <w:style w:type="table" w:styleId="1085" w:customStyle="1">
    <w:name w:val="List Table 2 - Accent 3"/>
    <w:uiPriority w:val="99"/>
    <w:qFormat/>
    <w:rPr>
      <w:rFonts w:ascii="Calibri" w:hAnsi="Calibri"/>
    </w:rPr>
    <w:tblPr>
      <w:tblCellMar>
        <w:left w:w="0" w:type="dxa"/>
        <w:top w:w="0" w:type="dxa"/>
        <w:right w:w="0" w:type="dxa"/>
        <w:bottom w:w="0" w:type="dxa"/>
      </w:tblCellMar>
    </w:tblPr>
  </w:style>
  <w:style w:type="table" w:styleId="1086" w:customStyle="1">
    <w:name w:val="List Table 2 - Accent 4"/>
    <w:uiPriority w:val="99"/>
    <w:qFormat/>
    <w:rPr>
      <w:rFonts w:ascii="Calibri" w:hAnsi="Calibri"/>
    </w:rPr>
    <w:tblPr>
      <w:tblCellMar>
        <w:left w:w="0" w:type="dxa"/>
        <w:top w:w="0" w:type="dxa"/>
        <w:right w:w="0" w:type="dxa"/>
        <w:bottom w:w="0" w:type="dxa"/>
      </w:tblCellMar>
    </w:tblPr>
  </w:style>
  <w:style w:type="table" w:styleId="1087" w:customStyle="1">
    <w:name w:val="List Table 2 - Accent 5"/>
    <w:uiPriority w:val="99"/>
    <w:qFormat/>
    <w:rPr>
      <w:rFonts w:ascii="Calibri" w:hAnsi="Calibri"/>
    </w:rPr>
    <w:tblPr>
      <w:tblCellMar>
        <w:left w:w="0" w:type="dxa"/>
        <w:top w:w="0" w:type="dxa"/>
        <w:right w:w="0" w:type="dxa"/>
        <w:bottom w:w="0" w:type="dxa"/>
      </w:tblCellMar>
    </w:tblPr>
  </w:style>
  <w:style w:type="table" w:styleId="1088" w:customStyle="1">
    <w:name w:val="List Table 2 - Accent 6"/>
    <w:uiPriority w:val="99"/>
    <w:qFormat/>
    <w:rPr>
      <w:rFonts w:ascii="Calibri" w:hAnsi="Calibri"/>
    </w:rPr>
    <w:tblPr>
      <w:tblCellMar>
        <w:left w:w="0" w:type="dxa"/>
        <w:top w:w="0" w:type="dxa"/>
        <w:right w:w="0" w:type="dxa"/>
        <w:bottom w:w="0" w:type="dxa"/>
      </w:tblCellMar>
    </w:tblPr>
  </w:style>
  <w:style w:type="table" w:styleId="1089" w:customStyle="1">
    <w:name w:val="List Table 3"/>
    <w:uiPriority w:val="99"/>
    <w:qFormat/>
    <w:rPr>
      <w:rFonts w:ascii="Calibri" w:hAnsi="Calibri"/>
    </w:rPr>
    <w:tblPr>
      <w:tblCellMar>
        <w:left w:w="0" w:type="dxa"/>
        <w:top w:w="0" w:type="dxa"/>
        <w:right w:w="0" w:type="dxa"/>
        <w:bottom w:w="0" w:type="dxa"/>
      </w:tblCellMar>
    </w:tblPr>
  </w:style>
  <w:style w:type="table" w:styleId="1090" w:customStyle="1">
    <w:name w:val="List Table 3 - Accent 1"/>
    <w:uiPriority w:val="99"/>
    <w:qFormat/>
    <w:rPr>
      <w:rFonts w:ascii="Calibri" w:hAnsi="Calibri"/>
    </w:rPr>
    <w:tblPr>
      <w:tblCellMar>
        <w:left w:w="0" w:type="dxa"/>
        <w:top w:w="0" w:type="dxa"/>
        <w:right w:w="0" w:type="dxa"/>
        <w:bottom w:w="0" w:type="dxa"/>
      </w:tblCellMar>
    </w:tblPr>
  </w:style>
  <w:style w:type="table" w:styleId="1091" w:customStyle="1">
    <w:name w:val="List Table 3 - Accent 2"/>
    <w:uiPriority w:val="99"/>
    <w:qFormat/>
    <w:rPr>
      <w:rFonts w:ascii="Calibri" w:hAnsi="Calibri"/>
    </w:rPr>
    <w:tblPr>
      <w:tblCellMar>
        <w:left w:w="0" w:type="dxa"/>
        <w:top w:w="0" w:type="dxa"/>
        <w:right w:w="0" w:type="dxa"/>
        <w:bottom w:w="0" w:type="dxa"/>
      </w:tblCellMar>
    </w:tblPr>
  </w:style>
  <w:style w:type="table" w:styleId="1092" w:customStyle="1">
    <w:name w:val="List Table 3 - Accent 3"/>
    <w:uiPriority w:val="99"/>
    <w:qFormat/>
    <w:rPr>
      <w:rFonts w:ascii="Calibri" w:hAnsi="Calibri"/>
    </w:rPr>
    <w:tblPr>
      <w:tblCellMar>
        <w:left w:w="0" w:type="dxa"/>
        <w:top w:w="0" w:type="dxa"/>
        <w:right w:w="0" w:type="dxa"/>
        <w:bottom w:w="0" w:type="dxa"/>
      </w:tblCellMar>
    </w:tblPr>
  </w:style>
  <w:style w:type="table" w:styleId="1093" w:customStyle="1">
    <w:name w:val="List Table 3 - Accent 4"/>
    <w:uiPriority w:val="99"/>
    <w:qFormat/>
    <w:rPr>
      <w:rFonts w:ascii="Calibri" w:hAnsi="Calibri"/>
    </w:rPr>
    <w:tblPr>
      <w:tblCellMar>
        <w:left w:w="0" w:type="dxa"/>
        <w:top w:w="0" w:type="dxa"/>
        <w:right w:w="0" w:type="dxa"/>
        <w:bottom w:w="0" w:type="dxa"/>
      </w:tblCellMar>
    </w:tblPr>
  </w:style>
  <w:style w:type="table" w:styleId="1094" w:customStyle="1">
    <w:name w:val="List Table 3 - Accent 5"/>
    <w:uiPriority w:val="99"/>
    <w:qFormat/>
    <w:rPr>
      <w:rFonts w:ascii="Calibri" w:hAnsi="Calibri"/>
    </w:rPr>
    <w:tblPr>
      <w:tblCellMar>
        <w:left w:w="0" w:type="dxa"/>
        <w:top w:w="0" w:type="dxa"/>
        <w:right w:w="0" w:type="dxa"/>
        <w:bottom w:w="0" w:type="dxa"/>
      </w:tblCellMar>
    </w:tblPr>
  </w:style>
  <w:style w:type="table" w:styleId="1095" w:customStyle="1">
    <w:name w:val="List Table 3 - Accent 6"/>
    <w:uiPriority w:val="99"/>
    <w:qFormat/>
    <w:rPr>
      <w:rFonts w:ascii="Calibri" w:hAnsi="Calibri"/>
    </w:rPr>
    <w:tblPr>
      <w:tblCellMar>
        <w:left w:w="0" w:type="dxa"/>
        <w:top w:w="0" w:type="dxa"/>
        <w:right w:w="0" w:type="dxa"/>
        <w:bottom w:w="0" w:type="dxa"/>
      </w:tblCellMar>
    </w:tblPr>
  </w:style>
  <w:style w:type="table" w:styleId="1096" w:customStyle="1">
    <w:name w:val="List Table 4"/>
    <w:uiPriority w:val="99"/>
    <w:qFormat/>
    <w:rPr>
      <w:rFonts w:ascii="Calibri" w:hAnsi="Calibri"/>
    </w:rPr>
    <w:tblPr>
      <w:tblCellMar>
        <w:left w:w="0" w:type="dxa"/>
        <w:top w:w="0" w:type="dxa"/>
        <w:right w:w="0" w:type="dxa"/>
        <w:bottom w:w="0" w:type="dxa"/>
      </w:tblCellMar>
    </w:tblPr>
  </w:style>
  <w:style w:type="table" w:styleId="1097" w:customStyle="1">
    <w:name w:val="List Table 4 - Accent 1"/>
    <w:uiPriority w:val="99"/>
    <w:qFormat/>
    <w:rPr>
      <w:rFonts w:ascii="Calibri" w:hAnsi="Calibri"/>
    </w:rPr>
    <w:tblPr>
      <w:tblCellMar>
        <w:left w:w="0" w:type="dxa"/>
        <w:top w:w="0" w:type="dxa"/>
        <w:right w:w="0" w:type="dxa"/>
        <w:bottom w:w="0" w:type="dxa"/>
      </w:tblCellMar>
    </w:tblPr>
  </w:style>
  <w:style w:type="table" w:styleId="1098" w:customStyle="1">
    <w:name w:val="List Table 4 - Accent 2"/>
    <w:uiPriority w:val="99"/>
    <w:qFormat/>
    <w:rPr>
      <w:rFonts w:ascii="Calibri" w:hAnsi="Calibri"/>
    </w:rPr>
    <w:tblPr>
      <w:tblCellMar>
        <w:left w:w="0" w:type="dxa"/>
        <w:top w:w="0" w:type="dxa"/>
        <w:right w:w="0" w:type="dxa"/>
        <w:bottom w:w="0" w:type="dxa"/>
      </w:tblCellMar>
    </w:tblPr>
  </w:style>
  <w:style w:type="table" w:styleId="1099" w:customStyle="1">
    <w:name w:val="List Table 4 - Accent 3"/>
    <w:uiPriority w:val="99"/>
    <w:qFormat/>
    <w:rPr>
      <w:rFonts w:ascii="Calibri" w:hAnsi="Calibri"/>
    </w:rPr>
    <w:tblPr>
      <w:tblCellMar>
        <w:left w:w="0" w:type="dxa"/>
        <w:top w:w="0" w:type="dxa"/>
        <w:right w:w="0" w:type="dxa"/>
        <w:bottom w:w="0" w:type="dxa"/>
      </w:tblCellMar>
    </w:tblPr>
  </w:style>
  <w:style w:type="table" w:styleId="1100" w:customStyle="1">
    <w:name w:val="List Table 4 - Accent 4"/>
    <w:uiPriority w:val="99"/>
    <w:qFormat/>
    <w:rPr>
      <w:rFonts w:ascii="Calibri" w:hAnsi="Calibri"/>
    </w:rPr>
    <w:tblPr>
      <w:tblCellMar>
        <w:left w:w="0" w:type="dxa"/>
        <w:top w:w="0" w:type="dxa"/>
        <w:right w:w="0" w:type="dxa"/>
        <w:bottom w:w="0" w:type="dxa"/>
      </w:tblCellMar>
    </w:tblPr>
  </w:style>
  <w:style w:type="table" w:styleId="1101" w:customStyle="1">
    <w:name w:val="List Table 4 - Accent 5"/>
    <w:uiPriority w:val="99"/>
    <w:qFormat/>
    <w:rPr>
      <w:rFonts w:ascii="Calibri" w:hAnsi="Calibri"/>
    </w:rPr>
    <w:tblPr>
      <w:tblCellMar>
        <w:left w:w="0" w:type="dxa"/>
        <w:top w:w="0" w:type="dxa"/>
        <w:right w:w="0" w:type="dxa"/>
        <w:bottom w:w="0" w:type="dxa"/>
      </w:tblCellMar>
    </w:tblPr>
  </w:style>
  <w:style w:type="table" w:styleId="1102" w:customStyle="1">
    <w:name w:val="List Table 4 - Accent 6"/>
    <w:uiPriority w:val="99"/>
    <w:qFormat/>
    <w:rPr>
      <w:rFonts w:ascii="Calibri" w:hAnsi="Calibri"/>
    </w:rPr>
    <w:tblPr>
      <w:tblCellMar>
        <w:left w:w="0" w:type="dxa"/>
        <w:top w:w="0" w:type="dxa"/>
        <w:right w:w="0" w:type="dxa"/>
        <w:bottom w:w="0" w:type="dxa"/>
      </w:tblCellMar>
    </w:tblPr>
  </w:style>
  <w:style w:type="table" w:styleId="1103" w:customStyle="1">
    <w:name w:val="List Table 5 Dark"/>
    <w:uiPriority w:val="99"/>
    <w:qFormat/>
    <w:rPr>
      <w:rFonts w:ascii="Calibri" w:hAnsi="Calibri"/>
    </w:rPr>
    <w:tblPr>
      <w:tblCellMar>
        <w:left w:w="0" w:type="dxa"/>
        <w:top w:w="0" w:type="dxa"/>
        <w:right w:w="0" w:type="dxa"/>
        <w:bottom w:w="0" w:type="dxa"/>
      </w:tblCellMar>
    </w:tblPr>
  </w:style>
  <w:style w:type="table" w:styleId="1104" w:customStyle="1">
    <w:name w:val="List Table 5 Dark - Accent 1"/>
    <w:uiPriority w:val="99"/>
    <w:qFormat/>
    <w:rPr>
      <w:rFonts w:ascii="Calibri" w:hAnsi="Calibri"/>
    </w:rPr>
    <w:tblPr>
      <w:tblCellMar>
        <w:left w:w="0" w:type="dxa"/>
        <w:top w:w="0" w:type="dxa"/>
        <w:right w:w="0" w:type="dxa"/>
        <w:bottom w:w="0" w:type="dxa"/>
      </w:tblCellMar>
    </w:tblPr>
  </w:style>
  <w:style w:type="table" w:styleId="1105" w:customStyle="1">
    <w:name w:val="List Table 5 Dark - Accent 2"/>
    <w:uiPriority w:val="99"/>
    <w:qFormat/>
    <w:rPr>
      <w:rFonts w:ascii="Calibri" w:hAnsi="Calibri"/>
    </w:rPr>
    <w:tblPr>
      <w:tblCellMar>
        <w:left w:w="0" w:type="dxa"/>
        <w:top w:w="0" w:type="dxa"/>
        <w:right w:w="0" w:type="dxa"/>
        <w:bottom w:w="0" w:type="dxa"/>
      </w:tblCellMar>
    </w:tblPr>
  </w:style>
  <w:style w:type="table" w:styleId="1106" w:customStyle="1">
    <w:name w:val="List Table 5 Dark - Accent 3"/>
    <w:uiPriority w:val="99"/>
    <w:qFormat/>
    <w:rPr>
      <w:rFonts w:ascii="Calibri" w:hAnsi="Calibri"/>
    </w:rPr>
    <w:tblPr>
      <w:tblCellMar>
        <w:left w:w="0" w:type="dxa"/>
        <w:top w:w="0" w:type="dxa"/>
        <w:right w:w="0" w:type="dxa"/>
        <w:bottom w:w="0" w:type="dxa"/>
      </w:tblCellMar>
    </w:tblPr>
  </w:style>
  <w:style w:type="table" w:styleId="1107" w:customStyle="1">
    <w:name w:val="List Table 5 Dark - Accent 4"/>
    <w:uiPriority w:val="99"/>
    <w:qFormat/>
    <w:rPr>
      <w:rFonts w:ascii="Calibri" w:hAnsi="Calibri"/>
    </w:rPr>
    <w:tblPr>
      <w:tblCellMar>
        <w:left w:w="0" w:type="dxa"/>
        <w:top w:w="0" w:type="dxa"/>
        <w:right w:w="0" w:type="dxa"/>
        <w:bottom w:w="0" w:type="dxa"/>
      </w:tblCellMar>
    </w:tblPr>
  </w:style>
  <w:style w:type="table" w:styleId="1108" w:customStyle="1">
    <w:name w:val="List Table 5 Dark - Accent 5"/>
    <w:uiPriority w:val="99"/>
    <w:qFormat/>
    <w:rPr>
      <w:rFonts w:ascii="Calibri" w:hAnsi="Calibri"/>
    </w:rPr>
    <w:tblPr>
      <w:tblCellMar>
        <w:left w:w="0" w:type="dxa"/>
        <w:top w:w="0" w:type="dxa"/>
        <w:right w:w="0" w:type="dxa"/>
        <w:bottom w:w="0" w:type="dxa"/>
      </w:tblCellMar>
    </w:tblPr>
  </w:style>
  <w:style w:type="table" w:styleId="1109" w:customStyle="1">
    <w:name w:val="List Table 5 Dark - Accent 6"/>
    <w:uiPriority w:val="99"/>
    <w:qFormat/>
    <w:rPr>
      <w:rFonts w:ascii="Calibri" w:hAnsi="Calibri"/>
    </w:rPr>
    <w:tblPr>
      <w:tblCellMar>
        <w:left w:w="0" w:type="dxa"/>
        <w:top w:w="0" w:type="dxa"/>
        <w:right w:w="0" w:type="dxa"/>
        <w:bottom w:w="0" w:type="dxa"/>
      </w:tblCellMar>
    </w:tblPr>
  </w:style>
  <w:style w:type="table" w:styleId="1110" w:customStyle="1">
    <w:name w:val="List Table 6 Colorful"/>
    <w:uiPriority w:val="99"/>
    <w:qFormat/>
    <w:rPr>
      <w:rFonts w:ascii="Calibri" w:hAnsi="Calibri"/>
    </w:rPr>
    <w:tblPr>
      <w:tblCellMar>
        <w:left w:w="0" w:type="dxa"/>
        <w:top w:w="0" w:type="dxa"/>
        <w:right w:w="0" w:type="dxa"/>
        <w:bottom w:w="0" w:type="dxa"/>
      </w:tblCellMar>
    </w:tblPr>
  </w:style>
  <w:style w:type="table" w:styleId="1111"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12"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13"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14"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15"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16"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17" w:customStyle="1">
    <w:name w:val="List Table 7 Colorful"/>
    <w:uiPriority w:val="99"/>
    <w:qFormat/>
    <w:rPr>
      <w:rFonts w:ascii="Calibri" w:hAnsi="Calibri"/>
    </w:rPr>
    <w:tblPr>
      <w:tblCellMar>
        <w:left w:w="0" w:type="dxa"/>
        <w:top w:w="0" w:type="dxa"/>
        <w:right w:w="0" w:type="dxa"/>
        <w:bottom w:w="0" w:type="dxa"/>
      </w:tblCellMar>
    </w:tblPr>
  </w:style>
  <w:style w:type="table" w:styleId="1118"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19"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20"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21"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22"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23"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24"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25"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26"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27"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28"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29"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30"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31"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32"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33"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34"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35"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36"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37"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38" w:customStyle="1">
    <w:name w:val="Bordered"/>
    <w:uiPriority w:val="99"/>
    <w:qFormat/>
    <w:rPr>
      <w:rFonts w:ascii="Calibri" w:hAnsi="Calibri"/>
    </w:rPr>
    <w:tblPr>
      <w:tblCellMar>
        <w:left w:w="0" w:type="dxa"/>
        <w:top w:w="0" w:type="dxa"/>
        <w:right w:w="0" w:type="dxa"/>
        <w:bottom w:w="0" w:type="dxa"/>
      </w:tblCellMar>
    </w:tblPr>
  </w:style>
  <w:style w:type="table" w:styleId="1139" w:customStyle="1">
    <w:name w:val="Bordered - Accent 1"/>
    <w:uiPriority w:val="99"/>
    <w:qFormat/>
    <w:rPr>
      <w:rFonts w:ascii="Calibri" w:hAnsi="Calibri"/>
    </w:rPr>
    <w:tblPr>
      <w:tblCellMar>
        <w:left w:w="0" w:type="dxa"/>
        <w:top w:w="0" w:type="dxa"/>
        <w:right w:w="0" w:type="dxa"/>
        <w:bottom w:w="0" w:type="dxa"/>
      </w:tblCellMar>
    </w:tblPr>
  </w:style>
  <w:style w:type="table" w:styleId="1140" w:customStyle="1">
    <w:name w:val="Bordered - Accent 2"/>
    <w:uiPriority w:val="99"/>
    <w:qFormat/>
    <w:rPr>
      <w:rFonts w:ascii="Calibri" w:hAnsi="Calibri"/>
    </w:rPr>
    <w:tblPr>
      <w:tblCellMar>
        <w:left w:w="0" w:type="dxa"/>
        <w:top w:w="0" w:type="dxa"/>
        <w:right w:w="0" w:type="dxa"/>
        <w:bottom w:w="0" w:type="dxa"/>
      </w:tblCellMar>
    </w:tblPr>
  </w:style>
  <w:style w:type="table" w:styleId="1141" w:customStyle="1">
    <w:name w:val="Bordered - Accent 3"/>
    <w:uiPriority w:val="99"/>
    <w:qFormat/>
    <w:rPr>
      <w:rFonts w:ascii="Calibri" w:hAnsi="Calibri"/>
    </w:rPr>
    <w:tblPr>
      <w:tblCellMar>
        <w:left w:w="0" w:type="dxa"/>
        <w:top w:w="0" w:type="dxa"/>
        <w:right w:w="0" w:type="dxa"/>
        <w:bottom w:w="0" w:type="dxa"/>
      </w:tblCellMar>
    </w:tblPr>
  </w:style>
  <w:style w:type="table" w:styleId="1142" w:customStyle="1">
    <w:name w:val="Bordered - Accent 4"/>
    <w:uiPriority w:val="99"/>
    <w:qFormat/>
    <w:rPr>
      <w:rFonts w:ascii="Calibri" w:hAnsi="Calibri"/>
    </w:rPr>
    <w:tblPr>
      <w:tblCellMar>
        <w:left w:w="0" w:type="dxa"/>
        <w:top w:w="0" w:type="dxa"/>
        <w:right w:w="0" w:type="dxa"/>
        <w:bottom w:w="0" w:type="dxa"/>
      </w:tblCellMar>
    </w:tblPr>
  </w:style>
  <w:style w:type="table" w:styleId="1143" w:customStyle="1">
    <w:name w:val="Bordered - Accent 5"/>
    <w:uiPriority w:val="99"/>
    <w:qFormat/>
    <w:rPr>
      <w:rFonts w:ascii="Calibri" w:hAnsi="Calibri"/>
    </w:rPr>
    <w:tblPr>
      <w:tblCellMar>
        <w:left w:w="0" w:type="dxa"/>
        <w:top w:w="0" w:type="dxa"/>
        <w:right w:w="0" w:type="dxa"/>
        <w:bottom w:w="0" w:type="dxa"/>
      </w:tblCellMar>
    </w:tblPr>
  </w:style>
  <w:style w:type="table" w:styleId="1144" w:customStyle="1">
    <w:name w:val="Bordered - Accent 6"/>
    <w:uiPriority w:val="99"/>
    <w:qFormat/>
    <w:rPr>
      <w:rFonts w:ascii="Calibri" w:hAnsi="Calibri"/>
    </w:rPr>
    <w:tblPr>
      <w:tblCellMar>
        <w:left w:w="0" w:type="dxa"/>
        <w:top w:w="0" w:type="dxa"/>
        <w:right w:w="0" w:type="dxa"/>
        <w:bottom w:w="0" w:type="dxa"/>
      </w:tblCellMar>
    </w:tblPr>
  </w:style>
  <w:style w:type="paragraph" w:styleId="1145" w:customStyle="1">
    <w:name w:val="TOC 标题11"/>
    <w:uiPriority w:val="39"/>
    <w:unhideWhenUsed/>
    <w:qFormat/>
    <w:rPr>
      <w:rFonts w:hint="default" w:ascii="Calibri" w:hAnsi="Calibri" w:eastAsia="宋体" w:cs="Times New Roman"/>
      <w:lang w:val="en-US" w:eastAsia="zh-CN" w:bidi="ar-SA"/>
    </w:rPr>
  </w:style>
  <w:style w:type="paragraph" w:styleId="1146" w:customStyle="1">
    <w:name w:val="标题 11"/>
    <w:basedOn w:val="783"/>
    <w:next w:val="783"/>
    <w:link w:val="1147"/>
    <w:uiPriority w:val="0"/>
    <w:qFormat/>
    <w:pPr>
      <w:jc w:val="center"/>
      <w:keepNext/>
      <w:outlineLvl w:val="0"/>
    </w:pPr>
    <w:rPr>
      <w:rFonts w:ascii="楷体_GB2312" w:hAnsi="Times New Roman" w:eastAsia="楷体_GB2312"/>
      <w:sz w:val="28"/>
      <w:szCs w:val="28"/>
      <w:lang w:eastAsia="en-US"/>
    </w:rPr>
  </w:style>
  <w:style w:type="character" w:styleId="1147" w:customStyle="1">
    <w:name w:val="标题 1 Char"/>
    <w:link w:val="1146"/>
    <w:uiPriority w:val="0"/>
    <w:qFormat/>
    <w:rPr>
      <w:rFonts w:ascii="楷体_GB2312" w:hAnsi="Times New Roman" w:eastAsia="楷体_GB2312" w:cs="Times New Roman"/>
      <w:sz w:val="28"/>
      <w:szCs w:val="28"/>
      <w:lang w:eastAsia="en-US"/>
    </w:rPr>
  </w:style>
  <w:style w:type="paragraph" w:styleId="1148" w:customStyle="1">
    <w:name w:val="标题 21"/>
    <w:basedOn w:val="783"/>
    <w:next w:val="1149"/>
    <w:link w:val="115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49" w:customStyle="1">
    <w:name w:val="正文缩进1"/>
    <w:basedOn w:val="783"/>
    <w:link w:val="1151"/>
    <w:uiPriority w:val="0"/>
    <w:qFormat/>
    <w:pPr>
      <w:ind w:firstLine="420"/>
    </w:pPr>
    <w:rPr>
      <w:rFonts w:ascii="Times New Roman" w:hAnsi="Times New Roman" w:eastAsia="宋体"/>
      <w:sz w:val="20"/>
      <w:szCs w:val="21"/>
      <w:lang w:eastAsia="en-US"/>
    </w:rPr>
  </w:style>
  <w:style w:type="character" w:styleId="1150" w:customStyle="1">
    <w:name w:val="标题 2 Char"/>
    <w:link w:val="1148"/>
    <w:uiPriority w:val="0"/>
    <w:qFormat/>
    <w:rPr>
      <w:rFonts w:ascii="Arial" w:hAnsi="Arial" w:eastAsia="幼圆" w:cs="Times New Roman"/>
      <w:b/>
      <w:bCs/>
      <w:sz w:val="44"/>
      <w:szCs w:val="44"/>
      <w:lang w:eastAsia="en-US"/>
    </w:rPr>
  </w:style>
  <w:style w:type="character" w:styleId="1151" w:customStyle="1">
    <w:name w:val="正文缩进 Char"/>
    <w:link w:val="1149"/>
    <w:uiPriority w:val="0"/>
    <w:qFormat/>
    <w:rPr>
      <w:rFonts w:ascii="Times New Roman" w:hAnsi="Times New Roman" w:eastAsia="宋体" w:cs="Times New Roman"/>
      <w:szCs w:val="21"/>
      <w:lang w:eastAsia="en-US"/>
    </w:rPr>
  </w:style>
  <w:style w:type="paragraph" w:styleId="1152" w:customStyle="1">
    <w:name w:val="标题 41"/>
    <w:basedOn w:val="783"/>
    <w:next w:val="783"/>
    <w:link w:val="1153"/>
    <w:uiPriority w:val="0"/>
    <w:qFormat/>
    <w:pPr>
      <w:keepLines/>
      <w:keepNext/>
      <w:spacing w:before="280" w:after="290" w:line="376" w:lineRule="auto"/>
      <w:outlineLvl w:val="3"/>
    </w:pPr>
    <w:rPr>
      <w:rFonts w:ascii="Arial" w:hAnsi="Arial" w:eastAsia="黑体"/>
      <w:b/>
      <w:bCs/>
      <w:sz w:val="28"/>
      <w:szCs w:val="28"/>
      <w:lang w:eastAsia="en-US"/>
    </w:rPr>
  </w:style>
  <w:style w:type="character" w:styleId="1153" w:customStyle="1">
    <w:name w:val="标题 4 Char"/>
    <w:link w:val="1152"/>
    <w:uiPriority w:val="0"/>
    <w:qFormat/>
    <w:rPr>
      <w:rFonts w:ascii="Arial" w:hAnsi="Arial" w:eastAsia="黑体" w:cs="Times New Roman"/>
      <w:b/>
      <w:bCs/>
      <w:sz w:val="28"/>
      <w:szCs w:val="28"/>
      <w:lang w:eastAsia="en-US"/>
    </w:rPr>
  </w:style>
  <w:style w:type="paragraph" w:styleId="1154" w:customStyle="1">
    <w:name w:val="标题 51"/>
    <w:basedOn w:val="783"/>
    <w:next w:val="1149"/>
    <w:link w:val="1155"/>
    <w:uiPriority w:val="0"/>
    <w:qFormat/>
    <w:pPr>
      <w:keepNext/>
      <w:outlineLvl w:val="4"/>
    </w:pPr>
    <w:rPr>
      <w:rFonts w:ascii="宋体" w:hAnsi="Times New Roman" w:eastAsia="宋体"/>
      <w:color w:val="000000"/>
      <w:sz w:val="28"/>
      <w:szCs w:val="28"/>
      <w:lang w:eastAsia="en-US"/>
    </w:rPr>
  </w:style>
  <w:style w:type="character" w:styleId="1155" w:customStyle="1">
    <w:name w:val="标题 5 Char"/>
    <w:link w:val="1154"/>
    <w:uiPriority w:val="0"/>
    <w:qFormat/>
    <w:rPr>
      <w:rFonts w:ascii="宋体" w:hAnsi="Times New Roman" w:eastAsia="宋体" w:cs="Times New Roman"/>
      <w:color w:val="000000"/>
      <w:sz w:val="28"/>
      <w:szCs w:val="28"/>
      <w:lang w:eastAsia="en-US"/>
    </w:rPr>
  </w:style>
  <w:style w:type="paragraph" w:styleId="1156" w:customStyle="1">
    <w:name w:val="标题 61"/>
    <w:basedOn w:val="783"/>
    <w:next w:val="783"/>
    <w:link w:val="1157"/>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57" w:customStyle="1">
    <w:name w:val="标题 6 Char"/>
    <w:link w:val="1156"/>
    <w:uiPriority w:val="0"/>
    <w:qFormat/>
    <w:rPr>
      <w:rFonts w:ascii="Arial" w:hAnsi="Arial" w:eastAsia="黑体" w:cs="Times New Roman"/>
      <w:b/>
      <w:bCs/>
      <w:sz w:val="24"/>
      <w:szCs w:val="24"/>
      <w:lang w:eastAsia="en-US"/>
    </w:rPr>
  </w:style>
  <w:style w:type="paragraph" w:styleId="1158" w:customStyle="1">
    <w:name w:val="标题 71"/>
    <w:basedOn w:val="783"/>
    <w:next w:val="783"/>
    <w:link w:val="1159"/>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59" w:customStyle="1">
    <w:name w:val="标题 7 Char"/>
    <w:link w:val="1158"/>
    <w:uiPriority w:val="0"/>
    <w:qFormat/>
    <w:rPr>
      <w:rFonts w:ascii="Times New Roman" w:hAnsi="Times New Roman" w:eastAsia="宋体" w:cs="Times New Roman"/>
      <w:b/>
      <w:bCs/>
      <w:sz w:val="24"/>
      <w:szCs w:val="24"/>
      <w:lang w:eastAsia="en-US"/>
    </w:rPr>
  </w:style>
  <w:style w:type="paragraph" w:styleId="1160" w:customStyle="1">
    <w:name w:val="标题 81"/>
    <w:basedOn w:val="783"/>
    <w:next w:val="783"/>
    <w:link w:val="1161"/>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61" w:customStyle="1">
    <w:name w:val="标题 8 Char"/>
    <w:link w:val="1160"/>
    <w:uiPriority w:val="0"/>
    <w:qFormat/>
    <w:rPr>
      <w:rFonts w:ascii="Arial" w:hAnsi="Arial" w:eastAsia="黑体" w:cs="Times New Roman"/>
      <w:sz w:val="24"/>
      <w:szCs w:val="24"/>
      <w:lang w:eastAsia="en-US"/>
    </w:rPr>
  </w:style>
  <w:style w:type="paragraph" w:styleId="1162" w:customStyle="1">
    <w:name w:val="标题 91"/>
    <w:basedOn w:val="783"/>
    <w:next w:val="783"/>
    <w:link w:val="1163"/>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63" w:customStyle="1">
    <w:name w:val="标题 9 Char"/>
    <w:link w:val="1162"/>
    <w:uiPriority w:val="0"/>
    <w:qFormat/>
    <w:rPr>
      <w:rFonts w:ascii="Arial" w:hAnsi="Arial" w:eastAsia="黑体" w:cs="Times New Roman"/>
      <w:szCs w:val="21"/>
      <w:lang w:eastAsia="en-US"/>
    </w:rPr>
  </w:style>
  <w:style w:type="character" w:styleId="1164" w:customStyle="1">
    <w:name w:val="默认段落字体1"/>
    <w:uiPriority w:val="1"/>
    <w:unhideWhenUsed/>
    <w:qFormat/>
  </w:style>
  <w:style w:type="table" w:styleId="1165"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66" w:customStyle="1">
    <w:name w:val="列表 31"/>
    <w:basedOn w:val="783"/>
    <w:uiPriority w:val="0"/>
    <w:qFormat/>
    <w:pPr>
      <w:ind w:left="100" w:hanging="200"/>
    </w:pPr>
    <w:rPr>
      <w:rFonts w:ascii="Times New Roman" w:hAnsi="Times New Roman" w:eastAsia="宋体"/>
      <w:szCs w:val="21"/>
    </w:rPr>
  </w:style>
  <w:style w:type="paragraph" w:styleId="1167" w:customStyle="1">
    <w:name w:val="目录 711"/>
    <w:basedOn w:val="783"/>
    <w:next w:val="783"/>
    <w:uiPriority w:val="0"/>
    <w:semiHidden/>
    <w:qFormat/>
    <w:pPr>
      <w:ind w:left="1260"/>
      <w:jc w:val="left"/>
    </w:pPr>
    <w:rPr>
      <w:rFonts w:ascii="Times New Roman" w:hAnsi="Times New Roman" w:eastAsia="宋体"/>
      <w:szCs w:val="21"/>
    </w:rPr>
  </w:style>
  <w:style w:type="paragraph" w:styleId="1168" w:customStyle="1">
    <w:name w:val="文档结构图1"/>
    <w:basedOn w:val="783"/>
    <w:link w:val="1169"/>
    <w:uiPriority w:val="0"/>
    <w:semiHidden/>
    <w:qFormat/>
    <w:pPr>
      <w:shd w:val="clear" w:color="auto" w:fill="000080"/>
    </w:pPr>
    <w:rPr>
      <w:rFonts w:ascii="Times New Roman" w:hAnsi="Times New Roman" w:eastAsia="宋体"/>
      <w:sz w:val="20"/>
      <w:szCs w:val="21"/>
      <w:lang w:eastAsia="en-US"/>
    </w:rPr>
  </w:style>
  <w:style w:type="character" w:styleId="1169" w:customStyle="1">
    <w:name w:val="文档结构图 Char"/>
    <w:link w:val="1168"/>
    <w:uiPriority w:val="0"/>
    <w:semiHidden/>
    <w:qFormat/>
    <w:rPr>
      <w:rFonts w:ascii="Times New Roman" w:hAnsi="Times New Roman" w:eastAsia="宋体" w:cs="Times New Roman"/>
      <w:szCs w:val="21"/>
      <w:shd w:val="clear" w:color="auto" w:fill="000080"/>
      <w:lang w:eastAsia="en-US"/>
    </w:rPr>
  </w:style>
  <w:style w:type="paragraph" w:styleId="1170" w:customStyle="1">
    <w:name w:val="批注文字1"/>
    <w:basedOn w:val="783"/>
    <w:link w:val="1171"/>
    <w:uiPriority w:val="0"/>
    <w:semiHidden/>
    <w:qFormat/>
    <w:pPr>
      <w:jc w:val="left"/>
    </w:pPr>
    <w:rPr>
      <w:rFonts w:ascii="Times New Roman" w:hAnsi="Times New Roman" w:eastAsia="宋体"/>
      <w:sz w:val="20"/>
      <w:szCs w:val="21"/>
      <w:lang w:eastAsia="en-US"/>
    </w:rPr>
  </w:style>
  <w:style w:type="character" w:styleId="1171" w:customStyle="1">
    <w:name w:val="批注文字 Char"/>
    <w:link w:val="1170"/>
    <w:uiPriority w:val="0"/>
    <w:semiHidden/>
    <w:qFormat/>
    <w:rPr>
      <w:rFonts w:ascii="Times New Roman" w:hAnsi="Times New Roman" w:eastAsia="宋体" w:cs="Times New Roman"/>
      <w:szCs w:val="21"/>
      <w:lang w:eastAsia="en-US"/>
    </w:rPr>
  </w:style>
  <w:style w:type="paragraph" w:styleId="1172" w:customStyle="1">
    <w:name w:val="正文文本 31"/>
    <w:basedOn w:val="783"/>
    <w:link w:val="1173"/>
    <w:uiPriority w:val="0"/>
    <w:qFormat/>
    <w:rPr>
      <w:rFonts w:ascii="仿宋_GB2312" w:hAnsi="Arial" w:eastAsia="仿宋_GB2312"/>
      <w:sz w:val="32"/>
      <w:szCs w:val="32"/>
      <w:lang w:eastAsia="en-US"/>
    </w:rPr>
  </w:style>
  <w:style w:type="character" w:styleId="1173" w:customStyle="1">
    <w:name w:val="正文文本 3 Char"/>
    <w:link w:val="1172"/>
    <w:uiPriority w:val="0"/>
    <w:qFormat/>
    <w:rPr>
      <w:rFonts w:ascii="仿宋_GB2312" w:hAnsi="Arial" w:eastAsia="仿宋_GB2312" w:cs="Times New Roman"/>
      <w:sz w:val="32"/>
      <w:szCs w:val="32"/>
      <w:lang w:eastAsia="en-US"/>
    </w:rPr>
  </w:style>
  <w:style w:type="paragraph" w:styleId="1174" w:customStyle="1">
    <w:name w:val="正文文本1"/>
    <w:basedOn w:val="783"/>
    <w:link w:val="1175"/>
    <w:uiPriority w:val="0"/>
    <w:qFormat/>
    <w:rPr>
      <w:rFonts w:ascii="楷体_GB2312" w:hAnsi="Arial" w:eastAsia="楷体_GB2312"/>
      <w:sz w:val="28"/>
      <w:szCs w:val="28"/>
      <w:lang w:eastAsia="en-US"/>
    </w:rPr>
  </w:style>
  <w:style w:type="character" w:styleId="1175" w:customStyle="1">
    <w:name w:val="正文文本 Char"/>
    <w:link w:val="1174"/>
    <w:uiPriority w:val="0"/>
    <w:qFormat/>
    <w:rPr>
      <w:rFonts w:ascii="楷体_GB2312" w:hAnsi="Arial" w:eastAsia="楷体_GB2312" w:cs="Times New Roman"/>
      <w:sz w:val="28"/>
      <w:szCs w:val="28"/>
      <w:lang w:eastAsia="en-US"/>
    </w:rPr>
  </w:style>
  <w:style w:type="paragraph" w:styleId="1176" w:customStyle="1">
    <w:name w:val="正文文本缩进1"/>
    <w:basedOn w:val="783"/>
    <w:next w:val="1177"/>
    <w:link w:val="1178"/>
    <w:uiPriority w:val="0"/>
    <w:qFormat/>
    <w:pPr>
      <w:ind w:firstLine="645"/>
    </w:pPr>
    <w:rPr>
      <w:rFonts w:ascii="楷体_GB2312" w:hAnsi="Times New Roman" w:eastAsia="楷体_GB2312"/>
      <w:sz w:val="32"/>
      <w:szCs w:val="32"/>
      <w:lang w:eastAsia="en-US"/>
    </w:rPr>
  </w:style>
  <w:style w:type="paragraph" w:styleId="1177" w:customStyle="1">
    <w:name w:val="寄信人地址1"/>
    <w:basedOn w:val="783"/>
    <w:uiPriority w:val="99"/>
    <w:unhideWhenUsed/>
    <w:qFormat/>
    <w:rPr>
      <w:rFonts w:ascii="Arial" w:hAnsi="Arial"/>
    </w:rPr>
  </w:style>
  <w:style w:type="character" w:styleId="1178" w:customStyle="1">
    <w:name w:val="正文文本缩进 Char"/>
    <w:link w:val="1176"/>
    <w:uiPriority w:val="0"/>
    <w:qFormat/>
    <w:rPr>
      <w:rFonts w:ascii="楷体_GB2312" w:hAnsi="Times New Roman" w:eastAsia="楷体_GB2312" w:cs="Times New Roman"/>
      <w:sz w:val="32"/>
      <w:szCs w:val="32"/>
      <w:lang w:eastAsia="en-US"/>
    </w:rPr>
  </w:style>
  <w:style w:type="paragraph" w:styleId="1179" w:customStyle="1">
    <w:name w:val="列表 21"/>
    <w:basedOn w:val="783"/>
    <w:uiPriority w:val="0"/>
    <w:qFormat/>
    <w:pPr>
      <w:ind w:left="100" w:hanging="200"/>
    </w:pPr>
    <w:rPr>
      <w:rFonts w:ascii="Times New Roman" w:hAnsi="Times New Roman" w:eastAsia="宋体"/>
      <w:szCs w:val="21"/>
    </w:rPr>
  </w:style>
  <w:style w:type="paragraph" w:styleId="1180" w:customStyle="1">
    <w:name w:val="目录 511"/>
    <w:basedOn w:val="783"/>
    <w:next w:val="783"/>
    <w:uiPriority w:val="0"/>
    <w:semiHidden/>
    <w:qFormat/>
    <w:pPr>
      <w:ind w:left="840"/>
      <w:jc w:val="left"/>
    </w:pPr>
    <w:rPr>
      <w:rFonts w:ascii="Times New Roman" w:hAnsi="Times New Roman" w:eastAsia="宋体"/>
      <w:szCs w:val="21"/>
    </w:rPr>
  </w:style>
  <w:style w:type="paragraph" w:styleId="1181" w:customStyle="1">
    <w:name w:val="目录 311"/>
    <w:basedOn w:val="783"/>
    <w:next w:val="783"/>
    <w:uiPriority w:val="0"/>
    <w:semiHidden/>
    <w:qFormat/>
    <w:pPr>
      <w:ind w:left="420"/>
      <w:jc w:val="left"/>
    </w:pPr>
    <w:rPr>
      <w:rFonts w:ascii="Times New Roman" w:hAnsi="Times New Roman" w:eastAsia="宋体"/>
      <w:i/>
      <w:iCs/>
      <w:szCs w:val="24"/>
    </w:rPr>
  </w:style>
  <w:style w:type="paragraph" w:styleId="1182" w:customStyle="1">
    <w:name w:val="纯文本1"/>
    <w:basedOn w:val="783"/>
    <w:next w:val="783"/>
    <w:link w:val="1183"/>
    <w:uiPriority w:val="0"/>
    <w:qFormat/>
    <w:rPr>
      <w:rFonts w:ascii="宋体" w:hAnsi="Courier New" w:eastAsia="宋体"/>
      <w:sz w:val="20"/>
      <w:szCs w:val="21"/>
      <w:lang w:eastAsia="en-US"/>
    </w:rPr>
  </w:style>
  <w:style w:type="character" w:styleId="1183" w:customStyle="1">
    <w:name w:val="纯文本 Char"/>
    <w:link w:val="1182"/>
    <w:uiPriority w:val="0"/>
    <w:qFormat/>
    <w:rPr>
      <w:rFonts w:ascii="宋体" w:hAnsi="Courier New" w:eastAsia="宋体" w:cs="Times New Roman"/>
      <w:szCs w:val="21"/>
      <w:lang w:eastAsia="en-US"/>
    </w:rPr>
  </w:style>
  <w:style w:type="paragraph" w:styleId="1184" w:customStyle="1">
    <w:name w:val="目录 811"/>
    <w:basedOn w:val="783"/>
    <w:next w:val="783"/>
    <w:uiPriority w:val="0"/>
    <w:semiHidden/>
    <w:qFormat/>
    <w:pPr>
      <w:ind w:left="1470"/>
      <w:jc w:val="left"/>
    </w:pPr>
    <w:rPr>
      <w:rFonts w:ascii="Times New Roman" w:hAnsi="Times New Roman" w:eastAsia="宋体"/>
      <w:szCs w:val="21"/>
    </w:rPr>
  </w:style>
  <w:style w:type="paragraph" w:styleId="1185" w:customStyle="1">
    <w:name w:val="日期1"/>
    <w:basedOn w:val="783"/>
    <w:next w:val="783"/>
    <w:link w:val="1186"/>
    <w:uiPriority w:val="0"/>
    <w:qFormat/>
    <w:rPr>
      <w:rFonts w:ascii="Times New Roman" w:hAnsi="Times New Roman" w:eastAsia="宋体"/>
      <w:sz w:val="24"/>
      <w:szCs w:val="24"/>
      <w:lang w:eastAsia="en-US"/>
    </w:rPr>
  </w:style>
  <w:style w:type="character" w:styleId="1186" w:customStyle="1">
    <w:name w:val="日期 Char"/>
    <w:link w:val="1185"/>
    <w:uiPriority w:val="0"/>
    <w:qFormat/>
    <w:rPr>
      <w:rFonts w:ascii="Times New Roman" w:hAnsi="Times New Roman" w:eastAsia="宋体" w:cs="Times New Roman"/>
      <w:sz w:val="24"/>
      <w:szCs w:val="24"/>
      <w:lang w:eastAsia="en-US"/>
    </w:rPr>
  </w:style>
  <w:style w:type="paragraph" w:styleId="1187" w:customStyle="1">
    <w:name w:val="正文文本缩进 21"/>
    <w:basedOn w:val="783"/>
    <w:link w:val="1188"/>
    <w:uiPriority w:val="0"/>
    <w:qFormat/>
    <w:pPr>
      <w:ind w:left="630" w:firstLine="645"/>
    </w:pPr>
    <w:rPr>
      <w:rFonts w:ascii="Arial" w:hAnsi="Arial" w:eastAsia="仿宋_GB2312"/>
      <w:sz w:val="32"/>
      <w:szCs w:val="32"/>
      <w:lang w:eastAsia="en-US"/>
    </w:rPr>
  </w:style>
  <w:style w:type="character" w:styleId="1188" w:customStyle="1">
    <w:name w:val="正文文本缩进 2 Char"/>
    <w:link w:val="1187"/>
    <w:uiPriority w:val="0"/>
    <w:qFormat/>
    <w:rPr>
      <w:rFonts w:ascii="Arial" w:hAnsi="Arial" w:eastAsia="仿宋_GB2312" w:cs="Times New Roman"/>
      <w:sz w:val="32"/>
      <w:szCs w:val="32"/>
      <w:lang w:eastAsia="en-US"/>
    </w:rPr>
  </w:style>
  <w:style w:type="paragraph" w:styleId="1189" w:customStyle="1">
    <w:name w:val="批注框文本1"/>
    <w:basedOn w:val="783"/>
    <w:link w:val="1190"/>
    <w:uiPriority w:val="0"/>
    <w:semiHidden/>
    <w:qFormat/>
    <w:rPr>
      <w:rFonts w:ascii="Times New Roman" w:hAnsi="Times New Roman" w:eastAsia="宋体"/>
      <w:sz w:val="18"/>
      <w:szCs w:val="18"/>
      <w:lang w:eastAsia="en-US"/>
    </w:rPr>
  </w:style>
  <w:style w:type="character" w:styleId="1190" w:customStyle="1">
    <w:name w:val="批注框文本 Char"/>
    <w:link w:val="1189"/>
    <w:uiPriority w:val="0"/>
    <w:semiHidden/>
    <w:qFormat/>
    <w:rPr>
      <w:rFonts w:ascii="Times New Roman" w:hAnsi="Times New Roman" w:eastAsia="宋体" w:cs="Times New Roman"/>
      <w:sz w:val="18"/>
      <w:szCs w:val="18"/>
      <w:lang w:eastAsia="en-US"/>
    </w:rPr>
  </w:style>
  <w:style w:type="paragraph" w:styleId="1191" w:customStyle="1">
    <w:name w:val="页脚1"/>
    <w:basedOn w:val="783"/>
    <w:link w:val="1192"/>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92" w:customStyle="1">
    <w:name w:val="页脚 Char"/>
    <w:link w:val="1191"/>
    <w:uiPriority w:val="0"/>
    <w:qFormat/>
    <w:rPr>
      <w:rFonts w:ascii="Times New Roman" w:hAnsi="Times New Roman" w:eastAsia="宋体" w:cs="Times New Roman"/>
      <w:sz w:val="18"/>
      <w:szCs w:val="18"/>
      <w:lang w:eastAsia="en-US"/>
    </w:rPr>
  </w:style>
  <w:style w:type="paragraph" w:styleId="1193" w:customStyle="1">
    <w:name w:val="页眉1"/>
    <w:basedOn w:val="783"/>
    <w:link w:val="1194"/>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94" w:customStyle="1">
    <w:name w:val="页眉 Char"/>
    <w:link w:val="1193"/>
    <w:uiPriority w:val="99"/>
    <w:qFormat/>
    <w:rPr>
      <w:rFonts w:ascii="Times New Roman" w:hAnsi="Times New Roman" w:eastAsia="宋体" w:cs="Times New Roman"/>
      <w:sz w:val="18"/>
      <w:szCs w:val="18"/>
      <w:lang w:eastAsia="en-US"/>
    </w:rPr>
  </w:style>
  <w:style w:type="paragraph" w:styleId="1195" w:customStyle="1">
    <w:name w:val="目录 1111"/>
    <w:basedOn w:val="783"/>
    <w:next w:val="783"/>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96" w:customStyle="1">
    <w:name w:val="目录 411"/>
    <w:basedOn w:val="783"/>
    <w:next w:val="783"/>
    <w:uiPriority w:val="0"/>
    <w:semiHidden/>
    <w:qFormat/>
    <w:pPr>
      <w:ind w:left="630"/>
      <w:jc w:val="left"/>
    </w:pPr>
    <w:rPr>
      <w:rFonts w:ascii="Times New Roman" w:hAnsi="Times New Roman" w:eastAsia="宋体"/>
      <w:szCs w:val="21"/>
    </w:rPr>
  </w:style>
  <w:style w:type="paragraph" w:styleId="1197" w:customStyle="1">
    <w:name w:val="列表1"/>
    <w:basedOn w:val="783"/>
    <w:uiPriority w:val="0"/>
    <w:qFormat/>
    <w:pPr>
      <w:ind w:left="200" w:hanging="200"/>
    </w:pPr>
    <w:rPr>
      <w:rFonts w:ascii="Times New Roman" w:hAnsi="Times New Roman" w:eastAsia="宋体"/>
      <w:szCs w:val="21"/>
    </w:rPr>
  </w:style>
  <w:style w:type="paragraph" w:styleId="1198" w:customStyle="1">
    <w:name w:val="目录 611"/>
    <w:basedOn w:val="783"/>
    <w:next w:val="783"/>
    <w:uiPriority w:val="0"/>
    <w:semiHidden/>
    <w:qFormat/>
    <w:pPr>
      <w:ind w:left="1050"/>
      <w:jc w:val="left"/>
    </w:pPr>
    <w:rPr>
      <w:rFonts w:ascii="Times New Roman" w:hAnsi="Times New Roman" w:eastAsia="宋体"/>
      <w:szCs w:val="21"/>
    </w:rPr>
  </w:style>
  <w:style w:type="paragraph" w:styleId="1199" w:customStyle="1">
    <w:name w:val="正文文本缩进 31"/>
    <w:basedOn w:val="783"/>
    <w:link w:val="1200"/>
    <w:uiPriority w:val="0"/>
    <w:qFormat/>
    <w:pPr>
      <w:ind w:left="645" w:firstLine="645"/>
    </w:pPr>
    <w:rPr>
      <w:rFonts w:ascii="Arial" w:hAnsi="Arial" w:eastAsia="仿宋_GB2312"/>
      <w:color w:val="ffff00"/>
      <w:sz w:val="32"/>
      <w:szCs w:val="32"/>
      <w:lang w:eastAsia="en-US"/>
    </w:rPr>
  </w:style>
  <w:style w:type="character" w:styleId="1200" w:customStyle="1">
    <w:name w:val="正文文本缩进 3 Char"/>
    <w:link w:val="1199"/>
    <w:uiPriority w:val="0"/>
    <w:qFormat/>
    <w:rPr>
      <w:rFonts w:ascii="Arial" w:hAnsi="Arial" w:eastAsia="仿宋_GB2312" w:cs="Times New Roman"/>
      <w:color w:val="ffff00"/>
      <w:sz w:val="32"/>
      <w:szCs w:val="32"/>
      <w:lang w:eastAsia="en-US"/>
    </w:rPr>
  </w:style>
  <w:style w:type="paragraph" w:styleId="1201" w:customStyle="1">
    <w:name w:val="图表目录1"/>
    <w:basedOn w:val="783"/>
    <w:next w:val="783"/>
    <w:uiPriority w:val="0"/>
    <w:semiHidden/>
    <w:qFormat/>
    <w:pPr>
      <w:ind w:left="840" w:hanging="420"/>
    </w:pPr>
    <w:rPr>
      <w:rFonts w:ascii="Times New Roman" w:hAnsi="Times New Roman" w:eastAsia="宋体"/>
      <w:szCs w:val="21"/>
    </w:rPr>
  </w:style>
  <w:style w:type="paragraph" w:styleId="1202" w:customStyle="1">
    <w:name w:val="目录 211"/>
    <w:basedOn w:val="783"/>
    <w:next w:val="783"/>
    <w:uiPriority w:val="0"/>
    <w:semiHidden/>
    <w:qFormat/>
    <w:pPr>
      <w:ind w:left="210"/>
      <w:jc w:val="left"/>
    </w:pPr>
    <w:rPr>
      <w:rFonts w:ascii="Times New Roman" w:hAnsi="Times New Roman" w:eastAsia="宋体"/>
      <w:smallCaps/>
      <w:szCs w:val="24"/>
    </w:rPr>
  </w:style>
  <w:style w:type="paragraph" w:styleId="1203" w:customStyle="1">
    <w:name w:val="目录 911"/>
    <w:basedOn w:val="783"/>
    <w:next w:val="783"/>
    <w:uiPriority w:val="0"/>
    <w:semiHidden/>
    <w:qFormat/>
    <w:pPr>
      <w:ind w:left="1680"/>
      <w:jc w:val="left"/>
    </w:pPr>
    <w:rPr>
      <w:rFonts w:ascii="Times New Roman" w:hAnsi="Times New Roman" w:eastAsia="宋体"/>
      <w:szCs w:val="21"/>
    </w:rPr>
  </w:style>
  <w:style w:type="paragraph" w:styleId="1204" w:customStyle="1">
    <w:name w:val="正文文本 21"/>
    <w:basedOn w:val="783"/>
    <w:link w:val="1205"/>
    <w:uiPriority w:val="0"/>
    <w:qFormat/>
    <w:pPr>
      <w:jc w:val="center"/>
      <w:widowControl/>
    </w:pPr>
    <w:rPr>
      <w:rFonts w:ascii="楷体_GB2312" w:hAnsi="Times New Roman" w:eastAsia="楷体_GB2312"/>
      <w:sz w:val="28"/>
      <w:szCs w:val="28"/>
      <w:lang w:eastAsia="en-US"/>
    </w:rPr>
  </w:style>
  <w:style w:type="character" w:styleId="1205" w:customStyle="1">
    <w:name w:val="正文文本 2 Char"/>
    <w:link w:val="1204"/>
    <w:uiPriority w:val="0"/>
    <w:qFormat/>
    <w:rPr>
      <w:rFonts w:ascii="楷体_GB2312" w:hAnsi="Times New Roman" w:eastAsia="楷体_GB2312" w:cs="Times New Roman"/>
      <w:sz w:val="28"/>
      <w:szCs w:val="28"/>
      <w:lang w:eastAsia="en-US"/>
    </w:rPr>
  </w:style>
  <w:style w:type="paragraph" w:styleId="1206" w:customStyle="1">
    <w:name w:val="普通(网站)1"/>
    <w:basedOn w:val="783"/>
    <w:uiPriority w:val="99"/>
    <w:qFormat/>
    <w:pPr>
      <w:jc w:val="left"/>
      <w:spacing w:before="100" w:beforeAutospacing="1" w:after="100" w:afterAutospacing="1"/>
      <w:widowControl/>
    </w:pPr>
    <w:rPr>
      <w:rFonts w:ascii="宋体" w:hAnsi="宋体" w:eastAsia="宋体" w:cs="宋体"/>
      <w:sz w:val="24"/>
      <w:szCs w:val="24"/>
    </w:rPr>
  </w:style>
  <w:style w:type="paragraph" w:styleId="1207" w:customStyle="1">
    <w:name w:val="索引 11"/>
    <w:basedOn w:val="783"/>
    <w:next w:val="783"/>
    <w:uiPriority w:val="0"/>
    <w:semiHidden/>
    <w:qFormat/>
    <w:pPr>
      <w:spacing w:line="240" w:lineRule="atLeast"/>
    </w:pPr>
    <w:rPr>
      <w:rFonts w:ascii="Times New Roman" w:hAnsi="Times New Roman" w:eastAsia="宋体"/>
      <w:b/>
      <w:bCs/>
      <w:szCs w:val="21"/>
    </w:rPr>
  </w:style>
  <w:style w:type="paragraph" w:styleId="1208" w:customStyle="1">
    <w:name w:val="批注主题1"/>
    <w:basedOn w:val="1170"/>
    <w:next w:val="1170"/>
    <w:link w:val="1209"/>
    <w:uiPriority w:val="0"/>
    <w:semiHidden/>
    <w:qFormat/>
    <w:rPr>
      <w:b/>
      <w:bCs/>
    </w:rPr>
  </w:style>
  <w:style w:type="character" w:styleId="1209" w:customStyle="1">
    <w:name w:val="批注主题 Char"/>
    <w:link w:val="1208"/>
    <w:uiPriority w:val="0"/>
    <w:semiHidden/>
    <w:qFormat/>
    <w:rPr>
      <w:rFonts w:ascii="Times New Roman" w:hAnsi="Times New Roman" w:eastAsia="宋体" w:cs="Times New Roman"/>
      <w:b/>
      <w:bCs/>
      <w:szCs w:val="21"/>
      <w:lang w:eastAsia="en-US"/>
    </w:rPr>
  </w:style>
  <w:style w:type="paragraph" w:styleId="1210" w:customStyle="1">
    <w:name w:val="正文首行缩进1"/>
    <w:basedOn w:val="783"/>
    <w:link w:val="1211"/>
    <w:uiPriority w:val="0"/>
    <w:qFormat/>
    <w:pPr>
      <w:ind w:firstLine="200"/>
      <w:spacing w:line="360" w:lineRule="auto"/>
    </w:pPr>
    <w:rPr>
      <w:rFonts w:ascii="仿宋_GB2312" w:hAnsi="Times New Roman" w:eastAsia="仿宋_GB2312"/>
      <w:sz w:val="30"/>
      <w:szCs w:val="30"/>
      <w:lang w:eastAsia="en-US"/>
    </w:rPr>
  </w:style>
  <w:style w:type="character" w:styleId="1211" w:customStyle="1">
    <w:name w:val="正文首行缩进 Char"/>
    <w:link w:val="1210"/>
    <w:uiPriority w:val="0"/>
    <w:qFormat/>
    <w:rPr>
      <w:rFonts w:ascii="仿宋_GB2312" w:hAnsi="Times New Roman" w:eastAsia="仿宋_GB2312" w:cs="Times New Roman"/>
      <w:sz w:val="30"/>
      <w:szCs w:val="30"/>
      <w:lang w:eastAsia="en-US"/>
    </w:rPr>
  </w:style>
  <w:style w:type="paragraph" w:styleId="1212" w:customStyle="1">
    <w:name w:val="正文首行缩进 21"/>
    <w:basedOn w:val="1176"/>
    <w:next w:val="783"/>
    <w:link w:val="1213"/>
    <w:uiPriority w:val="0"/>
    <w:qFormat/>
    <w:pPr>
      <w:ind w:firstLine="420"/>
      <w:spacing w:line="360" w:lineRule="auto"/>
    </w:pPr>
    <w:rPr>
      <w:rFonts w:ascii="宋体" w:hAnsi="宋体" w:eastAsia="宋体"/>
      <w:szCs w:val="20"/>
    </w:rPr>
  </w:style>
  <w:style w:type="character" w:styleId="1213" w:customStyle="1">
    <w:name w:val="正文首行缩进 2 Char"/>
    <w:link w:val="1212"/>
    <w:uiPriority w:val="0"/>
    <w:qFormat/>
    <w:rPr>
      <w:rFonts w:ascii="宋体" w:hAnsi="宋体" w:eastAsia="宋体" w:cs="Times New Roman"/>
      <w:sz w:val="32"/>
      <w:lang w:eastAsia="en-US"/>
    </w:rPr>
  </w:style>
  <w:style w:type="character" w:styleId="1214" w:customStyle="1">
    <w:name w:val="要点1"/>
    <w:uiPriority w:val="0"/>
    <w:qFormat/>
    <w:rPr>
      <w:b/>
      <w:bCs/>
    </w:rPr>
  </w:style>
  <w:style w:type="character" w:styleId="1215" w:customStyle="1">
    <w:name w:val="页码1"/>
    <w:uiPriority w:val="0"/>
    <w:qFormat/>
  </w:style>
  <w:style w:type="character" w:styleId="1216" w:customStyle="1">
    <w:name w:val="已访问的超链接1"/>
    <w:uiPriority w:val="0"/>
    <w:qFormat/>
    <w:rPr>
      <w:color w:val="800080"/>
      <w:u w:val="single"/>
    </w:rPr>
  </w:style>
  <w:style w:type="character" w:styleId="1217" w:customStyle="1">
    <w:name w:val="HTML 打字机1"/>
    <w:uiPriority w:val="99"/>
    <w:qFormat/>
    <w:rPr>
      <w:rFonts w:ascii="宋体" w:hAnsi="宋体" w:eastAsia="宋体" w:cs="宋体"/>
      <w:sz w:val="24"/>
      <w:szCs w:val="24"/>
    </w:rPr>
  </w:style>
  <w:style w:type="character" w:styleId="1218" w:customStyle="1">
    <w:name w:val="超链接1"/>
    <w:uiPriority w:val="0"/>
    <w:qFormat/>
    <w:rPr>
      <w:color w:val="0000ff"/>
      <w:u w:val="single"/>
    </w:rPr>
  </w:style>
  <w:style w:type="character" w:styleId="1219" w:customStyle="1">
    <w:name w:val="二级目录 Char"/>
    <w:link w:val="1220"/>
    <w:uiPriority w:val="0"/>
    <w:qFormat/>
    <w:rPr>
      <w:b/>
      <w:sz w:val="30"/>
      <w:szCs w:val="28"/>
    </w:rPr>
  </w:style>
  <w:style w:type="paragraph" w:styleId="1220" w:customStyle="1">
    <w:name w:val="二级目录"/>
    <w:next w:val="783"/>
    <w:link w:val="1219"/>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221" w:customStyle="1">
    <w:name w:val="Body Text(ch)"/>
    <w:basedOn w:val="783"/>
    <w:next w:val="1174"/>
    <w:uiPriority w:val="0"/>
    <w:qFormat/>
    <w:pPr>
      <w:spacing w:after="120"/>
    </w:pPr>
    <w:rPr>
      <w:rFonts w:ascii="宋体" w:hAnsi="Arial" w:eastAsia="宋体"/>
      <w:bCs/>
      <w:iCs/>
      <w:szCs w:val="24"/>
    </w:rPr>
  </w:style>
  <w:style w:type="paragraph" w:styleId="1222" w:customStyle="1">
    <w:name w:val="Char"/>
    <w:basedOn w:val="783"/>
    <w:uiPriority w:val="0"/>
    <w:qFormat/>
    <w:pPr>
      <w:ind w:firstLine="200"/>
      <w:tabs>
        <w:tab w:val="left" w:pos="360" w:leader="none"/>
      </w:tabs>
    </w:pPr>
    <w:rPr>
      <w:rFonts w:ascii="Times New Roman" w:hAnsi="Times New Roman" w:eastAsia="宋体"/>
      <w:sz w:val="28"/>
      <w:szCs w:val="30"/>
    </w:rPr>
  </w:style>
  <w:style w:type="paragraph" w:styleId="1223" w:customStyle="1">
    <w:name w:val="普通正文"/>
    <w:basedOn w:val="783"/>
    <w:uiPriority w:val="0"/>
    <w:qFormat/>
    <w:pPr>
      <w:ind w:firstLine="480"/>
      <w:jc w:val="left"/>
      <w:spacing w:before="120" w:after="120" w:line="360" w:lineRule="auto"/>
    </w:pPr>
    <w:rPr>
      <w:rFonts w:ascii="Arial" w:hAnsi="Arial" w:eastAsia="宋体"/>
      <w:sz w:val="24"/>
      <w:szCs w:val="24"/>
    </w:rPr>
  </w:style>
  <w:style w:type="paragraph" w:styleId="1224" w:customStyle="1">
    <w:name w:val="table_lines"/>
    <w:basedOn w:val="783"/>
    <w:uiPriority w:val="0"/>
    <w:qFormat/>
    <w:pPr>
      <w:jc w:val="left"/>
      <w:widowControl/>
    </w:pPr>
    <w:rPr>
      <w:rFonts w:ascii="Times New Roman" w:hAnsi="Times New Roman" w:eastAsia="宋体"/>
      <w:sz w:val="20"/>
      <w:szCs w:val="20"/>
      <w:lang w:val="de-DE" w:eastAsia="de-DE"/>
    </w:rPr>
  </w:style>
  <w:style w:type="paragraph" w:styleId="122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26" w:customStyle="1">
    <w:name w:val="列出段落21"/>
    <w:basedOn w:val="783"/>
    <w:uiPriority w:val="99"/>
    <w:qFormat/>
    <w:pPr>
      <w:contextualSpacing/>
      <w:ind w:left="720"/>
      <w:jc w:val="left"/>
      <w:widowControl/>
    </w:pPr>
    <w:rPr>
      <w:rFonts w:eastAsia="宋体"/>
      <w:sz w:val="24"/>
      <w:szCs w:val="24"/>
      <w:lang w:eastAsia="en-US" w:bidi="en-US"/>
    </w:rPr>
  </w:style>
  <w:style w:type="paragraph" w:styleId="1227" w:customStyle="1">
    <w:name w:val="4"/>
    <w:basedOn w:val="783"/>
    <w:next w:val="1199"/>
    <w:uiPriority w:val="0"/>
    <w:qFormat/>
    <w:pPr>
      <w:ind w:firstLine="420"/>
      <w:spacing w:line="360" w:lineRule="auto"/>
    </w:pPr>
    <w:rPr>
      <w:rFonts w:ascii="Times New Roman" w:hAnsi="Times New Roman" w:eastAsia="宋体"/>
      <w:color w:val="ff0000"/>
      <w:sz w:val="24"/>
      <w:szCs w:val="24"/>
    </w:rPr>
  </w:style>
  <w:style w:type="paragraph" w:styleId="1228" w:customStyle="1">
    <w:name w:val="普通 (Web)"/>
    <w:basedOn w:val="783"/>
    <w:uiPriority w:val="0"/>
    <w:qFormat/>
    <w:pPr>
      <w:jc w:val="left"/>
      <w:spacing w:before="100" w:beforeAutospacing="1" w:after="100" w:afterAutospacing="1"/>
      <w:widowControl/>
    </w:pPr>
    <w:rPr>
      <w:rFonts w:ascii="宋体" w:hAnsi="宋体" w:eastAsia="宋体"/>
      <w:sz w:val="24"/>
      <w:szCs w:val="24"/>
    </w:rPr>
  </w:style>
  <w:style w:type="paragraph" w:styleId="1229" w:customStyle="1">
    <w:name w:val="Char Char Char Char Char Char Char Char Char Char"/>
    <w:basedOn w:val="783"/>
    <w:uiPriority w:val="0"/>
    <w:qFormat/>
    <w:pPr>
      <w:spacing w:line="360" w:lineRule="auto"/>
    </w:pPr>
    <w:rPr>
      <w:rFonts w:ascii="Times New Roman" w:hAnsi="Times New Roman" w:eastAsia="宋体"/>
      <w:sz w:val="24"/>
      <w:szCs w:val="20"/>
    </w:rPr>
  </w:style>
  <w:style w:type="paragraph" w:styleId="1230" w:customStyle="1">
    <w:name w:val="样式1"/>
    <w:basedOn w:val="783"/>
    <w:uiPriority w:val="0"/>
    <w:qFormat/>
    <w:pPr>
      <w:numPr>
        <w:ilvl w:val="0"/>
        <w:numId w:val="5"/>
      </w:numPr>
      <w:tabs>
        <w:tab w:val="left" w:pos="709" w:leader="none"/>
      </w:tabs>
    </w:pPr>
    <w:rPr>
      <w:rFonts w:ascii="宋体" w:hAnsi="宋体" w:eastAsia="宋体"/>
      <w:szCs w:val="21"/>
    </w:rPr>
  </w:style>
  <w:style w:type="paragraph" w:styleId="1231" w:customStyle="1">
    <w:name w:val="图标"/>
    <w:basedOn w:val="783"/>
    <w:next w:val="78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32" w:customStyle="1">
    <w:name w:val="标题3"/>
    <w:basedOn w:val="783"/>
    <w:next w:val="783"/>
    <w:uiPriority w:val="0"/>
    <w:qFormat/>
    <w:pPr>
      <w:ind w:firstLine="624"/>
      <w:spacing w:line="590" w:lineRule="atLeast"/>
    </w:pPr>
    <w:rPr>
      <w:rFonts w:ascii="方正黑体_GBK" w:hAnsi="Times New Roman" w:eastAsia="方正黑体_GBK"/>
      <w:sz w:val="32"/>
      <w:szCs w:val="32"/>
    </w:rPr>
  </w:style>
  <w:style w:type="paragraph" w:styleId="1233" w:customStyle="1">
    <w:name w:val="Char Char Char Char Char Char Char Char"/>
    <w:basedOn w:val="783"/>
    <w:uiPriority w:val="0"/>
    <w:qFormat/>
    <w:pPr>
      <w:jc w:val="left"/>
      <w:spacing w:after="160" w:line="240" w:lineRule="exact"/>
      <w:widowControl/>
    </w:pPr>
    <w:rPr>
      <w:rFonts w:ascii="Verdana" w:hAnsi="Verdana" w:eastAsia="宋体"/>
      <w:sz w:val="20"/>
      <w:szCs w:val="20"/>
      <w:lang w:eastAsia="en-US"/>
    </w:rPr>
  </w:style>
  <w:style w:type="paragraph" w:styleId="1234" w:customStyle="1">
    <w:name w:val="table_1stline"/>
    <w:basedOn w:val="783"/>
    <w:uiPriority w:val="0"/>
    <w:qFormat/>
    <w:pPr>
      <w:jc w:val="left"/>
      <w:spacing w:before="120"/>
      <w:widowControl/>
    </w:pPr>
    <w:rPr>
      <w:rFonts w:ascii="Times New Roman" w:hAnsi="Times New Roman" w:eastAsia="宋体"/>
      <w:bCs/>
      <w:sz w:val="20"/>
      <w:szCs w:val="20"/>
      <w:lang w:val="de-DE" w:eastAsia="de-DE"/>
    </w:rPr>
  </w:style>
  <w:style w:type="paragraph" w:styleId="1235" w:customStyle="1">
    <w:name w:val="标题1"/>
    <w:basedOn w:val="783"/>
    <w:next w:val="783"/>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36"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3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38" w:customStyle="1">
    <w:name w:val="目录 111"/>
    <w:basedOn w:val="783"/>
    <w:next w:val="783"/>
    <w:uiPriority w:val="39"/>
    <w:unhideWhenUsed/>
    <w:qFormat/>
    <w:pPr>
      <w:jc w:val="left"/>
      <w:spacing w:after="100" w:line="259" w:lineRule="auto"/>
      <w:widowControl/>
    </w:pPr>
    <w:rPr>
      <w:rFonts w:eastAsia="宋体"/>
      <w:sz w:val="22"/>
    </w:rPr>
  </w:style>
  <w:style w:type="table" w:styleId="1239" w:customStyle="1">
    <w:name w:val="网格型5"/>
    <w:basedOn w:val="844"/>
    <w:uiPriority w:val="0"/>
    <w:qFormat/>
    <w:pPr>
      <w:jc w:val="both"/>
      <w:widowControl w:val="off"/>
    </w:pPr>
    <w:tblPr>
      <w:tblCellMar>
        <w:left w:w="0" w:type="dxa"/>
        <w:top w:w="0" w:type="dxa"/>
        <w:right w:w="0" w:type="dxa"/>
        <w:bottom w:w="0" w:type="dxa"/>
      </w:tblCellMar>
    </w:tblPr>
  </w:style>
  <w:style w:type="paragraph" w:styleId="1240" w:customStyle="1">
    <w:name w:val="a0"/>
    <w:basedOn w:val="783"/>
    <w:uiPriority w:val="0"/>
    <w:qFormat/>
    <w:pPr>
      <w:jc w:val="left"/>
      <w:spacing w:before="100" w:beforeAutospacing="1" w:after="100" w:afterAutospacing="1"/>
      <w:widowControl/>
    </w:pPr>
    <w:rPr>
      <w:rFonts w:ascii="宋体" w:hAnsi="宋体" w:cs="宋体"/>
    </w:rPr>
  </w:style>
  <w:style w:type="character" w:styleId="1241" w:customStyle="1">
    <w:name w:val="NormalCharacter1"/>
    <w:uiPriority w:val="0"/>
    <w:qFormat/>
  </w:style>
  <w:style w:type="paragraph" w:styleId="1242" w:customStyle="1">
    <w:name w:val="UserStyle_0"/>
    <w:basedOn w:val="783"/>
    <w:uiPriority w:val="0"/>
    <w:qFormat/>
    <w:pPr>
      <w:ind w:left="420" w:firstLine="420"/>
      <w:spacing w:after="120"/>
      <w:widowControl/>
    </w:pPr>
    <w:rPr>
      <w:rFonts w:ascii="Times New Roman" w:hAnsi="Times New Roman"/>
      <w:szCs w:val="20"/>
    </w:rPr>
  </w:style>
  <w:style w:type="paragraph" w:styleId="1243" w:customStyle="1">
    <w:name w:val="UserStyle_87"/>
    <w:basedOn w:val="783"/>
    <w:uiPriority w:val="0"/>
    <w:qFormat/>
    <w:pPr>
      <w:ind w:firstLine="420"/>
      <w:widowControl/>
    </w:pPr>
  </w:style>
  <w:style w:type="character" w:styleId="1244" w:customStyle="1">
    <w:name w:val="UserStyle_88"/>
    <w:uiPriority w:val="0"/>
    <w:qFormat/>
  </w:style>
  <w:style w:type="paragraph" w:styleId="1245" w:customStyle="1">
    <w:name w:val="BodyText1I21"/>
    <w:basedOn w:val="783"/>
    <w:uiPriority w:val="0"/>
    <w:qFormat/>
    <w:pPr>
      <w:ind w:left="420" w:firstLine="420"/>
      <w:spacing w:after="120"/>
    </w:pPr>
    <w:rPr>
      <w:rFonts w:ascii="Times New Roman" w:hAnsi="Times New Roman"/>
      <w:szCs w:val="20"/>
    </w:rPr>
  </w:style>
  <w:style w:type="paragraph" w:styleId="1246" w:customStyle="1">
    <w:name w:val="Table Text"/>
    <w:basedOn w:val="783"/>
    <w:uiPriority w:val="0"/>
    <w:semiHidden/>
    <w:qFormat/>
    <w:rPr>
      <w:rFonts w:ascii="宋体" w:hAnsi="宋体" w:eastAsia="宋体" w:cs="宋体"/>
      <w:sz w:val="24"/>
      <w:szCs w:val="24"/>
      <w:lang w:eastAsia="en-US"/>
    </w:rPr>
  </w:style>
  <w:style w:type="character" w:styleId="1247" w:customStyle="1">
    <w:name w:val="font91"/>
    <w:basedOn w:val="793"/>
    <w:uiPriority w:val="0"/>
    <w:qFormat/>
    <w:rPr>
      <w:rFonts w:hint="eastAsia" w:ascii="宋体" w:hAnsi="宋体" w:eastAsia="宋体" w:cs="宋体"/>
      <w:color w:val="000000"/>
      <w:sz w:val="20"/>
      <w:szCs w:val="20"/>
      <w:u w:val="none"/>
    </w:rPr>
  </w:style>
  <w:style w:type="character" w:styleId="1248" w:customStyle="1">
    <w:name w:val="font41"/>
    <w:basedOn w:val="793"/>
    <w:uiPriority w:val="0"/>
    <w:qFormat/>
    <w:rPr>
      <w:rFonts w:hint="eastAsia" w:ascii="宋体" w:hAnsi="宋体" w:eastAsia="宋体" w:cs="宋体"/>
      <w:color w:val="000000"/>
      <w:sz w:val="20"/>
      <w:szCs w:val="20"/>
      <w:u w:val="none"/>
    </w:rPr>
  </w:style>
  <w:style w:type="character" w:styleId="1249" w:customStyle="1">
    <w:name w:val="font51"/>
    <w:basedOn w:val="793"/>
    <w:uiPriority w:val="0"/>
    <w:qFormat/>
    <w:rPr>
      <w:rFonts w:hint="default" w:ascii="仿宋_GB2312" w:eastAsia="仿宋_GB2312" w:cs="仿宋_GB2312"/>
      <w:color w:val="000000"/>
      <w:sz w:val="20"/>
      <w:szCs w:val="20"/>
      <w:u w:val="none"/>
    </w:rPr>
  </w:style>
  <w:style w:type="character" w:styleId="1250" w:customStyle="1">
    <w:name w:val="font141"/>
    <w:basedOn w:val="793"/>
    <w:uiPriority w:val="0"/>
    <w:qFormat/>
    <w:rPr>
      <w:rFonts w:hint="default" w:ascii="仿宋_GB2312" w:eastAsia="仿宋_GB2312" w:cs="仿宋_GB2312"/>
      <w:b/>
      <w:bCs/>
      <w:color w:val="000000"/>
      <w:sz w:val="20"/>
      <w:szCs w:val="20"/>
      <w:u w:val="none"/>
    </w:rPr>
  </w:style>
  <w:style w:type="character" w:styleId="1251" w:customStyle="1">
    <w:name w:val="font01"/>
    <w:basedOn w:val="793"/>
    <w:uiPriority w:val="0"/>
    <w:qFormat/>
    <w:rPr>
      <w:rFonts w:hint="eastAsia" w:ascii="宋体" w:hAnsi="宋体" w:eastAsia="宋体" w:cs="宋体"/>
      <w:color w:val="000000"/>
      <w:sz w:val="22"/>
      <w:szCs w:val="22"/>
      <w:u w:val="none"/>
    </w:rPr>
  </w:style>
  <w:style w:type="character" w:styleId="1252" w:customStyle="1">
    <w:name w:val="font61"/>
    <w:basedOn w:val="793"/>
    <w:uiPriority w:val="0"/>
    <w:qFormat/>
    <w:rPr>
      <w:rFonts w:hint="default" w:ascii="仿宋_GB2312" w:eastAsia="仿宋_GB2312" w:cs="仿宋_GB2312"/>
      <w:color w:val="000000"/>
      <w:sz w:val="20"/>
      <w:szCs w:val="20"/>
      <w:u w:val="none"/>
    </w:rPr>
  </w:style>
  <w:style w:type="character" w:styleId="1253" w:customStyle="1">
    <w:name w:val="font151"/>
    <w:basedOn w:val="793"/>
    <w:uiPriority w:val="0"/>
    <w:qFormat/>
    <w:rPr>
      <w:rFonts w:ascii="Arial" w:hAnsi="Arial" w:cs="Arial"/>
      <w:color w:val="000000"/>
      <w:sz w:val="20"/>
      <w:szCs w:val="20"/>
      <w:u w:val="none"/>
    </w:rPr>
  </w:style>
  <w:style w:type="character" w:styleId="1254" w:customStyle="1">
    <w:name w:val="font31"/>
    <w:basedOn w:val="793"/>
    <w:uiPriority w:val="0"/>
    <w:qFormat/>
    <w:rPr>
      <w:rFonts w:hint="eastAsia" w:ascii="仿宋" w:hAnsi="仿宋" w:eastAsia="仿宋" w:cs="仿宋"/>
      <w:color w:val="000000"/>
      <w:sz w:val="16"/>
      <w:szCs w:val="16"/>
      <w:u w:val="none"/>
    </w:rPr>
  </w:style>
  <w:style w:type="character" w:styleId="1255" w:customStyle="1">
    <w:name w:val="font101"/>
    <w:basedOn w:val="793"/>
    <w:uiPriority w:val="0"/>
    <w:qFormat/>
    <w:rPr>
      <w:rFonts w:hint="eastAsia" w:ascii="宋体" w:hAnsi="宋体" w:eastAsia="宋体" w:cs="宋体"/>
      <w:color w:val="000000"/>
      <w:sz w:val="18"/>
      <w:szCs w:val="18"/>
      <w:u w:val="none"/>
      <w:vertAlign w:val="subscript"/>
    </w:rPr>
  </w:style>
  <w:style w:type="character" w:styleId="1256" w:customStyle="1">
    <w:name w:val="font71"/>
    <w:basedOn w:val="793"/>
    <w:uiPriority w:val="0"/>
    <w:qFormat/>
    <w:rPr>
      <w:rFonts w:hint="eastAsia" w:ascii="宋体" w:hAnsi="宋体" w:eastAsia="宋体" w:cs="宋体"/>
      <w:color w:val="000000"/>
      <w:sz w:val="18"/>
      <w:szCs w:val="18"/>
      <w:u w:val="none"/>
    </w:rPr>
  </w:style>
  <w:style w:type="character" w:styleId="1257" w:customStyle="1">
    <w:name w:val="批注框文本 Char2"/>
    <w:basedOn w:val="793"/>
    <w:link w:val="807"/>
    <w:uiPriority w:val="99"/>
    <w:semiHidden/>
    <w:qFormat/>
    <w:rPr>
      <w:rFonts w:ascii="Calibri" w:hAnsi="Calibri" w:eastAsia="Arial"/>
      <w:sz w:val="18"/>
      <w:szCs w:val="18"/>
    </w:rPr>
  </w:style>
  <w:style w:type="table" w:styleId="1258" w:customStyle="1">
    <w:name w:val="Table Normal"/>
    <w:uiPriority w:val="0"/>
    <w:unhideWhenUsed/>
    <w:qFormat/>
    <w:tblPr>
      <w:tblCellMar>
        <w:left w:w="0" w:type="dxa"/>
        <w:top w:w="0" w:type="dxa"/>
        <w:right w:w="0" w:type="dxa"/>
        <w:bottom w:w="0" w:type="dxa"/>
      </w:tblCellMar>
    </w:tblPr>
  </w:style>
  <w:style w:type="numbering" w:styleId="207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7d353121-20b9-4925-aa78-d7fa2ce87a0e</errorID>
      <errorWord>日至2026年</errorWord>
      <group>L1_Word</group>
      <groupName>字词问题</groupName>
      <ability>L2_Typo</ability>
      <abilityName>字词错误</abilityName>
      <candidateList>
        <item>日起至2026年</item>
      </candidateList>
      <explain/>
      <paraID>3BCEE182</paraID>
      <start>13</start>
      <end>20</end>
      <status>unmodified</status>
      <modifiedWord/>
      <trackRevisions>false</trackRevisions>
    </reviewItem>
    <reviewItem>
      <errorID>430f5ab6-dd66-4dad-837d-8b9f62ef0871</errorID>
      <errorWord>“.</errorWord>
      <group>L1_Punc</group>
      <groupName>标点问题</groupName>
      <ability>L2_Punc_CN</ability>
      <abilityName>标点符号问题</abilityName>
      <candidateList>
        <item>“</item>
      </candidateList>
      <explain/>
      <paraID> B4E865D</paraID>
      <start>149</start>
      <end>151</end>
      <status>unmodified</status>
      <modifiedWord/>
      <trackRevisions>false</trackRevisions>
    </reviewItem>
    <reviewItem>
      <errorID>6924ba86-a80e-41ec-a7eb-881a019e6cd6</errorID>
      <errorWord>“.</errorWord>
      <group>L1_Punc</group>
      <groupName>标点问题</groupName>
      <ability>L2_Punc_CN</ability>
      <abilityName>标点符号问题</abilityName>
      <candidateList>
        <item>“</item>
      </candidateList>
      <explain/>
      <paraID>16F5C8EC</paraID>
      <start>145</start>
      <end>147</end>
      <status>unmodified</status>
      <modifiedWord/>
      <trackRevisions>false</trackRevisions>
    </reviewItem>
    <reviewItem>
      <errorID>3253625b-9e71-496e-adb7-4ebafa457c17</errorID>
      <errorWord>金额100万</errorWord>
      <group>L1_Word</group>
      <groupName>字词问题</groupName>
      <ability>L2_Typo</ability>
      <abilityName>字词错误</abilityName>
      <candidateList>
        <item>金额100万元</item>
      </candidateList>
      <explain/>
      <paraID>15C2D31B</paraID>
      <start>75</start>
      <end>82</end>
      <status>modified</status>
      <modifiedWord>金额100万元</modifiedWord>
      <trackRevisions>false</trackRevisions>
    </reviewItem>
    <reviewItem>
      <errorID>bf5830b3-0802-4690-8fc0-35dff28731ee</errorID>
      <errorWord>胶粘剂</errorWord>
      <group>L1_Word</group>
      <groupName>字词问题</groupName>
      <ability>L2_Typo</ability>
      <abilityName>字词错误</abilityName>
      <candidateList>
        <item>胶黏剂</item>
      </candidateList>
      <explain/>
      <paraID>3573D8E1</paraID>
      <start>14</start>
      <end>17</end>
      <status>ignored</status>
      <modifiedWord/>
      <trackRevisions>false</trackRevisions>
    </reviewItem>
    <reviewItem>
      <errorID>0c1869f3-1c0c-4330-a09b-4cd55e34bb29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2B34D7AB</paraID>
      <start>0</start>
      <end>2</end>
      <status>ignored</status>
      <modifiedWord/>
      <trackRevisions>false</trackRevisions>
    </reviewItem>
    <reviewItem>
      <errorID>8c9477a2-46eb-4bc5-baa9-cc419d09c3f6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4CE605E4</paraID>
      <start>0</start>
      <end>2</end>
      <status>ignored</status>
      <modifiedWord/>
      <trackRevisions>false</trackRevisions>
    </reviewItem>
    <reviewItem>
      <errorID>742ccdf4-cecc-48bb-a072-3819269e1e37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20901ED9</paraID>
      <start>0</start>
      <end>2</end>
      <status>ignored</status>
      <modifiedWord/>
      <trackRevisions>false</trackRevisions>
    </reviewItem>
    <reviewItem>
      <errorID>9f86a7e6-0e3c-4b46-9d07-d7ca1d50b51c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1A4A4D32</paraID>
      <start>0</start>
      <end>2</end>
      <status>ignored</status>
      <modifiedWord/>
      <trackRevisions>false</trackRevisions>
    </reviewItem>
    <reviewItem>
      <errorID>40c6eb2e-eee7-4831-a5dc-14efe05df393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21EE2A0F</paraID>
      <start>0</start>
      <end>2</end>
      <status>ignored</status>
      <modifiedWord/>
      <trackRevisions>false</trackRevisions>
    </reviewItem>
    <reviewItem>
      <errorID>c3171bde-6ad4-4d18-9942-bda7dd3725b6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899A570</paraID>
      <start>0</start>
      <end>2</end>
      <status>ignored</status>
      <modifiedWord/>
      <trackRevisions>false</trackRevisions>
    </reviewItem>
    <reviewItem>
      <errorID>2b9acfe9-bce6-4f43-b331-b31ba6bcb271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3A9B62D8</paraID>
      <start>0</start>
      <end>2</end>
      <status>ignored</status>
      <modifiedWord/>
      <trackRevisions>false</trackRevisions>
    </reviewItem>
    <reviewItem>
      <errorID>f901cd7b-9a46-42f3-9559-4bff8623e442</errorID>
      <errorWord>~</errorWord>
      <group>L1_Format</group>
      <groupName>格式问题</groupName>
      <ability>L2_HalfPunc_CN</ability>
      <abilityName>全半角问题</abilityName>
      <candidateList>
        <item>～</item>
      </candidateList>
      <explain>文本全半角错误。</explain>
      <paraID>341C464C</paraID>
      <start>418</start>
      <end>419</end>
      <status>unmodified</status>
      <modifiedWord/>
      <trackRevisions>false</trackRevisions>
    </reviewItem>
    <reviewItem>
      <errorID>4e790354-9290-4eb4-8b9d-56bcbc6201f1</errorID>
      <errorWord>少于</errorWord>
      <group>L1_Word</group>
      <groupName>字词问题</groupName>
      <ability>L2_Typo</ability>
      <abilityName>字词错误</abilityName>
      <candidateList>
        <item>小于</item>
      </candidateList>
      <explain>存在字形相近字词的误用。</explain>
      <paraID>5EABAA63</paraID>
      <start>15</start>
      <end>17</end>
      <status>ignored</status>
      <modifiedWord/>
      <trackRevisions>false</trackRevisions>
    </reviewItem>
    <reviewItem>
      <errorID>ce2d25fe-60d1-4ed8-a1ef-d6090ba865dc</errorID>
      <errorWord>安</errorWord>
      <group>L1_Word</group>
      <groupName>字词问题</groupName>
      <ability>L2_Typo</ability>
      <abilityName>字词错误</abilityName>
      <candidateList>
        <item>安全</item>
      </candidateList>
      <explain>〈形〉没有危险；不受威胁；不出事故：～操作｜～地带｜注意交通～。</explain>
      <paraID> 9933390</paraID>
      <start>1055</start>
      <end>1057</end>
      <status>modified</status>
      <modifiedWord>安全</modifiedWord>
      <trackRevisions>false</trackRevisions>
    </reviewItem>
    <reviewItem>
      <errorID>1613cbc2-78a4-4d68-bcfc-b10bc94e0dcf</errorID>
      <errorWord>噪音</errorWord>
      <group>L1_Word</group>
      <groupName>字词问题</groupName>
      <ability>L2_Alias</ability>
      <abilityName>也作/曾用词</abilityName>
      <candidateList>
        <item>噪声</item>
      </candidateList>
      <explain>词汇[噪音]为不规范表述或旧称，其规范书面表述为[噪声]。</explain>
      <paraID>7334B885</paraID>
      <start>5</start>
      <end>7</end>
      <status>ignored</status>
      <modifiedWord/>
      <trackRevisions>false</trackRevisions>
    </reviewItem>
    <reviewItem>
      <errorID>e3338109-15f3-414c-9c23-e39976ed380b</errorID>
      <errorWord>(</errorWord>
      <group>L1_Format</group>
      <groupName>格式问题</groupName>
      <ability>L2_HalfPunc_CN</ability>
      <abilityName>全半角问题</abilityName>
      <candidateList>
        <item>（</item>
      </candidateList>
      <explain>文本全半角错误。</explain>
      <paraID>7334B885</paraID>
      <start>13</start>
      <end>14</end>
      <status>modified</status>
      <modifiedWord>（</modifiedWord>
      <trackRevisions>false</trackRevisions>
    </reviewItem>
    <reviewItem>
      <errorID>e710281d-46d7-43c0-b043-d966ed9b42d3</errorID>
      <errorWord>(</errorWord>
      <group>L1_Format</group>
      <groupName>格式问题</groupName>
      <ability>L2_HalfPunc_CN</ability>
      <abilityName>全半角问题</abilityName>
      <candidateList>
        <item>（</item>
      </candidateList>
      <explain>文本全半角错误。</explain>
      <paraID>62758476</paraID>
      <start>40</start>
      <end>41</end>
      <status>modified</status>
      <modifiedWord>（</modifiedWord>
      <trackRevisions>false</trackRevisions>
    </reviewItem>
    <reviewItem>
      <errorID>35fabcc6-9a55-4d56-8d76-100f20723506</errorID>
      <errorWord>(</errorWord>
      <group>L1_Format</group>
      <groupName>格式问题</groupName>
      <ability>L2_HalfPunc_CN</ability>
      <abilityName>全半角问题</abilityName>
      <candidateList>
        <item>（</item>
      </candidateList>
      <explain>文本全半角错误。</explain>
      <paraID>62758476</paraID>
      <start>62</start>
      <end>63</end>
      <status>modified</status>
      <modifiedWord>（</modifiedWord>
      <trackRevisions>false</trackRevisions>
    </reviewItem>
    <reviewItem>
      <errorID>8ec7e537-2264-4085-8d45-a3a660cc8df8</errorID>
      <errorWord>[2014]68号</errorWord>
      <group>L1_Knowledge</group>
      <groupName>知识性问题</groupName>
      <ability>L2_Knowledge</ability>
      <abilityName>其他知识</abilityName>
      <candidateList>
        <item>〔2014〕68号</item>
      </candidateList>
      <explain>发文字号格式错误。</explain>
      <paraID>646731D7</paraID>
      <start>84</start>
      <end>93</end>
      <status>modified</status>
      <modifiedWord>〔2014〕68号</modifiedWord>
      <trackRevisions>false</trackRevisions>
    </reviewItem>
    <reviewItem>
      <errorID>a6888354-b206-4d11-89c2-f03e8b6a14a2</errorID>
      <errorWord>(</errorWord>
      <group>L1_Format</group>
      <groupName>格式问题</groupName>
      <ability>L2_HalfPunc_CN</ability>
      <abilityName>全半角问题</abilityName>
      <candidateList>
        <item>（</item>
      </candidateList>
      <explain>文本全半角错误。</explain>
      <paraID>646731D7</paraID>
      <start>115</start>
      <end>116</end>
      <status>modified</status>
      <modifiedWord>（</modifiedWord>
      <trackRevisions>false</trackRevisions>
    </reviewItem>
    <reviewItem>
      <errorID>25cb2b90-2465-4ff0-9b3c-ffc13db0b526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72F2BD6C</paraID>
      <start>122</start>
      <end>124</end>
      <status>modified</status>
      <modifiedWord>”“</modifiedWord>
      <trackRevisions>false</trackRevisions>
    </reviewItem>
    <reviewItem>
      <errorID>6b5ec98d-b53b-4d5d-94e2-ba1d1fd36e3b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72F2BD6C</paraID>
      <start>126</start>
      <end>128</end>
      <status>modified</status>
      <modifiedWord>”“</modifiedWord>
      <trackRevisions>false</trackRevisions>
    </reviewItem>
    <reviewItem>
      <errorID>20e2405f-a774-4829-8183-617dd13383be</errorID>
      <errorWord>）</errorWord>
      <group>L1_Punc</group>
      <groupName>标点问题</groupName>
      <ability>L2_Punc_CN</ability>
      <abilityName>标点符号问题</abilityName>
      <candidateList/>
      <explain>同一形式括号套用。</explain>
      <paraID>25142332</paraID>
      <start>69</start>
      <end>70</end>
      <status>ignored</status>
      <modifiedWord/>
      <trackRevisions>false</trackRevisions>
    </reviewItem>
    <reviewItem>
      <errorID>4c38bf69-122d-4218-a3ba-41aeaebc81a2</errorID>
      <errorWord>(</errorWord>
      <group>L1_Format</group>
      <groupName>格式问题</groupName>
      <ability>L2_HalfPunc_CN</ability>
      <abilityName>全半角问题</abilityName>
      <candidateList>
        <item>（</item>
      </candidateList>
      <explain>文本全半角错误。</explain>
      <paraID>25142332</paraID>
      <start>107</start>
      <end>108</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974AED-E3D1-476D-9647-9563E2EA0FC7}"/>
</file>

<file path=customXml/itemProps2.xml><?xml version="1.0" encoding="utf-8"?>
<ds:datastoreItem xmlns:ds="http://schemas.openxmlformats.org/officeDocument/2006/customXml" ds:itemID="{85D49E58-55F3-44D9-A781-D2A4093791C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丁娅屏</cp:lastModifiedBy>
  <cp:revision>39</cp:revision>
  <dcterms:created xsi:type="dcterms:W3CDTF">2024-04-28T03:01:00Z</dcterms:created>
  <dcterms:modified xsi:type="dcterms:W3CDTF">2026-06-15T04:09:35Z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eyJoZGlkIjoiZjZlZmI4OTdjM2RjYzBlMWY0MGNjZTA4OGI0ZTgxOGYiLCJ1c2VySWQiOiIxOTc0Mzc3MzEifQ==</vt:lpwstr>
  </property>
  <property fmtid="{D5CDD505-2E9C-101B-9397-08002B2CF9AE}" pid="3" name="KSOProductBuildVer">
    <vt:lpwstr>2052-12.1.0.26895</vt:lpwstr>
  </property>
  <property fmtid="{D5CDD505-2E9C-101B-9397-08002B2CF9AE}" pid="4" name="ICV">
    <vt:lpwstr>B44D73B474504E979374F14B76F216D3_13</vt:lpwstr>
  </property>
</Properties>
</file>