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80"/>
          <w:highlight w:val="none"/>
          <w:lang w:eastAsia="zh-CN"/>
        </w:rPr>
        <w:t xml:space="preserve"> </w:t>
      </w:r>
      <w:r/>
    </w:p>
    <w:p>
      <w:pPr>
        <w:jc w:val="center"/>
        <w:spacing w:after="0" w:line="360" w:lineRule="auto"/>
        <w:rPr>
          <w:rFonts w:hint="eastAsia" w:ascii="黑体" w:hAnsi="黑体" w:eastAsia="黑体" w:cs="黑体"/>
          <w:bCs/>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Cs/>
          <w:sz w:val="80"/>
          <w:highlight w:val="none"/>
          <w:lang w:eastAsia="zh-CN"/>
        </w:rPr>
        <w:t xml:space="preserve">单一来源采购文件</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ind w:left="880"/>
        <w:spacing w:after="0" w:line="360" w:lineRule="auto"/>
        <w:rPr>
          <w:rFonts w:hint="eastAsia" w:ascii="黑体" w:hAnsi="黑体" w:eastAsia="黑体" w:cs="黑体"/>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6"/>
          <w:highlight w:val="none"/>
          <w:lang w:eastAsia="zh-CN"/>
        </w:rPr>
        <w:t xml:space="preserve">项目名称：西大岭过铁路雨污水项目</w:t>
      </w:r>
      <w:r/>
    </w:p>
    <w:p>
      <w:pPr>
        <w:ind w:left="880"/>
        <w:spacing w:after="0" w:line="360" w:lineRule="auto"/>
        <w:rPr>
          <w:rFonts w:hint="eastAsia" w:ascii="黑体" w:hAnsi="黑体" w:eastAsia="黑体" w:cs="黑体"/>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6"/>
          <w:highlight w:val="none"/>
          <w:lang w:eastAsia="zh-CN"/>
        </w:rPr>
        <w:t xml:space="preserve">项目编号：JSZC-320706-HCCG-D2026-0039</w:t>
      </w:r>
      <w:r/>
    </w:p>
    <w:p>
      <w:pPr>
        <w:ind w:firstLine="1440"/>
        <w:spacing w:after="0" w:line="360" w:lineRule="auto"/>
        <w:rPr>
          <w:rFonts w:hint="eastAsia" w:ascii="宋体" w:hAnsi="宋体" w:eastAsia="宋体" w:cs="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ind w:firstLine="1440"/>
        <w:spacing w:after="0" w:line="360" w:lineRule="auto"/>
        <w:rPr>
          <w:rFonts w:hint="eastAsia" w:ascii="宋体" w:hAnsi="宋体" w:eastAsia="宋体" w:cs="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ind w:firstLine="1440"/>
        <w:spacing w:after="0" w:line="360" w:lineRule="auto"/>
        <w:rPr>
          <w:rFonts w:hint="eastAsia" w:ascii="宋体" w:hAnsi="宋体" w:eastAsia="宋体" w:cs="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r>
      <w:r/>
    </w:p>
    <w:p>
      <w:pPr>
        <w:ind w:firstLine="1440"/>
        <w:spacing w:after="0" w:line="360" w:lineRule="auto"/>
        <w:rPr>
          <w:rFonts w:hint="eastAsia" w:ascii="宋体" w:hAnsi="宋体" w:eastAsia="宋体" w:cs="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r>
      <w:r/>
    </w:p>
    <w:p>
      <w:pPr>
        <w:ind w:firstLine="1440"/>
        <w:spacing w:after="0" w:line="360" w:lineRule="auto"/>
        <w:rPr>
          <w:rFonts w:hint="eastAsia" w:ascii="宋体" w:hAnsi="宋体" w:eastAsia="宋体" w:cs="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r>
      <w:r/>
    </w:p>
    <w:p>
      <w:pPr>
        <w:spacing w:after="0" w:line="360" w:lineRule="auto"/>
        <w:rPr>
          <w:rFonts w:hint="eastAsia" w:ascii="宋体" w:hAnsi="宋体" w:eastAsia="宋体" w:cs="宋体"/>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r>
      <w:r/>
    </w:p>
    <w:p>
      <w:pPr>
        <w:ind w:left="880"/>
        <w:spacing w:after="0" w:line="360" w:lineRule="auto"/>
        <w:rPr>
          <w:rFonts w:hint="eastAsia" w:ascii="黑体" w:hAnsi="黑体" w:eastAsia="黑体" w:cs="黑体"/>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6"/>
          <w:highlight w:val="none"/>
          <w:lang w:eastAsia="zh-CN"/>
        </w:rPr>
        <w:t xml:space="preserve">采购人：连云港市海州区住房和城乡建设局   </w:t>
      </w:r>
      <w:r/>
    </w:p>
    <w:p>
      <w:pPr>
        <w:ind w:left="880"/>
        <w:spacing w:after="0" w:line="360" w:lineRule="auto"/>
        <w:rPr>
          <w:rFonts w:hint="eastAsia" w:ascii="黑体" w:hAnsi="黑体" w:eastAsia="黑体" w:cs="黑体"/>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6"/>
          <w:highlight w:val="none"/>
          <w:lang w:eastAsia="zh-CN"/>
        </w:rPr>
        <w:t xml:space="preserve">采购代理机构：江苏鸿成工程项目管理有限公司</w:t>
      </w:r>
      <w:r/>
    </w:p>
    <w:p>
      <w:pPr>
        <w:jc w:val="center"/>
        <w:spacing w:after="0" w:line="360" w:lineRule="auto"/>
        <w:rPr>
          <w:rFonts w:hint="eastAsia" w:ascii="黑体" w:hAnsi="黑体" w:eastAsia="黑体" w:cs="黑体"/>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highlight w:val="none"/>
        </w:rPr>
        <w:t xml:space="preserve">202</w:t>
      </w:r>
      <w:r>
        <w:rPr>
          <w:rFonts w:hint="eastAsia" w:ascii="黑体" w:hAnsi="黑体" w:eastAsia="黑体" w:cs="黑体"/>
          <w:sz w:val="32"/>
          <w:highlight w:val="none"/>
          <w:lang w:eastAsia="zh-CN"/>
        </w:rPr>
        <w:t xml:space="preserve">6</w:t>
      </w:r>
      <w:r>
        <w:rPr>
          <w:rFonts w:hint="eastAsia" w:ascii="黑体" w:hAnsi="黑体" w:eastAsia="黑体" w:cs="黑体"/>
          <w:sz w:val="32"/>
          <w:highlight w:val="none"/>
        </w:rPr>
        <w:t xml:space="preserve">年</w:t>
      </w:r>
      <w:r>
        <w:rPr>
          <w:rFonts w:hint="eastAsia" w:ascii="黑体" w:hAnsi="黑体" w:eastAsia="黑体" w:cs="黑体"/>
          <w:sz w:val="32"/>
          <w:highlight w:val="none"/>
          <w:lang w:eastAsia="zh-CN"/>
        </w:rPr>
        <w:t xml:space="preserve">7</w:t>
      </w:r>
      <w:r>
        <w:rPr>
          <w:rFonts w:hint="eastAsia" w:ascii="黑体" w:hAnsi="黑体" w:eastAsia="黑体" w:cs="黑体"/>
          <w:sz w:val="32"/>
          <w:highlight w:val="none"/>
        </w:rPr>
        <w:t xml:space="preserve">月</w:t>
      </w:r>
      <w:r/>
    </w:p>
    <w:p>
      <w:pPr>
        <w:ind w:right="1440"/>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 </w:t>
      </w:r>
      <w:r/>
    </w:p>
    <w:p>
      <w:pPr>
        <w:ind w:right="1440"/>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 </w:t>
      </w:r>
      <w:r/>
    </w:p>
    <w:p>
      <w:pPr>
        <w:jc w:val="center"/>
        <w:spacing w:after="0" w:line="360" w:lineRule="auto"/>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pgNumType w:start="1"/>
          <w:cols w:num="1" w:sep="0" w:space="708" w:equalWidth="1"/>
          <w:docGrid w:linePitch="360"/>
        </w:sectPr>
      </w:pPr>
      <w:r>
        <w:rPr>
          <w:rFonts w:hint="eastAsia" w:ascii="宋体" w:hAnsi="宋体" w:eastAsia="宋体" w:cs="宋体"/>
          <w:b/>
          <w:sz w:val="44"/>
          <w:highlight w:val="none"/>
        </w:rPr>
      </w:r>
      <w:r/>
    </w:p>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总  目  录</w:t>
      </w:r>
      <w:r/>
    </w:p>
    <w:sdt>
      <w:sdtPr>
        <w15:appearance w15:val="boundingBox"/>
        <w15:color w:val="dbdbdb"/>
        <w:id w:val="147470615"/>
        <w:docPartObj>
          <w:docPartGallery w:val="Table of Contents"/>
          <w:docPartUnique w:val="true"/>
        </w:docPartObj>
        <w:rPr>
          <w:rFonts w:ascii="宋体" w:hAnsi="宋体" w:eastAsia="宋体"/>
          <w:sz w:val="21"/>
          <w:highlight w:val="none"/>
        </w:rPr>
      </w:sdtPr>
      <w:sdtContent>
        <w:p>
          <w:pPr>
            <w:jc w:val="both"/>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743"/>
            <w:spacing w:after="0" w:line="360" w:lineRule="auto"/>
            <w:tabs>
              <w:tab w:val="right" w:pos="9638" w:leader="dot"/>
            </w:tabs>
            <w:rPr>
              <w:rFonts w:hint="eastAsia" w:ascii="黑体" w:hAnsi="黑体" w:eastAsia="黑体" w:cs="黑体"/>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"_Toc21396" </w:instrText>
          </w:r>
          <w:r>
            <w:rPr>
              <w:highlight w:val="none"/>
            </w:rPr>
            <w:fldChar w:fldCharType="separate"/>
          </w:r>
          <w:r>
            <w:rPr>
              <w:rFonts w:hint="eastAsia" w:ascii="黑体" w:hAnsi="黑体" w:eastAsia="黑体" w:cs="黑体"/>
              <w:highlight w:val="none"/>
            </w:rPr>
            <w:t xml:space="preserve">第一</w:t>
          </w:r>
          <w:r>
            <w:rPr>
              <w:rFonts w:hint="eastAsia" w:ascii="黑体" w:hAnsi="黑体" w:eastAsia="黑体" w:cs="黑体"/>
              <w:highlight w:val="none"/>
              <w:lang w:eastAsia="zh-CN"/>
            </w:rPr>
            <w:t xml:space="preserve">章</w:t>
          </w:r>
          <w:r>
            <w:rPr>
              <w:rFonts w:ascii="Calibri" w:hAnsi="Calibri" w:eastAsia="黑体" w:cs="Calibri"/>
              <w:highlight w:val="none"/>
            </w:rPr>
            <w:t xml:space="preserve"> </w:t>
          </w:r>
          <w:r>
            <w:rPr>
              <w:rFonts w:hint="eastAsia" w:ascii="黑体" w:hAnsi="黑体" w:eastAsia="黑体" w:cs="黑体"/>
              <w:highlight w:val="none"/>
            </w:rPr>
            <w:t xml:space="preserve">单一来源邀请函</w:t>
          </w:r>
          <w:r>
            <w:rPr>
              <w:rFonts w:hint="eastAsia" w:ascii="黑体" w:hAnsi="黑体" w:eastAsia="黑体" w:cs="黑体"/>
              <w:highlight w:val="none"/>
            </w:rPr>
            <w:tab/>
          </w:r>
          <w:r>
            <w:rPr>
              <w:rFonts w:hint="eastAsia" w:ascii="黑体" w:hAnsi="黑体" w:eastAsia="黑体" w:cs="黑体"/>
              <w:highlight w:val="none"/>
            </w:rPr>
            <w:fldChar w:fldCharType="begin"/>
          </w:r>
          <w:r>
            <w:rPr>
              <w:rFonts w:hint="eastAsia" w:ascii="黑体" w:hAnsi="黑体" w:eastAsia="黑体" w:cs="黑体"/>
              <w:highlight w:val="none"/>
            </w:rPr>
            <w:instrText xml:space="preserve"> PAGEREF _Toc21396 \h </w:instrText>
          </w:r>
          <w:r>
            <w:rPr>
              <w:rFonts w:hint="eastAsia" w:ascii="黑体" w:hAnsi="黑体" w:eastAsia="黑体" w:cs="黑体"/>
              <w:highlight w:val="none"/>
            </w:rPr>
            <w:fldChar w:fldCharType="separate"/>
          </w:r>
          <w:r>
            <w:rPr>
              <w:rFonts w:hint="eastAsia" w:ascii="黑体" w:hAnsi="黑体" w:eastAsia="黑体" w:cs="黑体"/>
              <w:highlight w:val="none"/>
            </w:rPr>
            <w:t xml:space="preserve">1</w:t>
          </w:r>
          <w:r>
            <w:rPr>
              <w:rFonts w:hint="eastAsia" w:ascii="黑体" w:hAnsi="黑体" w:eastAsia="黑体" w:cs="黑体"/>
              <w:highlight w:val="none"/>
            </w:rPr>
            <w:fldChar w:fldCharType="end"/>
          </w:r>
          <w:r>
            <w:rPr>
              <w:rFonts w:hint="eastAsia" w:ascii="黑体" w:hAnsi="黑体" w:eastAsia="黑体" w:cs="黑体"/>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"_Toc28359" </w:instrText>
          </w:r>
          <w:r>
            <w:rPr>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_Toc28359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"_Toc12987" </w:instrText>
          </w:r>
          <w:r>
            <w:rPr>
              <w:highlight w:val="none"/>
            </w:rPr>
            <w:fldChar w:fldCharType="separate"/>
          </w:r>
          <w:r>
            <w:rPr>
              <w:rFonts w:hint="eastAsia" w:ascii="宋体" w:hAnsi="宋体" w:eastAsia="宋体" w:cs="宋体"/>
              <w:highlight w:val="none"/>
            </w:rPr>
            <w:t xml:space="preserve">二、合格单一来源供应商资格要求</w:t>
          </w:r>
          <w:r>
            <w:rPr>
              <w:highlight w:val="none"/>
            </w:rPr>
            <w:tab/>
          </w:r>
          <w:r>
            <w:rPr>
              <w:highlight w:val="none"/>
            </w:rPr>
            <w:fldChar w:fldCharType="begin"/>
          </w:r>
          <w:r>
            <w:rPr>
              <w:highlight w:val="none"/>
            </w:rPr>
            <w:instrText xml:space="preserve"> PAGEREF _Toc12987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"_Toc22677" </w:instrText>
          </w:r>
          <w:r>
            <w:rPr>
              <w:highlight w:val="none"/>
            </w:rPr>
            <w:fldChar w:fldCharType="separate"/>
          </w:r>
          <w:r>
            <w:rPr>
              <w:rFonts w:hint="eastAsia" w:ascii="宋体" w:hAnsi="宋体" w:eastAsia="宋体" w:cs="宋体"/>
              <w:highlight w:val="none"/>
            </w:rPr>
            <w:t xml:space="preserve">三、提交响应文件要求</w:t>
          </w:r>
          <w:r>
            <w:rPr>
              <w:highlight w:val="none"/>
            </w:rPr>
            <w:tab/>
          </w:r>
          <w:r>
            <w:rPr>
              <w:highlight w:val="none"/>
            </w:rPr>
            <w:fldChar w:fldCharType="begin"/>
          </w:r>
          <w:r>
            <w:rPr>
              <w:highlight w:val="none"/>
            </w:rPr>
            <w:instrText xml:space="preserve"> PAGEREF _Toc22677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"_Toc19387" </w:instrText>
          </w:r>
          <w:r>
            <w:rPr>
              <w:highlight w:val="none"/>
            </w:rPr>
            <w:fldChar w:fldCharType="separate"/>
          </w:r>
          <w:r>
            <w:rPr>
              <w:rFonts w:hint="eastAsia" w:ascii="宋体" w:hAnsi="宋体" w:eastAsia="宋体" w:cs="宋体"/>
              <w:highlight w:val="none"/>
            </w:rPr>
            <w:t xml:space="preserve">四、本次采购联系事项：</w:t>
          </w:r>
          <w:r>
            <w:rPr>
              <w:highlight w:val="none"/>
            </w:rPr>
            <w:tab/>
          </w:r>
          <w:r>
            <w:rPr>
              <w:highlight w:val="none"/>
            </w:rPr>
            <w:fldChar w:fldCharType="begin"/>
          </w:r>
          <w:r>
            <w:rPr>
              <w:highlight w:val="none"/>
            </w:rPr>
            <w:instrText xml:space="preserve"> PAGEREF _Toc19387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"_Toc20771" </w:instrText>
          </w:r>
          <w:r>
            <w:rPr>
              <w:highlight w:val="none"/>
            </w:rPr>
            <w:fldChar w:fldCharType="separate"/>
          </w:r>
          <w:r>
            <w:rPr>
              <w:rFonts w:hint="eastAsia" w:ascii="宋体" w:hAnsi="宋体" w:eastAsia="宋体" w:cs="宋体"/>
              <w:highlight w:val="none"/>
            </w:rPr>
            <w:t xml:space="preserve">五、其他</w:t>
          </w:r>
          <w:r>
            <w:rPr>
              <w:highlight w:val="none"/>
            </w:rPr>
            <w:tab/>
          </w:r>
          <w:r>
            <w:rPr>
              <w:highlight w:val="none"/>
            </w:rPr>
            <w:fldChar w:fldCharType="begin"/>
          </w:r>
          <w:r>
            <w:rPr>
              <w:highlight w:val="none"/>
            </w:rPr>
            <w:instrText xml:space="preserve"> PAGEREF _Toc20771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"_Toc19241" </w:instrText>
          </w:r>
          <w:r>
            <w:rPr>
              <w:highlight w:val="none"/>
            </w:rPr>
            <w:fldChar w:fldCharType="separate"/>
          </w:r>
          <w:r>
            <w:rPr>
              <w:rFonts w:hint="eastAsia" w:ascii="黑体" w:hAnsi="黑体" w:eastAsia="黑体" w:cs="黑体"/>
              <w:szCs w:val="36"/>
              <w:highlight w:val="none"/>
            </w:rPr>
            <w:t xml:space="preserve">第二</w:t>
          </w:r>
          <w:r>
            <w:rPr>
              <w:rFonts w:hint="eastAsia" w:ascii="黑体" w:hAnsi="黑体" w:eastAsia="黑体" w:cs="黑体"/>
              <w:szCs w:val="36"/>
              <w:highlight w:val="none"/>
              <w:lang w:eastAsia="zh-CN"/>
            </w:rPr>
            <w:t xml:space="preserve">章  </w:t>
          </w:r>
          <w:r>
            <w:rPr>
              <w:rFonts w:hint="eastAsia" w:ascii="黑体" w:hAnsi="黑体" w:eastAsia="黑体" w:cs="黑体"/>
              <w:szCs w:val="36"/>
              <w:highlight w:val="none"/>
            </w:rPr>
            <w:t xml:space="preserve">供应商须知</w:t>
          </w:r>
          <w:r>
            <w:rPr>
              <w:highlight w:val="none"/>
            </w:rPr>
            <w:tab/>
          </w:r>
          <w:r>
            <w:rPr>
              <w:highlight w:val="none"/>
            </w:rPr>
            <w:fldChar w:fldCharType="begin"/>
          </w:r>
          <w:r>
            <w:rPr>
              <w:highlight w:val="none"/>
            </w:rPr>
            <w:instrText xml:space="preserve"> PAGEREF _Toc19241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"_Toc22135" </w:instrText>
          </w:r>
          <w:r>
            <w:rPr>
              <w:highlight w:val="none"/>
            </w:rPr>
            <w:fldChar w:fldCharType="separate"/>
          </w:r>
          <w:r>
            <w:rPr>
              <w:rFonts w:hint="eastAsia" w:ascii="宋体" w:hAnsi="宋体" w:eastAsia="宋体" w:cs="宋体"/>
              <w:szCs w:val="24"/>
              <w:highlight w:val="none"/>
            </w:rPr>
            <w:t xml:space="preserve">一、总则</w:t>
          </w:r>
          <w:r>
            <w:rPr>
              <w:highlight w:val="none"/>
            </w:rPr>
            <w:tab/>
          </w:r>
          <w:r>
            <w:rPr>
              <w:highlight w:val="none"/>
            </w:rPr>
            <w:fldChar w:fldCharType="begin"/>
          </w:r>
          <w:r>
            <w:rPr>
              <w:highlight w:val="none"/>
            </w:rPr>
            <w:instrText xml:space="preserve"> PAGEREF _Toc22135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"_Toc10025" </w:instrText>
          </w:r>
          <w:r>
            <w:rPr>
              <w:highlight w:val="none"/>
            </w:rPr>
            <w:fldChar w:fldCharType="separate"/>
          </w:r>
          <w:r>
            <w:rPr>
              <w:rFonts w:hint="eastAsia" w:ascii="宋体" w:hAnsi="宋体" w:eastAsia="宋体" w:cs="宋体"/>
              <w:szCs w:val="24"/>
              <w:highlight w:val="none"/>
            </w:rPr>
            <w:t xml:space="preserve">二、采购文件</w:t>
          </w:r>
          <w:r>
            <w:rPr>
              <w:highlight w:val="none"/>
            </w:rPr>
            <w:tab/>
          </w:r>
          <w:r>
            <w:rPr>
              <w:highlight w:val="none"/>
            </w:rPr>
            <w:fldChar w:fldCharType="begin"/>
          </w:r>
          <w:r>
            <w:rPr>
              <w:highlight w:val="none"/>
            </w:rPr>
            <w:instrText xml:space="preserve"> PAGEREF _Toc10025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"_Toc22546" </w:instrText>
          </w:r>
          <w:r>
            <w:rPr>
              <w:highlight w:val="none"/>
            </w:rPr>
            <w:fldChar w:fldCharType="separate"/>
          </w:r>
          <w:r>
            <w:rPr>
              <w:rFonts w:hint="eastAsia" w:ascii="宋体" w:hAnsi="宋体" w:eastAsia="宋体" w:cs="宋体"/>
              <w:szCs w:val="24"/>
              <w:highlight w:val="none"/>
            </w:rPr>
            <w:t xml:space="preserve">三、响应文件的编制</w:t>
          </w:r>
          <w:r>
            <w:rPr>
              <w:highlight w:val="none"/>
            </w:rPr>
            <w:tab/>
          </w:r>
          <w:r>
            <w:rPr>
              <w:highlight w:val="none"/>
            </w:rPr>
            <w:fldChar w:fldCharType="begin"/>
          </w:r>
          <w:r>
            <w:rPr>
              <w:highlight w:val="none"/>
            </w:rPr>
            <w:instrText xml:space="preserve"> PAGEREF _Toc22546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"_Toc7819" </w:instrText>
          </w:r>
          <w:r>
            <w:rPr>
              <w:highlight w:val="none"/>
            </w:rPr>
            <w:fldChar w:fldCharType="separate"/>
          </w:r>
          <w:r>
            <w:rPr>
              <w:rFonts w:hint="eastAsia" w:ascii="宋体" w:hAnsi="宋体" w:eastAsia="宋体" w:cs="宋体"/>
              <w:szCs w:val="24"/>
              <w:highlight w:val="none"/>
            </w:rPr>
            <w:t xml:space="preserve">四、响应文件的递交</w:t>
          </w:r>
          <w:r>
            <w:rPr>
              <w:highlight w:val="none"/>
            </w:rPr>
            <w:tab/>
          </w:r>
          <w:r>
            <w:rPr>
              <w:highlight w:val="none"/>
            </w:rPr>
            <w:fldChar w:fldCharType="begin"/>
          </w:r>
          <w:r>
            <w:rPr>
              <w:highlight w:val="none"/>
            </w:rPr>
            <w:instrText xml:space="preserve"> PAGEREF _Toc7819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"_Toc15606" </w:instrText>
          </w:r>
          <w:r>
            <w:rPr>
              <w:highlight w:val="none"/>
            </w:rPr>
            <w:fldChar w:fldCharType="separate"/>
          </w:r>
          <w:r>
            <w:rPr>
              <w:rFonts w:hint="eastAsia" w:ascii="宋体" w:hAnsi="宋体" w:eastAsia="宋体" w:cs="宋体"/>
              <w:szCs w:val="24"/>
              <w:highlight w:val="none"/>
            </w:rPr>
            <w:t xml:space="preserve">五、响应文件的解密与评审</w:t>
          </w:r>
          <w:r>
            <w:rPr>
              <w:highlight w:val="none"/>
            </w:rPr>
            <w:tab/>
          </w:r>
          <w:r>
            <w:rPr>
              <w:highlight w:val="none"/>
            </w:rPr>
            <w:fldChar w:fldCharType="begin"/>
          </w:r>
          <w:r>
            <w:rPr>
              <w:highlight w:val="none"/>
            </w:rPr>
            <w:instrText xml:space="preserve"> PAGEREF _Toc15606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"_Toc9435" </w:instrText>
          </w:r>
          <w:r>
            <w:rPr>
              <w:highlight w:val="none"/>
            </w:rPr>
            <w:fldChar w:fldCharType="separate"/>
          </w:r>
          <w:r>
            <w:rPr>
              <w:rFonts w:hint="eastAsia" w:ascii="宋体" w:hAnsi="宋体" w:eastAsia="宋体" w:cs="宋体"/>
              <w:szCs w:val="24"/>
              <w:highlight w:val="none"/>
            </w:rPr>
            <w:t xml:space="preserve">七、授予合同</w:t>
          </w:r>
          <w:r>
            <w:rPr>
              <w:highlight w:val="none"/>
            </w:rPr>
            <w:tab/>
          </w:r>
          <w:r>
            <w:rPr>
              <w:highlight w:val="none"/>
            </w:rPr>
            <w:fldChar w:fldCharType="begin"/>
          </w:r>
          <w:r>
            <w:rPr>
              <w:highlight w:val="none"/>
            </w:rPr>
            <w:instrText xml:space="preserve"> PAGEREF _Toc9435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"_Toc9609" </w:instrText>
          </w:r>
          <w:r>
            <w:rPr>
              <w:highlight w:val="none"/>
            </w:rPr>
            <w:fldChar w:fldCharType="separate"/>
          </w:r>
          <w:r>
            <w:rPr>
              <w:rFonts w:hint="eastAsia" w:ascii="宋体" w:hAnsi="宋体" w:eastAsia="宋体" w:cs="宋体"/>
              <w:szCs w:val="24"/>
              <w:highlight w:val="none"/>
              <w:lang w:eastAsia="zh-CN"/>
            </w:rPr>
            <w:t xml:space="preserve">八</w:t>
          </w:r>
          <w:r>
            <w:rPr>
              <w:rFonts w:hint="eastAsia" w:ascii="宋体" w:hAnsi="宋体" w:eastAsia="宋体" w:cs="宋体"/>
              <w:szCs w:val="24"/>
              <w:highlight w:val="none"/>
            </w:rPr>
            <w:t xml:space="preserve">、支持绿色发展</w:t>
          </w:r>
          <w:r>
            <w:rPr>
              <w:highlight w:val="none"/>
            </w:rPr>
            <w:tab/>
          </w:r>
          <w:r>
            <w:rPr>
              <w:highlight w:val="none"/>
            </w:rPr>
            <w:fldChar w:fldCharType="begin"/>
          </w:r>
          <w:r>
            <w:rPr>
              <w:highlight w:val="none"/>
            </w:rPr>
            <w:instrText xml:space="preserve"> PAGEREF _Toc9609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43"/>
            <w:spacing w:after="0" w:line="360" w:lineRule="auto"/>
            <w:tabs>
              <w:tab w:val="right" w:pos="9638" w:leader="dot"/>
            </w:tabs>
            <w:rPr>
              <w:highlight w:val="none"/>
            </w:rPr>
          </w:pPr>
          <w:r>
            <w:rPr>
              <w:highlight w:val="none"/>
            </w:rPr>
            <w:fldChar w:fldCharType="begin"/>
          </w:r>
          <w:r>
            <w:rPr>
              <w:highlight w:val="none"/>
            </w:rPr>
            <w:instrText xml:space="preserve"> HYPERLINK \l "_Toc10598" </w:instrText>
          </w:r>
          <w:r>
            <w:rPr>
              <w:highlight w:val="none"/>
            </w:rPr>
            <w:fldChar w:fldCharType="separate"/>
          </w:r>
          <w:r>
            <w:rPr>
              <w:rFonts w:hint="eastAsia" w:ascii="宋体" w:hAnsi="宋体" w:eastAsia="宋体" w:cs="宋体"/>
              <w:szCs w:val="24"/>
              <w:highlight w:val="none"/>
              <w:lang w:eastAsia="zh-CN"/>
            </w:rPr>
            <w:t xml:space="preserve">九、政府采购需求标准</w:t>
          </w:r>
          <w:r>
            <w:rPr>
              <w:highlight w:val="none"/>
            </w:rPr>
            <w:tab/>
          </w:r>
          <w:r>
            <w:rPr>
              <w:highlight w:val="none"/>
            </w:rPr>
            <w:fldChar w:fldCharType="begin"/>
          </w:r>
          <w:r>
            <w:rPr>
              <w:highlight w:val="none"/>
            </w:rPr>
            <w:instrText xml:space="preserve"> PAGEREF _Toc10598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43"/>
            <w:tabs>
              <w:tab w:val="right" w:pos="9638" w:leader="dot"/>
            </w:tabs>
            <w:rPr>
              <w:rFonts w:hint="eastAsia" w:ascii="黑体" w:hAnsi="黑体" w:eastAsia="黑体" w:cs="黑体"/>
              <w:highlight w:val="none"/>
            </w:rPr>
          </w:pPr>
          <w:r>
            <w:rPr>
              <w:highlight w:val="none"/>
            </w:rPr>
            <w:fldChar w:fldCharType="begin"/>
          </w:r>
          <w:r>
            <w:rPr>
              <w:highlight w:val="none"/>
            </w:rPr>
            <w:instrText xml:space="preserve"> HYPERLINK \l "_Toc10273" </w:instrText>
          </w:r>
          <w:r>
            <w:rPr>
              <w:highlight w:val="none"/>
            </w:rPr>
            <w:fldChar w:fldCharType="separate"/>
          </w:r>
          <w:r>
            <w:rPr>
              <w:rFonts w:hint="eastAsia" w:ascii="黑体" w:hAnsi="黑体" w:eastAsia="黑体" w:cs="黑体"/>
              <w:highlight w:val="none"/>
            </w:rPr>
            <w:t xml:space="preserve">第</w:t>
          </w:r>
          <w:r>
            <w:rPr>
              <w:rFonts w:hint="eastAsia" w:ascii="黑体" w:hAnsi="黑体" w:eastAsia="黑体" w:cs="黑体"/>
              <w:highlight w:val="none"/>
              <w:lang w:eastAsia="zh-CN"/>
            </w:rPr>
            <w:t xml:space="preserve">三章</w:t>
          </w:r>
          <w:r>
            <w:rPr>
              <w:rFonts w:hint="eastAsia" w:ascii="黑体" w:hAnsi="黑体" w:eastAsia="黑体" w:cs="黑体"/>
              <w:highlight w:val="none"/>
            </w:rPr>
            <w:t xml:space="preserve"> </w:t>
          </w:r>
          <w:r>
            <w:rPr>
              <w:rFonts w:hint="eastAsia" w:ascii="黑体" w:hAnsi="黑体" w:eastAsia="黑体" w:cs="黑体"/>
              <w:highlight w:val="none"/>
              <w:lang w:eastAsia="zh-CN"/>
            </w:rPr>
            <w:t xml:space="preserve">合同文本</w:t>
          </w:r>
          <w:r>
            <w:rPr>
              <w:rFonts w:hint="eastAsia" w:ascii="黑体" w:hAnsi="黑体" w:eastAsia="黑体" w:cs="黑体"/>
              <w:highlight w:val="none"/>
            </w:rPr>
            <w:tab/>
          </w:r>
          <w:r>
            <w:rPr>
              <w:rFonts w:hint="eastAsia" w:ascii="黑体" w:hAnsi="黑体" w:eastAsia="黑体" w:cs="黑体"/>
              <w:highlight w:val="none"/>
            </w:rPr>
            <w:fldChar w:fldCharType="begin"/>
          </w:r>
          <w:r>
            <w:rPr>
              <w:rFonts w:hint="eastAsia" w:ascii="黑体" w:hAnsi="黑体" w:eastAsia="黑体" w:cs="黑体"/>
              <w:highlight w:val="none"/>
            </w:rPr>
            <w:instrText xml:space="preserve"> PAGEREF _Toc10273 \h </w:instrText>
          </w:r>
          <w:r>
            <w:rPr>
              <w:rFonts w:hint="eastAsia" w:ascii="黑体" w:hAnsi="黑体" w:eastAsia="黑体" w:cs="黑体"/>
              <w:highlight w:val="none"/>
            </w:rPr>
            <w:fldChar w:fldCharType="separate"/>
          </w:r>
          <w:r>
            <w:rPr>
              <w:rFonts w:hint="eastAsia" w:ascii="黑体" w:hAnsi="黑体" w:eastAsia="黑体" w:cs="黑体"/>
              <w:highlight w:val="none"/>
            </w:rPr>
            <w:t xml:space="preserve">14</w:t>
          </w:r>
          <w:r>
            <w:rPr>
              <w:rFonts w:hint="eastAsia" w:ascii="黑体" w:hAnsi="黑体" w:eastAsia="黑体" w:cs="黑体"/>
              <w:highlight w:val="none"/>
            </w:rPr>
            <w:fldChar w:fldCharType="end"/>
          </w:r>
          <w:r>
            <w:rPr>
              <w:rFonts w:hint="eastAsia" w:ascii="黑体" w:hAnsi="黑体" w:eastAsia="黑体" w:cs="黑体"/>
              <w:highlight w:val="none"/>
            </w:rPr>
            <w:fldChar w:fldCharType="end"/>
          </w:r>
          <w:r/>
        </w:p>
        <w:p>
          <w:pPr>
            <w:pStyle w:val="743"/>
            <w:tabs>
              <w:tab w:val="right" w:pos="9638" w:leader="dot"/>
            </w:tabs>
            <w:rPr>
              <w:rFonts w:hint="eastAsia" w:ascii="黑体" w:hAnsi="黑体" w:eastAsia="黑体" w:cs="黑体"/>
              <w:highlight w:val="none"/>
            </w:rPr>
          </w:pPr>
          <w:r>
            <w:rPr>
              <w:highlight w:val="none"/>
            </w:rPr>
            <w:fldChar w:fldCharType="begin"/>
          </w:r>
          <w:r>
            <w:rPr>
              <w:highlight w:val="none"/>
            </w:rPr>
            <w:instrText xml:space="preserve"> HYPERLINK \l "_Toc23181" </w:instrText>
          </w:r>
          <w:r>
            <w:rPr>
              <w:highlight w:val="none"/>
            </w:rPr>
            <w:fldChar w:fldCharType="separate"/>
          </w:r>
          <w:r>
            <w:rPr>
              <w:rFonts w:hint="eastAsia" w:ascii="黑体" w:hAnsi="黑体" w:eastAsia="黑体" w:cs="黑体"/>
              <w:highlight w:val="none"/>
            </w:rPr>
            <w:t xml:space="preserve">第四</w:t>
          </w:r>
          <w:r>
            <w:rPr>
              <w:rFonts w:hint="eastAsia" w:ascii="黑体" w:hAnsi="黑体" w:eastAsia="黑体" w:cs="黑体"/>
              <w:highlight w:val="none"/>
              <w:lang w:eastAsia="zh-CN"/>
            </w:rPr>
            <w:t xml:space="preserve">章 </w:t>
          </w:r>
          <w:r>
            <w:rPr>
              <w:rFonts w:hint="eastAsia" w:ascii="黑体" w:hAnsi="黑体" w:eastAsia="黑体" w:cs="黑体"/>
              <w:highlight w:val="none"/>
            </w:rPr>
            <w:t xml:space="preserve">项目需求</w:t>
          </w:r>
          <w:r>
            <w:rPr>
              <w:rFonts w:hint="eastAsia" w:ascii="黑体" w:hAnsi="黑体" w:eastAsia="黑体" w:cs="黑体"/>
              <w:highlight w:val="none"/>
            </w:rPr>
            <w:tab/>
          </w:r>
          <w:r>
            <w:rPr>
              <w:rFonts w:hint="eastAsia" w:ascii="黑体" w:hAnsi="黑体" w:eastAsia="黑体" w:cs="黑体"/>
              <w:highlight w:val="none"/>
            </w:rPr>
            <w:fldChar w:fldCharType="begin"/>
          </w:r>
          <w:r>
            <w:rPr>
              <w:rFonts w:hint="eastAsia" w:ascii="黑体" w:hAnsi="黑体" w:eastAsia="黑体" w:cs="黑体"/>
              <w:highlight w:val="none"/>
            </w:rPr>
            <w:instrText xml:space="preserve"> PAGEREF _Toc23181 \h </w:instrText>
          </w:r>
          <w:r>
            <w:rPr>
              <w:rFonts w:hint="eastAsia" w:ascii="黑体" w:hAnsi="黑体" w:eastAsia="黑体" w:cs="黑体"/>
              <w:highlight w:val="none"/>
            </w:rPr>
            <w:fldChar w:fldCharType="separate"/>
          </w:r>
          <w:r>
            <w:rPr>
              <w:rFonts w:hint="eastAsia" w:ascii="黑体" w:hAnsi="黑体" w:eastAsia="黑体" w:cs="黑体"/>
              <w:highlight w:val="none"/>
            </w:rPr>
            <w:t xml:space="preserve">19</w:t>
          </w:r>
          <w:r>
            <w:rPr>
              <w:rFonts w:hint="eastAsia" w:ascii="黑体" w:hAnsi="黑体" w:eastAsia="黑体" w:cs="黑体"/>
              <w:highlight w:val="none"/>
            </w:rPr>
            <w:fldChar w:fldCharType="end"/>
          </w:r>
          <w:r>
            <w:rPr>
              <w:rFonts w:hint="eastAsia" w:ascii="黑体" w:hAnsi="黑体" w:eastAsia="黑体" w:cs="黑体"/>
              <w:highlight w:val="none"/>
            </w:rPr>
            <w:fldChar w:fldCharType="end"/>
          </w:r>
          <w:r/>
        </w:p>
        <w:p>
          <w:pPr>
            <w:pStyle w:val="743"/>
            <w:tabs>
              <w:tab w:val="right" w:pos="9638" w:leader="dot"/>
            </w:tabs>
            <w:rPr>
              <w:highlight w:val="none"/>
            </w:rPr>
          </w:pPr>
          <w:r>
            <w:rPr>
              <w:highlight w:val="none"/>
            </w:rPr>
            <w:fldChar w:fldCharType="begin"/>
          </w:r>
          <w:r>
            <w:rPr>
              <w:highlight w:val="none"/>
            </w:rPr>
            <w:instrText xml:space="preserve"> HYPERLINK \l "_Toc24213" </w:instrText>
          </w:r>
          <w:r>
            <w:rPr>
              <w:highlight w:val="none"/>
            </w:rPr>
            <w:fldChar w:fldCharType="separate"/>
          </w:r>
          <w:r>
            <w:rPr>
              <w:rFonts w:ascii="Times New Roman" w:hAnsi="Times New Roman" w:eastAsia="黑体" w:cs="Times New Roman"/>
              <w:bCs/>
              <w:szCs w:val="44"/>
              <w:highlight w:val="none"/>
            </w:rPr>
            <w:t xml:space="preserve">第五章  响应文件格式</w:t>
          </w:r>
          <w:r>
            <w:rPr>
              <w:highlight w:val="none"/>
            </w:rPr>
            <w:tab/>
          </w:r>
          <w:r>
            <w:rPr>
              <w:highlight w:val="none"/>
            </w:rPr>
            <w:fldChar w:fldCharType="begin"/>
          </w:r>
          <w:r>
            <w:rPr>
              <w:highlight w:val="none"/>
            </w:rPr>
            <w:instrText xml:space="preserve"> PAGEREF _Toc24213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rPr>
              <w:highlight w:val="none"/>
            </w:rPr>
          </w:pPr>
          <w:r>
            <w:rPr>
              <w:highlight w:val="none"/>
            </w:rPr>
            <w:fldChar w:fldCharType="end"/>
          </w:r>
          <w:r/>
        </w:p>
      </w:sdtContent>
    </w:sdt>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lang w:eastAsia="zh-CN"/>
        </w:rPr>
        <w:t xml:space="preserve"> </w:t>
      </w:r>
      <w:r/>
    </w:p>
    <w:p>
      <w:pPr>
        <w:jc w:val="center"/>
        <w:spacing w:after="0" w:line="360" w:lineRule="auto"/>
        <w:rPr>
          <w:rFonts w:hint="eastAsia" w:ascii="黑体" w:hAnsi="黑体" w:eastAsia="黑体" w:cs="黑体"/>
          <w:bCs/>
          <w:sz w:val="36"/>
          <w:highlight w:val="none"/>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pgNumType w:start="1"/>
          <w:cols w:num="1" w:sep="0" w:space="708" w:equalWidth="1"/>
          <w:docGrid w:linePitch="360"/>
        </w:sectPr>
        <w:outlineLvl w:val="0"/>
      </w:pPr>
      <w:r/>
      <w:bookmarkStart w:id="0" w:name="_Toc21396"/>
      <w:r/>
      <w:r/>
    </w:p>
    <w:p>
      <w:pPr>
        <w:jc w:val="center"/>
        <w:spacing w:after="0" w:line="360" w:lineRule="auto"/>
        <w:rPr>
          <w:rFonts w:hint="eastAsia" w:ascii="黑体" w:hAnsi="黑体" w:eastAsia="黑体" w:cs="黑体"/>
          <w:bCs/>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bCs/>
          <w:sz w:val="36"/>
          <w:highlight w:val="none"/>
          <w:lang w:eastAsia="zh-CN"/>
        </w:rPr>
        <w:t xml:space="preserve">第一章 单一来源邀请函</w:t>
      </w:r>
      <w:bookmarkEnd w:id="0"/>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single"/>
          <w:lang w:eastAsia="zh-CN"/>
        </w:rPr>
        <w:t xml:space="preserve">江苏鸿成工程项目管理有限公司</w:t>
      </w:r>
      <w:r>
        <w:rPr>
          <w:rFonts w:hint="eastAsia" w:ascii="宋体" w:hAnsi="宋体" w:eastAsia="宋体" w:cs="宋体"/>
          <w:sz w:val="24"/>
          <w:szCs w:val="24"/>
          <w:highlight w:val="none"/>
          <w:lang w:eastAsia="zh-CN"/>
        </w:rPr>
        <w:t xml:space="preserve">受</w:t>
      </w:r>
      <w:r>
        <w:rPr>
          <w:rFonts w:hint="eastAsia" w:ascii="宋体" w:hAnsi="宋体" w:eastAsia="宋体" w:cs="宋体"/>
          <w:sz w:val="24"/>
          <w:szCs w:val="24"/>
          <w:highlight w:val="none"/>
          <w:u w:val="single"/>
          <w:lang w:eastAsia="zh-CN"/>
        </w:rPr>
        <w:t xml:space="preserve">连云港市海州区住房和城乡建设局</w:t>
      </w:r>
      <w:r>
        <w:rPr>
          <w:rFonts w:hint="eastAsia" w:ascii="宋体" w:hAnsi="宋体" w:eastAsia="宋体" w:cs="宋体"/>
          <w:sz w:val="24"/>
          <w:szCs w:val="24"/>
          <w:highlight w:val="none"/>
          <w:lang w:eastAsia="zh-CN"/>
        </w:rPr>
        <w:t xml:space="preserve">委托，现对其</w:t>
      </w:r>
      <w:r>
        <w:rPr>
          <w:rFonts w:hint="eastAsia" w:ascii="宋体" w:hAnsi="宋体" w:eastAsia="宋体" w:cs="宋体"/>
          <w:sz w:val="24"/>
          <w:szCs w:val="24"/>
          <w:highlight w:val="none"/>
          <w:u w:val="single"/>
          <w:lang w:eastAsia="zh-CN"/>
        </w:rPr>
        <w:t xml:space="preserve">西大岭过铁路雨污水项目</w:t>
      </w:r>
      <w:r>
        <w:rPr>
          <w:rFonts w:hint="eastAsia" w:ascii="宋体" w:hAnsi="宋体" w:eastAsia="宋体" w:cs="宋体"/>
          <w:sz w:val="24"/>
          <w:szCs w:val="24"/>
          <w:highlight w:val="none"/>
          <w:lang w:eastAsia="zh-CN"/>
        </w:rPr>
        <w:t xml:space="preserve">进行单一来源方式采购,特邀</w:t>
      </w:r>
      <w:r>
        <w:rPr>
          <w:rFonts w:hint="eastAsia" w:ascii="宋体" w:hAnsi="宋体" w:eastAsia="宋体" w:cs="宋体"/>
          <w:sz w:val="24"/>
          <w:szCs w:val="24"/>
          <w:highlight w:val="none"/>
          <w:u w:val="single"/>
          <w:lang w:eastAsia="zh-CN"/>
        </w:rPr>
        <w:t xml:space="preserve">江苏锦盛电力有限公司</w:t>
      </w:r>
      <w:r>
        <w:rPr>
          <w:rFonts w:hint="eastAsia" w:ascii="宋体" w:hAnsi="宋体" w:eastAsia="宋体" w:cs="宋体"/>
          <w:sz w:val="24"/>
          <w:szCs w:val="24"/>
          <w:highlight w:val="none"/>
          <w:lang w:eastAsia="zh-CN"/>
        </w:rPr>
        <w:t xml:space="preserve">参与协商。</w:t>
      </w:r>
      <w:r/>
    </w:p>
    <w:p>
      <w:pPr>
        <w:ind w:firstLine="480"/>
        <w:spacing w:after="0" w:line="360" w:lineRule="auto"/>
        <w:rPr>
          <w:rFonts w:hint="eastAsia" w:ascii="宋体" w:hAnsi="宋体" w:eastAsia="宋体" w:cs="宋体"/>
          <w:sz w:val="24"/>
          <w:szCs w:val="24"/>
          <w:highlight w:val="none"/>
          <w:lang w:eastAsia="zh-CN"/>
        </w:rPr>
      </w:pPr>
      <w:r/>
      <w:bookmarkStart w:id="1" w:name="_Toc28359"/>
      <w:r>
        <w:rPr>
          <w:rFonts w:hint="eastAsia" w:ascii="宋体" w:hAnsi="宋体" w:eastAsia="宋体" w:cs="宋体"/>
          <w:sz w:val="24"/>
          <w:szCs w:val="24"/>
          <w:highlight w:val="none"/>
          <w:lang w:eastAsia="zh-CN"/>
        </w:rPr>
        <w:t xml:space="preserve">一、项目基本情况</w:t>
      </w:r>
      <w:bookmarkEnd w:id="1"/>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1.项目编号：JSZC-320706-HCCG-D2026-0039</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2.项目名称：西大岭过铁路雨污水项目</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3.采购预算：150万元人民币。</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4.采购需求：详见单一来源采购文件《项目</w:t>
      </w:r>
      <w:bookmarkStart w:id="94" w:name="_GoBack"/>
      <w:r/>
      <w:bookmarkEnd w:id="94"/>
      <w:r>
        <w:rPr>
          <w:rFonts w:hint="eastAsia" w:ascii="宋体" w:hAnsi="宋体" w:eastAsia="宋体" w:cs="宋体"/>
          <w:sz w:val="24"/>
          <w:szCs w:val="24"/>
          <w:highlight w:val="none"/>
          <w:lang w:eastAsia="zh-CN"/>
        </w:rPr>
        <w:t xml:space="preserve">需求》。</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5.合同履行期限（服务期限）：</w:t>
      </w:r>
      <w:bookmarkStart w:id="2" w:name="_Hlk234515922"/>
      <w:r>
        <w:rPr>
          <w:rFonts w:hint="eastAsia" w:ascii="宋体" w:hAnsi="宋体" w:eastAsia="宋体" w:cs="宋体"/>
          <w:sz w:val="24"/>
          <w:szCs w:val="24"/>
          <w:highlight w:val="none"/>
          <w:lang w:eastAsia="zh-CN"/>
        </w:rPr>
        <w:t xml:space="preserve">自合同签订之日起90日历天</w:t>
      </w:r>
      <w:bookmarkEnd w:id="2"/>
      <w:r>
        <w:rPr>
          <w:rFonts w:hint="eastAsia" w:ascii="宋体" w:hAnsi="宋体" w:eastAsia="宋体" w:cs="宋体"/>
          <w:sz w:val="24"/>
          <w:szCs w:val="24"/>
          <w:highlight w:val="none"/>
          <w:lang w:eastAsia="zh-CN"/>
        </w:rPr>
        <w:t xml:space="preserve">。</w:t>
      </w:r>
      <w:r/>
    </w:p>
    <w:p>
      <w:pPr>
        <w:ind w:firstLine="480"/>
        <w:spacing w:after="0" w:line="360" w:lineRule="auto"/>
        <w:rPr>
          <w:rFonts w:hint="eastAsia" w:ascii="宋体" w:hAnsi="宋体" w:eastAsia="宋体" w:cs="宋体"/>
          <w:sz w:val="24"/>
          <w:szCs w:val="24"/>
          <w:highlight w:val="none"/>
          <w:lang w:eastAsia="zh-CN"/>
        </w:rPr>
      </w:pPr>
      <w:r/>
      <w:bookmarkStart w:id="3" w:name="_Toc12987"/>
      <w:r>
        <w:rPr>
          <w:rFonts w:hint="eastAsia" w:ascii="宋体" w:hAnsi="宋体" w:eastAsia="宋体" w:cs="宋体"/>
          <w:sz w:val="24"/>
          <w:szCs w:val="24"/>
          <w:highlight w:val="none"/>
          <w:lang w:eastAsia="zh-CN"/>
        </w:rPr>
        <w:t xml:space="preserve">二、合格单一来源供应商资格要求</w:t>
      </w:r>
      <w:bookmarkEnd w:id="3"/>
      <w:r/>
      <w:r/>
    </w:p>
    <w:p>
      <w:pPr>
        <w:ind w:firstLine="480"/>
        <w:spacing w:after="0" w:line="360" w:lineRule="auto"/>
        <w:rPr>
          <w:rFonts w:hint="eastAsia" w:ascii="宋体" w:hAnsi="宋体" w:eastAsia="宋体" w:cs="宋体"/>
          <w:sz w:val="24"/>
          <w:szCs w:val="24"/>
          <w:highlight w:val="none"/>
          <w:lang w:eastAsia="zh-CN"/>
        </w:rPr>
      </w:pPr>
      <w:r/>
      <w:bookmarkStart w:id="4" w:name="_Toc24104"/>
      <w:r>
        <w:rPr>
          <w:rFonts w:hint="eastAsia" w:ascii="宋体" w:hAnsi="宋体" w:eastAsia="宋体" w:cs="宋体"/>
          <w:sz w:val="24"/>
          <w:szCs w:val="24"/>
          <w:highlight w:val="none"/>
          <w:lang w:eastAsia="zh-CN"/>
        </w:rPr>
        <w:t xml:space="preserve">（一）通用资格要求</w:t>
      </w:r>
      <w:bookmarkEnd w:id="4"/>
      <w:r/>
      <w:r/>
    </w:p>
    <w:p>
      <w:pPr>
        <w:ind w:firstLine="480"/>
        <w:spacing w:after="0" w:line="360" w:lineRule="auto"/>
        <w:rPr>
          <w:rFonts w:hint="eastAsia" w:ascii="宋体" w:hAnsi="宋体" w:eastAsia="宋体" w:cs="宋体"/>
          <w:sz w:val="24"/>
          <w:szCs w:val="24"/>
          <w:highlight w:val="none"/>
          <w:lang w:eastAsia="zh-CN"/>
        </w:rPr>
      </w:pPr>
      <w:r/>
      <w:bookmarkStart w:id="5" w:name="_Toc3640"/>
      <w:r>
        <w:rPr>
          <w:rFonts w:hint="eastAsia" w:ascii="宋体" w:hAnsi="宋体" w:eastAsia="宋体" w:cs="宋体"/>
          <w:sz w:val="24"/>
          <w:szCs w:val="24"/>
          <w:highlight w:val="none"/>
          <w:lang w:eastAsia="zh-CN"/>
        </w:rPr>
        <w:t xml:space="preserve">1.满足《中华人民共和国政府采购法》第二十二条规定，并提供下列材料：</w:t>
      </w:r>
      <w:bookmarkEnd w:id="5"/>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（1）法人或者其他组织的营业执照等证明文件，自然人的身份证明；</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（2）具有良好的商业信誉和健全的财务会计制度；</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（3）依法缴纳税收和社会保障资金的相关材料；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（4）具备履行合同所必需的设备和专业技术能力的书面声明及证明材料；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（5）参加政府采购活动前三年内在经营活动中没有重大违法记录的书面声明。</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注：根据连财购〔2023〕4号文件精神，第（2）、（3）项可以提供《财务状况报告及税收、社会保障资金缴纳情况承诺函》，详见采购文件格式。</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被信用中国、中国政府采购网列入失信被执行人、重大税收违法案件当事人名单、政府采购严重违法失信行为记录名单的供应商，拒绝其参与政府采购活动。备注：采购人或采购代理机构在协商环节通过信用中国网站（www.creditchina.gov.cn）、中国政府采购网（www.ccgp.gov.cn），对供应商信用记录情况进行查询，查询结果页面打印留存。</w:t>
      </w:r>
      <w:r/>
    </w:p>
    <w:p>
      <w:pPr>
        <w:ind w:firstLine="480"/>
        <w:spacing w:after="0" w:line="360" w:lineRule="auto"/>
        <w:rPr>
          <w:rFonts w:hint="eastAsia" w:ascii="宋体" w:hAnsi="宋体" w:eastAsia="宋体" w:cs="宋体"/>
          <w:sz w:val="24"/>
          <w:szCs w:val="24"/>
          <w:highlight w:val="none"/>
          <w:lang w:eastAsia="zh-CN"/>
        </w:rPr>
      </w:pPr>
      <w:r/>
      <w:bookmarkStart w:id="6" w:name="_Toc24179"/>
      <w:r>
        <w:rPr>
          <w:rFonts w:hint="eastAsia" w:ascii="宋体" w:hAnsi="宋体" w:eastAsia="宋体" w:cs="宋体"/>
          <w:sz w:val="24"/>
          <w:szCs w:val="24"/>
          <w:highlight w:val="none"/>
          <w:lang w:eastAsia="zh-CN"/>
        </w:rPr>
        <w:t xml:space="preserve">2.落实政府采购政策需满足的资格要求：无。</w:t>
      </w:r>
      <w:bookmarkEnd w:id="6"/>
      <w:r/>
      <w:r/>
    </w:p>
    <w:p>
      <w:pPr>
        <w:ind w:firstLine="480"/>
        <w:spacing w:after="0" w:line="360" w:lineRule="auto"/>
        <w:rPr>
          <w:rFonts w:hint="eastAsia" w:ascii="宋体" w:hAnsi="宋体" w:eastAsia="宋体" w:cs="宋体"/>
          <w:sz w:val="24"/>
          <w:szCs w:val="24"/>
          <w:highlight w:val="none"/>
          <w:lang w:eastAsia="zh-CN"/>
        </w:rPr>
      </w:pPr>
      <w:r/>
      <w:bookmarkStart w:id="7" w:name="_Toc9778"/>
      <w:r>
        <w:rPr>
          <w:rFonts w:hint="eastAsia" w:ascii="宋体" w:hAnsi="宋体" w:eastAsia="宋体" w:cs="宋体"/>
          <w:sz w:val="24"/>
          <w:szCs w:val="24"/>
          <w:highlight w:val="none"/>
          <w:lang w:eastAsia="zh-CN"/>
        </w:rPr>
        <w:t xml:space="preserve">（二）本项目的特定资格要求：无。</w:t>
      </w:r>
      <w:bookmarkEnd w:id="7"/>
      <w:r/>
      <w:bookmarkStart w:id="8" w:name="_Toc22677"/>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三、提交响应文件要求</w:t>
      </w:r>
      <w:bookmarkEnd w:id="8"/>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（一）本项目通过“苏采云”系统进行电子采购，即供应商响应文件从政府采购客户端工具制作并通过“苏采云”系统提交。</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（二）首次响应文件提交时间、地点：</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1.提交时间：</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首次响应文件提交的截止时间：2026年7月15日9 时00分（北京时间）前。</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2.提交地点：</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“苏采云”系统（网址：http://jszfcg.jsczt.cn/）“开标大厅”。</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首次响应文件开启时间：2026年7月 15 日9时00分（北京时间）。</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（三）首次响应文件开启地点：</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“苏采云”系统（网址：http://jszfcg.jsczt.cn/）“开标大厅”</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after="0" w:line="360" w:lineRule="auto"/>
        <w:rPr>
          <w:rFonts w:hint="eastAsia" w:ascii="宋体" w:hAnsi="宋体" w:eastAsia="宋体" w:cs="宋体"/>
          <w:sz w:val="24"/>
          <w:szCs w:val="24"/>
          <w:highlight w:val="none"/>
          <w:lang w:eastAsia="zh-CN"/>
        </w:rPr>
      </w:pPr>
      <w:r/>
      <w:bookmarkStart w:id="9" w:name="_Toc19387"/>
      <w:r>
        <w:rPr>
          <w:rFonts w:hint="eastAsia" w:ascii="宋体" w:hAnsi="宋体" w:eastAsia="宋体" w:cs="宋体"/>
          <w:sz w:val="24"/>
          <w:szCs w:val="24"/>
          <w:highlight w:val="none"/>
          <w:lang w:eastAsia="zh-CN"/>
        </w:rPr>
        <w:t xml:space="preserve">四、本次采购联系事项：</w:t>
      </w:r>
      <w:bookmarkEnd w:id="9"/>
      <w:r/>
      <w:r/>
    </w:p>
    <w:p>
      <w:pPr>
        <w:ind w:firstLine="480"/>
        <w:spacing w:after="0" w:line="360" w:lineRule="auto"/>
        <w:rPr>
          <w:rFonts w:hint="eastAsia" w:ascii="宋体" w:hAnsi="宋体" w:eastAsia="宋体" w:cs="宋体"/>
          <w:sz w:val="24"/>
          <w:szCs w:val="24"/>
          <w:highlight w:val="none"/>
          <w:lang w:eastAsia="zh-CN"/>
        </w:rPr>
      </w:pPr>
      <w:r/>
      <w:bookmarkStart w:id="10" w:name="_Toc7625"/>
      <w:r>
        <w:rPr>
          <w:rFonts w:hint="eastAsia" w:ascii="宋体" w:hAnsi="宋体" w:eastAsia="宋体" w:cs="宋体"/>
          <w:sz w:val="24"/>
          <w:szCs w:val="24"/>
          <w:highlight w:val="none"/>
          <w:lang w:eastAsia="zh-CN"/>
        </w:rPr>
        <w:t xml:space="preserve">1.采购人</w:t>
      </w:r>
      <w:bookmarkEnd w:id="10"/>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 系 人：连云港市海州区住房和城乡建设局　　　</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联系地址：连云港市海州区振海路195号　</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 系 人：陈先生　</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联系电话：15950729570</w:t>
      </w:r>
      <w:r/>
    </w:p>
    <w:p>
      <w:pPr>
        <w:ind w:firstLine="480"/>
        <w:spacing w:after="0" w:line="360" w:lineRule="auto"/>
        <w:rPr>
          <w:rFonts w:hint="eastAsia" w:ascii="宋体" w:hAnsi="宋体" w:eastAsia="宋体" w:cs="宋体"/>
          <w:sz w:val="24"/>
          <w:szCs w:val="24"/>
          <w:highlight w:val="none"/>
          <w:lang w:eastAsia="zh-CN"/>
        </w:rPr>
      </w:pPr>
      <w:r/>
      <w:bookmarkStart w:id="11" w:name="_Toc1486"/>
      <w:r>
        <w:rPr>
          <w:rFonts w:hint="eastAsia" w:ascii="宋体" w:hAnsi="宋体" w:eastAsia="宋体" w:cs="宋体"/>
          <w:sz w:val="24"/>
          <w:szCs w:val="24"/>
          <w:highlight w:val="none"/>
          <w:lang w:eastAsia="zh-CN"/>
        </w:rPr>
        <w:t xml:space="preserve">2.采购代理机构</w:t>
      </w:r>
      <w:bookmarkEnd w:id="11"/>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 称：江苏鸿成工程项目管理有限公司</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联系地址：连云港市海州区郁州北路9号瀛洲大厦209室</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 系 人：王工　</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联系电话：0518-81061799</w:t>
      </w:r>
      <w:r/>
    </w:p>
    <w:p>
      <w:pPr>
        <w:ind w:firstLine="480"/>
        <w:spacing w:after="0" w:line="360" w:lineRule="auto"/>
        <w:rPr>
          <w:rFonts w:hint="eastAsia" w:ascii="宋体" w:hAnsi="宋体" w:eastAsia="宋体" w:cs="宋体"/>
          <w:sz w:val="24"/>
          <w:szCs w:val="24"/>
          <w:highlight w:val="none"/>
          <w:lang w:eastAsia="zh-CN"/>
        </w:rPr>
      </w:pPr>
      <w:r/>
      <w:bookmarkStart w:id="12" w:name="_Toc20771"/>
      <w:r>
        <w:rPr>
          <w:rFonts w:hint="eastAsia" w:ascii="宋体" w:hAnsi="宋体" w:eastAsia="宋体" w:cs="宋体"/>
          <w:sz w:val="24"/>
          <w:szCs w:val="24"/>
          <w:highlight w:val="none"/>
          <w:lang w:eastAsia="zh-CN"/>
        </w:rPr>
        <w:t xml:space="preserve">五、其他</w:t>
      </w:r>
      <w:bookmarkEnd w:id="12"/>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1.根据省财政厅《关</w:t>
      </w:r>
      <w:r>
        <w:rPr>
          <w:rFonts w:hint="eastAsia" w:ascii="宋体" w:hAnsi="宋体" w:eastAsia="宋体" w:cs="宋体"/>
          <w:sz w:val="24"/>
          <w:szCs w:val="24"/>
          <w:highlight w:val="none"/>
          <w:lang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2.本项目采用电子招标投标，请供应商严格按照招标文件的规定编制、提交投标文件，否则所造成的一切不利后果由供应商自行承担。</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3.投标人应当通过“苏采云”系统提交数据电文形式的投标文件（即电子投标）。</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特别说明：通过“苏采云”系统提交政府采购客户端工具导出加密的投标文件（后缀名为zip）。投标文件不得超过150MB！</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说明：本项目采用线上投标，即供应商投标文件从政府采购客户端工具制作通过“苏采云”系统提交，未提供线上投标文件的，投标无效。</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4.电子投标文件应由其法定代表人或法定代表人授权代表在规定的网上投标时间内，凭 CA 证书登陆“苏采云”系统在线编制投标文件（电子数据），并在投标截止时间之前上传投标文件。</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投标人应在达到开标时间后，使用CA数字证书解密各自投标文件。</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6.本次单一来源采购不收取</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保证金。</w:t>
      </w:r>
      <w:r/>
    </w:p>
    <w:p>
      <w:pPr>
        <w:ind w:firstLine="484"/>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br w:type="page" w:clear="all"/>
      </w:r>
      <w:r/>
    </w:p>
    <w:p>
      <w:pPr>
        <w:jc w:val="center"/>
        <w:rPr>
          <w:rFonts w:hint="eastAsia" w:ascii="黑体" w:hAnsi="黑体" w:eastAsia="黑体" w:cs="黑体"/>
          <w:sz w:val="36"/>
          <w:szCs w:val="36"/>
          <w:highlight w:val="none"/>
          <w:lang w:eastAsia="zh-CN"/>
        </w:rPr>
        <w:outlineLvl w:val="0"/>
      </w:pPr>
      <w:r/>
      <w:bookmarkStart w:id="13" w:name="_Toc19241"/>
      <w:r>
        <w:rPr>
          <w:rFonts w:hint="eastAsia" w:ascii="黑体" w:hAnsi="黑体" w:eastAsia="黑体" w:cs="黑体"/>
          <w:sz w:val="36"/>
          <w:szCs w:val="36"/>
          <w:highlight w:val="none"/>
          <w:lang w:eastAsia="zh-CN"/>
        </w:rPr>
        <w:t xml:space="preserve">第二章   供应商须知</w:t>
      </w:r>
      <w:bookmarkEnd w:id="13"/>
      <w:r/>
      <w:r/>
    </w:p>
    <w:p>
      <w:pPr>
        <w:ind w:firstLine="480"/>
        <w:spacing w:after="0" w:line="360" w:lineRule="auto"/>
        <w:rPr>
          <w:rFonts w:hint="eastAsia" w:ascii="宋体" w:hAnsi="宋体" w:eastAsia="宋体" w:cs="宋体"/>
          <w:sz w:val="24"/>
          <w:szCs w:val="24"/>
          <w:highlight w:val="none"/>
          <w:lang w:eastAsia="zh-CN"/>
        </w:rPr>
        <w:outlineLvl w:val="0"/>
      </w:pPr>
      <w:r/>
      <w:bookmarkStart w:id="14" w:name="_Toc22135"/>
      <w:r>
        <w:rPr>
          <w:rFonts w:hint="eastAsia" w:ascii="宋体" w:hAnsi="宋体" w:eastAsia="宋体" w:cs="宋体"/>
          <w:sz w:val="24"/>
          <w:szCs w:val="24"/>
          <w:highlight w:val="none"/>
          <w:lang w:eastAsia="zh-CN"/>
        </w:rPr>
        <w:t xml:space="preserve">一、总则</w:t>
      </w:r>
      <w:bookmarkEnd w:id="14"/>
      <w:r/>
      <w:r/>
    </w:p>
    <w:p>
      <w:pPr>
        <w:ind w:firstLine="480"/>
        <w:spacing w:after="0" w:line="360" w:lineRule="auto"/>
        <w:rPr>
          <w:rFonts w:hint="eastAsia" w:ascii="宋体" w:hAnsi="宋体" w:eastAsia="宋体" w:cs="宋体"/>
          <w:sz w:val="24"/>
          <w:szCs w:val="24"/>
          <w:highlight w:val="none"/>
          <w:lang w:eastAsia="zh-CN"/>
        </w:rPr>
        <w:outlineLvl w:val="1"/>
      </w:pPr>
      <w:r/>
      <w:bookmarkStart w:id="15" w:name="_Toc24599"/>
      <w:r>
        <w:rPr>
          <w:rFonts w:hint="eastAsia" w:ascii="宋体" w:hAnsi="宋体" w:eastAsia="宋体" w:cs="宋体"/>
          <w:sz w:val="24"/>
          <w:szCs w:val="24"/>
          <w:highlight w:val="none"/>
          <w:lang w:eastAsia="zh-CN"/>
        </w:rPr>
        <w:t xml:space="preserve">1、采购方式</w:t>
      </w:r>
      <w:bookmarkEnd w:id="15"/>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 本次政府采购活动采取单一来源采购方式。</w:t>
      </w:r>
      <w:r/>
    </w:p>
    <w:p>
      <w:pPr>
        <w:ind w:firstLine="480"/>
        <w:spacing w:after="0" w:line="360" w:lineRule="auto"/>
        <w:rPr>
          <w:rFonts w:hint="eastAsia" w:ascii="宋体" w:hAnsi="宋体" w:eastAsia="宋体" w:cs="宋体"/>
          <w:sz w:val="24"/>
          <w:szCs w:val="24"/>
          <w:highlight w:val="none"/>
          <w:lang w:eastAsia="zh-CN"/>
        </w:rPr>
        <w:outlineLvl w:val="1"/>
      </w:pPr>
      <w:r/>
      <w:bookmarkStart w:id="16" w:name="_Toc14732"/>
      <w:r>
        <w:rPr>
          <w:rFonts w:hint="eastAsia" w:ascii="宋体" w:hAnsi="宋体" w:eastAsia="宋体" w:cs="宋体"/>
          <w:sz w:val="24"/>
          <w:szCs w:val="24"/>
          <w:highlight w:val="none"/>
          <w:lang w:eastAsia="zh-CN"/>
        </w:rPr>
        <w:t xml:space="preserve">2、合格的供应商</w:t>
      </w:r>
      <w:bookmarkEnd w:id="16"/>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1 满足采购文件中合格单一来源供应商资格要求的规定。</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2 满足本采购文件实质性条款的规定。</w:t>
      </w:r>
      <w:r/>
    </w:p>
    <w:p>
      <w:pPr>
        <w:ind w:firstLine="480"/>
        <w:spacing w:after="0" w:line="360" w:lineRule="auto"/>
        <w:rPr>
          <w:rFonts w:hint="eastAsia" w:ascii="宋体" w:hAnsi="宋体" w:eastAsia="宋体" w:cs="宋体"/>
          <w:sz w:val="24"/>
          <w:szCs w:val="24"/>
          <w:highlight w:val="none"/>
          <w:lang w:eastAsia="zh-CN"/>
        </w:rPr>
        <w:outlineLvl w:val="1"/>
      </w:pPr>
      <w:r/>
      <w:bookmarkStart w:id="17" w:name="_Toc8034"/>
      <w:r>
        <w:rPr>
          <w:rFonts w:hint="eastAsia" w:ascii="宋体" w:hAnsi="宋体" w:eastAsia="宋体" w:cs="宋体"/>
          <w:sz w:val="24"/>
          <w:szCs w:val="24"/>
          <w:highlight w:val="none"/>
          <w:lang w:eastAsia="zh-CN"/>
        </w:rPr>
        <w:t xml:space="preserve">3、适用法律</w:t>
      </w:r>
      <w:bookmarkEnd w:id="17"/>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 本次采购及由此产生的合同受中华人民共和国有关的法律法规制约和保护。</w:t>
      </w:r>
      <w:r/>
    </w:p>
    <w:p>
      <w:pPr>
        <w:ind w:firstLine="480"/>
        <w:spacing w:after="0" w:line="360" w:lineRule="auto"/>
        <w:rPr>
          <w:rFonts w:hint="eastAsia" w:ascii="宋体" w:hAnsi="宋体" w:eastAsia="宋体" w:cs="宋体"/>
          <w:sz w:val="24"/>
          <w:szCs w:val="24"/>
          <w:highlight w:val="none"/>
          <w:lang w:eastAsia="zh-CN"/>
        </w:rPr>
        <w:outlineLvl w:val="1"/>
      </w:pPr>
      <w:r/>
      <w:bookmarkStart w:id="18" w:name="_Toc22447"/>
      <w:r>
        <w:rPr>
          <w:rFonts w:hint="eastAsia" w:ascii="宋体" w:hAnsi="宋体" w:eastAsia="宋体" w:cs="宋体"/>
          <w:sz w:val="24"/>
          <w:szCs w:val="24"/>
          <w:highlight w:val="none"/>
          <w:lang w:eastAsia="zh-CN"/>
        </w:rPr>
        <w:t xml:space="preserve">4、相关费用</w:t>
      </w:r>
      <w:bookmarkEnd w:id="18"/>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4.1供应商应自行承担所有与参加本次采购有关的费用，无论采购过程中的做法和结果如何，江苏鸿成工程项目管理有限公司（以下简称采购机构）在任何情况下均无义务和责任承担这些费用。</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4.2招标代理费：本项目招标代理费参照计价格【2002】1980号文收费标准的60%收取，其他费用按实际发生计取。上述费用由成交供应商在投标报价时综合考虑在总价中，并在领取成交通知书时一次性付清。</w:t>
      </w:r>
      <w:r/>
    </w:p>
    <w:p>
      <w:pPr>
        <w:ind w:firstLine="480"/>
        <w:spacing w:after="0" w:line="360" w:lineRule="auto"/>
        <w:rPr>
          <w:rFonts w:hint="eastAsia" w:ascii="宋体" w:hAnsi="宋体" w:eastAsia="宋体" w:cs="宋体"/>
          <w:sz w:val="24"/>
          <w:szCs w:val="24"/>
          <w:highlight w:val="none"/>
          <w:lang w:eastAsia="zh-CN"/>
        </w:rPr>
        <w:outlineLvl w:val="1"/>
      </w:pPr>
      <w:r/>
      <w:bookmarkStart w:id="19" w:name="_Toc28682"/>
      <w:r>
        <w:rPr>
          <w:rFonts w:hint="eastAsia" w:ascii="宋体" w:hAnsi="宋体" w:eastAsia="宋体" w:cs="宋体"/>
          <w:sz w:val="24"/>
          <w:szCs w:val="24"/>
          <w:highlight w:val="none"/>
          <w:lang w:eastAsia="zh-CN"/>
        </w:rPr>
        <w:t xml:space="preserve">5、采购文件的约束力</w:t>
      </w:r>
      <w:bookmarkEnd w:id="19"/>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480"/>
        <w:spacing w:after="0" w:line="360" w:lineRule="auto"/>
        <w:rPr>
          <w:rFonts w:hint="eastAsia" w:ascii="宋体" w:hAnsi="宋体" w:eastAsia="宋体" w:cs="宋体"/>
          <w:sz w:val="24"/>
          <w:szCs w:val="24"/>
          <w:highlight w:val="none"/>
          <w:lang w:eastAsia="zh-CN"/>
        </w:rPr>
        <w:outlineLvl w:val="0"/>
      </w:pPr>
      <w:r/>
      <w:bookmarkStart w:id="20" w:name="_Toc10025"/>
      <w:r>
        <w:rPr>
          <w:rFonts w:hint="eastAsia" w:ascii="宋体" w:hAnsi="宋体" w:eastAsia="宋体" w:cs="宋体"/>
          <w:sz w:val="24"/>
          <w:szCs w:val="24"/>
          <w:highlight w:val="none"/>
          <w:lang w:eastAsia="zh-CN"/>
        </w:rPr>
        <w:t xml:space="preserve">二、采购文件</w:t>
      </w:r>
      <w:bookmarkEnd w:id="20"/>
      <w:r/>
      <w:r/>
    </w:p>
    <w:p>
      <w:pPr>
        <w:ind w:firstLine="480"/>
        <w:spacing w:after="0" w:line="360" w:lineRule="auto"/>
        <w:rPr>
          <w:rFonts w:hint="eastAsia" w:ascii="宋体" w:hAnsi="宋体" w:eastAsia="宋体" w:cs="宋体"/>
          <w:sz w:val="24"/>
          <w:szCs w:val="24"/>
          <w:highlight w:val="none"/>
          <w:lang w:eastAsia="zh-CN"/>
        </w:rPr>
        <w:outlineLvl w:val="1"/>
      </w:pPr>
      <w:r/>
      <w:bookmarkStart w:id="21" w:name="_Toc30062"/>
      <w:r>
        <w:rPr>
          <w:rFonts w:hint="eastAsia" w:ascii="宋体" w:hAnsi="宋体" w:eastAsia="宋体" w:cs="宋体"/>
          <w:sz w:val="24"/>
          <w:szCs w:val="24"/>
          <w:highlight w:val="none"/>
          <w:lang w:eastAsia="zh-CN"/>
        </w:rPr>
        <w:t xml:space="preserve">6、采购文件构成</w:t>
      </w:r>
      <w:bookmarkEnd w:id="21"/>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6.1采购文件由以下部分组成：</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（1）单一来源采购邀请</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（2）供应商须知</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（3）合同文本</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（4）采购需求</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（5）响应文件格式</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请仔细检查采购文件是否齐全，如有缺漏请立即与采购机构联系解决。</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6.2 供应商应认真阅读采购文件中所有的事项、格式、条款和规范等要求。按采购文件要求和规定编制单一来源采购响应文件（以下简称“响应文件”），并保证所提供的全部资料的真实性，以使其响应文件对采购文件作出实质性响应，否则其风险由供应商自行承担。</w:t>
      </w:r>
      <w:r/>
    </w:p>
    <w:p>
      <w:pPr>
        <w:ind w:firstLine="480"/>
        <w:spacing w:after="0" w:line="360" w:lineRule="auto"/>
        <w:rPr>
          <w:rFonts w:hint="eastAsia" w:ascii="宋体" w:hAnsi="宋体" w:eastAsia="宋体" w:cs="宋体"/>
          <w:sz w:val="24"/>
          <w:szCs w:val="24"/>
          <w:highlight w:val="none"/>
          <w:lang w:eastAsia="zh-CN"/>
        </w:rPr>
        <w:outlineLvl w:val="1"/>
      </w:pPr>
      <w:r/>
      <w:bookmarkStart w:id="22" w:name="_Toc4903"/>
      <w:r>
        <w:rPr>
          <w:rFonts w:hint="eastAsia" w:ascii="宋体" w:hAnsi="宋体" w:eastAsia="宋体" w:cs="宋体"/>
          <w:sz w:val="24"/>
          <w:szCs w:val="24"/>
          <w:highlight w:val="none"/>
          <w:lang w:eastAsia="zh-CN"/>
        </w:rPr>
        <w:t xml:space="preserve">7、采购文件的澄清</w:t>
      </w:r>
      <w:bookmarkEnd w:id="22"/>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 供应商如果要求对采购文件进行澄清的，应在响应文件接收截止时间（以下简称“截止时间”）三天前，在苏采云系统中通知采购机构。采购机构将在苏采云系统中对澄清要求予以答复。</w:t>
      </w:r>
      <w:r/>
    </w:p>
    <w:p>
      <w:pPr>
        <w:ind w:firstLine="480"/>
        <w:spacing w:after="0" w:line="360" w:lineRule="auto"/>
        <w:rPr>
          <w:rFonts w:hint="eastAsia" w:ascii="宋体" w:hAnsi="宋体" w:eastAsia="宋体" w:cs="宋体"/>
          <w:sz w:val="24"/>
          <w:szCs w:val="24"/>
          <w:highlight w:val="none"/>
          <w:lang w:eastAsia="zh-CN"/>
        </w:rPr>
        <w:outlineLvl w:val="1"/>
      </w:pPr>
      <w:r/>
      <w:bookmarkStart w:id="23" w:name="_Toc13838"/>
      <w:r>
        <w:rPr>
          <w:rFonts w:hint="eastAsia" w:ascii="宋体" w:hAnsi="宋体" w:eastAsia="宋体" w:cs="宋体"/>
          <w:sz w:val="24"/>
          <w:szCs w:val="24"/>
          <w:highlight w:val="none"/>
          <w:lang w:eastAsia="zh-CN"/>
        </w:rPr>
        <w:t xml:space="preserve">8、采购文件的修改</w:t>
      </w:r>
      <w:bookmarkEnd w:id="23"/>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 在截止时间前，采购机构可以以补充文件的方式对采购文件进行修改。</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8.2采购机构有权按照政府采购的有关要求推迟截止时间。</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8.3采购文件的补充文件将作为采购文件的组成部分，并对供应商具有约束力。</w:t>
      </w:r>
      <w:r/>
    </w:p>
    <w:p>
      <w:pPr>
        <w:ind w:firstLine="480"/>
        <w:spacing w:after="0" w:line="360" w:lineRule="auto"/>
        <w:rPr>
          <w:rFonts w:hint="eastAsia" w:ascii="宋体" w:hAnsi="宋体" w:eastAsia="宋体" w:cs="宋体"/>
          <w:sz w:val="24"/>
          <w:szCs w:val="24"/>
          <w:highlight w:val="none"/>
          <w:lang w:eastAsia="zh-CN"/>
        </w:rPr>
        <w:outlineLvl w:val="0"/>
      </w:pPr>
      <w:r/>
      <w:bookmarkStart w:id="24" w:name="_Toc22546"/>
      <w:r>
        <w:rPr>
          <w:rFonts w:hint="eastAsia" w:ascii="宋体" w:hAnsi="宋体" w:eastAsia="宋体" w:cs="宋体"/>
          <w:sz w:val="24"/>
          <w:szCs w:val="24"/>
          <w:highlight w:val="none"/>
          <w:lang w:eastAsia="zh-CN"/>
        </w:rPr>
        <w:t xml:space="preserve">三、响应文件的编制</w:t>
      </w:r>
      <w:bookmarkEnd w:id="24"/>
      <w:r/>
      <w:r/>
    </w:p>
    <w:p>
      <w:pPr>
        <w:ind w:firstLine="480"/>
        <w:spacing w:after="0" w:line="360" w:lineRule="auto"/>
        <w:rPr>
          <w:rFonts w:hint="eastAsia" w:ascii="宋体" w:hAnsi="宋体" w:eastAsia="宋体" w:cs="宋体"/>
          <w:sz w:val="24"/>
          <w:szCs w:val="24"/>
          <w:highlight w:val="none"/>
          <w:lang w:eastAsia="zh-CN"/>
        </w:rPr>
        <w:outlineLvl w:val="1"/>
      </w:pPr>
      <w:r/>
      <w:bookmarkStart w:id="25" w:name="_Toc5392"/>
      <w:r>
        <w:rPr>
          <w:rFonts w:hint="eastAsia" w:ascii="宋体" w:hAnsi="宋体" w:eastAsia="宋体" w:cs="宋体"/>
          <w:sz w:val="24"/>
          <w:szCs w:val="24"/>
          <w:highlight w:val="none"/>
          <w:lang w:eastAsia="zh-CN"/>
        </w:rPr>
        <w:t xml:space="preserve">9、响应文件的语言及度量衡单位</w:t>
      </w:r>
      <w:bookmarkEnd w:id="25"/>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9.1供应商提交的响应文件以及供应商与采购机构就有关采购活动的所有来往通知、函件和文件均应使用简体中文。</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9.2 除技术性能另有规定外，响应文件所使用的度量衡单位，均须采用国家法定计量单位。</w:t>
      </w:r>
      <w:r/>
    </w:p>
    <w:p>
      <w:pPr>
        <w:ind w:firstLine="480"/>
        <w:spacing w:after="0" w:line="360" w:lineRule="auto"/>
        <w:rPr>
          <w:rFonts w:hint="eastAsia" w:ascii="宋体" w:hAnsi="宋体" w:eastAsia="宋体" w:cs="宋体"/>
          <w:sz w:val="24"/>
          <w:szCs w:val="24"/>
          <w:highlight w:val="none"/>
          <w:lang w:eastAsia="zh-CN"/>
        </w:rPr>
        <w:outlineLvl w:val="1"/>
      </w:pPr>
      <w:r/>
      <w:bookmarkStart w:id="26" w:name="_Toc27493"/>
      <w:r>
        <w:rPr>
          <w:rFonts w:hint="eastAsia" w:ascii="宋体" w:hAnsi="宋体" w:eastAsia="宋体" w:cs="宋体"/>
          <w:sz w:val="24"/>
          <w:szCs w:val="24"/>
          <w:highlight w:val="none"/>
          <w:lang w:eastAsia="zh-CN"/>
        </w:rPr>
        <w:t xml:space="preserve">10、响应文件构成</w:t>
      </w:r>
      <w:bookmarkEnd w:id="26"/>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10.1 供应商编写的响应文件应包括资格证明文件、符合性证明文件、分项报价表、技术要求响应及偏离表、商务要求响应及偏离表、其他证明文件、单一来源响应函等部分。</w:t>
      </w:r>
      <w:r/>
    </w:p>
    <w:p>
      <w:pPr>
        <w:ind w:firstLine="480"/>
        <w:spacing w:after="0" w:line="360" w:lineRule="auto"/>
        <w:rPr>
          <w:rFonts w:hint="eastAsia" w:ascii="宋体" w:hAnsi="宋体" w:eastAsia="宋体" w:cs="宋体"/>
          <w:sz w:val="24"/>
          <w:szCs w:val="24"/>
          <w:highlight w:val="none"/>
          <w:lang w:eastAsia="zh-CN"/>
        </w:rPr>
        <w:outlineLvl w:val="1"/>
      </w:pPr>
      <w:r/>
      <w:bookmarkStart w:id="27" w:name="_Toc7465"/>
      <w:r>
        <w:rPr>
          <w:rFonts w:hint="eastAsia" w:ascii="宋体" w:hAnsi="宋体" w:eastAsia="宋体" w:cs="宋体"/>
          <w:sz w:val="24"/>
          <w:szCs w:val="24"/>
          <w:highlight w:val="none"/>
          <w:lang w:eastAsia="zh-CN"/>
        </w:rPr>
        <w:t xml:space="preserve">11、证明供应商及响应标的符合采购文件规定的文件</w:t>
      </w:r>
      <w:bookmarkEnd w:id="27"/>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 供应商应按照法律、法规、规章和规范性文件以及采购文件要求提交证明文件，证明其及响应标的符合采购文件规定。</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11.2采购文件对证明文件无明确形式要求的，证明文件可以以文字资料、图纸和数据等形式提交。</w:t>
      </w:r>
      <w:r/>
    </w:p>
    <w:p>
      <w:pPr>
        <w:ind w:firstLine="480"/>
        <w:spacing w:after="0" w:line="360" w:lineRule="auto"/>
        <w:rPr>
          <w:rFonts w:hint="eastAsia" w:ascii="宋体" w:hAnsi="宋体" w:eastAsia="宋体" w:cs="宋体"/>
          <w:sz w:val="24"/>
          <w:szCs w:val="24"/>
          <w:highlight w:val="none"/>
          <w:lang w:eastAsia="zh-CN"/>
        </w:rPr>
        <w:outlineLvl w:val="1"/>
      </w:pPr>
      <w:r/>
      <w:bookmarkStart w:id="28" w:name="_Toc4999"/>
      <w:r>
        <w:rPr>
          <w:rFonts w:hint="eastAsia" w:ascii="宋体" w:hAnsi="宋体" w:eastAsia="宋体" w:cs="宋体"/>
          <w:sz w:val="24"/>
          <w:szCs w:val="24"/>
          <w:highlight w:val="none"/>
          <w:lang w:eastAsia="zh-CN"/>
        </w:rPr>
        <w:t xml:space="preserve">12、分项报价表</w:t>
      </w:r>
      <w:bookmarkEnd w:id="28"/>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 供应商应按照采购文件规定格式填报分项报价表。</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12.2报价货币。响应文件中的单价和总价无特殊规定的采用人民币报价，以元为单位标注。采购文件中另有规定的按规定执行。</w:t>
      </w:r>
      <w:r/>
    </w:p>
    <w:p>
      <w:pPr>
        <w:ind w:firstLine="480"/>
        <w:spacing w:after="0" w:line="360" w:lineRule="auto"/>
        <w:rPr>
          <w:rFonts w:hint="eastAsia" w:ascii="宋体" w:hAnsi="宋体" w:eastAsia="宋体" w:cs="宋体"/>
          <w:sz w:val="24"/>
          <w:szCs w:val="24"/>
          <w:highlight w:val="none"/>
          <w:lang w:eastAsia="zh-CN"/>
        </w:rPr>
        <w:outlineLvl w:val="1"/>
      </w:pPr>
      <w:r/>
      <w:bookmarkStart w:id="29" w:name="_Toc20382"/>
      <w:r>
        <w:rPr>
          <w:rFonts w:hint="eastAsia" w:ascii="宋体" w:hAnsi="宋体" w:eastAsia="宋体" w:cs="宋体"/>
          <w:sz w:val="24"/>
          <w:szCs w:val="24"/>
          <w:highlight w:val="none"/>
          <w:lang w:eastAsia="zh-CN"/>
        </w:rPr>
        <w:t xml:space="preserve">13、技术要求响应及偏离表、商务要求响应及偏离表</w:t>
      </w:r>
      <w:bookmarkEnd w:id="29"/>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13.1供应商需对采购文件中的技术要求与商务要求逐项作出响应或偏离，并说明原因。</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13.2供应商可在响应文件中提供认为需要的其他技术文件或说明。</w:t>
      </w:r>
      <w:r/>
    </w:p>
    <w:p>
      <w:pPr>
        <w:ind w:firstLine="480"/>
        <w:spacing w:after="0" w:line="360" w:lineRule="auto"/>
        <w:rPr>
          <w:rFonts w:hint="eastAsia" w:ascii="宋体" w:hAnsi="宋体" w:eastAsia="宋体" w:cs="宋体"/>
          <w:sz w:val="24"/>
          <w:szCs w:val="24"/>
          <w:highlight w:val="none"/>
          <w:lang w:eastAsia="zh-CN"/>
        </w:rPr>
        <w:outlineLvl w:val="1"/>
      </w:pPr>
      <w:r/>
      <w:bookmarkStart w:id="30" w:name="_Toc14137"/>
      <w:r>
        <w:rPr>
          <w:rFonts w:hint="eastAsia" w:ascii="宋体" w:hAnsi="宋体" w:eastAsia="宋体" w:cs="宋体"/>
          <w:sz w:val="24"/>
          <w:szCs w:val="24"/>
          <w:highlight w:val="none"/>
          <w:lang w:eastAsia="zh-CN"/>
        </w:rPr>
        <w:t xml:space="preserve">14、服务承诺、培训计划、人员安排及其他（如有）</w:t>
      </w:r>
      <w:bookmarkEnd w:id="30"/>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14.1供应商需根据采购文件要求提供有关售后服务的管理制度，售后服务机构的分布情况，售后服务人员的数量、素质、技术水平及售后服务的反应能力等。</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14.2 供应商需根据采购文件要求提供培训计划。</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14.3 供应商需根据采购文件要求提供所投标的的主要组成部分、功能设计、实现思路及关键技术等。</w:t>
      </w:r>
      <w:r/>
    </w:p>
    <w:p>
      <w:pPr>
        <w:ind w:firstLine="480"/>
        <w:spacing w:after="0" w:line="360" w:lineRule="auto"/>
        <w:rPr>
          <w:rFonts w:hint="eastAsia" w:ascii="宋体" w:hAnsi="宋体" w:eastAsia="宋体" w:cs="宋体"/>
          <w:sz w:val="24"/>
          <w:szCs w:val="24"/>
          <w:highlight w:val="none"/>
          <w:lang w:eastAsia="zh-CN"/>
        </w:rPr>
        <w:outlineLvl w:val="1"/>
      </w:pPr>
      <w:r/>
      <w:bookmarkStart w:id="31" w:name="_Toc116"/>
      <w:r>
        <w:rPr>
          <w:rFonts w:hint="eastAsia" w:ascii="宋体" w:hAnsi="宋体" w:eastAsia="宋体" w:cs="宋体"/>
          <w:sz w:val="24"/>
          <w:szCs w:val="24"/>
          <w:highlight w:val="none"/>
          <w:lang w:eastAsia="zh-CN"/>
        </w:rPr>
        <w:t xml:space="preserve">15、单一来源响应函</w:t>
      </w:r>
      <w:bookmarkEnd w:id="31"/>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15.1 供应商应按照采购文件中提供的格式完整、正确填写单一来源响应函。</w:t>
      </w:r>
      <w:r/>
    </w:p>
    <w:p>
      <w:pPr>
        <w:ind w:firstLine="480"/>
        <w:spacing w:after="0" w:line="360" w:lineRule="auto"/>
        <w:rPr>
          <w:rFonts w:hint="eastAsia" w:ascii="宋体" w:hAnsi="宋体" w:eastAsia="宋体" w:cs="宋体"/>
          <w:sz w:val="24"/>
          <w:szCs w:val="24"/>
          <w:highlight w:val="none"/>
          <w:lang w:eastAsia="zh-CN"/>
        </w:rPr>
        <w:outlineLvl w:val="1"/>
      </w:pPr>
      <w:r/>
      <w:bookmarkStart w:id="32" w:name="_Toc27022"/>
      <w:r>
        <w:rPr>
          <w:rFonts w:hint="eastAsia" w:ascii="宋体" w:hAnsi="宋体" w:eastAsia="宋体" w:cs="宋体"/>
          <w:sz w:val="24"/>
          <w:szCs w:val="24"/>
          <w:highlight w:val="none"/>
          <w:lang w:eastAsia="zh-CN"/>
        </w:rPr>
        <w:t xml:space="preserve">16、单一来源采购有效期</w:t>
      </w:r>
      <w:bookmarkEnd w:id="32"/>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16.1单一来源采购有效期（以下简称“有效期”）为采购机构规定的响应文件接收截止之日后三十（30）天。有效期比规定期限短的将被视为未响应采购文件要求而予以拒绝。</w:t>
      </w:r>
      <w:r/>
    </w:p>
    <w:p>
      <w:pPr>
        <w:ind w:firstLine="480"/>
        <w:spacing w:after="0" w:line="360" w:lineRule="auto"/>
        <w:rPr>
          <w:rFonts w:hint="eastAsia" w:ascii="宋体" w:hAnsi="宋体" w:eastAsia="宋体" w:cs="宋体"/>
          <w:sz w:val="24"/>
          <w:szCs w:val="24"/>
          <w:highlight w:val="none"/>
          <w:lang w:eastAsia="zh-CN"/>
        </w:rPr>
        <w:outlineLvl w:val="1"/>
      </w:pPr>
      <w:r/>
      <w:bookmarkStart w:id="33" w:name="_Toc20751"/>
      <w:r>
        <w:rPr>
          <w:rFonts w:hint="eastAsia" w:ascii="宋体" w:hAnsi="宋体" w:eastAsia="宋体" w:cs="宋体"/>
          <w:sz w:val="24"/>
          <w:szCs w:val="24"/>
          <w:highlight w:val="none"/>
          <w:lang w:eastAsia="zh-CN"/>
        </w:rPr>
        <w:t xml:space="preserve">17、有效期的延长</w:t>
      </w:r>
      <w:bookmarkEnd w:id="33"/>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17.1在特殊情况下，采购机构于原有效期满之前，可向供应商提出延长有效期的要求。这种要求与答复均应采用书面形式。供应商可以拒绝采购机构的这一要求而放弃单一来源采购活动，同意延长有效期的供应商既不能要求也不允许修改其响应文件。受有效期约束的所有权利与义务均延长至新的有效期。</w:t>
      </w:r>
      <w:r/>
    </w:p>
    <w:p>
      <w:pPr>
        <w:ind w:firstLine="480"/>
        <w:spacing w:after="0" w:line="360" w:lineRule="auto"/>
        <w:rPr>
          <w:rFonts w:hint="eastAsia" w:ascii="宋体" w:hAnsi="宋体" w:eastAsia="宋体" w:cs="宋体"/>
          <w:sz w:val="24"/>
          <w:szCs w:val="24"/>
          <w:highlight w:val="none"/>
          <w:lang w:eastAsia="zh-CN"/>
        </w:rPr>
        <w:outlineLvl w:val="0"/>
      </w:pPr>
      <w:r/>
      <w:bookmarkStart w:id="34" w:name="_Toc7819"/>
      <w:r>
        <w:rPr>
          <w:rFonts w:hint="eastAsia" w:ascii="宋体" w:hAnsi="宋体" w:eastAsia="宋体" w:cs="宋体"/>
          <w:sz w:val="24"/>
          <w:szCs w:val="24"/>
          <w:highlight w:val="none"/>
          <w:lang w:eastAsia="zh-CN"/>
        </w:rPr>
        <w:t xml:space="preserve">四、响应文件的递交</w:t>
      </w:r>
      <w:bookmarkEnd w:id="34"/>
      <w:r/>
      <w:r/>
    </w:p>
    <w:p>
      <w:pPr>
        <w:ind w:firstLine="480"/>
        <w:spacing w:after="0" w:line="360" w:lineRule="auto"/>
        <w:rPr>
          <w:rFonts w:hint="eastAsia" w:ascii="宋体" w:hAnsi="宋体" w:eastAsia="宋体" w:cs="宋体"/>
          <w:sz w:val="24"/>
          <w:szCs w:val="24"/>
          <w:highlight w:val="none"/>
          <w:lang w:eastAsia="zh-CN"/>
        </w:rPr>
        <w:outlineLvl w:val="1"/>
      </w:pPr>
      <w:r/>
      <w:bookmarkStart w:id="35" w:name="_Toc9420"/>
      <w:r>
        <w:rPr>
          <w:rFonts w:hint="eastAsia" w:ascii="宋体" w:hAnsi="宋体" w:eastAsia="宋体" w:cs="宋体"/>
          <w:sz w:val="24"/>
          <w:szCs w:val="24"/>
          <w:highlight w:val="none"/>
          <w:lang w:eastAsia="zh-CN"/>
        </w:rPr>
        <w:t xml:space="preserve">18、电子响应文件的递交</w:t>
      </w:r>
      <w:bookmarkEnd w:id="35"/>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18.1供应商应当按照《操作手册》规定，在截止时间前制作并上传电子响应文件。</w:t>
      </w:r>
      <w:r/>
    </w:p>
    <w:p>
      <w:pPr>
        <w:ind w:firstLine="480"/>
        <w:spacing w:after="0" w:line="360" w:lineRule="auto"/>
        <w:rPr>
          <w:rFonts w:hint="eastAsia" w:ascii="宋体" w:hAnsi="宋体" w:eastAsia="宋体" w:cs="宋体"/>
          <w:sz w:val="24"/>
          <w:szCs w:val="24"/>
          <w:highlight w:val="none"/>
          <w:lang w:eastAsia="zh-CN"/>
        </w:rPr>
        <w:outlineLvl w:val="1"/>
      </w:pPr>
      <w:r/>
      <w:bookmarkStart w:id="36" w:name="_Toc5598"/>
      <w:r>
        <w:rPr>
          <w:rFonts w:hint="eastAsia" w:ascii="宋体" w:hAnsi="宋体" w:eastAsia="宋体" w:cs="宋体"/>
          <w:sz w:val="24"/>
          <w:szCs w:val="24"/>
          <w:highlight w:val="none"/>
          <w:lang w:eastAsia="zh-CN"/>
        </w:rPr>
        <w:t xml:space="preserve">19、提交响应文件截止时间</w:t>
      </w:r>
      <w:bookmarkEnd w:id="36"/>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19.1供应商上传电子响应文件的时间不得迟于单一来源采购邀请中规定的截止时间。</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19.2 采购机构可以按照规定，通过修改采购文件酌情延长截止时间，在此情况下，供应商的所有权利和义务以及供应商受制的截止时间以延长后新的截止时间为准。</w:t>
      </w:r>
      <w:r/>
    </w:p>
    <w:p>
      <w:pPr>
        <w:ind w:firstLine="480"/>
        <w:spacing w:after="0" w:line="360" w:lineRule="auto"/>
        <w:rPr>
          <w:rFonts w:hint="eastAsia" w:ascii="宋体" w:hAnsi="宋体" w:eastAsia="宋体" w:cs="宋体"/>
          <w:sz w:val="24"/>
          <w:szCs w:val="24"/>
          <w:highlight w:val="none"/>
          <w:lang w:eastAsia="zh-CN"/>
        </w:rPr>
        <w:outlineLvl w:val="1"/>
      </w:pPr>
      <w:r/>
      <w:bookmarkStart w:id="37" w:name="_Toc1878"/>
      <w:r>
        <w:rPr>
          <w:rFonts w:hint="eastAsia" w:ascii="宋体" w:hAnsi="宋体" w:eastAsia="宋体" w:cs="宋体"/>
          <w:sz w:val="24"/>
          <w:szCs w:val="24"/>
          <w:highlight w:val="none"/>
          <w:lang w:eastAsia="zh-CN"/>
        </w:rPr>
        <w:t xml:space="preserve">20、响应文件的拒收</w:t>
      </w:r>
      <w:bookmarkEnd w:id="37"/>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20.1 采购机构拒绝接收在其规定的截止时间后上传的任何电子响应文件。</w:t>
      </w:r>
      <w:r/>
    </w:p>
    <w:p>
      <w:pPr>
        <w:ind w:firstLine="480"/>
        <w:spacing w:after="0" w:line="360" w:lineRule="auto"/>
        <w:rPr>
          <w:rFonts w:hint="eastAsia" w:ascii="宋体" w:hAnsi="宋体" w:eastAsia="宋体" w:cs="宋体"/>
          <w:sz w:val="24"/>
          <w:szCs w:val="24"/>
          <w:highlight w:val="none"/>
          <w:lang w:eastAsia="zh-CN"/>
        </w:rPr>
        <w:outlineLvl w:val="1"/>
      </w:pPr>
      <w:r/>
      <w:bookmarkStart w:id="38" w:name="_Toc13398"/>
      <w:r>
        <w:rPr>
          <w:rFonts w:hint="eastAsia" w:ascii="宋体" w:hAnsi="宋体" w:eastAsia="宋体" w:cs="宋体"/>
          <w:sz w:val="24"/>
          <w:szCs w:val="24"/>
          <w:highlight w:val="none"/>
          <w:lang w:eastAsia="zh-CN"/>
        </w:rPr>
        <w:t xml:space="preserve">21、响应文件的撤回和修改</w:t>
      </w:r>
      <w:bookmarkEnd w:id="38"/>
      <w:r/>
      <w:r/>
    </w:p>
    <w:p>
      <w:pPr>
        <w:ind w:firstLine="480"/>
        <w:spacing w:after="0" w:line="360" w:lineRule="auto"/>
        <w:rPr>
          <w:rFonts w:hint="eastAsia" w:ascii="宋体" w:hAnsi="宋体" w:eastAsia="宋体" w:cs="宋体"/>
          <w:sz w:val="24"/>
          <w:szCs w:val="24"/>
          <w:highlight w:val="none"/>
          <w:lang w:eastAsia="zh-CN"/>
        </w:rPr>
        <w:outlineLvl w:val="2"/>
      </w:pPr>
      <w:r/>
      <w:bookmarkStart w:id="39" w:name="_Toc31435"/>
      <w:r>
        <w:rPr>
          <w:rFonts w:hint="eastAsia" w:ascii="宋体" w:hAnsi="宋体" w:eastAsia="宋体" w:cs="宋体"/>
          <w:sz w:val="24"/>
          <w:szCs w:val="24"/>
          <w:highlight w:val="none"/>
          <w:lang w:eastAsia="zh-CN"/>
        </w:rPr>
        <w:t xml:space="preserve">21.1响应文件的撤回</w:t>
      </w:r>
      <w:bookmarkEnd w:id="39"/>
      <w:r/>
      <w:r/>
    </w:p>
    <w:p>
      <w:pPr>
        <w:ind w:firstLine="480"/>
        <w:spacing w:after="0" w:line="360" w:lineRule="auto"/>
        <w:rPr>
          <w:rFonts w:hint="eastAsia" w:ascii="宋体" w:hAnsi="宋体" w:eastAsia="宋体" w:cs="宋体"/>
          <w:sz w:val="24"/>
          <w:szCs w:val="24"/>
          <w:highlight w:val="none"/>
          <w:lang w:eastAsia="zh-CN"/>
        </w:rPr>
        <w:outlineLvl w:val="3"/>
      </w:pPr>
      <w:r>
        <w:rPr>
          <w:rFonts w:hint="eastAsia" w:ascii="宋体" w:hAnsi="宋体" w:eastAsia="宋体" w:cs="宋体"/>
          <w:sz w:val="24"/>
          <w:szCs w:val="24"/>
          <w:highlight w:val="none"/>
          <w:lang w:eastAsia="zh-CN"/>
        </w:rPr>
        <w:t xml:space="preserve">21.1.1 电子响应文件的撤回</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供应商可在截止时间前，撤回其电子响应文件，具体操作方法见《操作手册》。</w:t>
      </w:r>
      <w:r/>
    </w:p>
    <w:p>
      <w:pPr>
        <w:ind w:firstLine="480"/>
        <w:spacing w:after="0" w:line="360" w:lineRule="auto"/>
        <w:rPr>
          <w:rFonts w:hint="eastAsia" w:ascii="宋体" w:hAnsi="宋体" w:eastAsia="宋体" w:cs="宋体"/>
          <w:sz w:val="24"/>
          <w:szCs w:val="24"/>
          <w:highlight w:val="none"/>
          <w:lang w:eastAsia="zh-CN"/>
        </w:rPr>
        <w:outlineLvl w:val="3"/>
      </w:pPr>
      <w:r>
        <w:rPr>
          <w:rFonts w:hint="eastAsia" w:ascii="宋体" w:hAnsi="宋体" w:eastAsia="宋体" w:cs="宋体"/>
          <w:sz w:val="24"/>
          <w:szCs w:val="24"/>
          <w:highlight w:val="none"/>
          <w:lang w:eastAsia="zh-CN"/>
        </w:rPr>
        <w:t xml:space="preserve">21.1.2供应商撤回电子响应文件，则认为其不再参与本项目采购活动。</w:t>
      </w:r>
      <w:r/>
    </w:p>
    <w:p>
      <w:pPr>
        <w:ind w:firstLine="480"/>
        <w:spacing w:after="0" w:line="360" w:lineRule="auto"/>
        <w:rPr>
          <w:rFonts w:hint="eastAsia" w:ascii="宋体" w:hAnsi="宋体" w:eastAsia="宋体" w:cs="宋体"/>
          <w:sz w:val="24"/>
          <w:szCs w:val="24"/>
          <w:highlight w:val="none"/>
          <w:lang w:eastAsia="zh-CN"/>
        </w:rPr>
        <w:outlineLvl w:val="2"/>
      </w:pPr>
      <w:r/>
      <w:bookmarkStart w:id="40" w:name="_Toc2556"/>
      <w:r>
        <w:rPr>
          <w:rFonts w:hint="eastAsia" w:ascii="宋体" w:hAnsi="宋体" w:eastAsia="宋体" w:cs="宋体"/>
          <w:sz w:val="24"/>
          <w:szCs w:val="24"/>
          <w:highlight w:val="none"/>
          <w:lang w:eastAsia="zh-CN"/>
        </w:rPr>
        <w:t xml:space="preserve">21.2响应文件的修改</w:t>
      </w:r>
      <w:bookmarkEnd w:id="40"/>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供应商可在截止时间前，对其电子响应文件进行修改，具体操作方法见《操作手册》。</w:t>
      </w:r>
      <w:r/>
    </w:p>
    <w:p>
      <w:pPr>
        <w:ind w:firstLine="480"/>
        <w:spacing w:after="0" w:line="360" w:lineRule="auto"/>
        <w:rPr>
          <w:rFonts w:hint="eastAsia" w:ascii="宋体" w:hAnsi="宋体" w:eastAsia="宋体" w:cs="宋体"/>
          <w:sz w:val="24"/>
          <w:szCs w:val="24"/>
          <w:highlight w:val="none"/>
          <w:lang w:eastAsia="zh-CN"/>
        </w:rPr>
        <w:outlineLvl w:val="2"/>
      </w:pPr>
      <w:r/>
      <w:bookmarkStart w:id="41" w:name="_Toc5103"/>
      <w:r>
        <w:rPr>
          <w:rFonts w:hint="eastAsia" w:ascii="宋体" w:hAnsi="宋体" w:eastAsia="宋体" w:cs="宋体"/>
          <w:sz w:val="24"/>
          <w:szCs w:val="24"/>
          <w:highlight w:val="none"/>
          <w:lang w:eastAsia="zh-CN"/>
        </w:rPr>
        <w:t xml:space="preserve">21.3 在截止时间之后，供应商不得对其电子响应文件作任何修改。</w:t>
      </w:r>
      <w:bookmarkEnd w:id="41"/>
      <w:r/>
      <w:r/>
    </w:p>
    <w:p>
      <w:pPr>
        <w:ind w:firstLine="480"/>
        <w:spacing w:after="0" w:line="360" w:lineRule="auto"/>
        <w:rPr>
          <w:rFonts w:hint="eastAsia" w:ascii="宋体" w:hAnsi="宋体" w:eastAsia="宋体" w:cs="宋体"/>
          <w:sz w:val="24"/>
          <w:szCs w:val="24"/>
          <w:highlight w:val="none"/>
          <w:lang w:eastAsia="zh-CN"/>
        </w:rPr>
        <w:outlineLvl w:val="2"/>
      </w:pPr>
      <w:r/>
      <w:bookmarkStart w:id="42" w:name="_Toc29173"/>
      <w:r>
        <w:rPr>
          <w:rFonts w:hint="eastAsia" w:ascii="宋体" w:hAnsi="宋体" w:eastAsia="宋体" w:cs="宋体"/>
          <w:sz w:val="24"/>
          <w:szCs w:val="24"/>
          <w:highlight w:val="none"/>
          <w:lang w:eastAsia="zh-CN"/>
        </w:rPr>
        <w:t xml:space="preserve">21.4 在截止时间至有效期满之间的这段时间内，供应商不得撤回其响应文件。</w:t>
      </w:r>
      <w:bookmarkEnd w:id="42"/>
      <w:r/>
      <w:r/>
    </w:p>
    <w:p>
      <w:pPr>
        <w:ind w:firstLine="480"/>
        <w:spacing w:after="0" w:line="360" w:lineRule="auto"/>
        <w:rPr>
          <w:rFonts w:hint="eastAsia" w:ascii="宋体" w:hAnsi="宋体" w:eastAsia="宋体" w:cs="宋体"/>
          <w:sz w:val="24"/>
          <w:szCs w:val="24"/>
          <w:highlight w:val="none"/>
          <w:lang w:eastAsia="zh-CN"/>
        </w:rPr>
        <w:outlineLvl w:val="0"/>
      </w:pPr>
      <w:r/>
      <w:bookmarkStart w:id="43" w:name="_Toc15606"/>
      <w:r>
        <w:rPr>
          <w:rFonts w:hint="eastAsia" w:ascii="宋体" w:hAnsi="宋体" w:eastAsia="宋体" w:cs="宋体"/>
          <w:sz w:val="24"/>
          <w:szCs w:val="24"/>
          <w:highlight w:val="none"/>
          <w:lang w:eastAsia="zh-CN"/>
        </w:rPr>
        <w:t xml:space="preserve">五、响应文件的解密与评审</w:t>
      </w:r>
      <w:bookmarkEnd w:id="43"/>
      <w:r/>
      <w:r/>
    </w:p>
    <w:p>
      <w:pPr>
        <w:ind w:firstLine="480"/>
        <w:spacing w:after="0" w:line="360" w:lineRule="auto"/>
        <w:rPr>
          <w:rFonts w:hint="eastAsia" w:ascii="宋体" w:hAnsi="宋体" w:eastAsia="宋体" w:cs="宋体"/>
          <w:sz w:val="24"/>
          <w:szCs w:val="24"/>
          <w:highlight w:val="none"/>
          <w:lang w:eastAsia="zh-CN"/>
        </w:rPr>
        <w:outlineLvl w:val="1"/>
      </w:pPr>
      <w:r/>
      <w:bookmarkStart w:id="44" w:name="_Toc25252"/>
      <w:r>
        <w:rPr>
          <w:rFonts w:hint="eastAsia" w:ascii="宋体" w:hAnsi="宋体" w:eastAsia="宋体" w:cs="宋体"/>
          <w:sz w:val="24"/>
          <w:szCs w:val="24"/>
          <w:highlight w:val="none"/>
          <w:lang w:eastAsia="zh-CN"/>
        </w:rPr>
        <w:t xml:space="preserve">22、响应文件解密</w:t>
      </w:r>
      <w:bookmarkEnd w:id="44"/>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22.1供应商应当按照《操作手册》规定，在苏采云系统规定的时间内对响应文件进行解密。</w:t>
      </w:r>
      <w:r/>
    </w:p>
    <w:p>
      <w:pPr>
        <w:ind w:firstLine="480"/>
        <w:spacing w:after="0" w:line="360" w:lineRule="auto"/>
        <w:rPr>
          <w:rFonts w:hint="eastAsia" w:ascii="宋体" w:hAnsi="宋体" w:eastAsia="宋体" w:cs="宋体"/>
          <w:sz w:val="24"/>
          <w:szCs w:val="24"/>
          <w:highlight w:val="none"/>
          <w:lang w:eastAsia="zh-CN"/>
        </w:rPr>
        <w:outlineLvl w:val="1"/>
      </w:pPr>
      <w:r/>
      <w:bookmarkStart w:id="45" w:name="_Toc31671"/>
      <w:r>
        <w:rPr>
          <w:rFonts w:hint="eastAsia" w:ascii="宋体" w:hAnsi="宋体" w:eastAsia="宋体" w:cs="宋体"/>
          <w:sz w:val="24"/>
          <w:szCs w:val="24"/>
          <w:highlight w:val="none"/>
          <w:lang w:eastAsia="zh-CN"/>
        </w:rPr>
        <w:t xml:space="preserve">23、单一来源采购</w:t>
      </w:r>
      <w:bookmarkEnd w:id="45"/>
      <w:r>
        <w:rPr>
          <w:rFonts w:hint="eastAsia" w:ascii="宋体" w:hAnsi="宋体" w:eastAsia="宋体" w:cs="宋体"/>
          <w:sz w:val="24"/>
          <w:szCs w:val="24"/>
          <w:highlight w:val="none"/>
          <w:lang w:eastAsia="zh-CN"/>
        </w:rPr>
        <w:t xml:space="preserve">小组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23.1单一来源采购小组（以下简称“采购小组”）由政府采购评审专家、采购人代表组成，且人员构成符合政府采购有关规定。</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23.2采购小组应当按照客观、公正、审慎的原则评审供应商的响应文件，并与供应商协商采购标的的价格。</w:t>
      </w:r>
      <w:r/>
    </w:p>
    <w:p>
      <w:pPr>
        <w:ind w:firstLine="480"/>
        <w:spacing w:after="0" w:line="360" w:lineRule="auto"/>
        <w:rPr>
          <w:rFonts w:hint="eastAsia" w:ascii="宋体" w:hAnsi="宋体" w:eastAsia="宋体" w:cs="宋体"/>
          <w:sz w:val="24"/>
          <w:szCs w:val="24"/>
          <w:highlight w:val="none"/>
          <w:lang w:eastAsia="zh-CN"/>
        </w:rPr>
        <w:outlineLvl w:val="1"/>
      </w:pPr>
      <w:r/>
      <w:bookmarkStart w:id="46" w:name="_Toc30622"/>
      <w:r>
        <w:rPr>
          <w:rFonts w:hint="eastAsia" w:ascii="宋体" w:hAnsi="宋体" w:eastAsia="宋体" w:cs="宋体"/>
          <w:sz w:val="24"/>
          <w:szCs w:val="24"/>
          <w:highlight w:val="none"/>
          <w:lang w:eastAsia="zh-CN"/>
        </w:rPr>
        <w:t xml:space="preserve">24、单一来源过程的保密与公正</w:t>
      </w:r>
      <w:bookmarkEnd w:id="46"/>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24.1采购小组、采购人和采购机构工作人员、相关监督人员等与评审工作有关的人员，对评审、单一来源采购协商情况以及在评审、单一来源采购协商过程（以下简称“协商过程”）中获悉的国家秘密、商业秘密负有保密责任。</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24.2在协商过程中，供应商不得以任何行为影响评审及协商过程，否则将会导致其响应文件被拒绝。</w:t>
      </w:r>
      <w:r/>
    </w:p>
    <w:p>
      <w:pPr>
        <w:ind w:firstLine="480"/>
        <w:spacing w:after="0" w:line="360" w:lineRule="auto"/>
        <w:rPr>
          <w:rFonts w:hint="eastAsia" w:ascii="宋体" w:hAnsi="宋体" w:eastAsia="宋体" w:cs="宋体"/>
          <w:sz w:val="24"/>
          <w:szCs w:val="24"/>
          <w:highlight w:val="none"/>
          <w:lang w:eastAsia="zh-CN"/>
        </w:rPr>
        <w:outlineLvl w:val="1"/>
      </w:pPr>
      <w:r/>
      <w:bookmarkStart w:id="47" w:name="_Toc15928"/>
      <w:r>
        <w:rPr>
          <w:rFonts w:hint="eastAsia" w:ascii="宋体" w:hAnsi="宋体" w:eastAsia="宋体" w:cs="宋体"/>
          <w:sz w:val="24"/>
          <w:szCs w:val="24"/>
          <w:highlight w:val="none"/>
          <w:lang w:eastAsia="zh-CN"/>
        </w:rPr>
        <w:t xml:space="preserve">25、评审及协商过程中的澄清</w:t>
      </w:r>
      <w:bookmarkEnd w:id="47"/>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25.1项目评审及协商过程中，采购小组有权要求供应商对响应文件中含义不明确、同类问题表述不一致或者有明显文字和计算错误的内容等作出必要的澄清、说明或者更正。</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25.2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25.3 接到采购小组澄清、说明和更正要求的供应商如未按规定做出澄清、说明和更正，其风险由供应商自行承担。</w:t>
      </w:r>
      <w:r/>
    </w:p>
    <w:p>
      <w:pPr>
        <w:ind w:firstLine="480"/>
        <w:spacing w:after="0" w:line="360" w:lineRule="auto"/>
        <w:rPr>
          <w:rFonts w:hint="eastAsia" w:ascii="宋体" w:hAnsi="宋体" w:eastAsia="宋体" w:cs="宋体"/>
          <w:sz w:val="24"/>
          <w:szCs w:val="24"/>
          <w:highlight w:val="none"/>
          <w:lang w:eastAsia="zh-CN"/>
        </w:rPr>
        <w:outlineLvl w:val="1"/>
      </w:pPr>
      <w:r/>
      <w:bookmarkStart w:id="48" w:name="_Toc19562"/>
      <w:r>
        <w:rPr>
          <w:rFonts w:hint="eastAsia" w:ascii="宋体" w:hAnsi="宋体" w:eastAsia="宋体" w:cs="宋体"/>
          <w:sz w:val="24"/>
          <w:szCs w:val="24"/>
          <w:highlight w:val="none"/>
          <w:lang w:eastAsia="zh-CN"/>
        </w:rPr>
        <w:t xml:space="preserve">26、对响应文件的审查</w:t>
      </w:r>
      <w:bookmarkEnd w:id="48"/>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26.1响应文件审查分为资格审查和符合性审查。</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26.1.1 资格审查：由采购小组依据法律法规和采购文件的规定，对响应文件中的资格证明文件进行审查，以确定供应商是否具备参加单一来源采购协商的资格。</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小组在进行资格审查的同时，将在“信用中国”网站（www.creditchina.gov.cn）查询供应商的信用记录，以确定供应商是否具备</w:t>
      </w:r>
      <w:r>
        <w:rPr>
          <w:rFonts w:hint="eastAsia" w:ascii="宋体" w:hAnsi="宋体" w:eastAsia="宋体" w:cs="宋体"/>
          <w:sz w:val="24"/>
          <w:szCs w:val="24"/>
          <w:highlight w:val="none"/>
          <w:lang w:eastAsia="zh-CN"/>
        </w:rPr>
        <w:t xml:space="preserve">协商</w:t>
      </w:r>
      <w:r>
        <w:rPr>
          <w:rFonts w:hint="eastAsia" w:ascii="宋体" w:hAnsi="宋体" w:eastAsia="宋体" w:cs="宋体"/>
          <w:sz w:val="24"/>
          <w:szCs w:val="24"/>
          <w:highlight w:val="none"/>
        </w:rPr>
        <w:t xml:space="preserve">资格,查询结果留存并归档。</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26.1.2 符合性审查：依据采购文件的规定，由采购小组从响应文件的有效性、完整性和对采购文件的响应程度进行审查，以确定是否对采购文件的实质性要求作出响应。</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26.1.3 政府采购异常低价审查：</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（一）评审过程中出现下列情形之一的，采购小组应当启动异常低价投标（响应）审查程序：</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（3）投标（响应）报价低于采购项目最高限价45%的，即投标（响应）报价&lt;采购项目最高限价×45%；</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（4）采购小组基于专业判断，认为供应商报价过低，有可能影响产品质量或者不能诚信履约的其他情形。 </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二）采购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采购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采购小组应当将其作为无效投标（响应）处理。</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采购人、采购代理机构应当为采购小组在评审现场及时获取同类项目中标（成交）价格、类似产品市场价格水平、行业人工费用标准、国家有关部门指导行业协会发布的行业平均成本等相关信息资料提供便利。采购小组借助互联网等渠道查询相关信息的，应当严格遵守评审工作纪律，不得实施影响评审公正的行为。</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异常低价投标（响应）审查的启动原因、审查意见和审查结果应当在评审报告中记录，并随供应商提供的相关书面说明及证明材料，以及采购小组有关互联网浏览、查询历史一并归档。</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26.1.4 未通过资格审查或符合性审查的供应商，采购小组将在苏采云系统中告知未通过资格审查或符合性审查的原因，评审结束后，采购小组将不再告知未通过资格审查或符合性审查的原因。</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26.2在正式进行协商之前，采购小组将首先审查每份响应文件是否实质性响应了采购文件的要求。实质性响应的响应文件应该是与采购文件要求的条款、条件和规格相符，没有重大偏离或保留。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所谓重大偏离或保留是指与采购文件规定的实质性要求存在负偏离，或者在实质上与采购文件不一致，而且限制了合同中买方和采购机构的权利或供应商的义务。重大偏离由、按照少数服从多数的原则认定。采购小组决定响应文件的响应性只根据响应文件本身的内容，而不寻求外部的证据。</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26.3未实质性响应采购文件的情形</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26.3.1供应商在苏采云系统规定的时间内未成功解密电子响应文件的。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26.3.2供应商未按照采购文件要求上传电子响应文件的。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26.3.3供应商提交两个（含两个）以上不同的响应文件或者最后报价的。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26.3.4供应商不具备采购文件中规定资格要求的。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26.3.5供应商的最后报价超过了采购预算。</w:t>
      </w:r>
      <w:r/>
    </w:p>
    <w:p>
      <w:pPr>
        <w:ind w:firstLine="480"/>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26.3.6不符合采购文件中规定的实质性要求和条件的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i/>
          <w:iCs/>
          <w:sz w:val="24"/>
          <w:szCs w:val="24"/>
          <w:highlight w:val="none"/>
          <w:u w:val="single"/>
          <w:lang w:eastAsia="zh-CN"/>
        </w:rPr>
        <w:t xml:space="preserve">本采购文件中斜体且有下划线部分为实质性要求和条件</w:t>
      </w:r>
      <w:r>
        <w:rPr>
          <w:rFonts w:hint="eastAsia" w:ascii="宋体" w:hAnsi="宋体" w:eastAsia="宋体" w:cs="宋体"/>
          <w:b/>
          <w:bCs/>
          <w:sz w:val="24"/>
          <w:szCs w:val="24"/>
          <w:highlight w:val="none"/>
          <w:lang w:eastAsia="zh-CN"/>
        </w:rPr>
        <w:t xml:space="preserve">）。</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26.3.8  响应文件含有采购人不能接受的附加条件的。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26.3.9 本项目采购产品被财政部、国家发改委、生态环境部等列入“节能产品品目清单”、“环境标志产品品目清单”强制采购范围，而供应商所投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26.3.10响应文件未按照采购文件要求加盖CA电子公章的。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26.4未实质性响应采购文件的响应文件按无效响应处理。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26.5如果响应文件实质上没有响应采购文件的要求，采购小组将予以拒绝。</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26.6供应商在项目评审及协商全过程中应保持通讯畅通，并安排专人与采购机构及采购小组联系。</w:t>
      </w:r>
      <w:r/>
    </w:p>
    <w:p>
      <w:pPr>
        <w:ind w:firstLine="480"/>
        <w:spacing w:after="0" w:line="360" w:lineRule="auto"/>
        <w:rPr>
          <w:rFonts w:hint="eastAsia" w:ascii="宋体" w:hAnsi="宋体" w:eastAsia="宋体" w:cs="宋体"/>
          <w:sz w:val="24"/>
          <w:szCs w:val="24"/>
          <w:highlight w:val="none"/>
          <w:lang w:eastAsia="zh-CN"/>
        </w:rPr>
        <w:outlineLvl w:val="1"/>
      </w:pPr>
      <w:r/>
      <w:bookmarkStart w:id="49" w:name="_Toc2304"/>
      <w:r>
        <w:rPr>
          <w:rFonts w:hint="eastAsia" w:ascii="宋体" w:hAnsi="宋体" w:eastAsia="宋体" w:cs="宋体"/>
          <w:sz w:val="24"/>
          <w:szCs w:val="24"/>
          <w:highlight w:val="none"/>
          <w:lang w:eastAsia="zh-CN"/>
        </w:rPr>
        <w:t xml:space="preserve">27、单一来源采购协商及成交原则</w:t>
      </w:r>
      <w:bookmarkEnd w:id="49"/>
      <w:r/>
      <w:r/>
    </w:p>
    <w:p>
      <w:pPr>
        <w:ind w:firstLine="480"/>
        <w:spacing w:after="0" w:line="360" w:lineRule="auto"/>
        <w:rPr>
          <w:rFonts w:hint="eastAsia" w:ascii="宋体" w:hAnsi="宋体" w:eastAsia="宋体" w:cs="宋体"/>
          <w:sz w:val="24"/>
          <w:szCs w:val="24"/>
          <w:highlight w:val="none"/>
          <w:lang w:eastAsia="zh-CN"/>
        </w:rPr>
        <w:outlineLvl w:val="2"/>
      </w:pPr>
      <w:r/>
      <w:bookmarkStart w:id="50" w:name="_Toc13868"/>
      <w:r>
        <w:rPr>
          <w:rFonts w:hint="eastAsia" w:ascii="宋体" w:hAnsi="宋体" w:eastAsia="宋体" w:cs="宋体"/>
          <w:sz w:val="24"/>
          <w:szCs w:val="24"/>
          <w:highlight w:val="none"/>
          <w:lang w:eastAsia="zh-CN"/>
        </w:rPr>
        <w:t xml:space="preserve">27.1单一来源</w:t>
      </w:r>
      <w:bookmarkEnd w:id="50"/>
      <w:r>
        <w:rPr>
          <w:rFonts w:hint="eastAsia" w:ascii="宋体" w:hAnsi="宋体" w:eastAsia="宋体" w:cs="宋体"/>
          <w:sz w:val="24"/>
          <w:szCs w:val="24"/>
          <w:highlight w:val="none"/>
          <w:lang w:eastAsia="zh-CN"/>
        </w:rPr>
        <w:t xml:space="preserve">采购协商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27.1.1 对于通过资格审查和符合性审查的供应商，采购小组将通过苏采云系统与其就采购标的的价格、服务等内容进行单一来源采购协商。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27.1.2供应商应当在苏采云系统中以书面形式对协商过程中做出的承诺与澄清进行确认，并在采购小组规定的时间内完成最后报价。</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27.1.3 供应商的最后报价在响应产品数量没有增加，配置、服务没有重大提高的情况下，一般不允许高于第一次报价（即单一来源采购分项报价表中的报价）。否则，采购小组有权拒绝该最后报价并不再给予报价补救机会。</w:t>
      </w:r>
      <w:r/>
    </w:p>
    <w:p>
      <w:pPr>
        <w:ind w:firstLine="482"/>
        <w:spacing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注：本次协商采取二次报价的方式即提交采购文件中的报价为首次报价，协商过程中再作一次报价作为最终报价。</w:t>
      </w:r>
      <w:r/>
    </w:p>
    <w:p>
      <w:pPr>
        <w:ind w:firstLine="480"/>
        <w:spacing w:after="0" w:line="360" w:lineRule="auto"/>
        <w:rPr>
          <w:rFonts w:hint="eastAsia" w:ascii="宋体" w:hAnsi="宋体" w:eastAsia="宋体" w:cs="宋体"/>
          <w:sz w:val="24"/>
          <w:szCs w:val="24"/>
          <w:highlight w:val="none"/>
          <w:lang w:eastAsia="zh-CN"/>
        </w:rPr>
        <w:outlineLvl w:val="2"/>
      </w:pPr>
      <w:r/>
      <w:bookmarkStart w:id="51" w:name="_Toc31888"/>
      <w:r>
        <w:rPr>
          <w:rFonts w:hint="eastAsia" w:ascii="宋体" w:hAnsi="宋体" w:eastAsia="宋体" w:cs="宋体"/>
          <w:sz w:val="24"/>
          <w:szCs w:val="24"/>
          <w:highlight w:val="none"/>
          <w:lang w:eastAsia="zh-CN"/>
        </w:rPr>
        <w:t xml:space="preserve">27.2成交原则</w:t>
      </w:r>
      <w:bookmarkEnd w:id="51"/>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采购小组根据政府采购相关法律、规章的规定，在供应商的响应情况能保证采购项目质量且最后报价合理的基础上确定其为成交供应商。</w:t>
      </w:r>
      <w:r/>
    </w:p>
    <w:p>
      <w:pPr>
        <w:ind w:firstLine="480"/>
        <w:spacing w:after="0" w:line="360" w:lineRule="auto"/>
        <w:rPr>
          <w:rFonts w:hint="eastAsia" w:ascii="宋体" w:hAnsi="宋体" w:eastAsia="宋体" w:cs="宋体"/>
          <w:sz w:val="24"/>
          <w:szCs w:val="24"/>
          <w:highlight w:val="none"/>
          <w:lang w:eastAsia="zh-CN"/>
        </w:rPr>
        <w:outlineLvl w:val="2"/>
      </w:pPr>
      <w:r/>
      <w:bookmarkStart w:id="52" w:name="_Toc7073"/>
      <w:r>
        <w:rPr>
          <w:rFonts w:hint="eastAsia" w:ascii="宋体" w:hAnsi="宋体" w:eastAsia="宋体" w:cs="宋体"/>
          <w:sz w:val="24"/>
          <w:szCs w:val="24"/>
          <w:highlight w:val="none"/>
          <w:lang w:eastAsia="zh-CN"/>
        </w:rPr>
        <w:t xml:space="preserve">27.3单一来源采购终止情形处理</w:t>
      </w:r>
      <w:bookmarkEnd w:id="52"/>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出现下列情形之一的，采购机构将终止采购活动，发布项目终止公告并说明原因，重新开展采购活动：</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27.3.1 因情况变化，不再符合规定的单一来源采购方式适用情形的；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27.3.2 出现影响采购公正的违法、违规行为的；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27.3.3供应商最后报价超过采购预算的；</w:t>
      </w:r>
      <w:r>
        <w:rPr>
          <w:rFonts w:hint="eastAsia" w:ascii="宋体" w:hAnsi="宋体" w:eastAsia="宋体" w:cs="宋体"/>
          <w:sz w:val="24"/>
          <w:szCs w:val="24"/>
          <w:highlight w:val="none"/>
          <w:lang w:eastAsia="zh-CN"/>
        </w:rPr>
        <w:tab/>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27.3.4供应商的技术方案、服务承诺、商务条款等不能满足采购人或采购小组的要求；</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27.3.5 法律、法规、规章规定的其他应当终止的情形。</w:t>
      </w:r>
      <w:r/>
    </w:p>
    <w:p>
      <w:pPr>
        <w:ind w:firstLine="480"/>
        <w:spacing w:after="0" w:line="360" w:lineRule="auto"/>
        <w:rPr>
          <w:rFonts w:hint="eastAsia" w:ascii="宋体" w:hAnsi="宋体" w:eastAsia="宋体" w:cs="宋体"/>
          <w:sz w:val="24"/>
          <w:szCs w:val="24"/>
          <w:highlight w:val="none"/>
          <w:lang w:eastAsia="zh-CN"/>
        </w:rPr>
        <w:outlineLvl w:val="0"/>
      </w:pPr>
      <w:r/>
      <w:bookmarkStart w:id="53" w:name="_Toc5093"/>
      <w:r>
        <w:rPr>
          <w:rFonts w:hint="eastAsia" w:ascii="宋体" w:hAnsi="宋体" w:eastAsia="宋体" w:cs="宋体"/>
          <w:sz w:val="24"/>
          <w:szCs w:val="24"/>
          <w:highlight w:val="none"/>
          <w:lang w:eastAsia="zh-CN"/>
        </w:rPr>
        <w:t xml:space="preserve">六、成交</w:t>
      </w:r>
      <w:bookmarkEnd w:id="53"/>
      <w:r/>
      <w:r/>
    </w:p>
    <w:p>
      <w:pPr>
        <w:ind w:firstLine="480"/>
        <w:spacing w:after="0" w:line="360" w:lineRule="auto"/>
        <w:rPr>
          <w:rFonts w:hint="eastAsia" w:ascii="宋体" w:hAnsi="宋体" w:eastAsia="宋体" w:cs="宋体"/>
          <w:sz w:val="24"/>
          <w:szCs w:val="24"/>
          <w:highlight w:val="none"/>
          <w:lang w:eastAsia="zh-CN"/>
        </w:rPr>
        <w:outlineLvl w:val="1"/>
      </w:pPr>
      <w:r/>
      <w:bookmarkStart w:id="54" w:name="_Toc26145"/>
      <w:r>
        <w:rPr>
          <w:rFonts w:hint="eastAsia" w:ascii="宋体" w:hAnsi="宋体" w:eastAsia="宋体" w:cs="宋体"/>
          <w:sz w:val="24"/>
          <w:szCs w:val="24"/>
          <w:highlight w:val="none"/>
          <w:lang w:eastAsia="zh-CN"/>
        </w:rPr>
        <w:t xml:space="preserve">28、确定成交供应商</w:t>
      </w:r>
      <w:bookmarkEnd w:id="54"/>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28.1采购小组根据协商情况编写单一来源采购协商情况记录，推荐成交候选供应商。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 采购人根据采购小组推荐的成交候选供应商确定成交供应商。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 若有充分证据证明，成交供应商出现下列情况之一的，一经查实，将被取消成交资格：</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28.3.1提供虚假材料谋取成交的。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28.3.2与评审专家、采购人、其他供应商或者采购机构工作人员恶意串通的。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28.3.3向评审专家、采购人或采购机构工作人员行贿或者提供其他不正当利益的。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28.3.4恶意竞争，最后报价明显低于其自身合理成本且又无法提供证明的。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28.3.5不满足本采购文件规定的实质性要求，但在评审过程中又未被采购小组发现的。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28.3.6成交后无正当理由拒不与采购人签订政府采购合同或者未按照采购文件确定的事项签订政府采购合同的。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28.3.7将政府采购合同转包的。</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成交供应商被取消成交资格后，采购机构有权重新组织采购。</w:t>
      </w:r>
      <w:r/>
    </w:p>
    <w:p>
      <w:pPr>
        <w:ind w:firstLine="480"/>
        <w:spacing w:after="0" w:line="360" w:lineRule="auto"/>
        <w:rPr>
          <w:rFonts w:hint="eastAsia" w:ascii="宋体" w:hAnsi="宋体" w:eastAsia="宋体" w:cs="宋体"/>
          <w:sz w:val="24"/>
          <w:szCs w:val="24"/>
          <w:highlight w:val="none"/>
          <w:lang w:eastAsia="zh-CN"/>
        </w:rPr>
        <w:outlineLvl w:val="1"/>
      </w:pPr>
      <w:r/>
      <w:bookmarkStart w:id="55" w:name="_Toc19462"/>
      <w:r>
        <w:rPr>
          <w:rFonts w:hint="eastAsia" w:ascii="宋体" w:hAnsi="宋体" w:eastAsia="宋体" w:cs="宋体"/>
          <w:sz w:val="24"/>
          <w:szCs w:val="24"/>
          <w:highlight w:val="none"/>
          <w:lang w:eastAsia="zh-CN"/>
        </w:rPr>
        <w:t xml:space="preserve">29、质疑处理</w:t>
      </w:r>
      <w:bookmarkEnd w:id="55"/>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29.1供应商认为采购过程和采购结果使自己的权益受到损害的，可以从采购结果公布之日起七个工作日内，以书面形式向采购机构提出质疑。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29.2 供应商应当在法定质疑期内一次性提出针对同一采购程序环节的质疑。供应商如在法定期限内对同一采购程序环节提出多次质疑的，采购机构、采购人将只对供应商第一次质疑作出答复。</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29.4 采购机构只接收以纸质原件形式送达的质疑,建议供应商尽量通过邮寄方式提交质疑（采购人和采购机构不接受未填写快递运单的快件）。</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29.5 以下情形的质疑不予受理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29.5.1 内容不符合《政府采购质疑和投诉办法》第十二条规定的质疑。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29.5.2 超出政府采购法定期限的质疑。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29.5.3 以传真、电子邮件等方式递交的非原件形式的质疑。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29.5.4未参加单一来源采购活动的供应商所提出的质疑。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29.5.5供应商组成联合体参加协商，联合体中任何一方或多方未按要求签字、盖章、加盖公章的质疑。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29.6  供应商提出书面质疑必须有理、有据，不得捏造事实、提供虚假材料进行恶意质疑。否则，一经查实，采购机构有权依据政府采购的有关规定，报请政府采购监管部门对该供应商进行相应的行政处罚和记录该供应商的失信信息。</w:t>
      </w:r>
      <w:r/>
    </w:p>
    <w:p>
      <w:pPr>
        <w:ind w:firstLine="480"/>
        <w:spacing w:after="0" w:line="360" w:lineRule="auto"/>
        <w:rPr>
          <w:rFonts w:hint="eastAsia" w:ascii="宋体" w:hAnsi="宋体" w:eastAsia="宋体" w:cs="宋体"/>
          <w:sz w:val="24"/>
          <w:szCs w:val="24"/>
          <w:highlight w:val="none"/>
          <w:lang w:eastAsia="zh-CN"/>
        </w:rPr>
        <w:outlineLvl w:val="1"/>
      </w:pPr>
      <w:r/>
      <w:bookmarkStart w:id="56" w:name="_Toc7036"/>
      <w:r>
        <w:rPr>
          <w:rFonts w:hint="eastAsia" w:ascii="宋体" w:hAnsi="宋体" w:eastAsia="宋体" w:cs="宋体"/>
          <w:sz w:val="24"/>
          <w:szCs w:val="24"/>
          <w:highlight w:val="none"/>
          <w:lang w:eastAsia="zh-CN"/>
        </w:rPr>
        <w:t xml:space="preserve">30、成交通知书</w:t>
      </w:r>
      <w:bookmarkEnd w:id="56"/>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30.1成交结果确定后，采购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after="0" w:line="360" w:lineRule="auto"/>
        <w:rPr>
          <w:rFonts w:hint="eastAsia" w:ascii="宋体" w:hAnsi="宋体" w:eastAsia="宋体" w:cs="宋体"/>
          <w:sz w:val="24"/>
          <w:szCs w:val="24"/>
          <w:highlight w:val="none"/>
          <w:lang w:eastAsia="zh-CN"/>
        </w:rPr>
        <w:outlineLvl w:val="0"/>
      </w:pPr>
      <w:r/>
      <w:bookmarkStart w:id="57" w:name="_Toc9435"/>
      <w:r>
        <w:rPr>
          <w:rFonts w:hint="eastAsia" w:ascii="宋体" w:hAnsi="宋体" w:eastAsia="宋体" w:cs="宋体"/>
          <w:sz w:val="24"/>
          <w:szCs w:val="24"/>
          <w:highlight w:val="none"/>
          <w:lang w:eastAsia="zh-CN"/>
        </w:rPr>
        <w:t xml:space="preserve">七、授予合同</w:t>
      </w:r>
      <w:bookmarkEnd w:id="57"/>
      <w:r/>
      <w:r/>
    </w:p>
    <w:p>
      <w:pPr>
        <w:ind w:firstLine="480"/>
        <w:spacing w:after="0" w:line="360" w:lineRule="auto"/>
        <w:rPr>
          <w:rFonts w:hint="eastAsia" w:ascii="宋体" w:hAnsi="宋体" w:eastAsia="宋体" w:cs="宋体"/>
          <w:sz w:val="24"/>
          <w:szCs w:val="24"/>
          <w:highlight w:val="none"/>
          <w:lang w:eastAsia="zh-CN"/>
        </w:rPr>
        <w:outlineLvl w:val="1"/>
      </w:pPr>
      <w:r/>
      <w:bookmarkStart w:id="58" w:name="_Toc28651"/>
      <w:r>
        <w:rPr>
          <w:rFonts w:hint="eastAsia" w:ascii="宋体" w:hAnsi="宋体" w:eastAsia="宋体" w:cs="宋体"/>
          <w:sz w:val="24"/>
          <w:szCs w:val="24"/>
          <w:highlight w:val="none"/>
          <w:lang w:eastAsia="zh-CN"/>
        </w:rPr>
        <w:t xml:space="preserve">31. 签订合同</w:t>
      </w:r>
      <w:bookmarkEnd w:id="58"/>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31.l成交供应商应当在成交通知书发出之日起三十日内，按照采购文件确定的事项与采购人签订政府采购合同。</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31.2采购文件、成交供应商的响应文件及协商过程中有关澄清、承诺文件均应作为合同附件。</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after="0" w:line="360" w:lineRule="auto"/>
        <w:rPr>
          <w:rFonts w:hint="eastAsia" w:ascii="宋体" w:hAnsi="宋体" w:eastAsia="宋体" w:cs="宋体"/>
          <w:sz w:val="24"/>
          <w:szCs w:val="24"/>
          <w:highlight w:val="none"/>
          <w:lang w:eastAsia="zh-CN"/>
        </w:rPr>
        <w:outlineLvl w:val="1"/>
      </w:pPr>
      <w:r/>
      <w:bookmarkStart w:id="59" w:name="_Toc11747"/>
      <w:r>
        <w:rPr>
          <w:rFonts w:hint="eastAsia" w:ascii="宋体" w:hAnsi="宋体" w:eastAsia="宋体" w:cs="宋体"/>
          <w:sz w:val="24"/>
          <w:szCs w:val="24"/>
          <w:highlight w:val="none"/>
          <w:lang w:eastAsia="zh-CN"/>
        </w:rPr>
        <w:t xml:space="preserve">32、标的物的追加</w:t>
      </w:r>
      <w:bookmarkEnd w:id="59"/>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after="0" w:line="360" w:lineRule="auto"/>
        <w:rPr>
          <w:rFonts w:hint="eastAsia" w:ascii="宋体" w:hAnsi="宋体" w:eastAsia="宋体" w:cs="宋体"/>
          <w:sz w:val="24"/>
          <w:szCs w:val="24"/>
          <w:highlight w:val="none"/>
          <w:lang w:eastAsia="zh-CN"/>
        </w:rPr>
        <w:outlineLvl w:val="1"/>
      </w:pPr>
      <w:r/>
      <w:bookmarkStart w:id="60" w:name="_Toc22643"/>
      <w:r>
        <w:rPr>
          <w:rFonts w:hint="eastAsia" w:ascii="宋体" w:hAnsi="宋体" w:eastAsia="宋体" w:cs="宋体"/>
          <w:sz w:val="24"/>
          <w:szCs w:val="24"/>
          <w:highlight w:val="none"/>
          <w:lang w:eastAsia="zh-CN"/>
        </w:rPr>
        <w:t xml:space="preserve">33、政府采购履约资金扶持政策</w:t>
      </w:r>
      <w:bookmarkEnd w:id="60"/>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成交供应商可凭政府采购合同办理融资贷款，详情请见江苏政府采购网“政采贷”专栏。</w:t>
      </w:r>
      <w:r/>
    </w:p>
    <w:p>
      <w:pPr>
        <w:ind w:firstLine="480"/>
        <w:spacing w:after="0" w:line="360" w:lineRule="auto"/>
        <w:rPr>
          <w:rFonts w:hint="eastAsia" w:ascii="宋体" w:hAnsi="宋体" w:eastAsia="宋体" w:cs="宋体"/>
          <w:sz w:val="24"/>
          <w:szCs w:val="24"/>
          <w:highlight w:val="none"/>
          <w:lang w:eastAsia="zh-CN"/>
        </w:rPr>
        <w:outlineLvl w:val="0"/>
      </w:pPr>
      <w:r/>
      <w:bookmarkStart w:id="61" w:name="_Toc9609"/>
      <w:r>
        <w:rPr>
          <w:rFonts w:hint="eastAsia" w:ascii="宋体" w:hAnsi="宋体" w:eastAsia="宋体" w:cs="宋体"/>
          <w:sz w:val="24"/>
          <w:szCs w:val="24"/>
          <w:highlight w:val="none"/>
          <w:lang w:eastAsia="zh-CN"/>
        </w:rPr>
        <w:t xml:space="preserve">八、支持绿色发展</w:t>
      </w:r>
      <w:bookmarkEnd w:id="61"/>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34、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采购文件要求提供相关产品认证证书。</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35、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36、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spacing w:after="0" w:line="360" w:lineRule="auto"/>
        <w:rPr>
          <w:rFonts w:hint="eastAsia" w:ascii="宋体" w:hAnsi="宋体" w:eastAsia="宋体" w:cs="宋体"/>
          <w:sz w:val="24"/>
          <w:szCs w:val="24"/>
          <w:highlight w:val="none"/>
          <w:lang w:eastAsia="zh-CN"/>
        </w:rPr>
        <w:outlineLvl w:val="0"/>
      </w:pPr>
      <w:r/>
      <w:bookmarkStart w:id="62" w:name="_Toc10598"/>
      <w:r>
        <w:rPr>
          <w:rFonts w:hint="eastAsia" w:ascii="宋体" w:hAnsi="宋体" w:eastAsia="宋体" w:cs="宋体"/>
          <w:sz w:val="24"/>
          <w:szCs w:val="24"/>
          <w:highlight w:val="none"/>
          <w:lang w:eastAsia="zh-CN"/>
        </w:rPr>
        <w:t xml:space="preserve">九、政府采购需求标准</w:t>
      </w:r>
      <w:bookmarkEnd w:id="62"/>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37、本项目执行《绿色数据中心政府采购需求</w:t>
      </w:r>
      <w:r>
        <w:rPr>
          <w:rFonts w:hint="eastAsia" w:ascii="宋体" w:hAnsi="宋体" w:eastAsia="宋体" w:cs="宋体"/>
          <w:sz w:val="24"/>
          <w:szCs w:val="24"/>
          <w:highlight w:val="none"/>
          <w:lang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spacing w:after="0" w:line="360" w:lineRule="auto"/>
        <w:rPr>
          <w:rStyle w:val="942"/>
          <w:rFonts w:hint="eastAsia" w:ascii="宋体" w:hAnsi="宋体" w:cs="宋体"/>
          <w:b w:val="0"/>
          <w:highlight w:val="none"/>
          <w:lang w:eastAsia="zh-CN"/>
        </w:rPr>
        <w:pBdr>
          <w:top w:val="none" w:color="000000" w:sz="0" w:space="0"/>
          <w:left w:val="none" w:color="000000" w:sz="0" w:space="0"/>
          <w:bottom w:val="none" w:color="000000" w:sz="0" w:space="0"/>
          <w:right w:val="none" w:color="000000" w:sz="0" w:space="0"/>
        </w:pBdr>
        <w:outlineLvl w:val="0"/>
      </w:pPr>
      <w:r/>
      <w:bookmarkStart w:id="63" w:name="_Toc10273"/>
      <w:r>
        <w:rPr>
          <w:rStyle w:val="942"/>
          <w:rFonts w:hint="eastAsia" w:ascii="宋体" w:hAnsi="宋体" w:cs="宋体"/>
          <w:b w:val="0"/>
          <w:highlight w:val="none"/>
          <w:lang w:eastAsia="zh-CN"/>
        </w:rPr>
        <w:t xml:space="preserve">第三章    合同文本</w:t>
      </w:r>
      <w:bookmarkEnd w:id="63"/>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64" w:name="_Toc27112"/>
      <w:r>
        <w:rPr>
          <w:rFonts w:hint="eastAsia" w:ascii="宋体" w:hAnsi="宋体" w:eastAsia="宋体" w:cs="宋体"/>
          <w:b/>
          <w:sz w:val="32"/>
          <w:highlight w:val="none"/>
          <w:lang w:eastAsia="zh-CN"/>
        </w:rPr>
        <w:t xml:space="preserve">政府采购合同</w:t>
      </w:r>
      <w:bookmarkEnd w:id="64"/>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甲方：【采购单位】</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乙方：</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甲、乙双方根据</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年</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月</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u w:val="single"/>
          <w:lang w:eastAsia="zh-CN"/>
        </w:rPr>
        <w:t xml:space="preserve">【项目名称】</w:t>
      </w:r>
      <w:r>
        <w:rPr>
          <w:rFonts w:hint="eastAsia" w:ascii="宋体" w:hAnsi="宋体" w:eastAsia="宋体" w:cs="宋体"/>
          <w:sz w:val="24"/>
          <w:highlight w:val="none"/>
          <w:lang w:eastAsia="zh-CN"/>
        </w:rPr>
        <w:t xml:space="preserve">项目（项目编号：</w:t>
      </w:r>
      <w:r>
        <w:rPr>
          <w:rFonts w:hint="eastAsia" w:ascii="宋体" w:hAnsi="宋体" w:eastAsia="宋体" w:cs="宋体"/>
          <w:sz w:val="24"/>
          <w:highlight w:val="none"/>
          <w:u w:val="single"/>
          <w:lang w:eastAsia="zh-CN"/>
        </w:rPr>
        <w:t xml:space="preserve">【项目编号】</w:t>
      </w:r>
      <w:r>
        <w:rPr>
          <w:rFonts w:hint="eastAsia" w:ascii="宋体" w:hAnsi="宋体" w:eastAsia="宋体" w:cs="宋体"/>
          <w:sz w:val="24"/>
          <w:highlight w:val="none"/>
          <w:lang w:eastAsia="zh-CN"/>
        </w:rPr>
        <w:t xml:space="preserve">）招标的结果，签订本合同。</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65" w:name="_Toc5082"/>
      <w:r>
        <w:rPr>
          <w:rFonts w:hint="eastAsia" w:ascii="宋体" w:hAnsi="宋体" w:eastAsia="宋体" w:cs="宋体"/>
          <w:b/>
          <w:sz w:val="24"/>
          <w:highlight w:val="none"/>
          <w:lang w:eastAsia="zh-CN"/>
        </w:rPr>
        <w:t xml:space="preserve">一、采购标的</w:t>
      </w:r>
      <w:bookmarkEnd w:id="65"/>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 服务内容：</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 服务期限：</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 补充条款：</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66" w:name="_Toc3235"/>
      <w:r>
        <w:rPr>
          <w:rFonts w:hint="eastAsia" w:ascii="宋体" w:hAnsi="宋体" w:eastAsia="宋体" w:cs="宋体"/>
          <w:b/>
          <w:sz w:val="24"/>
          <w:highlight w:val="none"/>
          <w:lang w:eastAsia="zh-CN"/>
        </w:rPr>
        <w:t xml:space="preserve">二、合同金额</w:t>
      </w:r>
      <w:bookmarkEnd w:id="66"/>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 本合同金额为人民币（大写）：_______________元整（¥__________）。</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2.2 本合同价款包含所有乙方提供合同约定产品和服务的报酬及乙方提供合同中产品和服务所支出的必要费用，甲方在上述合同价款之外不再向乙方支付其他任何费用。</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67" w:name="_Toc12577"/>
      <w:r>
        <w:rPr>
          <w:rFonts w:hint="eastAsia" w:ascii="宋体" w:hAnsi="宋体" w:eastAsia="宋体" w:cs="宋体"/>
          <w:b/>
          <w:sz w:val="24"/>
          <w:highlight w:val="none"/>
          <w:lang w:eastAsia="zh-CN"/>
        </w:rPr>
        <w:t xml:space="preserve">三、技术资料</w:t>
      </w:r>
      <w:bookmarkEnd w:id="67"/>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3.1 乙方应按招标文件规定的时间向甲方提供有关技术资料。</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68" w:name="_Toc32523"/>
      <w:r>
        <w:rPr>
          <w:rFonts w:hint="eastAsia" w:ascii="宋体" w:hAnsi="宋体" w:eastAsia="宋体" w:cs="宋体"/>
          <w:b/>
          <w:sz w:val="24"/>
          <w:highlight w:val="none"/>
          <w:lang w:eastAsia="zh-CN"/>
        </w:rPr>
        <w:t xml:space="preserve">四、知识产权</w:t>
      </w:r>
      <w:bookmarkEnd w:id="68"/>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69" w:name="_Toc27472"/>
      <w:r>
        <w:rPr>
          <w:rFonts w:hint="eastAsia" w:ascii="宋体" w:hAnsi="宋体" w:eastAsia="宋体" w:cs="宋体"/>
          <w:b/>
          <w:sz w:val="24"/>
          <w:highlight w:val="none"/>
          <w:lang w:eastAsia="zh-CN"/>
        </w:rPr>
        <w:t xml:space="preserve">五、产权担保</w:t>
      </w:r>
      <w:bookmarkEnd w:id="69"/>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5.1 乙方保证所交付标的的所有权完全属于乙方且无任何抵押、查封等产权瑕疵。</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0" w:name="_Toc19432"/>
      <w:r>
        <w:rPr>
          <w:rFonts w:hint="eastAsia" w:ascii="宋体" w:hAnsi="宋体" w:eastAsia="宋体" w:cs="宋体"/>
          <w:b/>
          <w:sz w:val="24"/>
          <w:highlight w:val="none"/>
          <w:lang w:eastAsia="zh-CN"/>
        </w:rPr>
        <w:t xml:space="preserve">六、履约保证金</w:t>
      </w:r>
      <w:bookmarkEnd w:id="70"/>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6.1 乙方交纳</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作为本合同的履约保证金，乙方应当以支票、汇票、本票或者金融机构、担保机构出具的保函等非现金形式提交。</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6.2 履约保证金在乙方主要合同义务履行完毕后五个工作日内由甲方以非现金形式一次性退还。</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6.3 乙方违约的，甲方将根据违约责任条款扣除其全部或部分履约保证金。如乙方违约给甲方造成的损失超过履约保证金的，应当依法赔偿超过部分的损失。</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6.4 逾期退还履约保证金的甲方承担违约责任，按照中国人民银行同期贷款基准利率支付超期资金占用费。</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1" w:name="_Toc924"/>
      <w:r>
        <w:rPr>
          <w:rFonts w:hint="eastAsia" w:ascii="宋体" w:hAnsi="宋体" w:eastAsia="宋体" w:cs="宋体"/>
          <w:b/>
          <w:sz w:val="24"/>
          <w:highlight w:val="none"/>
          <w:lang w:eastAsia="zh-CN"/>
        </w:rPr>
        <w:t xml:space="preserve">七、转包或分包</w:t>
      </w:r>
      <w:bookmarkEnd w:id="71"/>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7.1 本合同范围内产品或服务，应由乙方直接供应，不得转让他人供应或部分分包给他人供应。</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7.2 如有转让和未经甲方同意的分包行为，甲方有权终止合同。 </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2" w:name="_Toc13051"/>
      <w:r>
        <w:rPr>
          <w:rFonts w:hint="eastAsia" w:ascii="宋体" w:hAnsi="宋体" w:eastAsia="宋体" w:cs="宋体"/>
          <w:b/>
          <w:sz w:val="24"/>
          <w:highlight w:val="none"/>
          <w:lang w:eastAsia="zh-CN"/>
        </w:rPr>
        <w:t xml:space="preserve">八、服务期限</w:t>
      </w:r>
      <w:bookmarkEnd w:id="72"/>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8.1 服务期限：_________。   </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3" w:name="_Toc14491"/>
      <w:r>
        <w:rPr>
          <w:rFonts w:hint="eastAsia" w:ascii="宋体" w:hAnsi="宋体" w:eastAsia="宋体" w:cs="宋体"/>
          <w:b/>
          <w:sz w:val="24"/>
          <w:highlight w:val="none"/>
          <w:lang w:eastAsia="zh-CN"/>
        </w:rPr>
        <w:t xml:space="preserve">九、交付期、交付方式及交付地点</w:t>
      </w:r>
      <w:bookmarkEnd w:id="73"/>
      <w:r/>
      <w:r/>
    </w:p>
    <w:p>
      <w:pPr>
        <w:ind w:firstLine="480"/>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9.1 交 付 期：_________。   </w:t>
      </w:r>
      <w:r/>
    </w:p>
    <w:p>
      <w:pPr>
        <w:ind w:firstLine="480"/>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9.2 交付方式：_________。</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9.3 交付地点：_________。</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4" w:name="_Toc26359"/>
      <w:r>
        <w:rPr>
          <w:rFonts w:hint="eastAsia" w:ascii="宋体" w:hAnsi="宋体" w:eastAsia="宋体" w:cs="宋体"/>
          <w:b/>
          <w:sz w:val="24"/>
          <w:highlight w:val="none"/>
          <w:lang w:eastAsia="zh-CN"/>
        </w:rPr>
        <w:t xml:space="preserve">十、合同款支付</w:t>
      </w:r>
      <w:bookmarkEnd w:id="74"/>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10.1 付款方式：</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10.2 当采购数量与实际使用数量不一致时，乙方根据实际使用量提供产品和服务，合同的最终结算金额按实际使用量乘以中标单价进行计算。</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5" w:name="_Toc28380"/>
      <w:r>
        <w:rPr>
          <w:rFonts w:hint="eastAsia" w:ascii="宋体" w:hAnsi="宋体" w:eastAsia="宋体" w:cs="宋体"/>
          <w:b/>
          <w:sz w:val="24"/>
          <w:highlight w:val="none"/>
          <w:lang w:eastAsia="zh-CN"/>
        </w:rPr>
        <w:t xml:space="preserve">十一、税费</w:t>
      </w:r>
      <w:bookmarkEnd w:id="75"/>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11.1 本合同执行中相关的一切税费均由乙方负担。</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6" w:name="_Toc27694"/>
      <w:r>
        <w:rPr>
          <w:rFonts w:hint="eastAsia" w:ascii="宋体" w:hAnsi="宋体" w:eastAsia="宋体" w:cs="宋体"/>
          <w:b/>
          <w:sz w:val="24"/>
          <w:highlight w:val="none"/>
          <w:lang w:eastAsia="zh-CN"/>
        </w:rPr>
        <w:t xml:space="preserve">十二、质量保证及售后服务</w:t>
      </w:r>
      <w:bookmarkEnd w:id="76"/>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12.1 乙方应按招标文件规定和投标文件承诺的性能、技术要求、质量标准向甲方提供产品或服务。</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12.2 乙方提供的产品或服务在服务期内因其本身出现质量问题，根据实际情况，经双方协商，可按以下办法处理：</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（1）更换：由乙方承担所发生的全部费用。</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（2）合同终止处理：合同终止，并退还甲方支付的合同款，同时应承担由此产生的所有费用，甲方不承担发生任何费用。</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12.3 如在使用过程中发生质量问题，乙方在接到甲方通知后在</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小时内到达甲方现场。</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12.4 在服务期内，乙方应对产品或服务出现的质量及安全问题负责处理解决并承担一切费用。</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7" w:name="_Toc2922"/>
      <w:r>
        <w:rPr>
          <w:rFonts w:hint="eastAsia" w:ascii="宋体" w:hAnsi="宋体" w:eastAsia="宋体" w:cs="宋体"/>
          <w:b/>
          <w:sz w:val="24"/>
          <w:highlight w:val="none"/>
          <w:lang w:eastAsia="zh-CN"/>
        </w:rPr>
        <w:t xml:space="preserve">十三、验收</w:t>
      </w:r>
      <w:bookmarkEnd w:id="77"/>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13.1 甲方对乙方交付的产品或服务依据招标文件中的项目需求要求、乙方投标文件及国家有关质量标准进行验收。</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13.2 乙方交付前应对产品或服务作出全面检查和对验收文件进行整理，并列出清单，作为甲方验收和使用的技术条件依据，检验的结果应随交付内容一并提交甲方。</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13.3 甲方对乙方提供的产品或服务在使用前，乙方需负责培训甲方的使用操作人员，并协助甲方一起试用，直到符合技术要求，甲方才做最终验收。</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13.4 对技术复杂的产品或服务，甲方可请国家认可的专业检测机构参与初步验收及最终验收，并由其出具质量检测报告。</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13.5 验收时乙方必须在现场，验收完毕后做出验收结果报告，招标文件规定以外的验收费用由甲乙双方协商解决。</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8" w:name="_Toc9619"/>
      <w:r>
        <w:rPr>
          <w:rFonts w:hint="eastAsia" w:ascii="宋体" w:hAnsi="宋体" w:eastAsia="宋体" w:cs="宋体"/>
          <w:b/>
          <w:sz w:val="24"/>
          <w:highlight w:val="none"/>
          <w:lang w:eastAsia="zh-CN"/>
        </w:rPr>
        <w:t xml:space="preserve">十四、合同内容的交付</w:t>
      </w:r>
      <w:bookmarkEnd w:id="78"/>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14.1 乙方应保证合同标的安全运达甲方指定地点。</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14.2 使用说明书、质量检验证明书一并提交甲方。</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14.3 乙方在合同标的交付甲方48小时前通知甲方准备接收。</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14.4 合同标的在交付甲方前发生的风险均由乙方负责。</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14.5 合同标的在规定的交付期限内由乙方送达甲方指定的地点视为交付，乙方同时需通知甲方已送达。</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79" w:name="_Toc30508"/>
      <w:r>
        <w:rPr>
          <w:rFonts w:hint="eastAsia" w:ascii="宋体" w:hAnsi="宋体" w:eastAsia="宋体" w:cs="宋体"/>
          <w:b/>
          <w:sz w:val="24"/>
          <w:highlight w:val="none"/>
          <w:lang w:eastAsia="zh-CN"/>
        </w:rPr>
        <w:t xml:space="preserve">十五、违约责任</w:t>
      </w:r>
      <w:bookmarkEnd w:id="79"/>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15.1 甲方无正当理由拒收的，甲方向乙方偿付拒收标的总值的</w:t>
      </w:r>
      <w:r>
        <w:rPr>
          <w:rFonts w:hint="eastAsia" w:ascii="宋体" w:hAnsi="宋体" w:eastAsia="宋体" w:cs="宋体"/>
          <w:sz w:val="24"/>
          <w:highlight w:val="none"/>
          <w:u w:val="single"/>
          <w:lang w:eastAsia="zh-CN"/>
        </w:rPr>
        <w:t xml:space="preserve">百分之五</w:t>
      </w:r>
      <w:r>
        <w:rPr>
          <w:rFonts w:hint="eastAsia" w:ascii="宋体" w:hAnsi="宋体" w:eastAsia="宋体" w:cs="宋体"/>
          <w:sz w:val="24"/>
          <w:highlight w:val="none"/>
          <w:lang w:eastAsia="zh-CN"/>
        </w:rPr>
        <w:t xml:space="preserve">违约金。</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 甲方无故逾期验收和办理合同款支付手续的,甲方应按逾期付款总额每日</w:t>
      </w:r>
      <w:r>
        <w:rPr>
          <w:rFonts w:hint="eastAsia" w:ascii="宋体" w:hAnsi="宋体" w:eastAsia="宋体" w:cs="宋体"/>
          <w:sz w:val="24"/>
          <w:highlight w:val="none"/>
          <w:u w:val="single"/>
          <w:lang w:eastAsia="zh-CN"/>
        </w:rPr>
        <w:t xml:space="preserve">万分之五</w:t>
      </w:r>
      <w:r>
        <w:rPr>
          <w:rFonts w:hint="eastAsia" w:ascii="宋体" w:hAnsi="宋体" w:eastAsia="宋体" w:cs="宋体"/>
          <w:sz w:val="24"/>
          <w:highlight w:val="none"/>
          <w:lang w:eastAsia="zh-CN"/>
        </w:rPr>
        <w:t xml:space="preserve">向乙方支付违约金，最高限额为本合同总价的</w:t>
      </w:r>
      <w:r>
        <w:rPr>
          <w:rFonts w:hint="eastAsia" w:ascii="宋体" w:hAnsi="宋体" w:eastAsia="宋体" w:cs="宋体"/>
          <w:sz w:val="24"/>
          <w:highlight w:val="none"/>
          <w:u w:val="single"/>
          <w:lang w:eastAsia="zh-CN"/>
        </w:rPr>
        <w:t xml:space="preserve">百分之五</w:t>
      </w:r>
      <w:r>
        <w:rPr>
          <w:rFonts w:hint="eastAsia" w:ascii="宋体" w:hAnsi="宋体" w:eastAsia="宋体" w:cs="宋体"/>
          <w:sz w:val="24"/>
          <w:highlight w:val="none"/>
          <w:lang w:eastAsia="zh-CN"/>
        </w:rPr>
        <w:t xml:space="preserve">。</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15.3 乙方逾期交付合同标的的，乙方应按逾期交付总额每日</w:t>
      </w:r>
      <w:r>
        <w:rPr>
          <w:rFonts w:hint="eastAsia" w:ascii="宋体" w:hAnsi="宋体" w:eastAsia="宋体" w:cs="宋体"/>
          <w:sz w:val="24"/>
          <w:highlight w:val="none"/>
          <w:u w:val="single"/>
          <w:lang w:eastAsia="zh-CN"/>
        </w:rPr>
        <w:t xml:space="preserve">万分之五</w:t>
      </w:r>
      <w:r>
        <w:rPr>
          <w:rFonts w:hint="eastAsia" w:ascii="宋体" w:hAnsi="宋体" w:eastAsia="宋体" w:cs="宋体"/>
          <w:sz w:val="24"/>
          <w:highlight w:val="none"/>
          <w:lang w:eastAsia="zh-CN"/>
        </w:rPr>
        <w:t xml:space="preserve">向甲方支付违约金，由甲方从待付合同款中扣除，最高限额为本合同总价的</w:t>
      </w:r>
      <w:r>
        <w:rPr>
          <w:rFonts w:hint="eastAsia" w:ascii="宋体" w:hAnsi="宋体" w:eastAsia="宋体" w:cs="宋体"/>
          <w:sz w:val="24"/>
          <w:highlight w:val="none"/>
          <w:u w:val="single"/>
          <w:lang w:eastAsia="zh-CN"/>
        </w:rPr>
        <w:t xml:space="preserve">百分之五</w:t>
      </w:r>
      <w:r>
        <w:rPr>
          <w:rFonts w:hint="eastAsia" w:ascii="宋体" w:hAnsi="宋体" w:eastAsia="宋体" w:cs="宋体"/>
          <w:sz w:val="24"/>
          <w:highlight w:val="none"/>
          <w:lang w:eastAsia="zh-CN"/>
        </w:rPr>
        <w:t xml:space="preserve">。逾期超过约定日期10个工作日不能交付的，甲方可解除本合同。乙方因逾期交付或因其他违约行为导致甲方解除合同的，乙方应向甲方支付合同总值</w:t>
      </w:r>
      <w:r>
        <w:rPr>
          <w:rFonts w:hint="eastAsia" w:ascii="宋体" w:hAnsi="宋体" w:eastAsia="宋体" w:cs="宋体"/>
          <w:sz w:val="24"/>
          <w:highlight w:val="none"/>
          <w:u w:val="single"/>
          <w:lang w:eastAsia="zh-CN"/>
        </w:rPr>
        <w:t xml:space="preserve">百分之五</w:t>
      </w:r>
      <w:r>
        <w:rPr>
          <w:rFonts w:hint="eastAsia" w:ascii="宋体" w:hAnsi="宋体" w:eastAsia="宋体" w:cs="宋体"/>
          <w:sz w:val="24"/>
          <w:highlight w:val="none"/>
          <w:lang w:eastAsia="zh-CN"/>
        </w:rPr>
        <w:t xml:space="preserve">的违约金，如造成甲方损失超过违约金的，超出部分由乙方继续承担赔偿责任。 </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80" w:name="_Toc19218"/>
      <w:r>
        <w:rPr>
          <w:rFonts w:hint="eastAsia" w:ascii="宋体" w:hAnsi="宋体" w:eastAsia="宋体" w:cs="宋体"/>
          <w:b/>
          <w:sz w:val="24"/>
          <w:highlight w:val="none"/>
          <w:lang w:eastAsia="zh-CN"/>
        </w:rPr>
        <w:t xml:space="preserve">十六、不可抗力事件处理</w:t>
      </w:r>
      <w:bookmarkEnd w:id="80"/>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16.1 在合同有效期内，任何一方因不可抗力事件导致不能履行合同，则合同履行期延长，其延长期与不可抗力影响期相同。</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16.2 不可抗力事件发生后，应立即通知对方，并寄送有关权威机构出具的证明。</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16.3 不可抗力事件延续120天以上，双方应通过友好协商，确定是否继续履行合同。</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81" w:name="_Toc14977"/>
      <w:r>
        <w:rPr>
          <w:rFonts w:hint="eastAsia" w:ascii="宋体" w:hAnsi="宋体" w:eastAsia="宋体" w:cs="宋体"/>
          <w:b/>
          <w:sz w:val="24"/>
          <w:highlight w:val="none"/>
          <w:lang w:eastAsia="zh-CN"/>
        </w:rPr>
        <w:t xml:space="preserve">十七、争议解决</w:t>
      </w:r>
      <w:bookmarkEnd w:id="81"/>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17.1 双方在执行合同中所发生的一切争议，应通过协商解决。如协商不成，按下列第</w:t>
      </w:r>
      <w:r>
        <w:rPr>
          <w:rFonts w:hint="eastAsia" w:ascii="宋体" w:hAnsi="宋体" w:eastAsia="宋体" w:cs="宋体"/>
          <w:sz w:val="24"/>
          <w:highlight w:val="none"/>
          <w:u w:val="single"/>
          <w:lang w:eastAsia="zh-CN"/>
        </w:rPr>
        <w:t xml:space="preserve">（2）</w:t>
      </w:r>
      <w:r>
        <w:rPr>
          <w:rFonts w:hint="eastAsia" w:ascii="宋体" w:hAnsi="宋体" w:eastAsia="宋体" w:cs="宋体"/>
          <w:sz w:val="24"/>
          <w:highlight w:val="none"/>
          <w:lang w:eastAsia="zh-CN"/>
        </w:rPr>
        <w:t xml:space="preserve">种方式解决：</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（1）向连云港仲裁委员会申请仲裁。</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（2）向合同签订地法院起诉，合同签订地在此约定为连云港市。</w:t>
      </w:r>
      <w:r/>
    </w:p>
    <w:p>
      <w:pPr>
        <w:ind w:firstLine="482"/>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0"/>
      </w:pPr>
      <w:r/>
      <w:bookmarkStart w:id="82" w:name="_Toc6977"/>
      <w:r>
        <w:rPr>
          <w:rFonts w:hint="eastAsia" w:ascii="宋体" w:hAnsi="宋体" w:eastAsia="宋体" w:cs="宋体"/>
          <w:b/>
          <w:sz w:val="24"/>
          <w:highlight w:val="none"/>
          <w:lang w:eastAsia="zh-CN"/>
        </w:rPr>
        <w:t xml:space="preserve">十八、合同生效及其他</w:t>
      </w:r>
      <w:bookmarkEnd w:id="82"/>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18.1 合同经双方法定代表人或委托代理人签名并加盖单位公章后生效。</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18.2 本合同未尽事宜，遵照《中华人民共和国民法典》有关条文执行。</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18.3 本合同正本一式八份，具有同等法律效力，甲方执四份、乙方执贰份、财政监管部门一份。</w:t>
      </w:r>
      <w:r/>
    </w:p>
    <w:p>
      <w:pPr>
        <w:ind w:firstLine="36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乙方：</w:t>
      </w:r>
      <w:r/>
    </w:p>
    <w:p>
      <w:pPr>
        <w:ind w:firstLine="480"/>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地址：</w:t>
      </w:r>
      <w:r/>
    </w:p>
    <w:p>
      <w:pPr>
        <w:ind w:firstLine="480"/>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法定代表人：</w:t>
      </w:r>
      <w:r/>
    </w:p>
    <w:p>
      <w:pPr>
        <w:ind w:firstLine="480"/>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委托代理人：</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委托代理人：</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电话：                                            电话：</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传真：                                            传真：</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签订日期：    年  月   日</w:t>
      </w:r>
      <w:r/>
    </w:p>
    <w:p>
      <w:pPr>
        <w:ind w:firstLine="36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w:t>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w:t>
      </w:r>
      <w:r/>
    </w:p>
    <w:p>
      <w:pPr>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br w:type="page" w:clear="all"/>
      </w:r>
      <w:r/>
    </w:p>
    <w:p>
      <w:pPr>
        <w:jc w:val="center"/>
        <w:spacing w:after="0" w:line="360" w:lineRule="auto"/>
        <w:rPr>
          <w:rFonts w:hint="eastAsia" w:ascii="黑体" w:hAnsi="黑体" w:eastAsia="黑体" w:cs="黑体"/>
          <w:bCs/>
          <w:sz w:val="36"/>
          <w:szCs w:val="36"/>
          <w:highlight w:val="none"/>
          <w:lang w:eastAsia="zh-CN"/>
        </w:rPr>
        <w:pBdr>
          <w:top w:val="none" w:color="000000" w:sz="0" w:space="0"/>
          <w:left w:val="none" w:color="000000" w:sz="0" w:space="0"/>
          <w:bottom w:val="none" w:color="000000" w:sz="0" w:space="0"/>
          <w:right w:val="none" w:color="000000" w:sz="0" w:space="0"/>
        </w:pBdr>
        <w:outlineLvl w:val="0"/>
      </w:pPr>
      <w:r/>
      <w:bookmarkStart w:id="83" w:name="_Toc23181"/>
      <w:r>
        <w:rPr>
          <w:rFonts w:hint="eastAsia" w:ascii="黑体" w:hAnsi="黑体" w:eastAsia="黑体" w:cs="黑体"/>
          <w:bCs/>
          <w:sz w:val="36"/>
          <w:szCs w:val="36"/>
          <w:highlight w:val="none"/>
          <w:lang w:eastAsia="zh-CN"/>
        </w:rPr>
        <w:t xml:space="preserve">第四章  项目需求</w:t>
      </w:r>
      <w:bookmarkEnd w:id="83"/>
      <w:r/>
      <w:r/>
    </w:p>
    <w:p>
      <w:pPr>
        <w:ind w:firstLine="440"/>
        <w:spacing w:after="0" w:line="360" w:lineRule="auto"/>
        <w:rPr>
          <w:rFonts w:hint="eastAsia" w:ascii="宋体" w:hAnsi="宋体" w:eastAsia="宋体" w:cs="宋体"/>
          <w:sz w:val="24"/>
          <w:szCs w:val="24"/>
          <w:highlight w:val="none"/>
          <w:lang w:eastAsia="zh-CN"/>
        </w:rPr>
      </w:pPr>
      <w:r/>
      <w:bookmarkStart w:id="84" w:name="_Toc27636"/>
      <w:r>
        <w:rPr>
          <w:rFonts w:hint="eastAsia"/>
          <w:b/>
          <w:bCs/>
          <w:highlight w:val="none"/>
          <w:lang w:eastAsia="zh-CN"/>
        </w:rPr>
        <w:t xml:space="preserve">一</w:t>
      </w:r>
      <w:r>
        <w:rPr>
          <w:rFonts w:hint="eastAsia" w:ascii="宋体" w:hAnsi="宋体" w:eastAsia="宋体" w:cs="宋体"/>
          <w:b/>
          <w:bCs/>
          <w:sz w:val="24"/>
          <w:szCs w:val="24"/>
          <w:highlight w:val="none"/>
          <w:lang w:eastAsia="zh-CN"/>
        </w:rPr>
        <w:t xml:space="preserve">、项目名称</w:t>
      </w:r>
      <w:bookmarkEnd w:id="84"/>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t xml:space="preserve">西大岭过铁路雨污水项目</w:t>
      </w:r>
      <w:r/>
    </w:p>
    <w:p>
      <w:pPr>
        <w:ind w:firstLine="482"/>
        <w:spacing w:after="0" w:line="360" w:lineRule="auto"/>
        <w:rPr>
          <w:rFonts w:hint="eastAsia" w:ascii="宋体" w:hAnsi="宋体" w:eastAsia="宋体" w:cs="宋体"/>
          <w:b/>
          <w:bCs/>
          <w:sz w:val="24"/>
          <w:szCs w:val="24"/>
          <w:highlight w:val="none"/>
          <w:lang w:eastAsia="zh-CN"/>
        </w:rPr>
      </w:pPr>
      <w:r/>
      <w:bookmarkStart w:id="85" w:name="_Toc11787"/>
      <w:r>
        <w:rPr>
          <w:rFonts w:hint="eastAsia" w:ascii="宋体" w:hAnsi="宋体" w:eastAsia="宋体" w:cs="宋体"/>
          <w:b/>
          <w:bCs/>
          <w:sz w:val="24"/>
          <w:szCs w:val="24"/>
          <w:highlight w:val="none"/>
          <w:lang w:eastAsia="zh-CN"/>
        </w:rPr>
        <w:t xml:space="preserve">二、项目简要说明</w:t>
      </w:r>
      <w:bookmarkEnd w:id="85"/>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拟采购的货物或服务的说明：因西大岭片区雨污水管网未连接市政主管网，片区雨污水只能先排入新海电厂集水池，后排入西门涧沟。现因集水池位于铁路红线范围内，影响铁路安全，铁路部门明确要求停用，从而导致片区雨污水无法外排，一旦进入汛期，片区内涝情况将进一步加剧。经前期研究，为妥善解决片区雨污水外排事宜，拟采购西大岭过铁路雨污水项目，实施下穿铁路建设雨污水主管网并接入城区市政主管网。</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单一来源采购专业人员论证意见，本项目需下穿铁路线施工，事关铁路安全，技术复杂、专业性强，施工单位需在铁路相关领域有极强的技术水平和施工经验。本着安全保障原则，该项目的设计、监理及后期施工、管养等均需铁路部门认可的单位来实施并需最终通过铁路部门验收。依上述情况，该项目可适用《政府采购法》第三十一条规定，采用“单一来源采购”的方式。此项目的“设计、监理及后期施工、管养等工程”拟定由唯一供应商江苏锦盛电力有限公司作为集中实施单位。</w:t>
      </w:r>
      <w:r/>
    </w:p>
    <w:p>
      <w:pPr>
        <w:ind w:firstLine="482"/>
        <w:spacing w:after="0" w:line="360" w:lineRule="auto"/>
        <w:rPr>
          <w:rFonts w:hint="eastAsia" w:ascii="宋体" w:hAnsi="宋体" w:eastAsia="宋体" w:cs="宋体"/>
          <w:b/>
          <w:bCs/>
          <w:sz w:val="24"/>
          <w:szCs w:val="24"/>
          <w:highlight w:val="none"/>
          <w:lang w:eastAsia="zh-CN"/>
        </w:rPr>
      </w:pPr>
      <w:r/>
      <w:bookmarkStart w:id="86" w:name="_Toc6220"/>
      <w:r>
        <w:rPr>
          <w:rFonts w:hint="eastAsia" w:ascii="宋体" w:hAnsi="宋体" w:eastAsia="宋体" w:cs="宋体"/>
          <w:b/>
          <w:bCs/>
          <w:sz w:val="24"/>
          <w:szCs w:val="24"/>
          <w:highlight w:val="none"/>
          <w:lang w:eastAsia="zh-CN"/>
        </w:rPr>
        <w:t xml:space="preserve">三、技术</w:t>
      </w:r>
      <w:bookmarkEnd w:id="86"/>
      <w:r>
        <w:rPr>
          <w:rFonts w:hint="eastAsia" w:ascii="宋体" w:hAnsi="宋体" w:eastAsia="宋体" w:cs="宋体"/>
          <w:b/>
          <w:bCs/>
          <w:sz w:val="24"/>
          <w:szCs w:val="24"/>
          <w:highlight w:val="none"/>
          <w:lang w:eastAsia="zh-CN"/>
        </w:rPr>
        <w:t xml:space="preserve">要求</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本项目的集中实施单位承担项目建设的全部工作及相关法律责任，具体如下：</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1.负责本项目审批手续的办理工作，负责向交警、交通管理部门申办沉井施工作业需要的道路封锁审批手续（包括因此需要编制的各种文件、方案），涉及需要采购人盖章的，采购人予以配合；</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2.项目前期准备、各专项论证工作；</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3.各项规划、用地（如有）、施工许可等相关手续的报批工作；</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对本项目的勘察（工程地质勘探）、设计（实施方案、初步设计（含概算）、施工图设计（含预算）、施工图设计文件审查等）、施工、监理以及与工程建设有关的重要设备、材料等的采购依法组织实施并签订合同。采购人参与编制设计文件、概算、施工图设计文件并对施工图设计文件中的使用功能等予以确认，对可能产生的项目设备材料的选用参与研究选用。</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5.组织建设，落实安全生产、工程质量、工期进度、投资控制等管理责任；</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6.建设过程中所需的一切手续及相关费用；</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7.建设项目交工验收、移交、后续管养、保修、铁路部门登记或备案等工作；</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8.按照双方签订合同约定，接受采购人全方位监督。</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2"/>
        <w:spacing w:after="0" w:line="360" w:lineRule="auto"/>
        <w:rPr>
          <w:rFonts w:hint="eastAsia" w:ascii="宋体" w:hAnsi="宋体" w:eastAsia="宋体" w:cs="宋体"/>
          <w:b/>
          <w:bCs/>
          <w:sz w:val="24"/>
          <w:szCs w:val="24"/>
          <w:highlight w:val="none"/>
          <w:lang w:eastAsia="zh-CN"/>
        </w:rPr>
      </w:pPr>
      <w:r/>
      <w:bookmarkStart w:id="87" w:name="_Toc34"/>
      <w:r>
        <w:rPr>
          <w:rFonts w:hint="eastAsia" w:ascii="宋体" w:hAnsi="宋体" w:eastAsia="宋体" w:cs="宋体"/>
          <w:b/>
          <w:bCs/>
          <w:sz w:val="24"/>
          <w:szCs w:val="24"/>
          <w:highlight w:val="none"/>
          <w:lang w:eastAsia="zh-CN"/>
        </w:rPr>
        <w:t xml:space="preserve">四、商务要求</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1、合同履行期限：自合同签订之日起90日历天。</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2、项目的实施地点：连云港市</w:t>
      </w:r>
      <w:bookmarkEnd w:id="87"/>
      <w:r>
        <w:rPr>
          <w:rFonts w:hint="eastAsia" w:ascii="宋体" w:hAnsi="宋体" w:eastAsia="宋体" w:cs="宋体"/>
          <w:sz w:val="24"/>
          <w:szCs w:val="24"/>
          <w:highlight w:val="none"/>
          <w:lang w:eastAsia="zh-CN"/>
        </w:rPr>
        <w:t xml:space="preserve">海州区。</w:t>
      </w:r>
      <w:r/>
    </w:p>
    <w:p>
      <w:pPr>
        <w:ind w:firstLine="480"/>
        <w:spacing w:after="0" w:line="360" w:lineRule="auto"/>
        <w:rPr>
          <w:rFonts w:hint="default" w:ascii="宋体" w:hAnsi="宋体" w:eastAsia="宋体" w:cs="宋体"/>
          <w:sz w:val="24"/>
          <w:szCs w:val="24"/>
          <w:highlight w:val="none"/>
          <w:lang w:val="en-US" w:eastAsia="zh-CN"/>
        </w:rPr>
      </w:pPr>
      <w:r/>
      <w:bookmarkStart w:id="88" w:name="_Toc9266"/>
      <w:r>
        <w:rPr>
          <w:rFonts w:hint="eastAsia" w:ascii="宋体" w:hAnsi="宋体" w:eastAsia="宋体" w:cs="宋体"/>
          <w:sz w:val="24"/>
          <w:szCs w:val="24"/>
          <w:highlight w:val="none"/>
          <w:lang w:eastAsia="zh-CN"/>
        </w:rPr>
        <w:t xml:space="preserve">3、履约保证金：本项目收取履约保证金，</w:t>
      </w:r>
      <w:r>
        <w:rPr>
          <w:rFonts w:hint="eastAsia" w:ascii="宋体" w:hAnsi="宋体" w:eastAsia="宋体" w:cs="宋体"/>
          <w:sz w:val="24"/>
          <w:szCs w:val="24"/>
          <w:highlight w:val="none"/>
          <w:lang w:val="en-US" w:eastAsia="zh-CN"/>
        </w:rPr>
        <w:t xml:space="preserve">履约保证金金额为合同金额的10%，缴纳形式以支票、汇票、本票或者金融机构、担保机构出具的保函等非现金形式提交</w:t>
      </w:r>
      <w:r>
        <w:rPr>
          <w:rFonts w:hint="eastAsia" w:ascii="宋体" w:hAnsi="宋体" w:eastAsia="宋体" w:cs="宋体"/>
          <w:sz w:val="24"/>
          <w:szCs w:val="24"/>
          <w:highlight w:val="none"/>
          <w:lang w:eastAsia="zh-CN"/>
        </w:rPr>
        <w:t xml:space="preserve">。</w:t>
      </w:r>
      <w:bookmarkEnd w:id="88"/>
      <w:r>
        <w:rPr>
          <w:rFonts w:hint="eastAsia" w:ascii="宋体" w:hAnsi="宋体" w:eastAsia="宋体" w:cs="宋体"/>
          <w:sz w:val="24"/>
          <w:szCs w:val="24"/>
          <w:highlight w:val="none"/>
          <w:lang w:val="en-US" w:eastAsia="zh-CN"/>
        </w:rPr>
        <w:t xml:space="preserve">履约保证金在领取中标（成交）通知书后10日内缴纳，在工程竣工并通过铁路部门验收合格后一次性退还。</w:t>
      </w:r>
      <w:r/>
    </w:p>
    <w:p>
      <w:pPr>
        <w:ind w:firstLine="480"/>
        <w:spacing w:after="0" w:line="360" w:lineRule="auto"/>
        <w:rPr>
          <w:rFonts w:hint="eastAsia" w:ascii="宋体" w:hAnsi="宋体" w:eastAsia="宋体" w:cs="宋体"/>
          <w:sz w:val="24"/>
          <w:szCs w:val="24"/>
          <w:highlight w:val="none"/>
          <w:lang w:eastAsia="zh-CN"/>
        </w:rPr>
      </w:pPr>
      <w:r/>
      <w:bookmarkStart w:id="89" w:name="_Toc1294"/>
      <w:r>
        <w:rPr>
          <w:rFonts w:hint="eastAsia" w:ascii="宋体" w:hAnsi="宋体" w:eastAsia="宋体" w:cs="宋体"/>
          <w:sz w:val="24"/>
          <w:szCs w:val="24"/>
          <w:highlight w:val="none"/>
          <w:lang w:eastAsia="zh-CN"/>
        </w:rPr>
        <w:t xml:space="preserve">4、建设标准及履约验收</w:t>
      </w:r>
      <w:bookmarkEnd w:id="89"/>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（1）建设标准：按国家、行业标准，提供相应的服务内容。</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（2）履约验收：履约验收要求：采购人按照合同约定组织验收。</w:t>
      </w:r>
      <w:r/>
    </w:p>
    <w:p>
      <w:pPr>
        <w:ind w:firstLine="480"/>
        <w:spacing w:after="0" w:line="360" w:lineRule="auto"/>
        <w:rPr>
          <w:rFonts w:hint="eastAsia" w:ascii="宋体" w:hAnsi="宋体" w:eastAsia="宋体" w:cs="宋体"/>
          <w:sz w:val="24"/>
          <w:szCs w:val="24"/>
          <w:highlight w:val="none"/>
          <w:lang w:eastAsia="zh-CN"/>
        </w:rPr>
      </w:pPr>
      <w:r/>
      <w:bookmarkStart w:id="90" w:name="_Toc588"/>
      <w:r>
        <w:rPr>
          <w:rFonts w:hint="eastAsia" w:ascii="宋体" w:hAnsi="宋体" w:eastAsia="宋体" w:cs="宋体"/>
          <w:sz w:val="24"/>
          <w:szCs w:val="24"/>
          <w:highlight w:val="none"/>
          <w:lang w:eastAsia="zh-CN"/>
        </w:rPr>
        <w:t xml:space="preserve">5、工程质量保修期：铁路线路两侧施工部分各10米以内的范围进行长期养护。</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6、人员配备要求</w:t>
      </w:r>
      <w:bookmarkEnd w:id="90"/>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供应商应该为此项目设立项目团队，项目团队由项目负责人、技术负责人及设计、施工、造价、监理各专业技术人员组成。</w:t>
      </w:r>
      <w:r/>
    </w:p>
    <w:p>
      <w:pPr>
        <w:ind w:firstLine="480"/>
        <w:spacing w:after="0" w:line="360" w:lineRule="auto"/>
        <w:rPr>
          <w:rFonts w:hint="eastAsia" w:ascii="宋体" w:hAnsi="宋体" w:eastAsia="宋体" w:cs="宋体"/>
          <w:sz w:val="24"/>
          <w:szCs w:val="24"/>
          <w:highlight w:val="none"/>
          <w:lang w:eastAsia="zh-CN"/>
        </w:rPr>
      </w:pPr>
      <w:r/>
      <w:bookmarkStart w:id="91" w:name="_Toc9198"/>
      <w:r>
        <w:rPr>
          <w:rFonts w:hint="eastAsia" w:ascii="宋体" w:hAnsi="宋体" w:eastAsia="宋体" w:cs="宋体"/>
          <w:sz w:val="24"/>
          <w:szCs w:val="24"/>
          <w:highlight w:val="none"/>
          <w:lang w:eastAsia="zh-CN"/>
        </w:rPr>
        <w:t xml:space="preserve">7、</w:t>
      </w:r>
      <w:bookmarkEnd w:id="91"/>
      <w:r>
        <w:rPr>
          <w:rFonts w:hint="eastAsia" w:ascii="宋体" w:hAnsi="宋体" w:eastAsia="宋体" w:cs="宋体"/>
          <w:sz w:val="24"/>
          <w:szCs w:val="24"/>
          <w:highlight w:val="none"/>
          <w:lang w:eastAsia="zh-CN"/>
        </w:rPr>
        <w:t xml:space="preserve">付款方式：本项目合同签订后7日内支付合同金额的30%作为预付款（中标人提供等额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预付款支付担保），两座沉井施工完成（</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监理单位出具的分部分项验收单</w:t>
      </w:r>
      <w:r>
        <w:rPr>
          <w:rFonts w:hint="eastAsia" w:ascii="宋体" w:hAnsi="宋体" w:eastAsia="宋体" w:cs="宋体"/>
          <w:sz w:val="24"/>
          <w:szCs w:val="24"/>
          <w:highlight w:val="none"/>
          <w:lang w:val="en-US" w:eastAsia="zh-CN"/>
        </w:rPr>
        <w:t xml:space="preserve">或证明</w:t>
      </w:r>
      <w:r>
        <w:rPr>
          <w:rFonts w:hint="eastAsia" w:ascii="宋体" w:hAnsi="宋体" w:eastAsia="宋体" w:cs="宋体"/>
          <w:sz w:val="24"/>
          <w:szCs w:val="24"/>
          <w:highlight w:val="none"/>
          <w:lang w:eastAsia="zh-CN"/>
        </w:rPr>
        <w:t xml:space="preserve">）后付至合同金额的</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0%，工程整体施工完成竣工后付至合同金额的97%，工程通过铁路部门验收合格后付至合同金额的100%。</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keepLines/>
        <w:keepNext/>
        <w:spacing w:before="156" w:after="156" w:line="360" w:lineRule="auto"/>
        <w:widowControl w:val="off"/>
        <w:rPr>
          <w:rFonts w:hint="eastAsia" w:ascii="黑体" w:hAnsi="黑体" w:eastAsia="黑体" w:cs="黑体"/>
          <w:bCs/>
          <w:sz w:val="36"/>
          <w:szCs w:val="36"/>
          <w:highlight w:val="none"/>
          <w:lang w:eastAsia="zh-CN"/>
        </w:rPr>
        <w:outlineLvl w:val="0"/>
      </w:pPr>
      <w:r/>
      <w:bookmarkStart w:id="92" w:name="_Toc24213"/>
      <w:r/>
      <w:bookmarkStart w:id="93" w:name="_Toc155796361"/>
      <w:r>
        <w:rPr>
          <w:rFonts w:hint="eastAsia" w:ascii="黑体" w:hAnsi="黑体" w:eastAsia="黑体" w:cs="黑体"/>
          <w:bCs/>
          <w:sz w:val="36"/>
          <w:szCs w:val="36"/>
          <w:highlight w:val="none"/>
          <w:lang w:eastAsia="zh-CN"/>
        </w:rPr>
        <w:t xml:space="preserve">第五章  响应文件格式</w:t>
      </w:r>
      <w:bookmarkEnd w:id="92"/>
      <w:r/>
      <w:bookmarkEnd w:id="93"/>
      <w:r/>
      <w:r/>
    </w:p>
    <w:p>
      <w:pPr>
        <w:ind w:firstLine="480"/>
        <w:spacing w:after="0" w:line="500" w:lineRule="exact"/>
        <w:widowControl w:val="off"/>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r>
      <w:r/>
    </w:p>
    <w:p>
      <w:pPr>
        <w:ind w:firstLine="1446"/>
        <w:jc w:val="center"/>
        <w:spacing w:after="0" w:line="240" w:lineRule="auto"/>
        <w:widowControl w:val="off"/>
        <w:rPr>
          <w:rFonts w:ascii="Times New Roman" w:hAnsi="Times New Roman" w:eastAsia="宋体" w:cs="Times New Roman"/>
          <w:b/>
          <w:sz w:val="72"/>
          <w:szCs w:val="21"/>
          <w:highlight w:val="none"/>
          <w:lang w:eastAsia="zh-CN"/>
        </w:rPr>
      </w:pPr>
      <w:r>
        <w:rPr>
          <w:rFonts w:ascii="Times New Roman" w:hAnsi="Times New Roman" w:eastAsia="宋体" w:cs="Times New Roman"/>
          <w:b/>
          <w:sz w:val="72"/>
          <w:szCs w:val="21"/>
          <w:highlight w:val="none"/>
          <w:lang w:eastAsia="zh-CN"/>
        </w:rPr>
      </w:r>
      <w:r/>
    </w:p>
    <w:p>
      <w:pPr>
        <w:jc w:val="center"/>
        <w:spacing w:after="0" w:line="240" w:lineRule="auto"/>
        <w:widowControl w:val="off"/>
        <w:rPr>
          <w:rFonts w:ascii="Times New Roman" w:hAnsi="Times New Roman" w:eastAsia="宋体" w:cs="Times New Roman"/>
          <w:b/>
          <w:sz w:val="72"/>
          <w:szCs w:val="21"/>
          <w:highlight w:val="none"/>
          <w:lang w:eastAsia="zh-CN"/>
        </w:rPr>
      </w:pPr>
      <w:r>
        <w:rPr>
          <w:rFonts w:ascii="Times New Roman" w:hAnsi="Times New Roman" w:eastAsia="宋体" w:cs="Times New Roman"/>
          <w:b/>
          <w:sz w:val="72"/>
          <w:szCs w:val="21"/>
          <w:highlight w:val="none"/>
          <w:lang w:eastAsia="zh-CN"/>
        </w:rPr>
        <w:t xml:space="preserve">响  应  文  件</w:t>
      </w:r>
      <w:r/>
    </w:p>
    <w:p>
      <w:pPr>
        <w:ind w:firstLine="1446"/>
        <w:jc w:val="center"/>
        <w:spacing w:after="0" w:line="240" w:lineRule="auto"/>
        <w:widowControl w:val="off"/>
        <w:rPr>
          <w:rFonts w:ascii="Times New Roman" w:hAnsi="Times New Roman" w:eastAsia="宋体" w:cs="Times New Roman"/>
          <w:b/>
          <w:sz w:val="72"/>
          <w:szCs w:val="21"/>
          <w:highlight w:val="none"/>
          <w:lang w:eastAsia="zh-CN"/>
        </w:rPr>
      </w:pPr>
      <w:r>
        <w:rPr>
          <w:rFonts w:ascii="Times New Roman" w:hAnsi="Times New Roman" w:eastAsia="宋体" w:cs="Times New Roman"/>
          <w:b/>
          <w:sz w:val="72"/>
          <w:szCs w:val="21"/>
          <w:highlight w:val="none"/>
          <w:lang w:eastAsia="zh-CN"/>
        </w:rPr>
      </w:r>
      <w:r/>
    </w:p>
    <w:p>
      <w:pPr>
        <w:ind w:firstLine="1446"/>
        <w:jc w:val="center"/>
        <w:spacing w:after="0" w:line="240" w:lineRule="auto"/>
        <w:widowControl w:val="off"/>
        <w:rPr>
          <w:rFonts w:ascii="Times New Roman" w:hAnsi="Times New Roman" w:eastAsia="宋体" w:cs="Times New Roman"/>
          <w:b/>
          <w:sz w:val="72"/>
          <w:szCs w:val="21"/>
          <w:highlight w:val="none"/>
          <w:lang w:eastAsia="zh-CN"/>
        </w:rPr>
      </w:pPr>
      <w:r>
        <w:rPr>
          <w:rFonts w:ascii="Times New Roman" w:hAnsi="Times New Roman" w:eastAsia="宋体" w:cs="Times New Roman"/>
          <w:b/>
          <w:sz w:val="72"/>
          <w:szCs w:val="21"/>
          <w:highlight w:val="none"/>
          <w:lang w:eastAsia="zh-CN"/>
        </w:rPr>
      </w:r>
      <w:r/>
    </w:p>
    <w:p>
      <w:pPr>
        <w:ind w:firstLine="723"/>
        <w:jc w:val="center"/>
        <w:spacing w:after="0" w:line="240" w:lineRule="auto"/>
        <w:widowControl w:val="off"/>
        <w:rPr>
          <w:rFonts w:ascii="Times New Roman" w:hAnsi="Times New Roman" w:eastAsia="宋体" w:cs="Times New Roman"/>
          <w:b/>
          <w:sz w:val="36"/>
          <w:szCs w:val="21"/>
          <w:highlight w:val="none"/>
          <w:lang w:eastAsia="zh-CN"/>
        </w:rPr>
      </w:pPr>
      <w:r>
        <w:rPr>
          <w:rFonts w:ascii="Times New Roman" w:hAnsi="Times New Roman" w:eastAsia="宋体" w:cs="Times New Roman"/>
          <w:b/>
          <w:sz w:val="36"/>
          <w:szCs w:val="21"/>
          <w:highlight w:val="none"/>
          <w:lang w:eastAsia="zh-CN"/>
        </w:rPr>
      </w:r>
      <w:r/>
    </w:p>
    <w:p>
      <w:pPr>
        <w:ind w:firstLine="723"/>
        <w:jc w:val="center"/>
        <w:spacing w:after="0" w:line="240" w:lineRule="auto"/>
        <w:widowControl w:val="off"/>
        <w:rPr>
          <w:rFonts w:ascii="Times New Roman" w:hAnsi="Times New Roman" w:eastAsia="宋体" w:cs="Times New Roman"/>
          <w:b/>
          <w:sz w:val="36"/>
          <w:szCs w:val="21"/>
          <w:highlight w:val="none"/>
          <w:lang w:eastAsia="zh-CN"/>
        </w:rPr>
      </w:pPr>
      <w:r>
        <w:rPr>
          <w:rFonts w:ascii="Times New Roman" w:hAnsi="Times New Roman" w:eastAsia="宋体" w:cs="Times New Roman"/>
          <w:b/>
          <w:sz w:val="36"/>
          <w:szCs w:val="21"/>
          <w:highlight w:val="none"/>
          <w:lang w:eastAsia="zh-CN"/>
        </w:rPr>
      </w:r>
      <w:r/>
    </w:p>
    <w:p>
      <w:pPr>
        <w:ind w:firstLine="723"/>
        <w:jc w:val="center"/>
        <w:spacing w:after="0" w:line="240" w:lineRule="auto"/>
        <w:widowControl w:val="off"/>
        <w:rPr>
          <w:rFonts w:ascii="Times New Roman" w:hAnsi="Times New Roman" w:eastAsia="宋体" w:cs="Times New Roman"/>
          <w:bCs/>
          <w:sz w:val="36"/>
          <w:szCs w:val="21"/>
          <w:highlight w:val="none"/>
          <w:lang w:eastAsia="zh-CN"/>
        </w:rPr>
      </w:pPr>
      <w:r>
        <w:rPr>
          <w:rFonts w:ascii="Times New Roman" w:hAnsi="Times New Roman" w:eastAsia="宋体" w:cs="Times New Roman"/>
          <w:bCs/>
          <w:sz w:val="36"/>
          <w:szCs w:val="21"/>
          <w:highlight w:val="none"/>
          <w:lang w:eastAsia="zh-CN"/>
        </w:rPr>
      </w:r>
      <w:r/>
    </w:p>
    <w:p>
      <w:pPr>
        <w:ind w:left="1540"/>
        <w:jc w:val="both"/>
        <w:spacing w:after="0" w:line="360" w:lineRule="auto"/>
        <w:widowControl w:val="off"/>
        <w:rPr>
          <w:rFonts w:ascii="Times New Roman" w:hAnsi="Times New Roman" w:eastAsia="宋体" w:cs="Times New Roman"/>
          <w:bCs/>
          <w:sz w:val="36"/>
          <w:szCs w:val="21"/>
          <w:highlight w:val="none"/>
          <w:lang w:eastAsia="zh-CN"/>
        </w:rPr>
      </w:pPr>
      <w:r>
        <w:rPr>
          <w:rFonts w:ascii="Times New Roman" w:hAnsi="Times New Roman" w:eastAsia="宋体" w:cs="Times New Roman"/>
          <w:bCs/>
          <w:sz w:val="36"/>
          <w:szCs w:val="21"/>
          <w:highlight w:val="none"/>
          <w:lang w:eastAsia="zh-CN"/>
        </w:rPr>
        <w:t xml:space="preserve">项 目 名 称：</w:t>
      </w:r>
      <w:r/>
    </w:p>
    <w:p>
      <w:pPr>
        <w:ind w:left="1540"/>
        <w:jc w:val="both"/>
        <w:spacing w:after="0" w:line="360" w:lineRule="auto"/>
        <w:widowControl w:val="off"/>
        <w:rPr>
          <w:rFonts w:ascii="Times New Roman" w:hAnsi="Times New Roman" w:eastAsia="宋体" w:cs="Times New Roman"/>
          <w:bCs/>
          <w:sz w:val="36"/>
          <w:szCs w:val="21"/>
          <w:highlight w:val="none"/>
          <w:u w:val="single"/>
          <w:lang w:eastAsia="zh-CN"/>
        </w:rPr>
      </w:pPr>
      <w:r>
        <w:rPr>
          <w:rFonts w:ascii="Times New Roman" w:hAnsi="Times New Roman" w:eastAsia="宋体" w:cs="Times New Roman"/>
          <w:bCs/>
          <w:sz w:val="36"/>
          <w:szCs w:val="21"/>
          <w:highlight w:val="none"/>
          <w:lang w:eastAsia="zh-CN"/>
        </w:rPr>
        <w:t xml:space="preserve">项 目 编 号：</w:t>
      </w:r>
      <w:r/>
    </w:p>
    <w:p>
      <w:pPr>
        <w:ind w:left="1540"/>
        <w:jc w:val="both"/>
        <w:spacing w:after="0" w:line="360" w:lineRule="auto"/>
        <w:widowControl w:val="off"/>
        <w:rPr>
          <w:rFonts w:ascii="Times New Roman" w:hAnsi="Times New Roman" w:eastAsia="宋体" w:cs="Times New Roman"/>
          <w:bCs/>
          <w:sz w:val="36"/>
          <w:szCs w:val="21"/>
          <w:highlight w:val="none"/>
          <w:u w:val="single"/>
          <w:lang w:eastAsia="zh-CN"/>
        </w:rPr>
      </w:pPr>
      <w:r>
        <w:rPr>
          <w:rFonts w:ascii="Times New Roman" w:hAnsi="Times New Roman" w:eastAsia="宋体" w:cs="Times New Roman"/>
          <w:bCs/>
          <w:sz w:val="36"/>
          <w:szCs w:val="21"/>
          <w:highlight w:val="none"/>
          <w:lang w:eastAsia="zh-CN"/>
        </w:rPr>
        <w:t xml:space="preserve">供应商名称 ：</w:t>
      </w:r>
      <w:r/>
    </w:p>
    <w:p>
      <w:pPr>
        <w:ind w:left="1540"/>
        <w:jc w:val="both"/>
        <w:spacing w:after="0" w:line="360" w:lineRule="auto"/>
        <w:widowControl w:val="off"/>
        <w:rPr>
          <w:rFonts w:ascii="Times New Roman" w:hAnsi="Times New Roman" w:eastAsia="宋体" w:cs="Times New Roman"/>
          <w:bCs/>
          <w:sz w:val="36"/>
          <w:szCs w:val="21"/>
          <w:highlight w:val="none"/>
          <w:u w:val="single"/>
          <w:lang w:eastAsia="zh-CN"/>
        </w:rPr>
      </w:pPr>
      <w:r>
        <w:rPr>
          <w:rFonts w:ascii="Times New Roman" w:hAnsi="Times New Roman" w:eastAsia="宋体" w:cs="Times New Roman"/>
          <w:bCs/>
          <w:sz w:val="36"/>
          <w:szCs w:val="21"/>
          <w:highlight w:val="none"/>
          <w:lang w:eastAsia="zh-CN"/>
        </w:rPr>
        <w:t xml:space="preserve">日      期 ：</w:t>
      </w:r>
      <w:r/>
    </w:p>
    <w:p>
      <w:pPr>
        <w:ind w:firstLine="643"/>
        <w:jc w:val="center"/>
        <w:spacing w:after="0" w:line="440" w:lineRule="exact"/>
        <w:widowControl w:val="off"/>
        <w:rPr>
          <w:rFonts w:ascii="Times New Roman" w:hAnsi="Times New Roman" w:eastAsia="宋体" w:cs="Times New Roman"/>
          <w:b/>
          <w:bCs/>
          <w:sz w:val="32"/>
          <w:szCs w:val="32"/>
          <w:highlight w:val="none"/>
          <w:lang w:eastAsia="zh-CN"/>
        </w:rPr>
      </w:pPr>
      <w:r>
        <w:rPr>
          <w:rFonts w:ascii="Times New Roman" w:hAnsi="Times New Roman" w:eastAsia="宋体" w:cs="Times New Roman"/>
          <w:b/>
          <w:bCs/>
          <w:sz w:val="32"/>
          <w:szCs w:val="32"/>
          <w:highlight w:val="none"/>
          <w:lang w:eastAsia="zh-CN"/>
        </w:rPr>
      </w:r>
      <w:r/>
    </w:p>
    <w:p>
      <w:pPr>
        <w:ind w:firstLine="420"/>
        <w:jc w:val="both"/>
        <w:spacing w:after="0" w:line="440" w:lineRule="exact"/>
        <w:widowControl w:val="off"/>
        <w:rPr>
          <w:rFonts w:ascii="Times New Roman" w:hAnsi="Times New Roman" w:eastAsia="宋体" w:cs="Times New Roman"/>
          <w:sz w:val="21"/>
          <w:szCs w:val="21"/>
          <w:highlight w:val="none"/>
          <w:lang w:eastAsia="zh-CN"/>
        </w:rPr>
      </w:pPr>
      <w:r>
        <w:rPr>
          <w:rFonts w:ascii="Times New Roman" w:hAnsi="Times New Roman" w:eastAsia="宋体" w:cs="Times New Roman"/>
          <w:sz w:val="21"/>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0"/>
        <w:spacing w:after="0" w:line="500" w:lineRule="exact"/>
        <w:widowControl w:val="off"/>
        <w:rPr>
          <w:rFonts w:ascii="Times New Roman" w:hAnsi="Times New Roman" w:eastAsia="宋体" w:cs="Times New Roman"/>
          <w:b/>
          <w:bCs/>
          <w:sz w:val="24"/>
          <w:szCs w:val="21"/>
          <w:highlight w:val="none"/>
          <w:lang w:eastAsia="zh-CN"/>
        </w:rPr>
      </w:pPr>
      <w:r>
        <w:rPr>
          <w:rFonts w:ascii="Times New Roman" w:hAnsi="Times New Roman" w:eastAsia="宋体" w:cs="Times New Roman"/>
          <w:b/>
          <w:bCs/>
          <w:sz w:val="24"/>
          <w:szCs w:val="21"/>
          <w:highlight w:val="none"/>
          <w:lang w:eastAsia="zh-CN"/>
        </w:rPr>
      </w:r>
      <w:r/>
    </w:p>
    <w:p>
      <w:pPr>
        <w:ind w:firstLine="482"/>
        <w:jc w:val="center"/>
        <w:spacing w:after="0" w:line="360" w:lineRule="auto"/>
        <w:widowControl w:val="off"/>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 xml:space="preserve">一、单一来源响应函</w:t>
      </w:r>
      <w:r/>
    </w:p>
    <w:p>
      <w:pPr>
        <w:ind w:firstLine="482"/>
        <w:spacing w:after="0" w:line="360" w:lineRule="auto"/>
        <w:widowControl w:val="off"/>
        <w:rPr>
          <w:rFonts w:hint="default" w:ascii="Times New Roman" w:hAnsi="Times New Roman" w:eastAsia="宋体" w:cs="Times New Roman"/>
          <w:sz w:val="24"/>
          <w:szCs w:val="21"/>
          <w:highlight w:val="none"/>
          <w:lang w:val="en-US" w:eastAsia="zh-CN"/>
        </w:rPr>
      </w:pPr>
      <w:r>
        <w:rPr>
          <w:rFonts w:ascii="Times New Roman" w:hAnsi="Times New Roman" w:eastAsia="宋体" w:cs="Times New Roman"/>
          <w:sz w:val="24"/>
          <w:szCs w:val="21"/>
          <w:highlight w:val="none"/>
          <w:lang w:eastAsia="zh-CN"/>
        </w:rPr>
        <w:t xml:space="preserve">致：</w:t>
      </w:r>
      <w:r>
        <w:rPr>
          <w:rFonts w:ascii="Times New Roman" w:hAnsi="Times New Roman" w:eastAsia="宋体" w:cs="Times New Roman"/>
          <w:iCs/>
          <w:sz w:val="24"/>
          <w:szCs w:val="24"/>
          <w:highlight w:val="none"/>
          <w:u w:val="single"/>
          <w:lang w:eastAsia="zh-CN"/>
        </w:rPr>
        <w:t xml:space="preserve">采购人名称</w:t>
      </w:r>
      <w:r>
        <w:rPr>
          <w:rFonts w:hint="eastAsia" w:ascii="Times New Roman" w:hAnsi="Times New Roman" w:eastAsia="宋体" w:cs="Times New Roman"/>
          <w:iCs/>
          <w:sz w:val="24"/>
          <w:szCs w:val="24"/>
          <w:highlight w:val="none"/>
          <w:u w:val="single"/>
          <w:lang w:val="en-US" w:eastAsia="zh-CN"/>
        </w:rPr>
        <w:t xml:space="preserve"> </w:t>
      </w:r>
      <w:r/>
    </w:p>
    <w:p>
      <w:pPr>
        <w:ind w:firstLine="482"/>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根据贵方的JSZC-_________________号采购文件，正式授权下述签字人_________________(姓名)代表我方______________（供应商的名称），全权处理本次项目单一来源采购的有关事宜。</w:t>
      </w:r>
      <w:r/>
    </w:p>
    <w:p>
      <w:pPr>
        <w:ind w:firstLine="482"/>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据此函，__________签字人兹宣布同意如下：</w:t>
      </w:r>
      <w:r/>
    </w:p>
    <w:p>
      <w:pPr>
        <w:ind w:firstLine="482"/>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1.按采购文件规定的各项要求，向买方提供所需货物、服务。</w:t>
      </w:r>
      <w:r/>
    </w:p>
    <w:p>
      <w:pPr>
        <w:ind w:firstLine="482"/>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2.我们已详细审核全部采购文件及其有效补充文件，我们知道必须放弃提出含糊不清或误解问题的权利。</w:t>
      </w:r>
      <w:r/>
    </w:p>
    <w:p>
      <w:pPr>
        <w:ind w:firstLine="482"/>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3.我们同意从规定的递交响应文件截至时间起遵循本响应文件，并在规定的单一来源</w:t>
      </w:r>
      <w:r>
        <w:rPr>
          <w:rFonts w:hint="eastAsia" w:ascii="Times New Roman" w:hAnsi="Times New Roman" w:eastAsia="宋体" w:cs="Times New Roman"/>
          <w:sz w:val="24"/>
          <w:szCs w:val="21"/>
          <w:highlight w:val="none"/>
          <w:lang w:eastAsia="zh-CN"/>
        </w:rPr>
        <w:t xml:space="preserve">采购</w:t>
      </w:r>
      <w:r>
        <w:rPr>
          <w:rFonts w:ascii="Times New Roman" w:hAnsi="Times New Roman" w:eastAsia="宋体" w:cs="Times New Roman"/>
          <w:sz w:val="24"/>
          <w:szCs w:val="21"/>
          <w:highlight w:val="none"/>
          <w:lang w:eastAsia="zh-CN"/>
        </w:rPr>
        <w:t xml:space="preserve">有效期期满之前均具有约束力。</w:t>
      </w:r>
      <w:r/>
    </w:p>
    <w:p>
      <w:pPr>
        <w:ind w:firstLine="482"/>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5.同意向贵方提供贵方可能另外要求的与单一来源采购有关的任何证据或资料，并保证我方已提供和将要提供的文件是真实的、准确的。</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6.一旦我方成交,我方将根据采购文件的规定，严格履行合同的责任和义务,并保证在采购文件规定的时间完成项目，交付买方验收、使用。</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7.与本单一来源采购有关的正式通讯地址为：</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地        址：</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邮        编：</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电        话：</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传        真：</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供应商开户行：</w:t>
      </w:r>
      <w:r/>
    </w:p>
    <w:p>
      <w:pPr>
        <w:ind w:firstLine="480"/>
        <w:spacing w:after="0" w:line="360" w:lineRule="auto"/>
        <w:widowControl w:val="off"/>
        <w:rPr>
          <w:rFonts w:ascii="Times New Roman" w:hAnsi="Times New Roman" w:eastAsia="宋体" w:cs="Times New Roman"/>
          <w:sz w:val="24"/>
          <w:szCs w:val="21"/>
          <w:highlight w:val="none"/>
          <w:lang w:eastAsia="zh-CN"/>
        </w:rPr>
      </w:pPr>
      <w:r>
        <w:rPr>
          <w:rFonts w:ascii="Times New Roman" w:hAnsi="Times New Roman" w:eastAsia="宋体" w:cs="Times New Roman"/>
          <w:sz w:val="24"/>
          <w:szCs w:val="21"/>
          <w:highlight w:val="none"/>
          <w:lang w:eastAsia="zh-CN"/>
        </w:rPr>
        <w:t xml:space="preserve">账        号： </w:t>
      </w:r>
      <w:r/>
    </w:p>
    <w:p>
      <w:pPr>
        <w:ind w:firstLine="420"/>
        <w:jc w:val="both"/>
        <w:spacing w:after="0" w:line="360" w:lineRule="auto"/>
        <w:widowControl w:val="off"/>
        <w:rPr>
          <w:rFonts w:ascii="Times New Roman" w:hAnsi="Times New Roman" w:eastAsia="宋体" w:cs="Times New Roman"/>
          <w:sz w:val="21"/>
          <w:highlight w:val="none"/>
          <w:lang w:eastAsia="zh-CN"/>
        </w:rPr>
      </w:pPr>
      <w:r>
        <w:rPr>
          <w:rFonts w:ascii="Times New Roman" w:hAnsi="Times New Roman" w:eastAsia="宋体" w:cs="Times New Roman"/>
          <w:sz w:val="21"/>
          <w:highlight w:val="none"/>
          <w:lang w:eastAsia="zh-CN"/>
        </w:rPr>
      </w:r>
      <w:r/>
    </w:p>
    <w:p>
      <w:pPr>
        <w:ind w:firstLine="480"/>
        <w:jc w:val="both"/>
        <w:spacing w:after="0" w:line="360" w:lineRule="auto"/>
        <w:widowControl w:val="off"/>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供应商（盖章）：</w:t>
      </w:r>
      <w:r/>
    </w:p>
    <w:p>
      <w:pPr>
        <w:ind w:firstLine="480"/>
        <w:jc w:val="both"/>
        <w:spacing w:after="0" w:line="360" w:lineRule="auto"/>
        <w:widowControl w:val="off"/>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法定代表人（单位负责人）或委托代理人（签字或盖章）：</w:t>
      </w:r>
      <w:r/>
    </w:p>
    <w:p>
      <w:pPr>
        <w:spacing w:line="360" w:lineRule="auto"/>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br w:type="page" w:clear="all"/>
      </w:r>
      <w:r/>
    </w:p>
    <w:p>
      <w:pPr>
        <w:jc w:val="center"/>
        <w:spacing w:after="0" w:line="500" w:lineRule="exact"/>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二、法人授权委托书</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本授权书声明：</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（供应商名称）授权</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（被授权人的姓名）为我方就</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项目采购活动的合法代理人，以本单位名义全权处理一切与该项目采购有关的事务。</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本授权书于______年____月____日起生效，特此声明。</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4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被授权人身份证号：</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      </w:t>
      </w:r>
      <w:r/>
    </w:p>
    <w:p>
      <w:pPr>
        <w:ind w:left="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被授权人联系电话：（手机）</w:t>
      </w:r>
      <w:r>
        <w:rPr>
          <w:rFonts w:hint="eastAsia" w:ascii="宋体" w:hAnsi="宋体" w:eastAsia="宋体" w:cs="宋体"/>
          <w:sz w:val="24"/>
          <w:highlight w:val="none"/>
          <w:u w:val="single"/>
          <w:lang w:eastAsia="zh-CN"/>
        </w:rPr>
        <w:t xml:space="preserve">     </w:t>
      </w:r>
      <w:r/>
    </w:p>
    <w:p>
      <w:pPr>
        <w:ind w:left="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授权单位名称：</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 </w:t>
      </w:r>
      <w:r/>
    </w:p>
    <w:p>
      <w:pPr>
        <w:ind w:left="44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单位地址：</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 </w:t>
      </w:r>
      <w:r/>
    </w:p>
    <w:p>
      <w:pPr>
        <w:ind w:left="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w:t>
      </w:r>
      <w:r>
        <w:rPr>
          <w:rFonts w:hint="eastAsia" w:ascii="宋体" w:hAnsi="宋体" w:eastAsia="宋体" w:cs="宋体"/>
          <w:sz w:val="24"/>
          <w:highlight w:val="none"/>
          <w:u w:val="single"/>
          <w:lang w:eastAsia="zh-CN"/>
        </w:rPr>
        <w:t xml:space="preserve">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(受托人身份证扫描件附后)</w:t>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spacing w:after="0" w:line="500" w:lineRule="exact"/>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三、报价表</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项目名称：西大岭过铁路雨污水项目</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项目编号：</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本次为首次报价</w:t>
      </w:r>
      <w:r/>
    </w:p>
    <w:p>
      <w:pPr>
        <w:ind w:firstLine="480"/>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货币单位：人民币元 </w:t>
      </w:r>
      <w:r/>
    </w:p>
    <w:tbl>
      <w:tblPr>
        <w:tblStyle w:val="7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88"/>
        <w:gridCol w:w="1872"/>
        <w:gridCol w:w="2777"/>
      </w:tblGrid>
      <w:tr>
        <w:trPr>
          <w:jc w:val="cente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总价（小写）</w:t>
            </w:r>
            <w:r/>
          </w:p>
        </w:tc>
      </w:tr>
      <w:tr>
        <w:trPr>
          <w:jc w:val="cente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center"/>
            <w:textDirection w:val="lrTb"/>
            <w:noWrap/>
          </w:tcPr>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西大岭过铁路雨污水项目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详见报价文件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9" w:type="dxa"/>
            <w:vAlign w:val="center"/>
            <w:textDirection w:val="lrTb"/>
            <w:noWrap/>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ind w:left="420" w:right="33"/>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供应商承诺：本项目由供应商本企业提供服务。</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报价说明：</w:t>
      </w:r>
      <w:r/>
    </w:p>
    <w:p>
      <w:pPr>
        <w:ind w:right="-1052"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1、报价包括完成项目的所有费用。采购人不再支付报价以外的任何费用。</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2、报价以总价为准，大小写不一致以大写为准。</w:t>
      </w:r>
      <w:r/>
    </w:p>
    <w:p>
      <w:pPr>
        <w:ind w:right="-1052"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3、偏离说明：详见《偏离表》。</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right="29"/>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84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供应商（公章）：</w:t>
      </w:r>
      <w:r/>
    </w:p>
    <w:p>
      <w:pPr>
        <w:ind w:right="29"/>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法定代表人或授权代表（签字或盖章）：</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    年   月  日</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rPr>
          <w:rFonts w:hint="eastAsia" w:ascii="宋体" w:hAnsi="宋体" w:eastAsia="宋体" w:cs="宋体"/>
          <w:b/>
          <w:sz w:val="30"/>
          <w:highlight w:val="none"/>
          <w:lang w:eastAsia="zh-CN"/>
        </w:rPr>
      </w:pPr>
      <w:r>
        <w:rPr>
          <w:rFonts w:hint="eastAsia" w:ascii="宋体" w:hAnsi="宋体" w:eastAsia="宋体" w:cs="宋体"/>
          <w:b/>
          <w:sz w:val="30"/>
          <w:highlight w:val="none"/>
          <w:lang w:eastAsia="zh-CN"/>
        </w:rPr>
        <w:br w:type="page" w:clear="all"/>
      </w:r>
      <w:r/>
    </w:p>
    <w:p>
      <w:pPr>
        <w:jc w:val="center"/>
        <w:spacing w:after="0" w:line="500" w:lineRule="exact"/>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四、分项价格表</w:t>
      </w:r>
      <w:r/>
    </w:p>
    <w:p>
      <w:pPr>
        <w:jc w:val="center"/>
        <w:spacing w:after="0" w:line="24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分项报价表（服务类）</w:t>
      </w:r>
      <w:r/>
    </w:p>
    <w:tbl>
      <w:tblPr>
        <w:tblStyle w:val="713"/>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350"/>
        <w:gridCol w:w="1364"/>
        <w:gridCol w:w="979"/>
        <w:gridCol w:w="1276"/>
        <w:gridCol w:w="1715"/>
        <w:gridCol w:w="1907"/>
      </w:tblGrid>
      <w:tr>
        <w:trPr>
          <w:cantSplit/>
          <w:jc w:val="center"/>
          <w:trHeight w:val="590"/>
        </w:trPr>
        <w:tc>
          <w:tcPr>
            <w:tcW w:w="1005" w:type="dxa"/>
            <w:vAlign w:val="center"/>
            <w:vMerge w:val="restart"/>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序号</w:t>
            </w:r>
            <w:r/>
          </w:p>
        </w:tc>
        <w:tc>
          <w:tcPr>
            <w:tcW w:w="1350"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w:t>
            </w:r>
            <w:r/>
          </w:p>
        </w:tc>
        <w:tc>
          <w:tcPr>
            <w:tcW w:w="1364"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w:t>
            </w:r>
            <w:r/>
          </w:p>
        </w:tc>
        <w:tc>
          <w:tcPr>
            <w:tcW w:w="97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3</w:t>
            </w:r>
            <w:r/>
          </w:p>
        </w:tc>
        <w:tc>
          <w:tcPr>
            <w:tcW w:w="1276"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4</w:t>
            </w:r>
            <w:r/>
          </w:p>
        </w:tc>
        <w:tc>
          <w:tcPr>
            <w:tcW w:w="171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5</w:t>
            </w:r>
            <w:r/>
          </w:p>
        </w:tc>
        <w:tc>
          <w:tcPr>
            <w:tcW w:w="1907"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6</w:t>
            </w:r>
            <w:r/>
          </w:p>
        </w:tc>
      </w:tr>
      <w:tr>
        <w:trPr>
          <w:cantSplit/>
          <w:jc w:val="center"/>
          <w:trHeight w:val="669"/>
        </w:trPr>
        <w:tc>
          <w:tcPr>
            <w:tcW w:w="1005" w:type="dxa"/>
            <w:vAlign w:val="center"/>
            <w:vMerge w:val="continue"/>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350"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分项服务名称</w:t>
            </w:r>
            <w:r/>
          </w:p>
        </w:tc>
        <w:tc>
          <w:tcPr>
            <w:tcW w:w="1364"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交付期</w:t>
            </w:r>
            <w:r/>
          </w:p>
        </w:tc>
        <w:tc>
          <w:tcPr>
            <w:tcW w:w="97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分项</w:t>
            </w:r>
            <w:r/>
          </w:p>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单位</w:t>
            </w:r>
            <w:r/>
          </w:p>
        </w:tc>
        <w:tc>
          <w:tcPr>
            <w:tcW w:w="1276"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数量</w:t>
            </w:r>
            <w:r/>
          </w:p>
        </w:tc>
        <w:tc>
          <w:tcPr>
            <w:tcW w:w="171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分项</w:t>
            </w:r>
            <w:r/>
          </w:p>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单价</w:t>
            </w:r>
            <w:r/>
          </w:p>
        </w:tc>
        <w:tc>
          <w:tcPr>
            <w:tcW w:w="1907"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分项</w:t>
            </w:r>
            <w:r/>
          </w:p>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总价</w:t>
            </w:r>
            <w:r/>
          </w:p>
        </w:tc>
      </w:tr>
      <w:tr>
        <w:trPr>
          <w:cantSplit/>
          <w:jc w:val="center"/>
          <w:trHeight w:val="703"/>
        </w:trPr>
        <w:tc>
          <w:tcPr>
            <w:tcW w:w="100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w:t>
            </w:r>
            <w:r/>
          </w:p>
        </w:tc>
        <w:tc>
          <w:tcPr>
            <w:tcW w:w="1350"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364"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97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276"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71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907"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jc w:val="center"/>
          <w:trHeight w:val="703"/>
        </w:trPr>
        <w:tc>
          <w:tcPr>
            <w:tcW w:w="100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w:t>
            </w:r>
            <w:r/>
          </w:p>
        </w:tc>
        <w:tc>
          <w:tcPr>
            <w:tcW w:w="1350"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364"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97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276"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71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907"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jc w:val="center"/>
          <w:trHeight w:val="703"/>
        </w:trPr>
        <w:tc>
          <w:tcPr>
            <w:tcW w:w="100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3</w:t>
            </w:r>
            <w:r/>
          </w:p>
        </w:tc>
        <w:tc>
          <w:tcPr>
            <w:tcW w:w="1350"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364"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97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276"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71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907"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jc w:val="center"/>
          <w:trHeight w:val="703"/>
        </w:trPr>
        <w:tc>
          <w:tcPr>
            <w:tcW w:w="100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w:t>
            </w:r>
            <w:r/>
          </w:p>
        </w:tc>
        <w:tc>
          <w:tcPr>
            <w:tcW w:w="1350"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t xml:space="preserve">……</w:t>
            </w:r>
            <w:r/>
          </w:p>
        </w:tc>
        <w:tc>
          <w:tcPr>
            <w:tcW w:w="1364"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97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276"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715"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1907"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jc w:val="center"/>
          <w:trHeight w:val="562"/>
        </w:trPr>
        <w:tc>
          <w:tcPr>
            <w:gridSpan w:val="6"/>
            <w:tcW w:w="7689" w:type="dxa"/>
            <w:vAlign w:val="center"/>
            <w:textDirection w:val="lrTb"/>
            <w:noWrap w:val="false"/>
          </w:tcPr>
          <w:p>
            <w:pPr>
              <w:jc w:val="center"/>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总报价（人民币：元）</w:t>
            </w:r>
            <w:r/>
          </w:p>
        </w:tc>
        <w:tc>
          <w:tcPr>
            <w:tcW w:w="1907" w:type="dxa"/>
            <w:textDirection w:val="lrTb"/>
            <w:noWrap w:val="false"/>
          </w:tcPr>
          <w:p>
            <w:pPr>
              <w:jc w:val="both"/>
              <w:spacing w:after="0" w:line="0" w:lineRule="atLeas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bl>
    <w:p>
      <w:pPr>
        <w:ind w:firstLine="480"/>
        <w:jc w:val="both"/>
        <w:spacing w:after="0"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备注： 报价采用总承包方式，供应商的报价应包括采购人需求的服务价格、勘察、设计、专家论证、前期相关报审报批、施工、监理、后续管养、质量保证费用，项目在指定地点、环境交付、验收、移交、报修所需费用和所有相关税金费用及为完成整个项目所产生的其它所有费用等一切费用。</w:t>
      </w:r>
      <w:r/>
    </w:p>
    <w:p>
      <w:pPr>
        <w:ind w:firstLine="56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right="28"/>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ind w:right="28"/>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ind w:right="28"/>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ind w:firstLine="360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供应商（公章）：</w:t>
      </w:r>
      <w:r/>
    </w:p>
    <w:p>
      <w:pPr>
        <w:ind w:firstLine="120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法定代表人或授权代表（签字或盖章）：</w:t>
      </w:r>
      <w:r/>
    </w:p>
    <w:p>
      <w:pPr>
        <w:ind w:firstLine="432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   年   月  日</w:t>
      </w:r>
      <w:r/>
    </w:p>
    <w:p>
      <w:pPr>
        <w:ind w:right="29" w:firstLine="420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500" w:lineRule="exact"/>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五、技术要求响应及偏离表</w:t>
      </w:r>
      <w:r/>
    </w:p>
    <w:tbl>
      <w:tblPr>
        <w:tblStyle w:val="7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113" w:type="dxa"/>
          <w:right w:w="108" w:type="dxa"/>
          <w:bottom w:w="0" w:type="dxa"/>
        </w:tblCellMar>
        <w:tblLook w:val="04A0" w:firstRow="1" w:lastRow="0" w:firstColumn="1" w:lastColumn="0" w:noHBand="0" w:noVBand="1"/>
      </w:tblPr>
      <w:tblGrid>
        <w:gridCol w:w="918"/>
        <w:gridCol w:w="3063"/>
        <w:gridCol w:w="2960"/>
        <w:gridCol w:w="2438"/>
      </w:tblGrid>
      <w:tr>
        <w:trPr>
          <w:jc w:val="center"/>
          <w:trHeight w:val="7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采购</w:t>
            </w:r>
            <w:r>
              <w:rPr>
                <w:rFonts w:hint="eastAsia" w:ascii="宋体" w:hAnsi="宋体" w:eastAsia="宋体" w:cs="宋体"/>
                <w:sz w:val="24"/>
                <w:highlight w:val="none"/>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超出、符合或偏离</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注：行数不够，可自行添加。</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right="29"/>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供应商（公章）：</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法定代表人或授权代表（签字或盖章）：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   年   月  日</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500" w:lineRule="exact"/>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 六、商务要求响应及偏离表</w:t>
      </w:r>
      <w:r/>
    </w:p>
    <w:tbl>
      <w:tblPr>
        <w:tblStyle w:val="7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3113"/>
        <w:gridCol w:w="2656"/>
        <w:gridCol w:w="2455"/>
      </w:tblGrid>
      <w:tr>
        <w:trPr>
          <w:jc w:val="center"/>
          <w:trHeight w:val="9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采购</w:t>
            </w:r>
            <w:r>
              <w:rPr>
                <w:rFonts w:hint="eastAsia" w:ascii="宋体" w:hAnsi="宋体" w:eastAsia="宋体" w:cs="宋体"/>
                <w:sz w:val="24"/>
                <w:highlight w:val="none"/>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超出、符合或偏离</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jc w:val="cente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jc w:val="both"/>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firstLine="480"/>
              <w:jc w:val="center"/>
              <w:spacing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 行数不够，可自行添加。</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right="29"/>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right="29"/>
        <w:jc w:val="cente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供应商（公章）：</w:t>
      </w:r>
      <w:r/>
    </w:p>
    <w:p>
      <w:pPr>
        <w:ind w:right="29"/>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法定代表人或授权代表（签字或盖章）：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   年   月  日</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br w:type="page" w:clear="all"/>
      </w:r>
      <w:r/>
    </w:p>
    <w:p>
      <w:pPr>
        <w:jc w:val="center"/>
        <w:spacing w:after="0" w:line="360" w:lineRule="auto"/>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七、具备履行合同所必需的设备和专业技术能力的声明及证明材料</w:t>
      </w:r>
      <w:r/>
    </w:p>
    <w:p>
      <w:pPr>
        <w:jc w:val="center"/>
        <w:spacing w:after="0"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jc w:val="center"/>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具备履行合同所必需的设备和专业技术能力的声明</w:t>
      </w:r>
      <w:r/>
    </w:p>
    <w:p>
      <w:pPr>
        <w:ind w:firstLine="493"/>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lang w:eastAsia="zh-CN"/>
        </w:rPr>
        <w:t xml:space="preserve">郑重声明：我单位具备履行本项采购合同所必需的设备和专业技术能力，为履行本项采购合同我单位具备如下主要设备和主要专业技术能力：</w:t>
      </w:r>
      <w:r/>
    </w:p>
    <w:p>
      <w:pPr>
        <w:ind w:firstLine="493"/>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主要设备有：</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b/>
          <w:sz w:val="24"/>
          <w:szCs w:val="24"/>
          <w:highlight w:val="none"/>
          <w:lang w:eastAsia="zh-CN"/>
        </w:rPr>
        <w:t xml:space="preserve">须附证明材料）</w:t>
      </w:r>
      <w:r>
        <w:rPr>
          <w:rFonts w:hint="eastAsia" w:ascii="宋体" w:hAnsi="宋体" w:eastAsia="宋体" w:cs="宋体"/>
          <w:sz w:val="24"/>
          <w:szCs w:val="24"/>
          <w:highlight w:val="none"/>
          <w:lang w:eastAsia="zh-CN"/>
        </w:rPr>
        <w:t xml:space="preserve">。</w:t>
      </w:r>
      <w:r/>
    </w:p>
    <w:p>
      <w:pPr>
        <w:ind w:firstLine="493"/>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主要专业技术能力有：</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b/>
          <w:sz w:val="24"/>
          <w:szCs w:val="24"/>
          <w:highlight w:val="none"/>
          <w:lang w:eastAsia="zh-CN"/>
        </w:rPr>
        <w:t xml:space="preserve">须附证明材料）</w:t>
      </w:r>
      <w:r>
        <w:rPr>
          <w:rFonts w:hint="eastAsia" w:ascii="宋体" w:hAnsi="宋体" w:eastAsia="宋体" w:cs="宋体"/>
          <w:sz w:val="24"/>
          <w:szCs w:val="24"/>
          <w:highlight w:val="none"/>
          <w:lang w:eastAsia="zh-CN"/>
        </w:rPr>
        <w:t xml:space="preserve">。</w:t>
      </w:r>
      <w:r/>
    </w:p>
    <w:p>
      <w:pPr>
        <w:ind w:firstLine="493"/>
        <w:spacing w:after="0"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注：证明材料。</w:t>
      </w:r>
      <w:r/>
    </w:p>
    <w:p>
      <w:pPr>
        <w:ind w:firstLine="492"/>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5403"/>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声明人（盖章）：</w:t>
      </w:r>
      <w:r/>
    </w:p>
    <w:p>
      <w:pPr>
        <w:ind w:firstLine="5403"/>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  年   月  日</w:t>
      </w:r>
      <w:r/>
    </w:p>
    <w:p>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br w:type="page" w:clear="all"/>
      </w:r>
      <w:r/>
    </w:p>
    <w:p>
      <w:pPr>
        <w:jc w:val="center"/>
        <w:spacing w:after="0" w:line="360" w:lineRule="auto"/>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八、供应商参加政府采购活动前3年内在经营活动中没有重大违法记录的书面声明</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我单位在参加</w:t>
      </w:r>
      <w:r>
        <w:rPr>
          <w:rFonts w:hint="eastAsia" w:ascii="宋体" w:hAnsi="宋体" w:eastAsia="宋体" w:cs="宋体"/>
          <w:sz w:val="24"/>
          <w:highlight w:val="none"/>
          <w:u w:val="single"/>
          <w:lang w:eastAsia="zh-CN"/>
        </w:rPr>
        <w:t xml:space="preserve">西大岭过铁路雨污水项目项目（项目编号：     ）</w:t>
      </w:r>
      <w:r>
        <w:rPr>
          <w:rFonts w:hint="eastAsia" w:ascii="宋体" w:hAnsi="宋体" w:eastAsia="宋体" w:cs="宋体"/>
          <w:sz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我单位对上述声明的真实性负责。如有虚假，将依法承担相应责任。</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供应商（公章）：</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法定代表人或授权代表（签字或盖章）：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   年   月  日</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ind w:left="3465"/>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both"/>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br w:type="page" w:clear="all"/>
      </w:r>
      <w:r/>
    </w:p>
    <w:p>
      <w:pPr>
        <w:jc w:val="center"/>
        <w:spacing w:after="0" w:line="360" w:lineRule="auto"/>
        <w:widowControl w:val="off"/>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九、财务状况报告及税收、社会保障资金缴纳情况承诺函</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highlight w:val="none"/>
          <w:lang w:eastAsia="zh-CN"/>
        </w:rPr>
        <w:t xml:space="preserve"> </w:t>
      </w:r>
      <w:r/>
    </w:p>
    <w:p>
      <w:pPr>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致：【</w:t>
      </w:r>
      <w:r>
        <w:rPr>
          <w:rFonts w:ascii="Times New Roman" w:hAnsi="Times New Roman" w:eastAsia="宋体" w:cs="Times New Roman"/>
          <w:iCs/>
          <w:sz w:val="24"/>
          <w:szCs w:val="24"/>
          <w:highlight w:val="none"/>
          <w:u w:val="single"/>
          <w:lang w:eastAsia="zh-CN"/>
        </w:rPr>
        <w:t xml:space="preserve">采购人名称</w:t>
      </w:r>
      <w:r>
        <w:rPr>
          <w:rFonts w:hint="eastAsia" w:ascii="宋体" w:hAnsi="宋体" w:eastAsia="宋体" w:cs="宋体"/>
          <w:sz w:val="24"/>
          <w:highlight w:val="none"/>
          <w:lang w:eastAsia="zh-CN"/>
        </w:rPr>
        <w:t xml:space="preserve">】</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方供应商名称参加【标段名称】（项目编号：【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（1）具有良好的商业信誉和健全的财务会计制度（财务状况报告）；</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（2）有依法缴纳税收和社会保障资金的良好记录。</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特此承诺！</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供应商（盖章）：</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法定代表人或委托代理人（签字或盖章）：</w:t>
      </w:r>
      <w:r/>
    </w:p>
    <w:p>
      <w:pPr>
        <w:ind w:firstLine="480"/>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     年     月    日</w:t>
      </w:r>
      <w:r/>
    </w:p>
    <w:p>
      <w:pPr>
        <w:ind w:firstLine="482"/>
        <w:jc w:val="both"/>
        <w:spacing w:after="0" w:line="360" w:lineRule="auto"/>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rPr>
          <w:rFonts w:hint="eastAsia" w:ascii="宋体" w:hAnsi="宋体" w:eastAsia="宋体" w:cs="宋体"/>
          <w:highlight w:val="none"/>
          <w:lang w:eastAsia="zh-CN"/>
        </w:rPr>
      </w:pPr>
      <w:r>
        <w:rPr>
          <w:rFonts w:hint="eastAsia" w:ascii="宋体" w:hAnsi="宋体" w:eastAsia="宋体" w:cs="宋体"/>
          <w:b/>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420"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right="33"/>
        <w:spacing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center"/>
        <w:spacing w:after="0" w:line="360" w:lineRule="auto"/>
        <w:rPr>
          <w:rFonts w:hint="eastAsia" w:ascii="黑体" w:hAnsi="黑体" w:eastAsia="黑体" w:cs="黑体"/>
          <w:sz w:val="24"/>
          <w:szCs w:val="21"/>
          <w:highlight w:val="none"/>
          <w:lang w:eastAsia="zh-CN"/>
        </w:rPr>
      </w:pPr>
      <w:r>
        <w:rPr>
          <w:rFonts w:hint="eastAsia" w:ascii="黑体" w:hAnsi="黑体" w:eastAsia="黑体" w:cs="黑体"/>
          <w:sz w:val="24"/>
          <w:szCs w:val="21"/>
          <w:highlight w:val="none"/>
          <w:lang w:eastAsia="zh-CN"/>
        </w:rPr>
        <w:t xml:space="preserve">十、资格审查材料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1.满足《中华人民共和国政府采购法》第二十二条规定，并提供下列材料：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（1）法人或者其他组织的营业执照等证明文件，自然人的身份证明；</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（2）具有良好的商业信誉和健全的财务会计制度；</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（3）依法缴纳税收和社会保障资金的相关材料；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（4）具备履行合同所必需的设备和专业技术能力的书面声明及证明材料；</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（5）参加政府采购活动前三年内在经营活动中没有重大违法记录的书面声明。</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注：根据连财购〔2023〕4号文件精神，第（1）、（2）项可以提供《财务状况报告及税收、社会保障资金缴纳情况承诺函》，详见采购文件格式。</w:t>
      </w:r>
      <w:r/>
    </w:p>
    <w:p>
      <w:pPr>
        <w:ind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被信用中国、中国政府采购网列入失信被执行人、重大税收违法案件当事人名单、政府采购严重违法失信行为记录名单的供应商，拒绝其参与政府采购活动。备注：采购人或采购代理机构在协商环节通过信用中国网站（www.creditchina.gov.cn）、中国政府采购网（www.ccgp.gov.cn），对供应商信用记录情况进行查询，查询结果页面打印留存。</w:t>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sectPr>
      <w:footerReference w:type="default" r:id="rId10"/>
      <w:footnotePr/>
      <w:endnotePr/>
      <w:type w:val="nextPage"/>
      <w:pgSz w:w="11906" w:h="16838" w:orient="portrait"/>
      <w:pgMar w:top="1134" w:right="1134" w:bottom="1134" w:left="1134"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ourier New">
    <w:panose1 w:val="02070309020205020404"/>
  </w:font>
  <w:font w:name="Calibri">
    <w:panose1 w:val="020F050202020403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6860" cy="17018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276860" cy="170180"/>
                      </a:xfrm>
                      <a:prstGeom prst="rect">
                        <a:avLst/>
                      </a:prstGeom>
                      <a:noFill/>
                      <a:ln w="6350">
                        <a:noFill/>
                      </a:ln>
                    </wps:spPr>
                    <wps:txbx>
                      <w:txbxContent>
                        <w:p>
                          <w:pPr>
                            <w:pStyle w:val="803"/>
                          </w:pPr>
                          <w:r>
                            <w:fldChar w:fldCharType="begin"/>
                          </w:r>
                          <w:r>
                            <w:instrText xml:space="preserve"> PAGE  \* MERGEFORMAT </w:instrText>
                          </w:r>
                          <w:r>
                            <w:fldChar w:fldCharType="separate"/>
                          </w:r>
                          <w:r>
                            <w:t xml:space="preserve">7</w:t>
                          </w:r>
                          <w:r>
                            <w:fldChar w:fldCharType="end"/>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8pt;height:13.4pt;mso-wrap-distance-left:9.0pt;mso-wrap-distance-top:0.0pt;mso-wrap-distance-right:9.0pt;mso-wrap-distance-bottom:0.0pt;visibility:visible;" filled="f" stroked="f" strokeweight="0.50pt">
              <v:textbox inset="0,0,0,0">
                <w:txbxContent>
                  <w:p>
                    <w:pPr>
                      <w:pStyle w:val="80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0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04"/>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05"/>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06"/>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2">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1">
    <w:name w:val="TOC Heading"/>
    <w:uiPriority w:val="39"/>
    <w:unhideWhenUsed/>
  </w:style>
  <w:style w:type="paragraph" w:styleId="702"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03">
    <w:name w:val="Heading 1"/>
    <w:basedOn w:val="702"/>
    <w:next w:val="702"/>
    <w:uiPriority w:val="0"/>
    <w:qFormat/>
    <w:pPr>
      <w:numPr>
        <w:ilvl w:val="0"/>
        <w:numId w:val="1"/>
      </w:numPr>
      <w:ind w:left="0" w:firstLine="0"/>
      <w:jc w:val="center"/>
      <w:keepLines/>
      <w:keepNext/>
      <w:spacing w:after="0" w:line="360" w:lineRule="auto"/>
      <w:widowControl w:val="off"/>
      <w:outlineLvl w:val="0"/>
    </w:pPr>
    <w:rPr>
      <w:rFonts w:ascii="Times New Roman" w:hAnsi="Times New Roman" w:eastAsia="黑体" w:cs="Times New Roman"/>
      <w:b/>
      <w:sz w:val="36"/>
      <w:szCs w:val="20"/>
      <w:lang w:eastAsia="zh-CN"/>
    </w:rPr>
  </w:style>
  <w:style w:type="paragraph" w:styleId="704">
    <w:name w:val="Heading 2"/>
    <w:basedOn w:val="702"/>
    <w:next w:val="702"/>
    <w:link w:val="943"/>
    <w:uiPriority w:val="0"/>
    <w:qFormat/>
    <w:pPr>
      <w:numPr>
        <w:ilvl w:val="1"/>
        <w:numId w:val="1"/>
      </w:numPr>
      <w:jc w:val="both"/>
      <w:keepNext/>
      <w:spacing w:after="0" w:line="360" w:lineRule="auto"/>
      <w:widowControl w:val="off"/>
      <w:outlineLvl w:val="1"/>
    </w:pPr>
    <w:rPr>
      <w:rFonts w:ascii="Times New Roman" w:hAnsi="Times New Roman" w:eastAsia="黑体" w:cs="Times New Roman"/>
      <w:b/>
      <w:sz w:val="28"/>
      <w:szCs w:val="20"/>
      <w:lang w:eastAsia="zh-CN"/>
    </w:rPr>
  </w:style>
  <w:style w:type="paragraph" w:styleId="705">
    <w:name w:val="Heading 3"/>
    <w:basedOn w:val="702"/>
    <w:next w:val="702"/>
    <w:link w:val="944"/>
    <w:uiPriority w:val="0"/>
    <w:qFormat/>
    <w:pPr>
      <w:numPr>
        <w:ilvl w:val="2"/>
        <w:numId w:val="1"/>
      </w:numPr>
      <w:ind w:firstLine="200"/>
      <w:jc w:val="both"/>
      <w:spacing w:before="120" w:after="0" w:line="360" w:lineRule="auto"/>
      <w:widowControl w:val="off"/>
      <w:tabs>
        <w:tab w:val="left" w:pos="900" w:leader="none"/>
      </w:tabs>
      <w:outlineLvl w:val="2"/>
    </w:pPr>
    <w:rPr>
      <w:rFonts w:ascii="Times New Roman" w:hAnsi="Times New Roman" w:eastAsia="黑体" w:cs="Times New Roman"/>
      <w:b/>
      <w:sz w:val="28"/>
      <w:szCs w:val="20"/>
      <w:lang w:eastAsia="zh-CN"/>
    </w:rPr>
  </w:style>
  <w:style w:type="paragraph" w:styleId="706">
    <w:name w:val="Heading 4"/>
    <w:basedOn w:val="702"/>
    <w:next w:val="702"/>
    <w:link w:val="945"/>
    <w:uiPriority w:val="0"/>
    <w:qFormat/>
    <w:pPr>
      <w:numPr>
        <w:ilvl w:val="3"/>
        <w:numId w:val="1"/>
      </w:numPr>
      <w:ind w:left="0" w:firstLine="200"/>
      <w:jc w:val="both"/>
      <w:spacing w:before="120" w:after="0" w:line="360" w:lineRule="auto"/>
      <w:widowControl w:val="off"/>
      <w:tabs>
        <w:tab w:val="left" w:pos="360" w:leader="none"/>
        <w:tab w:val="clear" w:pos="2155" w:leader="none"/>
      </w:tabs>
      <w:outlineLvl w:val="3"/>
    </w:pPr>
    <w:rPr>
      <w:rFonts w:ascii="Arial" w:hAnsi="Times New Roman" w:eastAsia="黑体" w:cs="Times New Roman"/>
      <w:sz w:val="28"/>
      <w:szCs w:val="20"/>
      <w:lang w:eastAsia="zh-CN"/>
    </w:rPr>
  </w:style>
  <w:style w:type="paragraph" w:styleId="707">
    <w:name w:val="Heading 5"/>
    <w:basedOn w:val="702"/>
    <w:next w:val="702"/>
    <w:link w:val="946"/>
    <w:uiPriority w:val="0"/>
    <w:semiHidden/>
    <w:unhideWhenUsed/>
    <w:qFormat/>
    <w:pPr>
      <w:ind w:firstLine="922"/>
      <w:jc w:val="both"/>
      <w:keepLines/>
      <w:keepNext/>
      <w:spacing w:before="280" w:after="290" w:line="376" w:lineRule="auto"/>
      <w:widowControl w:val="off"/>
      <w:outlineLvl w:val="4"/>
    </w:pPr>
    <w:rPr>
      <w:rFonts w:ascii="Times New Roman" w:hAnsi="Times New Roman" w:eastAsia="宋体" w:cs="Times New Roman"/>
      <w:b/>
      <w:bCs/>
      <w:sz w:val="28"/>
      <w:szCs w:val="28"/>
      <w:lang w:eastAsia="zh-CN"/>
    </w:rPr>
  </w:style>
  <w:style w:type="paragraph" w:styleId="708">
    <w:name w:val="Heading 6"/>
    <w:basedOn w:val="702"/>
    <w:next w:val="702"/>
    <w:link w:val="947"/>
    <w:uiPriority w:val="0"/>
    <w:semiHidden/>
    <w:unhideWhenUsed/>
    <w:qFormat/>
    <w:pPr>
      <w:ind w:firstLine="922"/>
      <w:jc w:val="both"/>
      <w:keepLines/>
      <w:keepNext/>
      <w:spacing w:before="240" w:after="64" w:line="320" w:lineRule="auto"/>
      <w:widowControl w:val="off"/>
      <w:outlineLvl w:val="5"/>
    </w:pPr>
    <w:rPr>
      <w:rFonts w:ascii="Cambria" w:hAnsi="Cambria" w:eastAsia="宋体" w:cs="Times New Roman"/>
      <w:b/>
      <w:bCs/>
      <w:sz w:val="24"/>
      <w:szCs w:val="24"/>
      <w:lang w:eastAsia="zh-CN"/>
    </w:rPr>
  </w:style>
  <w:style w:type="paragraph" w:styleId="709">
    <w:name w:val="Heading 7"/>
    <w:basedOn w:val="702"/>
    <w:next w:val="702"/>
    <w:link w:val="948"/>
    <w:uiPriority w:val="0"/>
    <w:semiHidden/>
    <w:unhideWhenUsed/>
    <w:qFormat/>
    <w:pPr>
      <w:ind w:firstLine="922"/>
      <w:jc w:val="both"/>
      <w:keepLines/>
      <w:keepNext/>
      <w:spacing w:before="240" w:after="64" w:line="320" w:lineRule="auto"/>
      <w:widowControl w:val="off"/>
      <w:outlineLvl w:val="6"/>
    </w:pPr>
    <w:rPr>
      <w:rFonts w:ascii="Times New Roman" w:hAnsi="Times New Roman" w:eastAsia="宋体" w:cs="Times New Roman"/>
      <w:b/>
      <w:bCs/>
      <w:sz w:val="24"/>
      <w:szCs w:val="24"/>
      <w:lang w:eastAsia="zh-CN"/>
    </w:rPr>
  </w:style>
  <w:style w:type="paragraph" w:styleId="710">
    <w:name w:val="Heading 8"/>
    <w:basedOn w:val="702"/>
    <w:next w:val="702"/>
    <w:link w:val="949"/>
    <w:uiPriority w:val="0"/>
    <w:semiHidden/>
    <w:unhideWhenUsed/>
    <w:qFormat/>
    <w:pPr>
      <w:ind w:firstLine="922"/>
      <w:jc w:val="both"/>
      <w:keepLines/>
      <w:keepNext/>
      <w:spacing w:before="240" w:after="64" w:line="320" w:lineRule="auto"/>
      <w:widowControl w:val="off"/>
      <w:outlineLvl w:val="7"/>
    </w:pPr>
    <w:rPr>
      <w:rFonts w:ascii="Cambria" w:hAnsi="Cambria" w:eastAsia="宋体" w:cs="Times New Roman"/>
      <w:sz w:val="24"/>
      <w:szCs w:val="24"/>
      <w:lang w:eastAsia="zh-CN"/>
    </w:rPr>
  </w:style>
  <w:style w:type="paragraph" w:styleId="711">
    <w:name w:val="Heading 9"/>
    <w:basedOn w:val="702"/>
    <w:next w:val="702"/>
    <w:link w:val="950"/>
    <w:uiPriority w:val="0"/>
    <w:semiHidden/>
    <w:unhideWhenUsed/>
    <w:qFormat/>
    <w:pPr>
      <w:ind w:firstLine="922"/>
      <w:jc w:val="both"/>
      <w:keepLines/>
      <w:keepNext/>
      <w:spacing w:before="240" w:after="64" w:line="320" w:lineRule="auto"/>
      <w:widowControl w:val="off"/>
      <w:outlineLvl w:val="8"/>
    </w:pPr>
    <w:rPr>
      <w:rFonts w:ascii="Cambria" w:hAnsi="Cambria" w:eastAsia="宋体" w:cs="Times New Roman"/>
      <w:sz w:val="21"/>
      <w:szCs w:val="21"/>
      <w:lang w:eastAsia="zh-CN"/>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Normal Indent"/>
    <w:basedOn w:val="702"/>
    <w:uiPriority w:val="0"/>
    <w:qFormat/>
    <w:pPr>
      <w:spacing w:after="0" w:line="240" w:lineRule="auto"/>
      <w:widowControl w:val="off"/>
    </w:pPr>
    <w:rPr>
      <w:rFonts w:ascii="Times New Roman" w:hAnsi="Times New Roman" w:eastAsia="宋体" w:cs="Times New Roman"/>
      <w:spacing w:val="-35"/>
      <w:sz w:val="21"/>
      <w:szCs w:val="24"/>
      <w:lang w:eastAsia="zh-CN"/>
    </w:rPr>
  </w:style>
  <w:style w:type="paragraph" w:styleId="716">
    <w:name w:val="Caption"/>
    <w:basedOn w:val="702"/>
    <w:next w:val="702"/>
    <w:uiPriority w:val="35"/>
    <w:semiHidden/>
    <w:unhideWhenUsed/>
    <w:qFormat/>
    <w:rPr>
      <w:b/>
      <w:bCs/>
      <w:color w:val="5b9bd5" w:themeColor="accent1"/>
      <w:sz w:val="18"/>
      <w:szCs w:val="18"/>
      <w14:textFill>
        <w14:solidFill>
          <w14:schemeClr w14:val="accent1"/>
        </w14:solidFill>
      </w14:textFill>
    </w:rPr>
  </w:style>
  <w:style w:type="paragraph" w:styleId="717">
    <w:name w:val="Document Map"/>
    <w:basedOn w:val="702"/>
    <w:link w:val="951"/>
    <w:uiPriority w:val="99"/>
    <w:semiHidden/>
    <w:unhideWhenUsed/>
    <w:qFormat/>
    <w:pPr>
      <w:jc w:val="both"/>
      <w:spacing w:after="0" w:line="240" w:lineRule="auto"/>
      <w:widowControl w:val="off"/>
    </w:pPr>
    <w:rPr>
      <w:rFonts w:ascii="宋体" w:eastAsia="宋体"/>
      <w:sz w:val="18"/>
      <w:szCs w:val="18"/>
      <w:lang w:eastAsia="zh-CN"/>
    </w:rPr>
  </w:style>
  <w:style w:type="paragraph" w:styleId="718">
    <w:name w:val="annotation text"/>
    <w:basedOn w:val="702"/>
    <w:link w:val="952"/>
    <w:uiPriority w:val="0"/>
    <w:qFormat/>
    <w:pPr>
      <w:ind w:firstLine="922"/>
      <w:spacing w:after="0" w:line="360" w:lineRule="auto"/>
      <w:widowControl w:val="off"/>
    </w:pPr>
    <w:rPr>
      <w:rFonts w:ascii="Times New Roman" w:hAnsi="Times New Roman" w:eastAsia="宋体" w:cs="Times New Roman"/>
      <w:sz w:val="21"/>
      <w:szCs w:val="24"/>
      <w:lang w:eastAsia="zh-CN"/>
    </w:rPr>
  </w:style>
  <w:style w:type="paragraph" w:styleId="719">
    <w:name w:val="Body Text 3"/>
    <w:basedOn w:val="702"/>
    <w:link w:val="953"/>
    <w:uiPriority w:val="0"/>
    <w:qFormat/>
    <w:pPr>
      <w:jc w:val="both"/>
      <w:spacing w:after="120" w:line="240" w:lineRule="auto"/>
      <w:widowControl w:val="off"/>
    </w:pPr>
    <w:rPr>
      <w:rFonts w:ascii="Times New Roman" w:hAnsi="Times New Roman" w:eastAsia="宋体" w:cs="Times New Roman"/>
      <w:sz w:val="16"/>
      <w:szCs w:val="16"/>
      <w:lang w:eastAsia="zh-CN"/>
    </w:rPr>
  </w:style>
  <w:style w:type="paragraph" w:styleId="720">
    <w:name w:val="Body Text"/>
    <w:basedOn w:val="702"/>
    <w:next w:val="721"/>
    <w:uiPriority w:val="0"/>
    <w:qFormat/>
    <w:pPr>
      <w:spacing w:after="120"/>
    </w:pPr>
  </w:style>
  <w:style w:type="paragraph" w:styleId="721" w:customStyle="1">
    <w:name w:val="一级条标题"/>
    <w:basedOn w:val="722"/>
    <w:next w:val="7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2" w:customStyle="1">
    <w:name w:val="章标题"/>
    <w:next w:val="72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23" w:customStyle="1">
    <w:name w:val="正文1"/>
    <w:basedOn w:val="724"/>
    <w:next w:val="726"/>
    <w:uiPriority w:val="0"/>
    <w:qFormat/>
  </w:style>
  <w:style w:type="paragraph" w:styleId="724" w:customStyle="1">
    <w:name w:val="正文111"/>
    <w:next w:val="725"/>
    <w:uiPriority w:val="0"/>
    <w:qFormat/>
    <w:pPr>
      <w:jc w:val="both"/>
      <w:widowControl w:val="off"/>
    </w:pPr>
    <w:rPr>
      <w:rFonts w:ascii="Times New Roman" w:hAnsi="Times New Roman" w:eastAsia="宋体" w:cs="Times New Roman"/>
      <w:sz w:val="21"/>
      <w:szCs w:val="24"/>
      <w:lang w:val="en-US" w:eastAsia="zh-CN" w:bidi="ar-SA"/>
    </w:rPr>
  </w:style>
  <w:style w:type="paragraph" w:styleId="725" w:customStyle="1">
    <w:name w:val="正文文本缩进11"/>
    <w:basedOn w:val="724"/>
    <w:uiPriority w:val="0"/>
    <w:qFormat/>
    <w:pPr>
      <w:ind w:firstLine="425"/>
      <w:spacing w:line="360" w:lineRule="auto"/>
    </w:pPr>
  </w:style>
  <w:style w:type="paragraph" w:styleId="726" w:customStyle="1">
    <w:name w:val="索引 41"/>
    <w:basedOn w:val="723"/>
    <w:next w:val="723"/>
    <w:uiPriority w:val="0"/>
    <w:qFormat/>
    <w:pPr>
      <w:ind w:left="600"/>
    </w:pPr>
    <w:rPr>
      <w:rFonts w:ascii="Calibri" w:hAnsi="Calibri"/>
      <w:sz w:val="22"/>
      <w:szCs w:val="22"/>
    </w:rPr>
  </w:style>
  <w:style w:type="paragraph" w:styleId="727" w:customStyle="1">
    <w:name w:val="段"/>
    <w:basedOn w:val="728"/>
    <w:next w:val="723"/>
    <w:uiPriority w:val="0"/>
    <w:qFormat/>
    <w:pPr>
      <w:ind w:firstLine="200"/>
    </w:pPr>
    <w:rPr>
      <w:rFonts w:hint="eastAsia" w:ascii="宋体"/>
    </w:rPr>
  </w:style>
  <w:style w:type="paragraph" w:styleId="728" w:customStyle="1">
    <w:name w:val="正文11"/>
    <w:next w:val="729"/>
    <w:uiPriority w:val="0"/>
    <w:qFormat/>
    <w:pPr>
      <w:jc w:val="both"/>
    </w:pPr>
    <w:rPr>
      <w:rFonts w:ascii="Times New Roman" w:hAnsi="Times New Roman" w:eastAsia="宋体" w:cs="Times New Roman"/>
      <w:lang w:val="en-US" w:eastAsia="zh-CN" w:bidi="ar-SA"/>
    </w:rPr>
  </w:style>
  <w:style w:type="paragraph" w:styleId="729" w:customStyle="1">
    <w:name w:val="标题 211"/>
    <w:basedOn w:val="702"/>
    <w:next w:val="728"/>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730">
    <w:name w:val="Body Text Indent"/>
    <w:basedOn w:val="702"/>
    <w:link w:val="954"/>
    <w:uiPriority w:val="0"/>
    <w:qFormat/>
    <w:pPr>
      <w:ind w:firstLine="640"/>
      <w:jc w:val="both"/>
      <w:spacing w:after="0" w:line="500" w:lineRule="exact"/>
      <w:widowControl w:val="off"/>
      <w:tabs>
        <w:tab w:val="left" w:pos="675" w:leader="none"/>
      </w:tabs>
    </w:pPr>
    <w:rPr>
      <w:rFonts w:ascii="仿宋_GB2312" w:hAnsi="Times New Roman" w:eastAsia="仿宋_GB2312" w:cs="Times New Roman"/>
      <w:sz w:val="32"/>
      <w:szCs w:val="24"/>
      <w:lang w:eastAsia="zh-CN"/>
    </w:rPr>
  </w:style>
  <w:style w:type="paragraph" w:styleId="731">
    <w:name w:val="List 2"/>
    <w:basedOn w:val="702"/>
    <w:uiPriority w:val="0"/>
    <w:qFormat/>
    <w:pPr>
      <w:ind w:left="840" w:hanging="420"/>
      <w:jc w:val="both"/>
      <w:spacing w:after="0" w:line="240" w:lineRule="auto"/>
      <w:widowControl w:val="off"/>
    </w:pPr>
    <w:rPr>
      <w:rFonts w:ascii="隶书" w:hAnsi="Times New Roman" w:eastAsia="仿宋_GB2312" w:cs="Times New Roman"/>
      <w:color w:val="000000"/>
      <w:sz w:val="32"/>
      <w:szCs w:val="20"/>
      <w:lang w:eastAsia="zh-CN"/>
    </w:rPr>
  </w:style>
  <w:style w:type="paragraph" w:styleId="732">
    <w:name w:val="Block Text"/>
    <w:basedOn w:val="702"/>
    <w:uiPriority w:val="6"/>
    <w:qFormat/>
    <w:pPr>
      <w:ind w:left="420" w:right="33"/>
    </w:pPr>
    <w:rPr>
      <w:sz w:val="24"/>
      <w:szCs w:val="20"/>
    </w:rPr>
  </w:style>
  <w:style w:type="paragraph" w:styleId="733">
    <w:name w:val="toc 5"/>
    <w:basedOn w:val="702"/>
    <w:next w:val="702"/>
    <w:uiPriority w:val="39"/>
    <w:unhideWhenUsed/>
    <w:qFormat/>
    <w:pPr>
      <w:ind w:left="1134"/>
      <w:spacing w:after="57"/>
    </w:pPr>
  </w:style>
  <w:style w:type="paragraph" w:styleId="734">
    <w:name w:val="toc 3"/>
    <w:basedOn w:val="702"/>
    <w:next w:val="702"/>
    <w:uiPriority w:val="39"/>
    <w:unhideWhenUsed/>
    <w:qFormat/>
    <w:pPr>
      <w:ind w:left="567"/>
      <w:spacing w:after="57"/>
    </w:pPr>
  </w:style>
  <w:style w:type="paragraph" w:styleId="735">
    <w:name w:val="Plain Text"/>
    <w:basedOn w:val="702"/>
    <w:link w:val="955"/>
    <w:uiPriority w:val="0"/>
    <w:qFormat/>
    <w:pPr>
      <w:ind w:firstLine="922"/>
      <w:jc w:val="both"/>
      <w:spacing w:after="0" w:line="360" w:lineRule="auto"/>
      <w:widowControl w:val="off"/>
    </w:pPr>
    <w:rPr>
      <w:rFonts w:ascii="宋体" w:hAnsi="Courier New" w:eastAsia="宋体"/>
      <w:sz w:val="21"/>
      <w:lang w:eastAsia="zh-CN"/>
    </w:rPr>
  </w:style>
  <w:style w:type="paragraph" w:styleId="736">
    <w:name w:val="toc 8"/>
    <w:basedOn w:val="702"/>
    <w:next w:val="702"/>
    <w:uiPriority w:val="39"/>
    <w:unhideWhenUsed/>
    <w:qFormat/>
    <w:pPr>
      <w:ind w:left="1984"/>
      <w:spacing w:after="57"/>
    </w:pPr>
  </w:style>
  <w:style w:type="paragraph" w:styleId="737">
    <w:name w:val="Date"/>
    <w:basedOn w:val="702"/>
    <w:next w:val="702"/>
    <w:link w:val="941"/>
    <w:uiPriority w:val="0"/>
    <w:unhideWhenUsed/>
    <w:qFormat/>
    <w:pPr>
      <w:ind w:left="100"/>
    </w:pPr>
  </w:style>
  <w:style w:type="paragraph" w:styleId="738">
    <w:name w:val="Body Text Indent 2"/>
    <w:basedOn w:val="702"/>
    <w:link w:val="956"/>
    <w:uiPriority w:val="0"/>
    <w:qFormat/>
    <w:pPr>
      <w:ind w:firstLine="645"/>
      <w:jc w:val="both"/>
      <w:spacing w:after="0" w:line="440" w:lineRule="exact"/>
      <w:widowControl w:val="off"/>
    </w:pPr>
    <w:rPr>
      <w:rFonts w:ascii="Times New Roman" w:hAnsi="Times New Roman" w:eastAsia="仿宋_GB2312" w:cs="Times New Roman"/>
      <w:sz w:val="32"/>
      <w:szCs w:val="24"/>
      <w:lang w:eastAsia="zh-CN"/>
    </w:rPr>
  </w:style>
  <w:style w:type="paragraph" w:styleId="739">
    <w:name w:val="endnote text"/>
    <w:basedOn w:val="702"/>
    <w:link w:val="930"/>
    <w:uiPriority w:val="99"/>
    <w:semiHidden/>
    <w:unhideWhenUsed/>
    <w:qFormat/>
    <w:pPr>
      <w:spacing w:after="0" w:line="240" w:lineRule="auto"/>
    </w:pPr>
    <w:rPr>
      <w:sz w:val="20"/>
    </w:rPr>
  </w:style>
  <w:style w:type="paragraph" w:styleId="740">
    <w:name w:val="Balloon Text"/>
    <w:basedOn w:val="702"/>
    <w:link w:val="957"/>
    <w:uiPriority w:val="0"/>
    <w:semiHidden/>
    <w:qFormat/>
    <w:pPr>
      <w:ind w:firstLine="922"/>
      <w:jc w:val="both"/>
      <w:spacing w:after="0" w:line="240" w:lineRule="auto"/>
      <w:widowControl w:val="off"/>
    </w:pPr>
    <w:rPr>
      <w:rFonts w:ascii="Times New Roman" w:hAnsi="Times New Roman" w:eastAsia="宋体" w:cs="Times New Roman"/>
      <w:sz w:val="18"/>
      <w:szCs w:val="18"/>
      <w:lang w:eastAsia="zh-CN"/>
    </w:rPr>
  </w:style>
  <w:style w:type="paragraph" w:styleId="741">
    <w:name w:val="Footer"/>
    <w:basedOn w:val="702"/>
    <w:link w:val="940"/>
    <w:uiPriority w:val="0"/>
    <w:unhideWhenUsed/>
    <w:qFormat/>
    <w:pPr>
      <w:spacing w:line="240" w:lineRule="auto"/>
      <w:tabs>
        <w:tab w:val="center" w:pos="4153" w:leader="none"/>
        <w:tab w:val="right" w:pos="8306" w:leader="none"/>
      </w:tabs>
    </w:pPr>
    <w:rPr>
      <w:sz w:val="18"/>
      <w:szCs w:val="18"/>
    </w:rPr>
  </w:style>
  <w:style w:type="paragraph" w:styleId="742">
    <w:name w:val="Header"/>
    <w:basedOn w:val="702"/>
    <w:link w:val="939"/>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43">
    <w:name w:val="toc 1"/>
    <w:basedOn w:val="702"/>
    <w:next w:val="702"/>
    <w:uiPriority w:val="39"/>
    <w:unhideWhenUsed/>
    <w:qFormat/>
    <w:pPr>
      <w:spacing w:after="57"/>
    </w:pPr>
  </w:style>
  <w:style w:type="paragraph" w:styleId="744">
    <w:name w:val="toc 4"/>
    <w:basedOn w:val="702"/>
    <w:next w:val="702"/>
    <w:uiPriority w:val="39"/>
    <w:unhideWhenUsed/>
    <w:qFormat/>
    <w:pPr>
      <w:ind w:left="850"/>
      <w:spacing w:after="57"/>
    </w:pPr>
  </w:style>
  <w:style w:type="paragraph" w:styleId="745">
    <w:name w:val="Subtitle"/>
    <w:basedOn w:val="702"/>
    <w:next w:val="702"/>
    <w:link w:val="815"/>
    <w:uiPriority w:val="0"/>
    <w:qFormat/>
    <w:pPr>
      <w:spacing w:before="200"/>
    </w:pPr>
    <w:rPr>
      <w:sz w:val="24"/>
      <w:szCs w:val="24"/>
    </w:rPr>
  </w:style>
  <w:style w:type="paragraph" w:styleId="746">
    <w:name w:val="footnote text"/>
    <w:basedOn w:val="702"/>
    <w:link w:val="929"/>
    <w:uiPriority w:val="99"/>
    <w:semiHidden/>
    <w:unhideWhenUsed/>
    <w:qFormat/>
    <w:pPr>
      <w:spacing w:after="40" w:line="240" w:lineRule="auto"/>
    </w:pPr>
    <w:rPr>
      <w:sz w:val="18"/>
    </w:rPr>
  </w:style>
  <w:style w:type="paragraph" w:styleId="747">
    <w:name w:val="toc 6"/>
    <w:basedOn w:val="702"/>
    <w:next w:val="702"/>
    <w:uiPriority w:val="39"/>
    <w:unhideWhenUsed/>
    <w:qFormat/>
    <w:pPr>
      <w:ind w:left="1417"/>
      <w:spacing w:after="57"/>
    </w:pPr>
  </w:style>
  <w:style w:type="paragraph" w:styleId="748">
    <w:name w:val="Body Text Indent 3"/>
    <w:basedOn w:val="702"/>
    <w:link w:val="958"/>
    <w:uiPriority w:val="0"/>
    <w:qFormat/>
    <w:pPr>
      <w:ind w:firstLine="800"/>
      <w:jc w:val="both"/>
      <w:spacing w:after="0" w:line="360" w:lineRule="auto"/>
      <w:widowControl w:val="off"/>
    </w:pPr>
    <w:rPr>
      <w:rFonts w:ascii="仿宋_GB2312" w:hAnsi="华文中宋" w:eastAsia="仿宋_GB2312" w:cs="Times New Roman"/>
      <w:sz w:val="32"/>
      <w:szCs w:val="32"/>
      <w:lang w:eastAsia="zh-CN"/>
    </w:rPr>
  </w:style>
  <w:style w:type="paragraph" w:styleId="749">
    <w:name w:val="table of figures"/>
    <w:basedOn w:val="702"/>
    <w:next w:val="702"/>
    <w:uiPriority w:val="99"/>
    <w:unhideWhenUsed/>
    <w:qFormat/>
    <w:pPr>
      <w:spacing w:after="0"/>
    </w:pPr>
  </w:style>
  <w:style w:type="paragraph" w:styleId="750">
    <w:name w:val="toc 2"/>
    <w:basedOn w:val="702"/>
    <w:next w:val="702"/>
    <w:uiPriority w:val="39"/>
    <w:unhideWhenUsed/>
    <w:qFormat/>
    <w:pPr>
      <w:ind w:left="283"/>
      <w:spacing w:after="57"/>
    </w:pPr>
  </w:style>
  <w:style w:type="paragraph" w:styleId="751">
    <w:name w:val="toc 9"/>
    <w:basedOn w:val="702"/>
    <w:next w:val="702"/>
    <w:uiPriority w:val="39"/>
    <w:unhideWhenUsed/>
    <w:qFormat/>
    <w:pPr>
      <w:ind w:left="2268"/>
      <w:spacing w:after="57"/>
    </w:pPr>
  </w:style>
  <w:style w:type="paragraph" w:styleId="752">
    <w:name w:val="Body Text 2"/>
    <w:basedOn w:val="702"/>
    <w:link w:val="959"/>
    <w:uiPriority w:val="0"/>
    <w:qFormat/>
    <w:pPr>
      <w:jc w:val="center"/>
      <w:spacing w:after="0" w:line="240" w:lineRule="auto"/>
      <w:widowControl w:val="off"/>
    </w:pPr>
    <w:rPr>
      <w:rFonts w:ascii="Times New Roman" w:hAnsi="Times New Roman" w:eastAsia="宋体" w:cs="Times New Roman"/>
      <w:sz w:val="21"/>
      <w:szCs w:val="24"/>
      <w:lang w:eastAsia="zh-CN"/>
    </w:rPr>
  </w:style>
  <w:style w:type="paragraph" w:styleId="753">
    <w:name w:val="HTML Preformatted"/>
    <w:basedOn w:val="702"/>
    <w:link w:val="960"/>
    <w:uiPriority w:val="0"/>
    <w:qFormat/>
    <w:pPr>
      <w:ind w:firstLine="922"/>
      <w:spacing w:after="0"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eastAsia="zh-CN"/>
    </w:rPr>
  </w:style>
  <w:style w:type="paragraph" w:styleId="754">
    <w:name w:val="Normal (Web)"/>
    <w:basedOn w:val="702"/>
    <w:uiPriority w:val="99"/>
    <w:qFormat/>
    <w:pPr>
      <w:ind w:firstLine="480"/>
      <w:spacing w:before="100" w:beforeAutospacing="1" w:after="100" w:afterAutospacing="1" w:line="240" w:lineRule="auto"/>
    </w:pPr>
    <w:rPr>
      <w:rFonts w:ascii="宋体" w:hAnsi="宋体" w:eastAsia="宋体" w:cs="Times New Roman"/>
      <w:sz w:val="24"/>
      <w:szCs w:val="24"/>
      <w:lang w:eastAsia="zh-CN"/>
    </w:rPr>
  </w:style>
  <w:style w:type="paragraph" w:styleId="755">
    <w:name w:val="index 1"/>
    <w:basedOn w:val="702"/>
    <w:next w:val="702"/>
    <w:uiPriority w:val="0"/>
    <w:qFormat/>
    <w:pPr>
      <w:ind w:firstLine="200"/>
      <w:jc w:val="both"/>
      <w:spacing w:after="0" w:line="360" w:lineRule="auto"/>
      <w:widowControl w:val="off"/>
    </w:pPr>
    <w:rPr>
      <w:rFonts w:ascii="Times New Roman" w:hAnsi="Times New Roman" w:eastAsia="宋体" w:cs="Times New Roman"/>
      <w:sz w:val="21"/>
      <w:szCs w:val="24"/>
      <w:lang w:eastAsia="zh-CN"/>
    </w:rPr>
  </w:style>
  <w:style w:type="paragraph" w:styleId="756">
    <w:name w:val="Title"/>
    <w:basedOn w:val="702"/>
    <w:next w:val="702"/>
    <w:link w:val="814"/>
    <w:uiPriority w:val="10"/>
    <w:qFormat/>
    <w:pPr>
      <w:contextualSpacing/>
      <w:spacing w:before="300"/>
    </w:pPr>
    <w:rPr>
      <w:sz w:val="48"/>
      <w:szCs w:val="48"/>
    </w:rPr>
  </w:style>
  <w:style w:type="paragraph" w:styleId="757">
    <w:name w:val="annotation subject"/>
    <w:basedOn w:val="718"/>
    <w:next w:val="718"/>
    <w:link w:val="973"/>
    <w:uiPriority w:val="99"/>
    <w:semiHidden/>
    <w:unhideWhenUsed/>
    <w:qFormat/>
    <w:pPr>
      <w:ind w:firstLine="0"/>
      <w:spacing w:after="200" w:line="276" w:lineRule="auto"/>
      <w:widowControl/>
    </w:pPr>
    <w:rPr>
      <w:rFonts w:ascii="Arial" w:hAnsi="Arial" w:eastAsia="Arial" w:cs="Arial"/>
      <w:i/>
      <w:iCs/>
    </w:rPr>
  </w:style>
  <w:style w:type="paragraph" w:styleId="758">
    <w:name w:val="Body Text First Indent 2"/>
    <w:basedOn w:val="730"/>
    <w:uiPriority w:val="99"/>
    <w:unhideWhenUsed/>
    <w:qFormat/>
    <w:pPr>
      <w:ind w:left="420" w:firstLine="420"/>
    </w:pPr>
  </w:style>
  <w:style w:type="table" w:styleId="759">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endnote reference"/>
    <w:uiPriority w:val="99"/>
    <w:semiHidden/>
    <w:unhideWhenUsed/>
    <w:qFormat/>
    <w:rPr>
      <w:vertAlign w:val="superscript"/>
    </w:rPr>
  </w:style>
  <w:style w:type="character" w:styleId="762">
    <w:name w:val="page number"/>
    <w:uiPriority w:val="0"/>
    <w:qFormat/>
  </w:style>
  <w:style w:type="character" w:styleId="763">
    <w:name w:val="FollowedHyperlink"/>
    <w:uiPriority w:val="0"/>
    <w:unhideWhenUsed/>
    <w:qFormat/>
    <w:rPr>
      <w:color w:val="800080"/>
      <w:u w:val="single"/>
    </w:rPr>
  </w:style>
  <w:style w:type="character" w:styleId="764">
    <w:name w:val="Hyperlink"/>
    <w:uiPriority w:val="99"/>
    <w:unhideWhenUsed/>
    <w:qFormat/>
    <w:rPr>
      <w:color w:val="0563c1" w:themeColor="hyperlink"/>
      <w:u w:val="single"/>
      <w14:textFill>
        <w14:solidFill>
          <w14:schemeClr w14:val="hlink"/>
        </w14:solidFill>
      </w14:textFill>
    </w:rPr>
  </w:style>
  <w:style w:type="character" w:styleId="765">
    <w:name w:val="annotation reference"/>
    <w:uiPriority w:val="0"/>
    <w:qFormat/>
    <w:rPr>
      <w:sz w:val="21"/>
      <w:szCs w:val="21"/>
    </w:rPr>
  </w:style>
  <w:style w:type="character" w:styleId="766">
    <w:name w:val="footnote reference"/>
    <w:uiPriority w:val="99"/>
    <w:unhideWhenUsed/>
    <w:qFormat/>
    <w:rPr>
      <w:vertAlign w:val="superscript"/>
    </w:rPr>
  </w:style>
  <w:style w:type="character" w:styleId="767" w:customStyle="1">
    <w:name w:val="Title Char"/>
    <w:basedOn w:val="712"/>
    <w:uiPriority w:val="10"/>
    <w:qFormat/>
    <w:rPr>
      <w:sz w:val="48"/>
      <w:szCs w:val="48"/>
    </w:rPr>
  </w:style>
  <w:style w:type="character" w:styleId="768" w:customStyle="1">
    <w:name w:val="Subtitle Char"/>
    <w:basedOn w:val="712"/>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table" w:styleId="771"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7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清单表 7 彩色1"/>
    <w:basedOn w:val="7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rPr>
      <w:rFonts w:asciiTheme="minorHAnsi" w:hAnsiTheme="minorHAnsi" w:eastAsiaTheme="minorEastAsia" w:cstheme="minorBidi"/>
      <w:lang w:val="en-US" w:eastAsia="zh-CN" w:bidi="ar-SA"/>
    </w:rPr>
  </w:style>
  <w:style w:type="paragraph" w:styleId="793" w:customStyle="1">
    <w:name w:val="标题 11"/>
    <w:basedOn w:val="702"/>
    <w:next w:val="702"/>
    <w:link w:val="942"/>
    <w:uiPriority w:val="9"/>
    <w:qFormat/>
    <w:pPr>
      <w:keepLines/>
      <w:keepNext/>
      <w:spacing w:before="480"/>
      <w:outlineLvl w:val="0"/>
    </w:pPr>
    <w:rPr>
      <w:rFonts w:ascii="Arial" w:hAnsi="Arial" w:eastAsia="Arial" w:cs="Arial"/>
      <w:sz w:val="40"/>
      <w:szCs w:val="40"/>
    </w:rPr>
  </w:style>
  <w:style w:type="paragraph" w:styleId="794" w:customStyle="1">
    <w:name w:val="标题 21"/>
    <w:basedOn w:val="702"/>
    <w:next w:val="702"/>
    <w:link w:val="806"/>
    <w:uiPriority w:val="9"/>
    <w:unhideWhenUsed/>
    <w:qFormat/>
    <w:pPr>
      <w:keepLines/>
      <w:keepNext/>
      <w:spacing w:before="360"/>
      <w:outlineLvl w:val="1"/>
    </w:pPr>
    <w:rPr>
      <w:rFonts w:ascii="Arial" w:hAnsi="Arial" w:eastAsia="Arial" w:cs="Arial"/>
      <w:sz w:val="34"/>
    </w:rPr>
  </w:style>
  <w:style w:type="paragraph" w:styleId="795" w:customStyle="1">
    <w:name w:val="标题 31"/>
    <w:basedOn w:val="702"/>
    <w:next w:val="702"/>
    <w:link w:val="807"/>
    <w:uiPriority w:val="9"/>
    <w:unhideWhenUsed/>
    <w:qFormat/>
    <w:pPr>
      <w:keepLines/>
      <w:keepNext/>
      <w:spacing w:before="320"/>
      <w:outlineLvl w:val="2"/>
    </w:pPr>
    <w:rPr>
      <w:rFonts w:ascii="Arial" w:hAnsi="Arial" w:eastAsia="Arial" w:cs="Arial"/>
      <w:sz w:val="30"/>
      <w:szCs w:val="30"/>
    </w:rPr>
  </w:style>
  <w:style w:type="paragraph" w:styleId="796" w:customStyle="1">
    <w:name w:val="标题 41"/>
    <w:basedOn w:val="702"/>
    <w:next w:val="702"/>
    <w:link w:val="808"/>
    <w:uiPriority w:val="9"/>
    <w:unhideWhenUsed/>
    <w:qFormat/>
    <w:pPr>
      <w:keepLines/>
      <w:keepNext/>
      <w:spacing w:before="320"/>
      <w:outlineLvl w:val="3"/>
    </w:pPr>
    <w:rPr>
      <w:rFonts w:ascii="Arial" w:hAnsi="Arial" w:eastAsia="Arial" w:cs="Arial"/>
      <w:b/>
      <w:bCs/>
      <w:sz w:val="26"/>
      <w:szCs w:val="26"/>
    </w:rPr>
  </w:style>
  <w:style w:type="paragraph" w:styleId="797" w:customStyle="1">
    <w:name w:val="标题 51"/>
    <w:basedOn w:val="702"/>
    <w:next w:val="702"/>
    <w:link w:val="809"/>
    <w:uiPriority w:val="9"/>
    <w:unhideWhenUsed/>
    <w:qFormat/>
    <w:pPr>
      <w:keepLines/>
      <w:keepNext/>
      <w:spacing w:before="320"/>
      <w:outlineLvl w:val="4"/>
    </w:pPr>
    <w:rPr>
      <w:rFonts w:ascii="Arial" w:hAnsi="Arial" w:eastAsia="Arial" w:cs="Arial"/>
      <w:b/>
      <w:bCs/>
      <w:sz w:val="24"/>
      <w:szCs w:val="24"/>
    </w:rPr>
  </w:style>
  <w:style w:type="paragraph" w:styleId="798" w:customStyle="1">
    <w:name w:val="标题 61"/>
    <w:basedOn w:val="702"/>
    <w:next w:val="702"/>
    <w:link w:val="810"/>
    <w:uiPriority w:val="9"/>
    <w:unhideWhenUsed/>
    <w:qFormat/>
    <w:pPr>
      <w:keepLines/>
      <w:keepNext/>
      <w:spacing w:before="320"/>
      <w:outlineLvl w:val="5"/>
    </w:pPr>
    <w:rPr>
      <w:rFonts w:ascii="Arial" w:hAnsi="Arial" w:eastAsia="Arial" w:cs="Arial"/>
      <w:b/>
      <w:bCs/>
    </w:rPr>
  </w:style>
  <w:style w:type="paragraph" w:styleId="799" w:customStyle="1">
    <w:name w:val="标题 71"/>
    <w:basedOn w:val="702"/>
    <w:next w:val="702"/>
    <w:link w:val="811"/>
    <w:uiPriority w:val="9"/>
    <w:unhideWhenUsed/>
    <w:qFormat/>
    <w:pPr>
      <w:keepLines/>
      <w:keepNext/>
      <w:spacing w:before="320"/>
      <w:outlineLvl w:val="6"/>
    </w:pPr>
    <w:rPr>
      <w:rFonts w:ascii="Arial" w:hAnsi="Arial" w:eastAsia="Arial" w:cs="Arial"/>
      <w:b/>
      <w:bCs/>
      <w:i/>
      <w:iCs/>
    </w:rPr>
  </w:style>
  <w:style w:type="paragraph" w:styleId="800" w:customStyle="1">
    <w:name w:val="标题 81"/>
    <w:basedOn w:val="702"/>
    <w:next w:val="702"/>
    <w:link w:val="812"/>
    <w:uiPriority w:val="9"/>
    <w:unhideWhenUsed/>
    <w:qFormat/>
    <w:pPr>
      <w:keepLines/>
      <w:keepNext/>
      <w:spacing w:before="320"/>
      <w:outlineLvl w:val="7"/>
    </w:pPr>
    <w:rPr>
      <w:rFonts w:ascii="Arial" w:hAnsi="Arial" w:eastAsia="Arial" w:cs="Arial"/>
      <w:i/>
      <w:iCs/>
    </w:rPr>
  </w:style>
  <w:style w:type="paragraph" w:styleId="801" w:customStyle="1">
    <w:name w:val="标题 91"/>
    <w:basedOn w:val="702"/>
    <w:next w:val="702"/>
    <w:link w:val="813"/>
    <w:uiPriority w:val="9"/>
    <w:unhideWhenUsed/>
    <w:qFormat/>
    <w:pPr>
      <w:keepLines/>
      <w:keepNext/>
      <w:spacing w:before="320"/>
      <w:outlineLvl w:val="8"/>
    </w:pPr>
    <w:rPr>
      <w:rFonts w:ascii="Arial" w:hAnsi="Arial" w:eastAsia="Arial" w:cs="Arial"/>
      <w:i/>
      <w:iCs/>
      <w:sz w:val="21"/>
      <w:szCs w:val="21"/>
    </w:rPr>
  </w:style>
  <w:style w:type="paragraph" w:styleId="802" w:customStyle="1">
    <w:name w:val="题注1"/>
    <w:basedOn w:val="702"/>
    <w:next w:val="702"/>
    <w:uiPriority w:val="35"/>
    <w:semiHidden/>
    <w:unhideWhenUsed/>
    <w:qFormat/>
    <w:rPr>
      <w:b/>
      <w:bCs/>
      <w:color w:val="5b9bd5" w:themeColor="accent1"/>
      <w:sz w:val="18"/>
      <w:szCs w:val="18"/>
      <w14:textFill>
        <w14:solidFill>
          <w14:schemeClr w14:val="accent1"/>
        </w14:solidFill>
      </w14:textFill>
    </w:rPr>
  </w:style>
  <w:style w:type="paragraph" w:styleId="803" w:customStyle="1">
    <w:name w:val="页脚1"/>
    <w:basedOn w:val="702"/>
    <w:link w:val="822"/>
    <w:uiPriority w:val="99"/>
    <w:unhideWhenUsed/>
    <w:qFormat/>
    <w:pPr>
      <w:spacing w:after="0" w:line="240" w:lineRule="auto"/>
      <w:tabs>
        <w:tab w:val="center" w:pos="7143" w:leader="none"/>
        <w:tab w:val="right" w:pos="14287" w:leader="none"/>
      </w:tabs>
    </w:pPr>
  </w:style>
  <w:style w:type="paragraph" w:styleId="804" w:customStyle="1">
    <w:name w:val="页眉1"/>
    <w:basedOn w:val="702"/>
    <w:link w:val="820"/>
    <w:uiPriority w:val="99"/>
    <w:unhideWhenUsed/>
    <w:qFormat/>
    <w:pPr>
      <w:spacing w:after="0" w:line="240" w:lineRule="auto"/>
      <w:tabs>
        <w:tab w:val="center" w:pos="7143" w:leader="none"/>
        <w:tab w:val="right" w:pos="14287" w:leader="none"/>
      </w:tabs>
    </w:pPr>
  </w:style>
  <w:style w:type="character" w:styleId="805" w:customStyle="1">
    <w:name w:val="Heading 1 Char"/>
    <w:uiPriority w:val="9"/>
    <w:qFormat/>
    <w:rPr>
      <w:rFonts w:ascii="Arial" w:hAnsi="Arial" w:eastAsia="Arial" w:cs="Arial"/>
      <w:sz w:val="40"/>
      <w:szCs w:val="40"/>
    </w:rPr>
  </w:style>
  <w:style w:type="character" w:styleId="806" w:customStyle="1">
    <w:name w:val="Heading 2 Char"/>
    <w:link w:val="794"/>
    <w:uiPriority w:val="9"/>
    <w:qFormat/>
    <w:rPr>
      <w:rFonts w:ascii="Arial" w:hAnsi="Arial" w:eastAsia="Arial" w:cs="Arial"/>
      <w:sz w:val="34"/>
    </w:rPr>
  </w:style>
  <w:style w:type="character" w:styleId="807" w:customStyle="1">
    <w:name w:val="Heading 3 Char"/>
    <w:link w:val="795"/>
    <w:uiPriority w:val="9"/>
    <w:qFormat/>
    <w:rPr>
      <w:rFonts w:ascii="Arial" w:hAnsi="Arial" w:eastAsia="Arial" w:cs="Arial"/>
      <w:sz w:val="30"/>
      <w:szCs w:val="30"/>
    </w:rPr>
  </w:style>
  <w:style w:type="character" w:styleId="808" w:customStyle="1">
    <w:name w:val="Heading 4 Char"/>
    <w:link w:val="796"/>
    <w:uiPriority w:val="9"/>
    <w:qFormat/>
    <w:rPr>
      <w:rFonts w:ascii="Arial" w:hAnsi="Arial" w:eastAsia="Arial" w:cs="Arial"/>
      <w:b/>
      <w:bCs/>
      <w:sz w:val="26"/>
      <w:szCs w:val="26"/>
    </w:rPr>
  </w:style>
  <w:style w:type="character" w:styleId="809" w:customStyle="1">
    <w:name w:val="Heading 5 Char"/>
    <w:link w:val="797"/>
    <w:uiPriority w:val="9"/>
    <w:qFormat/>
    <w:rPr>
      <w:rFonts w:ascii="Arial" w:hAnsi="Arial" w:eastAsia="Arial" w:cs="Arial"/>
      <w:b/>
      <w:bCs/>
      <w:sz w:val="24"/>
      <w:szCs w:val="24"/>
    </w:rPr>
  </w:style>
  <w:style w:type="character" w:styleId="810" w:customStyle="1">
    <w:name w:val="Heading 6 Char"/>
    <w:link w:val="798"/>
    <w:uiPriority w:val="9"/>
    <w:qFormat/>
    <w:rPr>
      <w:rFonts w:ascii="Arial" w:hAnsi="Arial" w:eastAsia="Arial" w:cs="Arial"/>
      <w:b/>
      <w:bCs/>
      <w:sz w:val="22"/>
      <w:szCs w:val="22"/>
    </w:rPr>
  </w:style>
  <w:style w:type="character" w:styleId="811" w:customStyle="1">
    <w:name w:val="Heading 7 Char"/>
    <w:link w:val="799"/>
    <w:uiPriority w:val="9"/>
    <w:qFormat/>
    <w:rPr>
      <w:rFonts w:ascii="Arial" w:hAnsi="Arial" w:eastAsia="Arial" w:cs="Arial"/>
      <w:b/>
      <w:bCs/>
      <w:i/>
      <w:iCs/>
      <w:sz w:val="22"/>
      <w:szCs w:val="22"/>
    </w:rPr>
  </w:style>
  <w:style w:type="character" w:styleId="812" w:customStyle="1">
    <w:name w:val="Heading 8 Char"/>
    <w:link w:val="800"/>
    <w:uiPriority w:val="9"/>
    <w:qFormat/>
    <w:rPr>
      <w:rFonts w:ascii="Arial" w:hAnsi="Arial" w:eastAsia="Arial" w:cs="Arial"/>
      <w:i/>
      <w:iCs/>
      <w:sz w:val="22"/>
      <w:szCs w:val="22"/>
    </w:rPr>
  </w:style>
  <w:style w:type="character" w:styleId="813" w:customStyle="1">
    <w:name w:val="Heading 9 Char"/>
    <w:link w:val="801"/>
    <w:uiPriority w:val="9"/>
    <w:qFormat/>
    <w:rPr>
      <w:rFonts w:ascii="Arial" w:hAnsi="Arial" w:eastAsia="Arial" w:cs="Arial"/>
      <w:i/>
      <w:iCs/>
      <w:sz w:val="21"/>
      <w:szCs w:val="21"/>
    </w:rPr>
  </w:style>
  <w:style w:type="character" w:styleId="814" w:customStyle="1">
    <w:name w:val="标题 字符"/>
    <w:link w:val="756"/>
    <w:uiPriority w:val="10"/>
    <w:qFormat/>
    <w:rPr>
      <w:sz w:val="48"/>
      <w:szCs w:val="48"/>
    </w:rPr>
  </w:style>
  <w:style w:type="character" w:styleId="815" w:customStyle="1">
    <w:name w:val="副标题 字符"/>
    <w:link w:val="745"/>
    <w:uiPriority w:val="0"/>
    <w:qFormat/>
    <w:rPr>
      <w:sz w:val="24"/>
      <w:szCs w:val="24"/>
    </w:rPr>
  </w:style>
  <w:style w:type="paragraph" w:styleId="816">
    <w:name w:val="Quote"/>
    <w:basedOn w:val="702"/>
    <w:next w:val="70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02"/>
    <w:next w:val="70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link w:val="804"/>
    <w:uiPriority w:val="0"/>
    <w:qFormat/>
  </w:style>
  <w:style w:type="character" w:styleId="821" w:customStyle="1">
    <w:name w:val="Footer Char"/>
    <w:uiPriority w:val="99"/>
    <w:qFormat/>
  </w:style>
  <w:style w:type="character" w:styleId="822" w:customStyle="1">
    <w:name w:val="Caption Char"/>
    <w:link w:val="803"/>
    <w:uiPriority w:val="99"/>
    <w:qFormat/>
  </w:style>
  <w:style w:type="table" w:styleId="823" w:customStyle="1">
    <w:name w:val="Table Grid Light"/>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4" w:customStyle="1">
    <w:name w:val="Grid Table 1 Light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Grid Table 3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 Accent 1"/>
    <w:basedOn w:val="7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3" w:customStyle="1">
    <w:name w:val="Grid Table 4 - Accent 2"/>
    <w:basedOn w:val="7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4" w:customStyle="1">
    <w:name w:val="Grid Table 4 - Accent 3"/>
    <w:basedOn w:val="7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6" w:customStyle="1">
    <w:name w:val="Grid Table 4 - Accent 5"/>
    <w:basedOn w:val="7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7" w:customStyle="1">
    <w:name w:val="Grid Table 4 - Accent 6"/>
    <w:basedOn w:val="7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Grid Table 5 Dark- Accent 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9"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0"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1"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2"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3"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4" w:customStyle="1">
    <w:name w:val="Grid Table 6 Colorful - Accent 1"/>
    <w:basedOn w:val="7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7" w:customStyle="1">
    <w:name w:val="Grid Table 6 Colorful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6 Colorful - Accent 6"/>
    <w:basedOn w:val="7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7 Colorful - Accent 1"/>
    <w:basedOn w:val="7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 Accent 1"/>
    <w:basedOn w:val="71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1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1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1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1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1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List Table 2 - Accent 1"/>
    <w:basedOn w:val="7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List Table 3 - Accent 1"/>
    <w:basedOn w:val="7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9" w:customStyle="1">
    <w:name w:val="List Table 3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4" w:customStyle="1">
    <w:name w:val="List Table 4 - Accent 1"/>
    <w:basedOn w:val="7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4 - Accent 2"/>
    <w:basedOn w:val="7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9" w:customStyle="1">
    <w:name w:val="List Table 4 - Accent 6"/>
    <w:basedOn w:val="7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customStyle="1">
    <w:name w:val="List Table 5 Dark - Accent 1"/>
    <w:basedOn w:val="7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 Accent 1"/>
    <w:basedOn w:val="71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7" w:customStyle="1">
    <w:name w:val="List Table 6 Colorful - Accent 2"/>
    <w:basedOn w:val="71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8" w:customStyle="1">
    <w:name w:val="List Table 6 Colorful - Accent 3"/>
    <w:basedOn w:val="71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9" w:customStyle="1">
    <w:name w:val="List Table 6 Colorful - Accent 4"/>
    <w:basedOn w:val="71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0" w:customStyle="1">
    <w:name w:val="List Table 6 Colorful - Accent 5"/>
    <w:basedOn w:val="71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1" w:customStyle="1">
    <w:name w:val="List Table 6 Colorful - Accent 6"/>
    <w:basedOn w:val="71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2" w:customStyle="1">
    <w:name w:val="List Table 7 Colorful - Accent 1"/>
    <w:basedOn w:val="71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1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1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1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1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1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amp; Lined - Accent"/>
    <w:basedOn w:val="7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7" w:customStyle="1">
    <w:name w:val="Bordered &amp; Lined - Accent 2"/>
    <w:basedOn w:val="7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Bordered &amp; Lined - Accent 3"/>
    <w:basedOn w:val="7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Bordered &amp; Lined - Accent 4"/>
    <w:basedOn w:val="7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Bordered &amp; Lined - Accent 5"/>
    <w:basedOn w:val="7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1" w:customStyle="1">
    <w:name w:val="Bordered &amp; Lined - Accent 6"/>
    <w:basedOn w:val="7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w:basedOn w:val="7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4" w:customStyle="1">
    <w:name w:val="Bordered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5" w:customStyle="1">
    <w:name w:val="Bordered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6" w:customStyle="1">
    <w:name w:val="Bordered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7" w:customStyle="1">
    <w:name w:val="Bordered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8" w:customStyle="1">
    <w:name w:val="Bordered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9" w:customStyle="1">
    <w:name w:val="脚注文本 字符"/>
    <w:link w:val="746"/>
    <w:uiPriority w:val="99"/>
    <w:qFormat/>
    <w:rPr>
      <w:sz w:val="18"/>
    </w:rPr>
  </w:style>
  <w:style w:type="character" w:styleId="930" w:customStyle="1">
    <w:name w:val="尾注文本 字符"/>
    <w:link w:val="739"/>
    <w:uiPriority w:val="99"/>
    <w:qFormat/>
    <w:rPr>
      <w:sz w:val="20"/>
    </w:rPr>
  </w:style>
  <w:style w:type="paragraph" w:styleId="931"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32">
    <w:name w:val="No Spacing"/>
    <w:basedOn w:val="702"/>
    <w:uiPriority w:val="1"/>
    <w:qFormat/>
    <w:pPr>
      <w:spacing w:after="0" w:line="240" w:lineRule="auto"/>
    </w:pPr>
  </w:style>
  <w:style w:type="paragraph" w:styleId="933">
    <w:name w:val="List Paragraph"/>
    <w:basedOn w:val="702"/>
    <w:uiPriority w:val="0"/>
    <w:qFormat/>
    <w:pPr>
      <w:contextualSpacing/>
      <w:ind w:left="720"/>
    </w:pPr>
  </w:style>
  <w:style w:type="paragraph" w:styleId="934" w:customStyle="1">
    <w:name w:val="正文文本1"/>
    <w:basedOn w:val="723"/>
    <w:next w:val="721"/>
    <w:uiPriority w:val="0"/>
    <w:qFormat/>
    <w:pPr>
      <w:spacing w:after="120"/>
    </w:pPr>
  </w:style>
  <w:style w:type="paragraph" w:styleId="935" w:customStyle="1">
    <w:name w:val="纯文本1"/>
    <w:basedOn w:val="723"/>
    <w:uiPriority w:val="0"/>
    <w:qFormat/>
    <w:rPr>
      <w:rFonts w:ascii="宋体" w:hAnsi="Courier New"/>
      <w:sz w:val="22"/>
      <w:szCs w:val="22"/>
    </w:rPr>
  </w:style>
  <w:style w:type="paragraph" w:styleId="936" w:customStyle="1">
    <w:name w:val="p17"/>
    <w:basedOn w:val="723"/>
    <w:uiPriority w:val="0"/>
    <w:qFormat/>
    <w:pPr>
      <w:jc w:val="center"/>
      <w:spacing w:before="340" w:after="330" w:line="360" w:lineRule="auto"/>
      <w:widowControl/>
    </w:pPr>
    <w:rPr>
      <w:rFonts w:ascii="Calibri" w:hAnsi="Calibri"/>
      <w:b/>
      <w:bCs/>
      <w:sz w:val="44"/>
      <w:szCs w:val="44"/>
    </w:rPr>
  </w:style>
  <w:style w:type="paragraph" w:styleId="937" w:customStyle="1">
    <w:name w:val="首行缩进"/>
    <w:basedOn w:val="702"/>
    <w:uiPriority w:val="0"/>
    <w:qFormat/>
    <w:pPr>
      <w:ind w:firstLine="200"/>
      <w:spacing w:line="360" w:lineRule="auto"/>
    </w:pPr>
    <w:rPr>
      <w:rFonts w:ascii="宋体"/>
      <w:sz w:val="24"/>
    </w:rPr>
  </w:style>
  <w:style w:type="paragraph" w:styleId="938" w:customStyle="1">
    <w:name w:val="正文文本缩进1"/>
    <w:basedOn w:val="723"/>
    <w:uiPriority w:val="0"/>
    <w:qFormat/>
    <w:pPr>
      <w:ind w:left="420"/>
      <w:spacing w:after="120"/>
    </w:pPr>
    <w:rPr>
      <w:rFonts w:ascii="Calibri" w:hAnsi="Calibri"/>
    </w:rPr>
  </w:style>
  <w:style w:type="character" w:styleId="939" w:customStyle="1">
    <w:name w:val="页眉 字符"/>
    <w:basedOn w:val="712"/>
    <w:link w:val="742"/>
    <w:uiPriority w:val="0"/>
    <w:qFormat/>
    <w:rPr>
      <w:rFonts w:eastAsiaTheme="minorHAnsi"/>
      <w:sz w:val="18"/>
      <w:szCs w:val="18"/>
      <w:lang w:eastAsia="en-US"/>
    </w:rPr>
  </w:style>
  <w:style w:type="character" w:styleId="940" w:customStyle="1">
    <w:name w:val="页脚 字符"/>
    <w:basedOn w:val="712"/>
    <w:link w:val="741"/>
    <w:uiPriority w:val="0"/>
    <w:qFormat/>
    <w:rPr>
      <w:rFonts w:eastAsiaTheme="minorHAnsi"/>
      <w:sz w:val="18"/>
      <w:szCs w:val="18"/>
      <w:lang w:eastAsia="en-US"/>
    </w:rPr>
  </w:style>
  <w:style w:type="character" w:styleId="941" w:customStyle="1">
    <w:name w:val="日期 字符"/>
    <w:basedOn w:val="712"/>
    <w:link w:val="737"/>
    <w:uiPriority w:val="0"/>
    <w:qFormat/>
    <w:rPr>
      <w:rFonts w:eastAsiaTheme="minorHAnsi"/>
      <w:sz w:val="22"/>
      <w:szCs w:val="22"/>
      <w:lang w:eastAsia="en-US"/>
    </w:rPr>
  </w:style>
  <w:style w:type="character" w:styleId="942" w:customStyle="1">
    <w:name w:val="标题 1 Char"/>
    <w:basedOn w:val="712"/>
    <w:link w:val="793"/>
    <w:uiPriority w:val="0"/>
    <w:qFormat/>
    <w:rPr>
      <w:rFonts w:ascii="Times New Roman" w:hAnsi="Times New Roman" w:eastAsia="黑体" w:cs="Times New Roman"/>
      <w:b/>
      <w:sz w:val="36"/>
    </w:rPr>
  </w:style>
  <w:style w:type="character" w:styleId="943" w:customStyle="1">
    <w:name w:val="标题 2 字符"/>
    <w:basedOn w:val="712"/>
    <w:link w:val="704"/>
    <w:uiPriority w:val="0"/>
    <w:qFormat/>
    <w:rPr>
      <w:rFonts w:ascii="Times New Roman" w:hAnsi="Times New Roman" w:eastAsia="黑体" w:cs="Times New Roman"/>
      <w:b/>
      <w:sz w:val="28"/>
    </w:rPr>
  </w:style>
  <w:style w:type="character" w:styleId="944" w:customStyle="1">
    <w:name w:val="标题 3 字符"/>
    <w:basedOn w:val="712"/>
    <w:link w:val="705"/>
    <w:uiPriority w:val="0"/>
    <w:qFormat/>
    <w:rPr>
      <w:rFonts w:ascii="Times New Roman" w:hAnsi="Times New Roman" w:eastAsia="黑体" w:cs="Times New Roman"/>
      <w:b/>
      <w:sz w:val="28"/>
    </w:rPr>
  </w:style>
  <w:style w:type="character" w:styleId="945" w:customStyle="1">
    <w:name w:val="标题 4 字符"/>
    <w:basedOn w:val="712"/>
    <w:link w:val="706"/>
    <w:uiPriority w:val="0"/>
    <w:qFormat/>
    <w:rPr>
      <w:rFonts w:ascii="Arial" w:hAnsi="Times New Roman" w:eastAsia="黑体" w:cs="Times New Roman"/>
      <w:sz w:val="28"/>
    </w:rPr>
  </w:style>
  <w:style w:type="character" w:styleId="946" w:customStyle="1">
    <w:name w:val="标题 5 字符"/>
    <w:basedOn w:val="712"/>
    <w:link w:val="707"/>
    <w:uiPriority w:val="0"/>
    <w:semiHidden/>
    <w:qFormat/>
    <w:rPr>
      <w:rFonts w:ascii="Times New Roman" w:hAnsi="Times New Roman" w:eastAsia="宋体" w:cs="Times New Roman"/>
      <w:b/>
      <w:bCs/>
      <w:sz w:val="28"/>
      <w:szCs w:val="28"/>
    </w:rPr>
  </w:style>
  <w:style w:type="character" w:styleId="947" w:customStyle="1">
    <w:name w:val="标题 6 字符"/>
    <w:basedOn w:val="712"/>
    <w:link w:val="708"/>
    <w:uiPriority w:val="0"/>
    <w:semiHidden/>
    <w:qFormat/>
    <w:rPr>
      <w:rFonts w:ascii="Cambria" w:hAnsi="Cambria" w:eastAsia="宋体" w:cs="Times New Roman"/>
      <w:b/>
      <w:bCs/>
      <w:sz w:val="24"/>
      <w:szCs w:val="24"/>
    </w:rPr>
  </w:style>
  <w:style w:type="character" w:styleId="948" w:customStyle="1">
    <w:name w:val="标题 7 字符"/>
    <w:basedOn w:val="712"/>
    <w:link w:val="709"/>
    <w:uiPriority w:val="0"/>
    <w:semiHidden/>
    <w:qFormat/>
    <w:rPr>
      <w:rFonts w:ascii="Times New Roman" w:hAnsi="Times New Roman" w:eastAsia="宋体" w:cs="Times New Roman"/>
      <w:b/>
      <w:bCs/>
      <w:sz w:val="24"/>
      <w:szCs w:val="24"/>
    </w:rPr>
  </w:style>
  <w:style w:type="character" w:styleId="949" w:customStyle="1">
    <w:name w:val="标题 8 字符"/>
    <w:basedOn w:val="712"/>
    <w:link w:val="710"/>
    <w:uiPriority w:val="0"/>
    <w:semiHidden/>
    <w:qFormat/>
    <w:rPr>
      <w:rFonts w:ascii="Cambria" w:hAnsi="Cambria" w:eastAsia="宋体" w:cs="Times New Roman"/>
      <w:sz w:val="24"/>
      <w:szCs w:val="24"/>
    </w:rPr>
  </w:style>
  <w:style w:type="character" w:styleId="950" w:customStyle="1">
    <w:name w:val="标题 9 字符"/>
    <w:basedOn w:val="712"/>
    <w:link w:val="711"/>
    <w:uiPriority w:val="0"/>
    <w:semiHidden/>
    <w:qFormat/>
    <w:rPr>
      <w:rFonts w:ascii="Cambria" w:hAnsi="Cambria" w:eastAsia="宋体" w:cs="Times New Roman"/>
      <w:sz w:val="21"/>
      <w:szCs w:val="21"/>
    </w:rPr>
  </w:style>
  <w:style w:type="character" w:styleId="951" w:customStyle="1">
    <w:name w:val="文档结构图 字符"/>
    <w:basedOn w:val="712"/>
    <w:link w:val="717"/>
    <w:uiPriority w:val="99"/>
    <w:semiHidden/>
    <w:qFormat/>
    <w:rPr>
      <w:rFonts w:ascii="宋体" w:eastAsia="宋体"/>
      <w:sz w:val="18"/>
      <w:szCs w:val="18"/>
    </w:rPr>
  </w:style>
  <w:style w:type="character" w:styleId="952" w:customStyle="1">
    <w:name w:val="批注文字 字符"/>
    <w:basedOn w:val="712"/>
    <w:link w:val="718"/>
    <w:uiPriority w:val="0"/>
    <w:qFormat/>
    <w:rPr>
      <w:rFonts w:ascii="Times New Roman" w:hAnsi="Times New Roman" w:eastAsia="宋体" w:cs="Times New Roman"/>
      <w:sz w:val="21"/>
      <w:szCs w:val="24"/>
    </w:rPr>
  </w:style>
  <w:style w:type="character" w:styleId="953" w:customStyle="1">
    <w:name w:val="正文文本 3 字符"/>
    <w:basedOn w:val="712"/>
    <w:link w:val="719"/>
    <w:uiPriority w:val="0"/>
    <w:qFormat/>
    <w:rPr>
      <w:rFonts w:ascii="Times New Roman" w:hAnsi="Times New Roman" w:eastAsia="宋体" w:cs="Times New Roman"/>
      <w:sz w:val="16"/>
      <w:szCs w:val="16"/>
    </w:rPr>
  </w:style>
  <w:style w:type="character" w:styleId="954" w:customStyle="1">
    <w:name w:val="正文文本缩进 字符"/>
    <w:basedOn w:val="712"/>
    <w:link w:val="730"/>
    <w:uiPriority w:val="0"/>
    <w:qFormat/>
    <w:rPr>
      <w:rFonts w:ascii="仿宋_GB2312" w:hAnsi="Times New Roman" w:eastAsia="仿宋_GB2312" w:cs="Times New Roman"/>
      <w:sz w:val="32"/>
      <w:szCs w:val="24"/>
    </w:rPr>
  </w:style>
  <w:style w:type="character" w:styleId="955" w:customStyle="1">
    <w:name w:val="纯文本 字符"/>
    <w:basedOn w:val="712"/>
    <w:link w:val="735"/>
    <w:uiPriority w:val="0"/>
    <w:qFormat/>
    <w:rPr>
      <w:rFonts w:ascii="宋体" w:hAnsi="Courier New" w:eastAsia="宋体"/>
      <w:sz w:val="21"/>
      <w:szCs w:val="22"/>
    </w:rPr>
  </w:style>
  <w:style w:type="character" w:styleId="956" w:customStyle="1">
    <w:name w:val="正文文本缩进 2 字符"/>
    <w:basedOn w:val="712"/>
    <w:link w:val="738"/>
    <w:uiPriority w:val="0"/>
    <w:qFormat/>
    <w:rPr>
      <w:rFonts w:ascii="Times New Roman" w:hAnsi="Times New Roman" w:eastAsia="仿宋_GB2312" w:cs="Times New Roman"/>
      <w:sz w:val="32"/>
      <w:szCs w:val="24"/>
    </w:rPr>
  </w:style>
  <w:style w:type="character" w:styleId="957" w:customStyle="1">
    <w:name w:val="批注框文本 字符"/>
    <w:basedOn w:val="712"/>
    <w:link w:val="740"/>
    <w:uiPriority w:val="0"/>
    <w:semiHidden/>
    <w:qFormat/>
    <w:rPr>
      <w:rFonts w:ascii="Times New Roman" w:hAnsi="Times New Roman" w:eastAsia="宋体" w:cs="Times New Roman"/>
      <w:sz w:val="18"/>
      <w:szCs w:val="18"/>
    </w:rPr>
  </w:style>
  <w:style w:type="character" w:styleId="958" w:customStyle="1">
    <w:name w:val="正文文本缩进 3 字符"/>
    <w:basedOn w:val="712"/>
    <w:link w:val="748"/>
    <w:uiPriority w:val="0"/>
    <w:qFormat/>
    <w:rPr>
      <w:rFonts w:ascii="仿宋_GB2312" w:hAnsi="华文中宋" w:eastAsia="仿宋_GB2312" w:cs="Times New Roman"/>
      <w:sz w:val="32"/>
      <w:szCs w:val="32"/>
    </w:rPr>
  </w:style>
  <w:style w:type="character" w:styleId="959" w:customStyle="1">
    <w:name w:val="正文文本 2 字符"/>
    <w:basedOn w:val="712"/>
    <w:link w:val="752"/>
    <w:uiPriority w:val="0"/>
    <w:qFormat/>
    <w:rPr>
      <w:rFonts w:ascii="Times New Roman" w:hAnsi="Times New Roman" w:eastAsia="宋体" w:cs="Times New Roman"/>
      <w:sz w:val="21"/>
      <w:szCs w:val="24"/>
    </w:rPr>
  </w:style>
  <w:style w:type="character" w:styleId="960" w:customStyle="1">
    <w:name w:val="HTML 预设格式 字符"/>
    <w:basedOn w:val="712"/>
    <w:link w:val="753"/>
    <w:uiPriority w:val="0"/>
    <w:qFormat/>
    <w:rPr>
      <w:rFonts w:ascii="宋体" w:hAnsi="宋体" w:eastAsia="宋体" w:cs="宋体"/>
      <w:sz w:val="24"/>
      <w:szCs w:val="24"/>
    </w:rPr>
  </w:style>
  <w:style w:type="paragraph" w:styleId="961" w:customStyle="1">
    <w:name w:val="批注主题1"/>
    <w:basedOn w:val="718"/>
    <w:next w:val="718"/>
    <w:uiPriority w:val="0"/>
    <w:semiHidden/>
    <w:unhideWhenUsed/>
    <w:qFormat/>
    <w:pPr>
      <w:ind w:firstLine="0"/>
      <w:spacing w:line="240" w:lineRule="auto"/>
    </w:pPr>
    <w:rPr>
      <w:rFonts w:ascii="Calibri" w:hAnsi="Calibri"/>
      <w:b/>
      <w:bCs/>
      <w:szCs w:val="22"/>
    </w:rPr>
  </w:style>
  <w:style w:type="table" w:styleId="962" w:customStyle="1">
    <w:name w:val="网格型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Char"/>
    <w:basedOn w:val="702"/>
    <w:uiPriority w:val="0"/>
    <w:qFormat/>
    <w:pPr>
      <w:ind w:firstLine="922"/>
      <w:spacing w:after="160" w:line="240" w:lineRule="exact"/>
    </w:pPr>
    <w:rPr>
      <w:rFonts w:ascii="Arial" w:hAnsi="Arial" w:eastAsia="Times New Roman" w:cs="Verdana"/>
      <w:b/>
      <w:sz w:val="24"/>
      <w:szCs w:val="20"/>
    </w:rPr>
  </w:style>
  <w:style w:type="paragraph" w:styleId="965" w:customStyle="1">
    <w:name w:val="1"/>
    <w:basedOn w:val="702"/>
    <w:link w:val="966"/>
    <w:uiPriority w:val="0"/>
    <w:qFormat/>
    <w:pPr>
      <w:spacing w:after="0" w:line="360" w:lineRule="auto"/>
      <w:widowControl w:val="off"/>
    </w:pPr>
    <w:rPr>
      <w:rFonts w:eastAsia="宋体"/>
      <w:sz w:val="21"/>
      <w:szCs w:val="24"/>
      <w:lang w:eastAsia="zh-CN"/>
    </w:rPr>
  </w:style>
  <w:style w:type="character" w:styleId="966" w:customStyle="1">
    <w:name w:val="1 Char"/>
    <w:link w:val="965"/>
    <w:uiPriority w:val="0"/>
    <w:qFormat/>
    <w:rPr>
      <w:rFonts w:eastAsia="宋体"/>
      <w:sz w:val="21"/>
      <w:szCs w:val="24"/>
    </w:rPr>
  </w:style>
  <w:style w:type="paragraph" w:styleId="967" w:customStyle="1">
    <w:name w:val="Default"/>
    <w:link w:val="968"/>
    <w:uiPriority w:val="0"/>
    <w:qFormat/>
    <w:pPr>
      <w:widowControl w:val="off"/>
    </w:pPr>
    <w:rPr>
      <w:rFonts w:ascii="MS Mincho" w:hAnsi="Calibri" w:eastAsia="宋体" w:cs="Times New Roman"/>
      <w:color w:val="000000"/>
      <w:sz w:val="21"/>
      <w:szCs w:val="24"/>
      <w:lang w:val="en-US" w:eastAsia="zh-CN" w:bidi="ar-SA"/>
    </w:rPr>
  </w:style>
  <w:style w:type="character" w:styleId="968" w:customStyle="1">
    <w:name w:val="Default Char"/>
    <w:link w:val="967"/>
    <w:uiPriority w:val="0"/>
    <w:qFormat/>
    <w:rPr>
      <w:rFonts w:ascii="MS Mincho" w:hAnsi="Calibri" w:eastAsia="宋体" w:cs="Times New Roman"/>
      <w:color w:val="000000"/>
      <w:sz w:val="21"/>
      <w:szCs w:val="24"/>
    </w:rPr>
  </w:style>
  <w:style w:type="character" w:styleId="969" w:customStyle="1">
    <w:name w:val="HTML 预设格式 Char1"/>
    <w:basedOn w:val="712"/>
    <w:uiPriority w:val="99"/>
    <w:semiHidden/>
    <w:qFormat/>
    <w:rPr>
      <w:rFonts w:ascii="Courier New" w:hAnsi="Courier New" w:cs="Courier New"/>
      <w:sz w:val="20"/>
      <w:szCs w:val="20"/>
    </w:rPr>
  </w:style>
  <w:style w:type="character" w:styleId="970" w:customStyle="1">
    <w:name w:val="普通正文 Char"/>
    <w:link w:val="971"/>
    <w:uiPriority w:val="0"/>
    <w:qFormat/>
    <w:rPr>
      <w:rFonts w:ascii="Arial" w:hAnsi="Arial"/>
      <w:sz w:val="24"/>
      <w:szCs w:val="24"/>
    </w:rPr>
  </w:style>
  <w:style w:type="paragraph" w:styleId="971" w:customStyle="1">
    <w:name w:val="普通正文"/>
    <w:basedOn w:val="702"/>
    <w:link w:val="970"/>
    <w:uiPriority w:val="0"/>
    <w:qFormat/>
    <w:pPr>
      <w:ind w:firstLine="480"/>
      <w:spacing w:before="120" w:after="120" w:line="360" w:lineRule="auto"/>
      <w:widowControl w:val="off"/>
    </w:pPr>
    <w:rPr>
      <w:rFonts w:ascii="Arial" w:hAnsi="Arial" w:eastAsiaTheme="minorEastAsia"/>
      <w:sz w:val="24"/>
      <w:szCs w:val="24"/>
      <w:lang w:eastAsia="zh-CN"/>
    </w:rPr>
  </w:style>
  <w:style w:type="paragraph" w:styleId="972" w:customStyle="1">
    <w:name w:val="Char1"/>
    <w:basedOn w:val="702"/>
    <w:uiPriority w:val="0"/>
    <w:qFormat/>
    <w:pPr>
      <w:ind w:firstLine="922"/>
      <w:jc w:val="both"/>
      <w:spacing w:after="0" w:line="360" w:lineRule="auto"/>
      <w:widowControl w:val="off"/>
      <w:tabs>
        <w:tab w:val="left" w:pos="360" w:leader="none"/>
      </w:tabs>
    </w:pPr>
    <w:rPr>
      <w:rFonts w:ascii="Times New Roman" w:hAnsi="Times New Roman" w:eastAsia="宋体" w:cs="Times New Roman"/>
      <w:sz w:val="24"/>
      <w:szCs w:val="24"/>
      <w:lang w:eastAsia="zh-CN"/>
    </w:rPr>
  </w:style>
  <w:style w:type="character" w:styleId="973" w:customStyle="1">
    <w:name w:val="批注主题 字符"/>
    <w:basedOn w:val="952"/>
    <w:link w:val="757"/>
    <w:uiPriority w:val="99"/>
    <w:semiHidden/>
    <w:qFormat/>
    <w:rPr>
      <w:rFonts w:ascii="Arial" w:hAnsi="Arial" w:eastAsia="Arial" w:cs="Arial"/>
      <w:i/>
      <w:iCs/>
      <w:sz w:val="21"/>
      <w:szCs w:val="24"/>
    </w:rPr>
  </w:style>
  <w:style w:type="paragraph" w:styleId="974" w:customStyle="1">
    <w:name w:val="修订1"/>
    <w:hidden/>
    <w:uiPriority w:val="99"/>
    <w:semiHidden/>
    <w:qFormat/>
    <w:rPr>
      <w:rFonts w:asciiTheme="minorHAnsi" w:hAnsiTheme="minorHAnsi" w:eastAsiaTheme="minorEastAsia" w:cstheme="minorBidi"/>
      <w:sz w:val="21"/>
      <w:szCs w:val="22"/>
      <w:lang w:val="en-US" w:eastAsia="zh-CN" w:bidi="ar-SA"/>
    </w:rPr>
  </w:style>
  <w:style w:type="character" w:styleId="975" w:customStyle="1">
    <w:name w:val="页脚 Char1"/>
    <w:uiPriority w:val="0"/>
    <w:qFormat/>
    <w:rPr>
      <w:rFonts w:ascii="Times New Roman" w:hAnsi="Times New Roman" w:eastAsia="宋体" w:cs="Times New Roman"/>
      <w:sz w:val="18"/>
      <w:szCs w:val="18"/>
    </w:rPr>
  </w:style>
  <w:style w:type="table" w:styleId="976" w:customStyle="1">
    <w:name w:val="网格型11"/>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7" w:customStyle="1">
    <w:name w:val="style341"/>
    <w:uiPriority w:val="0"/>
    <w:qFormat/>
  </w:style>
  <w:style w:type="paragraph" w:styleId="978" w:customStyle="1">
    <w:name w:val="p0"/>
    <w:basedOn w:val="702"/>
    <w:uiPriority w:val="0"/>
    <w:qFormat/>
    <w:pPr>
      <w:jc w:val="both"/>
      <w:spacing w:after="0" w:line="240" w:lineRule="auto"/>
    </w:pPr>
    <w:rPr>
      <w:rFonts w:ascii="Calibri" w:hAnsi="Calibri" w:eastAsia="宋体" w:cs="宋体"/>
      <w:sz w:val="21"/>
      <w:szCs w:val="21"/>
      <w:lang w:eastAsia="zh-CN"/>
    </w:rPr>
  </w:style>
  <w:style w:type="paragraph" w:styleId="979" w:customStyle="1">
    <w:name w:val="Char Char Char Char Char1 Char Char Char"/>
    <w:basedOn w:val="702"/>
    <w:uiPriority w:val="0"/>
    <w:qFormat/>
    <w:pPr>
      <w:spacing w:after="160" w:line="240" w:lineRule="exact"/>
    </w:pPr>
    <w:rPr>
      <w:rFonts w:ascii="Times New Roman" w:hAnsi="Times New Roman" w:eastAsia="宋体" w:cs="Times New Roman"/>
      <w:sz w:val="21"/>
      <w:szCs w:val="24"/>
      <w:lang w:eastAsia="zh-CN"/>
    </w:rPr>
  </w:style>
  <w:style w:type="paragraph" w:styleId="980" w:customStyle="1">
    <w:name w:val="p15"/>
    <w:basedOn w:val="702"/>
    <w:uiPriority w:val="0"/>
    <w:qFormat/>
    <w:pPr>
      <w:ind w:firstLine="420"/>
      <w:jc w:val="both"/>
      <w:spacing w:after="0" w:line="240" w:lineRule="auto"/>
    </w:pPr>
    <w:rPr>
      <w:rFonts w:ascii="Calibri" w:hAnsi="Calibri" w:eastAsia="宋体" w:cs="宋体"/>
      <w:sz w:val="21"/>
      <w:szCs w:val="21"/>
      <w:lang w:eastAsia="zh-CN"/>
    </w:rPr>
  </w:style>
  <w:style w:type="paragraph" w:styleId="981" w:customStyle="1">
    <w:name w:val="_Style 31"/>
    <w:basedOn w:val="702"/>
    <w:uiPriority w:val="0"/>
    <w:qFormat/>
    <w:pPr>
      <w:spacing w:after="160" w:line="240" w:lineRule="exact"/>
    </w:pPr>
    <w:rPr>
      <w:rFonts w:ascii="Verdana" w:hAnsi="Verdana" w:eastAsia="仿宋_GB2312" w:cs="Times New Roman"/>
      <w:sz w:val="24"/>
      <w:szCs w:val="20"/>
    </w:rPr>
  </w:style>
  <w:style w:type="paragraph" w:styleId="982" w:customStyle="1">
    <w:name w:val="_Style 3"/>
    <w:basedOn w:val="702"/>
    <w:uiPriority w:val="0"/>
    <w:qFormat/>
    <w:pPr>
      <w:spacing w:after="160" w:line="240" w:lineRule="exact"/>
    </w:pPr>
    <w:rPr>
      <w:rFonts w:ascii="Verdana" w:hAnsi="Verdana" w:eastAsia="仿宋_GB2312" w:cs="Times New Roman"/>
      <w:sz w:val="24"/>
      <w:szCs w:val="20"/>
    </w:rPr>
  </w:style>
  <w:style w:type="paragraph" w:styleId="983" w:customStyle="1">
    <w:name w:val="Char2"/>
    <w:basedOn w:val="702"/>
    <w:uiPriority w:val="0"/>
    <w:qFormat/>
    <w:pPr>
      <w:jc w:val="both"/>
      <w:spacing w:after="0" w:line="240" w:lineRule="auto"/>
      <w:widowControl w:val="off"/>
      <w:tabs>
        <w:tab w:val="left" w:pos="360" w:leader="none"/>
      </w:tabs>
    </w:pPr>
    <w:rPr>
      <w:rFonts w:ascii="Times New Roman" w:hAnsi="Times New Roman" w:eastAsia="宋体" w:cs="Times New Roman"/>
      <w:sz w:val="24"/>
      <w:szCs w:val="24"/>
      <w:lang w:eastAsia="zh-CN"/>
    </w:rPr>
  </w:style>
  <w:style w:type="paragraph" w:styleId="984" w:customStyle="1">
    <w:name w:val="Char Char Char Char Char Char Char Char Char"/>
    <w:basedOn w:val="702"/>
    <w:uiPriority w:val="0"/>
    <w:qFormat/>
    <w:pPr>
      <w:spacing w:after="160" w:line="240" w:lineRule="exact"/>
    </w:pPr>
    <w:rPr>
      <w:rFonts w:ascii="Verdana" w:hAnsi="Verdana" w:eastAsia="仿宋_GB2312" w:cs="Times New Roman"/>
      <w:sz w:val="24"/>
      <w:szCs w:val="20"/>
    </w:rPr>
  </w:style>
  <w:style w:type="character" w:styleId="985" w:customStyle="1">
    <w:name w:val="font01"/>
    <w:uiPriority w:val="0"/>
    <w:qFormat/>
    <w:rPr>
      <w:rFonts w:hint="eastAsia" w:ascii="宋体" w:hAnsi="宋体" w:eastAsia="宋体" w:cs="宋体"/>
      <w:color w:val="000000"/>
      <w:sz w:val="22"/>
      <w:szCs w:val="22"/>
      <w:u w:val="none"/>
    </w:rPr>
  </w:style>
  <w:style w:type="character" w:styleId="986" w:customStyle="1">
    <w:name w:val="font11"/>
    <w:uiPriority w:val="0"/>
    <w:qFormat/>
    <w:rPr>
      <w:rFonts w:hint="eastAsia" w:ascii="宋体" w:hAnsi="宋体" w:eastAsia="宋体" w:cs="宋体"/>
      <w:color w:val="ff0000"/>
      <w:sz w:val="22"/>
      <w:szCs w:val="22"/>
      <w:u w:val="none"/>
    </w:rPr>
  </w:style>
  <w:style w:type="character" w:styleId="987" w:customStyle="1">
    <w:name w:val="font31"/>
    <w:basedOn w:val="712"/>
    <w:uiPriority w:val="0"/>
    <w:qFormat/>
    <w:rPr>
      <w:rFonts w:hint="eastAsia" w:ascii="仿宋" w:hAnsi="仿宋" w:eastAsia="仿宋" w:cs="仿宋"/>
      <w:b/>
      <w:bCs/>
      <w:color w:val="000000"/>
      <w:sz w:val="16"/>
      <w:szCs w:val="16"/>
      <w:u w:val="none"/>
    </w:rPr>
  </w:style>
  <w:style w:type="character" w:styleId="988" w:customStyle="1">
    <w:name w:val="font21"/>
    <w:basedOn w:val="712"/>
    <w:uiPriority w:val="0"/>
    <w:qFormat/>
    <w:rPr>
      <w:rFonts w:hint="eastAsia" w:ascii="仿宋" w:hAnsi="仿宋" w:eastAsia="仿宋" w:cs="仿宋"/>
      <w:color w:val="000000"/>
      <w:sz w:val="16"/>
      <w:szCs w:val="16"/>
      <w:u w:val="none"/>
    </w:rPr>
  </w:style>
  <w:style w:type="character" w:styleId="989" w:customStyle="1">
    <w:name w:val="font41"/>
    <w:basedOn w:val="712"/>
    <w:uiPriority w:val="0"/>
    <w:qFormat/>
    <w:rPr>
      <w:rFonts w:hint="eastAsia" w:ascii="仿宋" w:hAnsi="仿宋" w:eastAsia="仿宋" w:cs="仿宋"/>
      <w:b/>
      <w:bCs/>
      <w:color w:val="ff0000"/>
      <w:sz w:val="16"/>
      <w:szCs w:val="16"/>
      <w:u w:val="none"/>
    </w:rPr>
  </w:style>
  <w:style w:type="paragraph" w:styleId="990" w:customStyle="1">
    <w:name w:val="列出段落1"/>
    <w:basedOn w:val="702"/>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991" w:customStyle="1">
    <w:name w:val="paragraph"/>
    <w:basedOn w:val="702"/>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992" w:customStyle="1">
    <w:name w:val="批注主题 Char1"/>
    <w:basedOn w:val="952"/>
    <w:uiPriority w:val="99"/>
    <w:semiHidden/>
    <w:qFormat/>
    <w:rPr>
      <w:rFonts w:ascii="Times New Roman" w:hAnsi="Times New Roman" w:eastAsia="宋体" w:cs="Times New Roman"/>
      <w:b/>
      <w:bCs/>
      <w:sz w:val="21"/>
      <w:szCs w:val="24"/>
    </w:rPr>
  </w:style>
  <w:style w:type="table" w:styleId="993" w:customStyle="1">
    <w:name w:val="网格型2"/>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4" w:customStyle="1">
    <w:name w:val="网格型3"/>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customStyle="1">
    <w:name w:val="font91"/>
    <w:basedOn w:val="712"/>
    <w:uiPriority w:val="0"/>
    <w:qFormat/>
    <w:rPr>
      <w:rFonts w:hint="default" w:ascii="Times New Roman" w:hAnsi="Times New Roman" w:cs="Times New Roman"/>
      <w:color w:val="000000"/>
      <w:sz w:val="18"/>
      <w:szCs w:val="18"/>
      <w:u w:val="none"/>
      <w:vertAlign w:val="superscript"/>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CBABAA-7C39-472C-8D24-E267059F654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何菁</cp:lastModifiedBy>
  <cp:revision>6</cp:revision>
  <dcterms:created xsi:type="dcterms:W3CDTF">2026-07-09T11:25:00Z</dcterms:created>
  <dcterms:modified xsi:type="dcterms:W3CDTF">2026-07-10T08:20:48Z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08D071F45D434AFEAC9EDAE44C0C2A3F_13</vt:lpwstr>
  </property>
  <property fmtid="{D5CDD505-2E9C-101B-9397-08002B2CF9AE}" pid="4" name="KSOTemplateDocerSaveRecord">
    <vt:lpwstr>eyJoZGlkIjoiMTk3OTVkYjJjYTEyY2M4ZmRjZmMzNmM3YTdkMGNkYWQiLCJ1c2VySWQiOiIzODEzNTcxNTUifQ==</vt:lpwstr>
  </property>
</Properties>
</file>