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jc w:val="center"/>
        <w:spacing w:line="240" w:lineRule="auto"/>
        <w:rPr>
          <w:rFonts w:ascii="宋体" w:hAnsi="宋体"/>
          <w:b/>
          <w:color w:val="000000"/>
          <w:spacing w:val="40"/>
          <w:sz w:val="96"/>
          <w:szCs w:val="96"/>
          <w:highlight w:val="none"/>
        </w:rPr>
      </w:pPr>
      <w:r>
        <w:rPr>
          <w:rFonts w:hint="eastAsia" w:ascii="宋体" w:hAnsi="宋体"/>
          <w:b/>
          <w:color w:val="000000"/>
          <w:spacing w:val="40"/>
          <w:sz w:val="96"/>
          <w:szCs w:val="96"/>
          <w:highlight w:val="none"/>
        </w:rPr>
        <w:t xml:space="preserve"> 政府采购竞争性</w:t>
      </w:r>
      <w:r>
        <w:rPr>
          <w:rFonts w:ascii="宋体" w:hAnsi="宋体"/>
          <w:b/>
          <w:color w:val="000000"/>
          <w:spacing w:val="40"/>
          <w:sz w:val="96"/>
          <w:szCs w:val="96"/>
          <w:highlight w:val="none"/>
        </w:rPr>
      </w:r>
      <w:r/>
    </w:p>
    <w:p>
      <w:pPr>
        <w:pStyle w:val="722"/>
        <w:jc w:val="center"/>
        <w:spacing w:line="240" w:lineRule="auto"/>
        <w:rPr>
          <w:color w:val="000000"/>
          <w:highlight w:val="none"/>
        </w:rPr>
      </w:pPr>
      <w:r>
        <w:rPr>
          <w:rFonts w:hint="eastAsia" w:ascii="宋体" w:hAnsi="宋体"/>
          <w:b/>
          <w:color w:val="000000"/>
          <w:spacing w:val="40"/>
          <w:sz w:val="96"/>
          <w:szCs w:val="96"/>
          <w:highlight w:val="none"/>
        </w:rPr>
        <w:t xml:space="preserve">磋 商 </w:t>
      </w:r>
      <w:r>
        <w:rPr>
          <w:rFonts w:hint="eastAsia" w:ascii="宋体" w:hAnsi="宋体"/>
          <w:b/>
          <w:color w:val="000000"/>
          <w:spacing w:val="20"/>
          <w:sz w:val="96"/>
          <w:szCs w:val="96"/>
          <w:highlight w:val="none"/>
        </w:rPr>
        <w:t xml:space="preserve">文 件</w:t>
      </w:r>
      <w:r>
        <w:rPr>
          <w:color w:val="000000"/>
          <w:highlight w:val="none"/>
        </w:rPr>
      </w:r>
      <w:r/>
    </w:p>
    <w:p>
      <w:pPr>
        <w:pStyle w:val="722"/>
        <w:jc w:val="center"/>
        <w:rPr>
          <w:color w:val="000000"/>
          <w:highlight w:val="none"/>
        </w:rPr>
      </w:pPr>
      <w:r>
        <w:rPr>
          <w:color w:val="000000"/>
          <w:highlight w:val="none"/>
        </w:rPr>
      </w:r>
      <w:r/>
    </w:p>
    <w:p>
      <w:pPr>
        <w:pStyle w:val="722"/>
        <w:jc w:val="center"/>
        <w:rPr>
          <w:color w:val="000000"/>
          <w:highlight w:val="none"/>
        </w:rPr>
      </w:pPr>
      <w:r>
        <w:rPr>
          <w:color w:val="000000"/>
          <w:highlight w:val="none"/>
        </w:rPr>
      </w:r>
      <w:r/>
    </w:p>
    <w:p>
      <w:pPr>
        <w:pStyle w:val="722"/>
        <w:ind w:firstLine="1606"/>
        <w:spacing w:line="360" w:lineRule="auto"/>
        <w:rPr>
          <w:rFonts w:hint="eastAsia" w:eastAsia="宋体"/>
          <w:b/>
          <w:color w:val="000000"/>
          <w:sz w:val="32"/>
          <w:highlight w:val="none"/>
          <w:lang w:eastAsia="zh-CN"/>
        </w:rPr>
      </w:pPr>
      <w:r>
        <w:rPr>
          <w:rFonts w:hint="eastAsia"/>
          <w:b/>
          <w:color w:val="000000"/>
          <w:sz w:val="32"/>
          <w:highlight w:val="none"/>
        </w:rPr>
        <w:t xml:space="preserve">采购编号：</w:t>
      </w:r>
      <w:r>
        <w:rPr>
          <w:rFonts w:hint="eastAsia"/>
          <w:color w:val="000000"/>
          <w:sz w:val="30"/>
          <w:highlight w:val="none"/>
          <w:lang w:eastAsia="zh-CN"/>
        </w:rPr>
        <w:t xml:space="preserve">JSZC-320500-CCCC-C2026-0019</w:t>
      </w:r>
      <w:r>
        <w:rPr>
          <w:rFonts w:hint="eastAsia" w:eastAsia="宋体"/>
          <w:b/>
          <w:color w:val="000000"/>
          <w:sz w:val="32"/>
          <w:highlight w:val="none"/>
          <w:lang w:eastAsia="zh-CN"/>
        </w:rPr>
      </w:r>
      <w:r/>
    </w:p>
    <w:p>
      <w:pPr>
        <w:pStyle w:val="722"/>
        <w:ind w:firstLine="1606"/>
        <w:spacing w:line="360" w:lineRule="auto"/>
        <w:rPr>
          <w:rFonts w:hint="eastAsia" w:eastAsia="宋体"/>
          <w:color w:val="000000"/>
          <w:sz w:val="30"/>
          <w:szCs w:val="30"/>
          <w:highlight w:val="none"/>
          <w:lang w:eastAsia="zh-CN"/>
        </w:rPr>
      </w:pPr>
      <w:r>
        <w:rPr>
          <w:rFonts w:hint="eastAsia"/>
          <w:b/>
          <w:color w:val="000000"/>
          <w:sz w:val="32"/>
          <w:highlight w:val="none"/>
        </w:rPr>
        <w:t xml:space="preserve">采购人：</w:t>
      </w:r>
      <w:r>
        <w:rPr>
          <w:rFonts w:hint="eastAsia"/>
          <w:color w:val="000000"/>
          <w:sz w:val="30"/>
          <w:szCs w:val="30"/>
          <w:highlight w:val="none"/>
          <w:lang w:eastAsia="zh-CN"/>
        </w:rPr>
        <w:t xml:space="preserve">苏州市拙政园管理处（苏州市园林博物馆）</w:t>
      </w:r>
      <w:r>
        <w:rPr>
          <w:rFonts w:hint="eastAsia" w:eastAsia="宋体"/>
          <w:color w:val="000000"/>
          <w:sz w:val="30"/>
          <w:szCs w:val="30"/>
          <w:highlight w:val="none"/>
          <w:lang w:eastAsia="zh-CN"/>
        </w:rPr>
      </w:r>
      <w:r/>
    </w:p>
    <w:p>
      <w:pPr>
        <w:pStyle w:val="722"/>
        <w:ind w:left="1260" w:firstLine="305"/>
        <w:spacing w:line="360" w:lineRule="auto"/>
        <w:rPr>
          <w:rFonts w:hint="eastAsia" w:eastAsia="宋体"/>
          <w:color w:val="000000"/>
          <w:sz w:val="30"/>
          <w:szCs w:val="30"/>
          <w:highlight w:val="none"/>
          <w:lang w:eastAsia="zh-CN"/>
        </w:rPr>
      </w:pPr>
      <w:r>
        <w:rPr>
          <w:rFonts w:hint="eastAsia"/>
          <w:b/>
          <w:color w:val="000000"/>
          <w:sz w:val="32"/>
          <w:highlight w:val="none"/>
        </w:rPr>
        <w:t xml:space="preserve">采购内容</w:t>
      </w:r>
      <w:r>
        <w:rPr>
          <w:rFonts w:hint="eastAsia"/>
          <w:color w:val="000000"/>
          <w:sz w:val="30"/>
          <w:szCs w:val="30"/>
          <w:highlight w:val="none"/>
        </w:rPr>
        <w:t xml:space="preserve">：</w:t>
      </w:r>
      <w:r>
        <w:rPr>
          <w:rFonts w:hint="eastAsia"/>
          <w:color w:val="000000"/>
          <w:sz w:val="30"/>
          <w:szCs w:val="30"/>
          <w:highlight w:val="none"/>
          <w:lang w:eastAsia="zh-CN"/>
        </w:rPr>
        <w:t xml:space="preserve">东园灯光亮化工程</w:t>
      </w:r>
      <w:r>
        <w:rPr>
          <w:rFonts w:hint="eastAsia" w:eastAsia="宋体"/>
          <w:color w:val="000000"/>
          <w:sz w:val="30"/>
          <w:szCs w:val="30"/>
          <w:highlight w:val="none"/>
          <w:lang w:eastAsia="zh-CN"/>
        </w:rPr>
      </w:r>
      <w:r/>
    </w:p>
    <w:p>
      <w:pPr>
        <w:pStyle w:val="722"/>
        <w:ind w:firstLine="1606"/>
        <w:spacing w:line="360" w:lineRule="auto"/>
        <w:rPr>
          <w:rFonts w:hint="eastAsia"/>
          <w:color w:val="000000"/>
          <w:sz w:val="30"/>
          <w:highlight w:val="none"/>
          <w:lang w:eastAsia="zh-CN"/>
        </w:rPr>
      </w:pPr>
      <w:r>
        <w:rPr>
          <w:rFonts w:hint="eastAsia"/>
          <w:b/>
          <w:color w:val="000000"/>
          <w:sz w:val="32"/>
          <w:highlight w:val="none"/>
        </w:rPr>
        <w:t xml:space="preserve">采购类别：</w:t>
      </w:r>
      <w:r>
        <w:rPr>
          <w:rFonts w:hint="eastAsia"/>
          <w:color w:val="000000"/>
          <w:sz w:val="30"/>
          <w:highlight w:val="none"/>
          <w:lang w:eastAsia="zh-CN"/>
        </w:rPr>
        <w:t xml:space="preserve">工程类</w:t>
      </w:r>
      <w:r>
        <w:rPr>
          <w:rFonts w:hint="eastAsia"/>
          <w:color w:val="000000"/>
          <w:sz w:val="30"/>
          <w:highlight w:val="none"/>
          <w:lang w:eastAsia="zh-CN"/>
        </w:rPr>
      </w:r>
      <w:r/>
    </w:p>
    <w:p>
      <w:pPr>
        <w:pStyle w:val="734"/>
        <w:rPr>
          <w:rFonts w:hint="eastAsia"/>
          <w:color w:val="000000"/>
          <w:sz w:val="30"/>
          <w:highlight w:val="none"/>
          <w:lang w:eastAsia="zh-CN"/>
        </w:rPr>
      </w:pPr>
      <w:r>
        <w:rPr>
          <w:rFonts w:hint="eastAsia"/>
          <w:color w:val="000000"/>
          <w:sz w:val="30"/>
          <w:highlight w:val="none"/>
          <w:lang w:eastAsia="zh-CN"/>
        </w:rPr>
      </w:r>
      <w:r/>
    </w:p>
    <w:p>
      <w:pPr>
        <w:pStyle w:val="735"/>
        <w:rPr>
          <w:rFonts w:hint="eastAsia"/>
          <w:color w:val="000000"/>
          <w:sz w:val="30"/>
          <w:highlight w:val="none"/>
          <w:lang w:eastAsia="zh-CN"/>
        </w:rPr>
      </w:pPr>
      <w:r>
        <w:rPr>
          <w:rFonts w:hint="eastAsia"/>
          <w:color w:val="000000"/>
          <w:sz w:val="30"/>
          <w:highlight w:val="none"/>
          <w:lang w:eastAsia="zh-CN"/>
        </w:rPr>
      </w:r>
      <w:r/>
    </w:p>
    <w:p>
      <w:pPr>
        <w:pStyle w:val="735"/>
        <w:rPr>
          <w:rFonts w:hint="eastAsia"/>
          <w:color w:val="000000"/>
          <w:sz w:val="30"/>
          <w:highlight w:val="none"/>
          <w:lang w:eastAsia="zh-CN"/>
        </w:rPr>
      </w:pPr>
      <w:r>
        <w:rPr>
          <w:rFonts w:hint="eastAsia"/>
          <w:color w:val="000000"/>
          <w:sz w:val="30"/>
          <w:highlight w:val="none"/>
          <w:lang w:eastAsia="zh-CN"/>
        </w:rPr>
      </w:r>
      <w:r/>
    </w:p>
    <w:p>
      <w:pPr>
        <w:pStyle w:val="735"/>
        <w:rPr>
          <w:rFonts w:hint="eastAsia"/>
          <w:color w:val="000000"/>
          <w:sz w:val="30"/>
          <w:highlight w:val="none"/>
          <w:lang w:eastAsia="zh-CN"/>
        </w:rPr>
      </w:pPr>
      <w:r>
        <w:rPr>
          <w:rFonts w:hint="eastAsia"/>
          <w:color w:val="000000"/>
          <w:sz w:val="30"/>
          <w:highlight w:val="none"/>
          <w:lang w:eastAsia="zh-CN"/>
        </w:rPr>
      </w:r>
      <w:r/>
    </w:p>
    <w:p>
      <w:pPr>
        <w:pStyle w:val="722"/>
        <w:spacing w:line="360" w:lineRule="auto"/>
        <w:rPr>
          <w:b/>
          <w:color w:val="000000"/>
          <w:spacing w:val="-26"/>
          <w:highlight w:val="none"/>
        </w:rPr>
      </w:pPr>
      <w:r>
        <w:rPr>
          <w:b/>
          <w:color w:val="000000"/>
          <w:spacing w:val="-26"/>
          <w:highlight w:val="none"/>
        </w:rPr>
      </w:r>
      <w:r/>
    </w:p>
    <w:p>
      <w:pPr>
        <w:pStyle w:val="722"/>
        <w:rPr>
          <w:color w:val="000000"/>
          <w:highlight w:val="none"/>
        </w:rPr>
      </w:pPr>
      <w:r>
        <w:rPr>
          <w:color w:val="000000"/>
          <w:highlight w:val="none"/>
        </w:rPr>
      </w:r>
      <w:r/>
    </w:p>
    <w:p>
      <w:pPr>
        <w:pStyle w:val="722"/>
        <w:rPr>
          <w:rFonts w:ascii="宋体"/>
          <w:color w:val="000000"/>
          <w:highlight w:val="none"/>
        </w:rPr>
      </w:pP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1637436" cy="17140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37436" cy="1714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9pt;height:135.0pt;mso-wrap-distance-left:0.0pt;mso-wrap-distance-top:0.0pt;mso-wrap-distance-right:0.0pt;mso-wrap-distance-bottom:0.0pt;" stroked="f">
                <v:path textboxrect="0,0,0,0"/>
                <v:imagedata r:id="rId11" o:title=""/>
              </v:shape>
            </w:pict>
          </mc:Fallback>
        </mc:AlternateContent>
      </w:r>
      <w:r>
        <w:rPr>
          <w:rFonts w:ascii="宋体"/>
          <w:color w:val="000000"/>
          <w:highlight w:val="none"/>
        </w:rPr>
      </w:r>
      <w:r/>
    </w:p>
    <w:p>
      <w:pPr>
        <w:pStyle w:val="722"/>
        <w:rPr>
          <w:rFonts w:ascii="宋体"/>
          <w:b/>
          <w:color w:val="000000"/>
          <w:highlight w:val="none"/>
        </w:rPr>
      </w:pPr>
      <w:r>
        <w:rPr>
          <w:rFonts w:ascii="宋体"/>
          <w:b/>
          <w:color w:val="000000"/>
          <w:highlight w:val="none"/>
        </w:rPr>
      </w:r>
      <w:r/>
    </w:p>
    <w:p>
      <w:pPr>
        <w:pStyle w:val="722"/>
        <w:rPr>
          <w:rFonts w:ascii="宋体" w:hAnsi="宋体"/>
          <w:b/>
          <w:color w:val="000000"/>
          <w:sz w:val="32"/>
          <w:highlight w:val="none"/>
        </w:rPr>
      </w:pPr>
      <w:r>
        <w:rPr>
          <w:rFonts w:hint="eastAsia" w:ascii="宋体" w:hAnsi="宋体"/>
          <w:b/>
          <w:color w:val="000000"/>
          <w:sz w:val="32"/>
          <w:highlight w:val="none"/>
        </w:rPr>
        <w:t xml:space="preserve">              </w:t>
      </w:r>
      <w:r>
        <w:rPr>
          <w:rFonts w:hint="eastAsia" w:ascii="宋体" w:hAnsi="宋体"/>
          <w:b/>
          <w:color w:val="000000"/>
          <w:sz w:val="32"/>
          <w:highlight w:val="none"/>
          <w:lang w:val="en-US" w:eastAsia="zh-CN"/>
        </w:rPr>
        <w:t xml:space="preserve">  </w:t>
      </w:r>
      <w:r>
        <w:rPr>
          <w:rFonts w:hint="eastAsia" w:ascii="宋体" w:hAnsi="宋体"/>
          <w:b/>
          <w:color w:val="000000"/>
          <w:sz w:val="32"/>
          <w:highlight w:val="none"/>
        </w:rPr>
        <w:t xml:space="preserve">苏州市永诚建设咨询有限公司</w:t>
      </w:r>
      <w:r>
        <w:rPr>
          <w:rFonts w:ascii="宋体" w:hAnsi="宋体"/>
          <w:b/>
          <w:color w:val="000000"/>
          <w:sz w:val="32"/>
          <w:highlight w:val="none"/>
        </w:rPr>
      </w:r>
      <w:r/>
    </w:p>
    <w:p>
      <w:pPr>
        <w:pStyle w:val="722"/>
        <w:rPr>
          <w:rFonts w:ascii="黑体" w:hAnsi="宋体" w:eastAsia="黑体"/>
          <w:b/>
          <w:color w:val="000000"/>
          <w:sz w:val="32"/>
          <w:highlight w:val="none"/>
        </w:rPr>
      </w:pPr>
      <w:r>
        <w:rPr>
          <w:rFonts w:hint="eastAsia" w:ascii="宋体" w:hAnsi="宋体"/>
          <w:b/>
          <w:color w:val="000000"/>
          <w:sz w:val="32"/>
          <w:highlight w:val="none"/>
        </w:rPr>
        <w:t xml:space="preserve">                    </w:t>
      </w:r>
      <w:r>
        <w:rPr>
          <w:rFonts w:hint="eastAsia" w:ascii="宋体" w:hAnsi="宋体"/>
          <w:b/>
          <w:color w:val="000000"/>
          <w:sz w:val="32"/>
          <w:highlight w:val="none"/>
          <w:lang w:val="en-US" w:eastAsia="zh-CN"/>
        </w:rPr>
        <w:t xml:space="preserve">  </w:t>
      </w:r>
      <w:r>
        <w:rPr>
          <w:rFonts w:hint="eastAsia" w:ascii="宋体" w:hAnsi="宋体"/>
          <w:b/>
          <w:color w:val="000000"/>
          <w:sz w:val="32"/>
          <w:highlight w:val="none"/>
        </w:rPr>
        <w:t xml:space="preserve">二○二</w:t>
      </w:r>
      <w:r>
        <w:rPr>
          <w:rFonts w:hint="eastAsia" w:ascii="宋体" w:hAnsi="宋体"/>
          <w:b/>
          <w:color w:val="000000"/>
          <w:sz w:val="32"/>
          <w:highlight w:val="none"/>
          <w:lang w:val="en-US" w:eastAsia="zh-CN"/>
        </w:rPr>
        <w:t xml:space="preserve">六</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七</w:t>
      </w:r>
      <w:r>
        <w:rPr>
          <w:rFonts w:hint="eastAsia" w:ascii="宋体" w:hAnsi="宋体"/>
          <w:b/>
          <w:color w:val="000000"/>
          <w:sz w:val="32"/>
          <w:highlight w:val="none"/>
        </w:rPr>
        <w:t xml:space="preserve">月</w:t>
      </w:r>
      <w:r>
        <w:rPr>
          <w:rFonts w:ascii="黑体" w:hAnsi="宋体" w:eastAsia="黑体"/>
          <w:b/>
          <w:color w:val="000000"/>
          <w:sz w:val="32"/>
          <w:highlight w:val="none"/>
        </w:rPr>
      </w:r>
      <w:r/>
    </w:p>
    <w:p>
      <w:pPr>
        <w:pStyle w:val="722"/>
        <w:rPr>
          <w:color w:val="000000"/>
          <w:highlight w:val="none"/>
        </w:rPr>
      </w:pPr>
      <w:r>
        <w:rPr>
          <w:color w:val="000000"/>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722"/>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722"/>
        <w:jc w:val="left"/>
        <w:rPr>
          <w:color w:val="000000"/>
          <w:sz w:val="28"/>
          <w:szCs w:val="28"/>
          <w:highlight w:val="none"/>
        </w:rPr>
      </w:pPr>
      <w:r>
        <w:rPr>
          <w:rFonts w:hint="eastAsia"/>
          <w:color w:val="000000"/>
          <w:sz w:val="28"/>
          <w:szCs w:val="28"/>
          <w:highlight w:val="none"/>
        </w:rPr>
        <w:t xml:space="preserve">一、磋商采购公告</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二、</w:t>
      </w:r>
      <w:r>
        <w:rPr>
          <w:color w:val="000000"/>
          <w:sz w:val="28"/>
          <w:szCs w:val="28"/>
          <w:highlight w:val="none"/>
        </w:rPr>
        <w:t xml:space="preserve">磋商须知</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三、采购内容</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四、评审方法及评分标准</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五、合同主要条款及格式</w:t>
      </w:r>
      <w:r>
        <w:rPr>
          <w:color w:val="000000"/>
          <w:sz w:val="28"/>
          <w:szCs w:val="28"/>
          <w:highlight w:val="none"/>
        </w:rPr>
      </w:r>
      <w:r/>
    </w:p>
    <w:p>
      <w:pPr>
        <w:pStyle w:val="722"/>
        <w:jc w:val="left"/>
        <w:rPr>
          <w:rFonts w:hint="eastAsia"/>
          <w:color w:val="000000"/>
          <w:sz w:val="28"/>
          <w:szCs w:val="28"/>
          <w:highlight w:val="none"/>
        </w:rPr>
      </w:pPr>
      <w:r>
        <w:rPr>
          <w:rFonts w:hint="eastAsia"/>
          <w:color w:val="000000"/>
          <w:sz w:val="28"/>
          <w:szCs w:val="28"/>
          <w:highlight w:val="none"/>
        </w:rPr>
        <w:t xml:space="preserve">六、磋商响应文件格式</w:t>
      </w:r>
      <w:r>
        <w:rPr>
          <w:rFonts w:hint="eastAsia"/>
          <w:color w:val="000000"/>
          <w:sz w:val="28"/>
          <w:szCs w:val="28"/>
          <w:highlight w:val="none"/>
        </w:rPr>
      </w:r>
      <w:r/>
    </w:p>
    <w:p>
      <w:pPr>
        <w:pStyle w:val="72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72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22"/>
        <w:rPr>
          <w:color w:val="000000"/>
          <w:highlight w:val="none"/>
        </w:rPr>
      </w:pPr>
      <w:r>
        <w:rPr>
          <w:color w:val="000000"/>
          <w:highlight w:val="none"/>
        </w:rPr>
      </w:r>
      <w:r/>
    </w:p>
    <w:p>
      <w:pPr>
        <w:pStyle w:val="722"/>
        <w:jc w:val="center"/>
        <w:widowControl/>
        <w:rPr>
          <w:rFonts w:hint="eastAsia"/>
          <w:color w:val="000000"/>
          <w:sz w:val="32"/>
          <w:szCs w:val="32"/>
          <w:highlight w:val="none"/>
        </w:rPr>
      </w:pPr>
      <w:r>
        <w:rPr>
          <w:rFonts w:ascii="宋体" w:hAnsi="宋体"/>
          <w:b/>
          <w:color w:val="000000"/>
          <w:sz w:val="32"/>
          <w:highlight w:val="none"/>
        </w:rPr>
        <w:br w:type="page" w:clear="all"/>
      </w:r>
      <w:bookmarkStart w:id="0" w:name="_Hlk121775257"/>
      <w:r>
        <w:rPr>
          <w:rFonts w:hint="eastAsia"/>
          <w:color w:val="000000"/>
          <w:sz w:val="32"/>
          <w:szCs w:val="32"/>
          <w:highlight w:val="none"/>
        </w:rPr>
        <w:t xml:space="preserve">一、磋商采购公告</w:t>
      </w:r>
      <w:bookmarkEnd w:id="0"/>
      <w:r>
        <w:rPr>
          <w:rFonts w:hint="eastAsia"/>
          <w:color w:val="000000"/>
          <w:sz w:val="32"/>
          <w:szCs w:val="32"/>
          <w:highlight w:val="none"/>
        </w:rPr>
      </w:r>
      <w:r/>
    </w:p>
    <w:p>
      <w:pPr>
        <w:pStyle w:val="722"/>
        <w:spacing w:line="360" w:lineRule="auto"/>
        <w:rPr>
          <w:color w:val="000000"/>
          <w:highlight w:val="none"/>
        </w:rPr>
      </w:pPr>
      <w:r>
        <w:rPr>
          <w:rFonts w:hint="eastAsia"/>
          <w:color w:val="000000"/>
          <w:highlight w:val="none"/>
          <w:lang w:eastAsia="zh-CN"/>
        </w:rPr>
        <w:t xml:space="preserve">东园灯光亮化工程JSZC-320500-CCCC-C2026-0019</w:t>
      </w:r>
      <w:r>
        <w:rPr>
          <w:rFonts w:hint="eastAsia"/>
          <w:color w:val="000000"/>
          <w:highlight w:val="none"/>
        </w:rPr>
        <w:t xml:space="preserve"> 采购项目的潜在供应商应在苏采云系统 获取采购文件，并于</w:t>
      </w:r>
      <w:r>
        <w:rPr>
          <w:rFonts w:hint="eastAsia"/>
          <w:color w:val="000000"/>
          <w:highlight w:val="none"/>
          <w:lang w:eastAsia="zh-CN"/>
        </w:rPr>
        <w:t xml:space="preserve">2026-07-27 </w:t>
      </w:r>
      <w:r>
        <w:rPr>
          <w:rFonts w:hint="eastAsia"/>
          <w:color w:val="000000"/>
          <w:highlight w:val="none"/>
        </w:rPr>
        <w:t xml:space="preserve">09:30 （北京时间）前提交响应文件。</w:t>
      </w:r>
      <w:r>
        <w:rPr>
          <w:color w:val="000000"/>
          <w:highlight w:val="none"/>
        </w:rPr>
      </w:r>
      <w:r/>
    </w:p>
    <w:p>
      <w:pPr>
        <w:pStyle w:val="722"/>
        <w:numPr>
          <w:ilvl w:val="0"/>
          <w:numId w:val="1"/>
        </w:numPr>
        <w:spacing w:line="360" w:lineRule="auto"/>
        <w:rPr>
          <w:rFonts w:hint="eastAsia"/>
          <w:b/>
          <w:color w:val="000000"/>
          <w:highlight w:val="none"/>
        </w:rPr>
      </w:pPr>
      <w:r>
        <w:rPr>
          <w:rFonts w:hint="eastAsia"/>
          <w:b/>
          <w:color w:val="000000"/>
          <w:highlight w:val="none"/>
        </w:rPr>
        <w:t xml:space="preserve">项目基本情况</w:t>
      </w:r>
      <w:r>
        <w:rPr>
          <w:rFonts w:hint="eastAsia"/>
          <w:b/>
          <w:color w:val="000000"/>
          <w:highlight w:val="none"/>
        </w:rPr>
      </w:r>
      <w:r/>
    </w:p>
    <w:p>
      <w:pPr>
        <w:pStyle w:val="722"/>
        <w:numPr>
          <w:ilvl w:val="0"/>
          <w:numId w:val="0"/>
        </w:numPr>
        <w:spacing w:line="360" w:lineRule="auto"/>
        <w:rPr>
          <w:rFonts w:hint="eastAsia" w:eastAsia="宋体"/>
          <w:color w:val="000000"/>
          <w:highlight w:val="none"/>
          <w:lang w:eastAsia="zh-CN"/>
        </w:rPr>
      </w:pPr>
      <w:r>
        <w:rPr>
          <w:rFonts w:hint="eastAsia"/>
          <w:color w:val="000000"/>
          <w:highlight w:val="none"/>
        </w:rPr>
        <w:t xml:space="preserve">（一）项目编号：</w:t>
      </w:r>
      <w:r>
        <w:rPr>
          <w:rFonts w:hint="eastAsia"/>
          <w:color w:val="000000"/>
          <w:highlight w:val="none"/>
          <w:lang w:eastAsia="zh-CN"/>
        </w:rPr>
        <w:t xml:space="preserve">JSZC-320500-CCCC-C2026-0019</w:t>
      </w:r>
      <w:r>
        <w:rPr>
          <w:rFonts w:hint="eastAsia" w:eastAsia="宋体"/>
          <w:color w:val="000000"/>
          <w:highlight w:val="none"/>
          <w:lang w:eastAsia="zh-CN"/>
        </w:rPr>
      </w:r>
      <w:r/>
    </w:p>
    <w:p>
      <w:pPr>
        <w:pStyle w:val="722"/>
        <w:spacing w:line="240" w:lineRule="auto"/>
        <w:rPr>
          <w:rFonts w:eastAsia="宋体"/>
          <w:color w:val="000000"/>
          <w:highlight w:val="none"/>
          <w:lang w:val="en-US" w:eastAsia="zh-CN"/>
        </w:rPr>
      </w:pPr>
      <w:r>
        <w:rPr>
          <w:rFonts w:hint="eastAsia"/>
          <w:color w:val="000000"/>
          <w:highlight w:val="none"/>
          <w:lang w:val="en-US" w:eastAsia="zh-CN"/>
        </w:rPr>
        <w:t xml:space="preserve">（二）</w:t>
      </w:r>
      <w:r>
        <w:rPr>
          <w:rFonts w:hint="eastAsia"/>
          <w:color w:val="000000"/>
          <w:highlight w:val="none"/>
        </w:rPr>
        <w:t xml:space="preserve">项目名称：</w:t>
      </w:r>
      <w:r>
        <w:rPr>
          <w:rFonts w:hint="eastAsia"/>
          <w:color w:val="000000"/>
          <w:highlight w:val="none"/>
          <w:lang w:eastAsia="zh-CN"/>
        </w:rPr>
        <w:t xml:space="preserve">东园灯光亮化工程</w:t>
      </w:r>
      <w:r>
        <w:rPr>
          <w:rFonts w:eastAsia="宋体"/>
          <w:color w:val="000000"/>
          <w:highlight w:val="none"/>
          <w:lang w:val="en-US" w:eastAsia="zh-CN"/>
        </w:rPr>
      </w:r>
      <w:r/>
    </w:p>
    <w:p>
      <w:pPr>
        <w:pStyle w:val="722"/>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采购方式：竞争性磋商</w:t>
      </w:r>
      <w:r>
        <w:rPr>
          <w:rFonts w:hint="eastAsia" w:ascii="宋体" w:hAnsi="宋体" w:eastAsia="宋体" w:cs="宋体"/>
          <w:color w:val="000000"/>
          <w:sz w:val="21"/>
          <w:szCs w:val="21"/>
          <w:highlight w:val="none"/>
        </w:rPr>
      </w:r>
      <w:r/>
    </w:p>
    <w:p>
      <w:pPr>
        <w:pStyle w:val="722"/>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预算金额：</w:t>
      </w:r>
      <w:r>
        <w:rPr>
          <w:rFonts w:hint="eastAsia" w:ascii="宋体" w:hAnsi="宋体" w:cs="宋体"/>
          <w:color w:val="000000"/>
          <w:sz w:val="21"/>
          <w:szCs w:val="21"/>
          <w:highlight w:val="none"/>
          <w:lang w:eastAsia="zh-CN"/>
        </w:rPr>
        <w:t xml:space="preserve">人民币叁佰贰拾贰万陆仟柒佰柒拾陆元捌角陆分（￥3226776.86元）</w:t>
      </w:r>
      <w:r>
        <w:rPr>
          <w:rFonts w:hint="eastAsia" w:ascii="宋体" w:hAnsi="宋体" w:eastAsia="宋体" w:cs="宋体"/>
          <w:color w:val="000000"/>
          <w:sz w:val="21"/>
          <w:szCs w:val="21"/>
          <w:highlight w:val="none"/>
          <w:lang w:eastAsia="zh-CN"/>
        </w:rPr>
      </w:r>
      <w:r/>
    </w:p>
    <w:p>
      <w:pPr>
        <w:pStyle w:val="722"/>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最高限价：</w:t>
      </w:r>
      <w:r>
        <w:rPr>
          <w:rFonts w:hint="eastAsia" w:ascii="宋体" w:hAnsi="宋体" w:cs="宋体"/>
          <w:color w:val="000000"/>
          <w:sz w:val="21"/>
          <w:szCs w:val="21"/>
          <w:highlight w:val="none"/>
          <w:lang w:eastAsia="zh-CN"/>
        </w:rPr>
        <w:t xml:space="preserve">人民币叁佰贰拾贰万陆仟柒佰柒拾陆元捌角陆分（￥3226776.86元）</w:t>
      </w:r>
      <w:r>
        <w:rPr>
          <w:rFonts w:hint="eastAsia" w:ascii="宋体" w:hAnsi="宋体" w:eastAsia="宋体" w:cs="宋体"/>
          <w:color w:val="000000"/>
          <w:sz w:val="21"/>
          <w:szCs w:val="21"/>
          <w:highlight w:val="none"/>
          <w:lang w:eastAsia="zh-CN"/>
        </w:rPr>
      </w:r>
      <w:r/>
    </w:p>
    <w:p>
      <w:pPr>
        <w:pStyle w:val="72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en-US"/>
        </w:rPr>
        <w:t xml:space="preserve">工程概况：对东园整体进行灯光亮化提升，消除安全隐患，改善景观效果。</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en-US"/>
        </w:rPr>
        <w:t xml:space="preserve">工程地点：本工程位于苏州市</w:t>
      </w:r>
      <w:r>
        <w:rPr>
          <w:rFonts w:hint="eastAsia" w:ascii="宋体" w:hAnsi="宋体" w:cs="宋体"/>
          <w:color w:val="000000"/>
          <w:highlight w:val="none"/>
          <w:lang w:val="en-US" w:eastAsia="zh-CN"/>
        </w:rPr>
        <w:t xml:space="preserve">东</w:t>
      </w:r>
      <w:r>
        <w:rPr>
          <w:rFonts w:hint="eastAsia" w:ascii="宋体" w:hAnsi="宋体" w:eastAsia="宋体" w:cs="宋体"/>
          <w:color w:val="000000"/>
          <w:highlight w:val="none"/>
          <w:lang w:val="en-US" w:eastAsia="en-US"/>
        </w:rPr>
        <w:t xml:space="preserve">园区域内。</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en-US"/>
        </w:rPr>
        <w:t xml:space="preserve">施工工期：</w:t>
      </w:r>
      <w:r>
        <w:rPr>
          <w:rFonts w:hint="eastAsia" w:ascii="宋体" w:hAnsi="宋体" w:cs="宋体"/>
          <w:color w:val="000000"/>
          <w:highlight w:val="none"/>
          <w:lang w:val="en-US" w:eastAsia="zh-CN"/>
        </w:rPr>
        <w:t xml:space="preserve">90日历天</w:t>
      </w:r>
      <w:r>
        <w:rPr>
          <w:rFonts w:hint="eastAsia" w:ascii="宋体" w:hAnsi="宋体" w:eastAsia="宋体" w:cs="宋体"/>
          <w:color w:val="000000"/>
          <w:highlight w:val="none"/>
          <w:lang w:val="en-US" w:eastAsia="en-US"/>
        </w:rPr>
        <w:t xml:space="preserve">，</w:t>
      </w:r>
      <w:r>
        <w:rPr>
          <w:rFonts w:hint="eastAsia" w:ascii="宋体" w:hAnsi="宋体" w:eastAsia="宋体" w:cs="宋体"/>
          <w:color w:val="000000"/>
          <w:highlight w:val="none"/>
          <w:lang w:val="en-US" w:eastAsia="en-US"/>
        </w:rPr>
        <w:t xml:space="preserve"> 以实际开工时间为准。</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资金来源：财政资金。</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项目质量要求：合格。</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项目承包方式：包工包料。</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工程报价方式：固定综合单价。</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验收标准：根据现行国家、行业相关技术、施工及验收标准、规范规程及采购需求进行验收。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9、质保期：1年</w:t>
      </w:r>
      <w:r>
        <w:rPr>
          <w:rFonts w:hint="eastAsia" w:ascii="宋体" w:hAnsi="宋体" w:eastAsia="宋体" w:cs="宋体"/>
          <w:color w:val="000000"/>
          <w:highlight w:val="none"/>
          <w:lang w:val="en-US" w:eastAsia="zh-CN"/>
        </w:rPr>
      </w:r>
      <w:r/>
    </w:p>
    <w:p>
      <w:pPr>
        <w:pStyle w:val="722"/>
        <w:keepLines w:val="0"/>
        <w:keepNext w:val="0"/>
        <w:pageBreakBefore w:val="0"/>
        <w:spacing w:line="240" w:lineRule="auto"/>
        <w:widowControl w:val="off"/>
        <w:rPr>
          <w:rFonts w:hint="eastAsia"/>
          <w:color w:val="000000"/>
          <w:highlight w:val="none"/>
        </w:rPr>
      </w:pPr>
      <w:r>
        <w:rPr>
          <w:rFonts w:hint="eastAsia"/>
          <w:color w:val="000000"/>
          <w:highlight w:val="none"/>
        </w:rPr>
        <w:t xml:space="preserve">本项目（是/否）接受联合体：否</w:t>
      </w:r>
      <w:r>
        <w:rPr>
          <w:color w:val="000000"/>
          <w:highlight w:val="none"/>
        </w:rPr>
        <w:t xml:space="preserve"> </w:t>
      </w:r>
      <w:r>
        <w:rPr>
          <w:rFonts w:hint="eastAsia"/>
          <w:color w:val="000000"/>
          <w:highlight w:val="none"/>
        </w:rPr>
      </w:r>
      <w:r/>
    </w:p>
    <w:p>
      <w:pPr>
        <w:pStyle w:val="909"/>
        <w:spacing w:line="360" w:lineRule="auto"/>
        <w:shd w:val="clear" w:color="auto" w:fill="ffffff"/>
        <w:rPr>
          <w:rFonts w:ascii="Times New Roman" w:eastAsia="宋体"/>
          <w:b/>
          <w:color w:val="000000"/>
          <w:sz w:val="21"/>
          <w:highlight w:val="none"/>
        </w:rPr>
      </w:pPr>
      <w:r>
        <w:rPr>
          <w:rFonts w:hint="eastAsia" w:ascii="Times New Roman" w:eastAsia="宋体"/>
          <w:b/>
          <w:color w:val="000000"/>
          <w:sz w:val="21"/>
          <w:highlight w:val="none"/>
        </w:rPr>
        <w:t xml:space="preserve">二、申请人的资格要求：</w:t>
      </w:r>
      <w:r>
        <w:rPr>
          <w:rFonts w:ascii="Times New Roman" w:eastAsia="宋体"/>
          <w:b/>
          <w:color w:val="000000"/>
          <w:sz w:val="21"/>
          <w:highlight w:val="none"/>
        </w:rPr>
      </w:r>
      <w:r/>
    </w:p>
    <w:p>
      <w:pPr>
        <w:pStyle w:val="722"/>
        <w:spacing w:line="360" w:lineRule="auto"/>
        <w:rPr>
          <w:rFonts w:hint="eastAsia"/>
          <w:color w:val="000000"/>
          <w:highlight w:val="none"/>
        </w:rPr>
      </w:pPr>
      <w:r>
        <w:rPr>
          <w:rFonts w:hint="eastAsia"/>
          <w:color w:val="000000"/>
          <w:highlight w:val="none"/>
        </w:rPr>
        <w:t xml:space="preserve">（一）满足《中华人民共和国政府采购法》第二十二条规定； </w:t>
      </w:r>
      <w:r>
        <w:rPr>
          <w:rFonts w:hint="eastAsia"/>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具有独立承担民事责任的能力;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具有良好的商业信誉和健全的财务会计制度;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具有履行合同所必备的设备和专业技术能力;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有依法缴纳税收和社会保障基金的良好记录;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参加政府采购活动前三年内，在经营活动中没有重大违法记录；</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法律、行政法规规定的其他条件。</w:t>
      </w:r>
      <w:r>
        <w:rPr>
          <w:rFonts w:hint="eastAsia" w:ascii="宋体" w:hAnsi="宋体" w:eastAsia="宋体" w:cs="宋体"/>
          <w:color w:val="000000"/>
          <w:highlight w:val="none"/>
        </w:rPr>
      </w:r>
      <w:r/>
    </w:p>
    <w:p>
      <w:pPr>
        <w:pStyle w:val="722"/>
        <w:spacing w:line="360" w:lineRule="auto"/>
        <w:rPr>
          <w:color w:val="000000"/>
          <w:highlight w:val="none"/>
        </w:rPr>
      </w:pPr>
      <w:r>
        <w:rPr>
          <w:rFonts w:hint="eastAsia"/>
          <w:color w:val="000000"/>
          <w:highlight w:val="none"/>
        </w:rPr>
        <w:t xml:space="preserve">（二）落实政府采购政策需满足的资格要求：</w:t>
      </w:r>
      <w:r>
        <w:rPr>
          <w:color w:val="000000"/>
          <w:highlight w:val="none"/>
        </w:rPr>
      </w:r>
      <w:r/>
    </w:p>
    <w:p>
      <w:pPr>
        <w:pStyle w:val="722"/>
        <w:spacing w:line="360" w:lineRule="auto"/>
        <w:rPr>
          <w:color w:val="000000"/>
          <w:highlight w:val="none"/>
        </w:rPr>
      </w:pPr>
      <w:r>
        <w:rPr>
          <w:rFonts w:hint="eastAsia"/>
          <w:color w:val="000000"/>
          <w:highlight w:val="none"/>
        </w:rPr>
        <w:t xml:space="preserve">本项目专门面向中小企业采购。所属行业为</w:t>
      </w:r>
      <w:r>
        <w:rPr>
          <w:color w:val="000000"/>
          <w:spacing w:val="7"/>
          <w:highlight w:val="none"/>
        </w:rPr>
        <w:t xml:space="preserve">建筑业</w:t>
      </w:r>
      <w:r>
        <w:rPr>
          <w:rFonts w:hint="eastAsia"/>
          <w:color w:val="000000"/>
          <w:highlight w:val="none"/>
        </w:rPr>
        <w:t xml:space="preserve">。</w:t>
      </w:r>
      <w:r>
        <w:rPr>
          <w:color w:val="000000"/>
          <w:highlight w:val="none"/>
        </w:rPr>
      </w:r>
      <w:r/>
    </w:p>
    <w:p>
      <w:pPr>
        <w:pStyle w:val="722"/>
        <w:numPr>
          <w:ilvl w:val="0"/>
          <w:numId w:val="2"/>
        </w:numPr>
        <w:spacing w:line="360" w:lineRule="auto"/>
        <w:rPr>
          <w:rFonts w:hint="eastAsia"/>
          <w:color w:val="000000"/>
          <w:highlight w:val="none"/>
        </w:rPr>
      </w:pPr>
      <w:r>
        <w:rPr>
          <w:rFonts w:hint="eastAsia"/>
          <w:color w:val="000000"/>
          <w:highlight w:val="none"/>
        </w:rPr>
        <w:t xml:space="preserve">本项目的特定资格要求：</w:t>
      </w:r>
      <w:r>
        <w:rPr>
          <w:rFonts w:hint="eastAsia"/>
          <w:color w:val="000000"/>
          <w:highlight w:val="none"/>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具有</w:t>
      </w:r>
      <w:r>
        <w:rPr>
          <w:rFonts w:ascii="宋体" w:hAnsi="宋体" w:cs="宋体"/>
          <w:color w:val="000000"/>
          <w:highlight w:val="none"/>
          <w:lang w:val="en-US" w:eastAsia="zh-CN"/>
        </w:rPr>
        <w:t xml:space="preserve">城市及道路照明工程专业承包三级及以上</w:t>
      </w:r>
      <w:r>
        <w:rPr>
          <w:rFonts w:ascii="宋体" w:hAnsi="宋体" w:cs="宋体"/>
          <w:color w:val="000000"/>
          <w:highlight w:val="none"/>
          <w:lang w:val="en-US" w:eastAsia="zh-CN"/>
        </w:rPr>
        <w:t xml:space="preserve">资质</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具有有效期内的安全生产许可证。</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拟选派项目经理具备</w:t>
      </w:r>
      <w:r>
        <w:rPr>
          <w:rFonts w:ascii="宋体" w:hAnsi="宋体" w:cs="宋体"/>
          <w:color w:val="000000"/>
          <w:highlight w:val="none"/>
          <w:lang w:val="en-US" w:eastAsia="zh-CN"/>
        </w:rPr>
        <w:t xml:space="preserve">机电工程贰级及以上建造师</w:t>
      </w:r>
      <w:r>
        <w:rPr>
          <w:rFonts w:hint="eastAsia" w:ascii="宋体" w:hAnsi="宋体" w:eastAsia="宋体" w:cs="宋体"/>
          <w:color w:val="000000"/>
          <w:highlight w:val="none"/>
          <w:lang w:val="en-US" w:eastAsia="zh-CN"/>
        </w:rPr>
        <w:t xml:space="preserve">注册证书并具备项目经理安全生产考核合格证（B 类）证书，且项目负责人除满足资格条件外还必须满足以下条件：①项目负责人不得同时在两个或者两个以上单位受聘或者执业。②项目负责人是非变更后无在建工程，或项目负责人是变更后无在建工程（必须 原合同工期已满且变更备案之日已满 6 个月），或因非承包方原因致使工程项目停工或因故不能按期开工、 且已办理了项目负责人相关手续。</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注：本项目不允许转包、分包，且响应单位不得为：①为采购人不具有独立法人资格的附属机构（单位）； ②为本采购项目的监理人、代建人、项目管理人， 以及为本采购项目提供招标代理、设计服务的；③与本采购项目的监理人、代建人、招标代理机构同为一个法定代表人的，或者相互控股、参股的；④与采购人存在 利害关系可能影响招标</w:t>
      </w:r>
      <w:r>
        <w:rPr>
          <w:rFonts w:hint="eastAsia" w:ascii="宋体" w:hAnsi="宋体" w:cs="宋体"/>
          <w:color w:val="000000"/>
          <w:highlight w:val="none"/>
          <w:lang w:val="en-US" w:eastAsia="zh-CN"/>
        </w:rPr>
        <w:t xml:space="preserve">（采购）</w:t>
      </w:r>
      <w:r>
        <w:rPr>
          <w:rFonts w:hint="eastAsia" w:ascii="宋体" w:hAnsi="宋体" w:eastAsia="宋体" w:cs="宋体"/>
          <w:color w:val="000000"/>
          <w:highlight w:val="none"/>
          <w:lang w:val="en-US" w:eastAsia="zh-CN"/>
        </w:rPr>
        <w:t xml:space="preserve">公正性的。</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为本项目提供整体设计、规范编制或者项目管理、监理、监测等服务的供应商，不得再参加该采购项目的其他采购活动。</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未被列入失信被执行人、重大税收违法案件当事人名单、政府采购严重失信行为记录名单；</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highlight w:val="none"/>
          <w:lang w:val="en-US" w:eastAsia="zh-CN"/>
        </w:rPr>
      </w:r>
      <w:r/>
    </w:p>
    <w:p>
      <w:pPr>
        <w:pStyle w:val="909"/>
        <w:spacing w:line="360" w:lineRule="auto"/>
        <w:shd w:val="clear" w:color="auto" w:fill="ffffff"/>
        <w:rPr>
          <w:rFonts w:ascii="Times New Roman" w:eastAsia="宋体"/>
          <w:b/>
          <w:color w:val="000000"/>
          <w:sz w:val="21"/>
          <w:highlight w:val="none"/>
        </w:rPr>
      </w:pPr>
      <w:r>
        <w:rPr>
          <w:rFonts w:hint="eastAsia" w:ascii="Times New Roman" w:eastAsia="宋体"/>
          <w:b/>
          <w:color w:val="000000"/>
          <w:sz w:val="21"/>
          <w:highlight w:val="none"/>
        </w:rPr>
        <w:t xml:space="preserve">三、获取采购文件:</w:t>
      </w:r>
      <w:r>
        <w:rPr>
          <w:rFonts w:ascii="Times New Roman" w:eastAsia="宋体"/>
          <w:b/>
          <w:color w:val="000000"/>
          <w:sz w:val="21"/>
          <w:highlight w:val="none"/>
        </w:rPr>
      </w:r>
      <w:r/>
    </w:p>
    <w:p>
      <w:pPr>
        <w:pStyle w:val="722"/>
        <w:spacing w:line="360" w:lineRule="auto"/>
        <w:rPr>
          <w:rFonts w:hint="eastAsia"/>
          <w:color w:val="000000"/>
          <w:highlight w:val="none"/>
        </w:rPr>
      </w:pPr>
      <w:r>
        <w:rPr>
          <w:rFonts w:hint="eastAsia"/>
          <w:color w:val="000000"/>
          <w:highlight w:val="none"/>
        </w:rPr>
        <w:t xml:space="preserve">时间：自磋商文件公告发布之日起5个工作日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地点：苏采云系统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方式：插入CA证书登陆“苏采云”系统后选择具体项目，点击“我要参与”并签章提交《</w:t>
      </w:r>
      <w:r>
        <w:rPr>
          <w:rFonts w:hint="eastAsia"/>
          <w:color w:val="000000"/>
          <w:highlight w:val="none"/>
          <w:lang w:eastAsia="zh-CN"/>
        </w:rPr>
        <w:t xml:space="preserve">投标（响应）供应商确认函</w:t>
      </w:r>
      <w:r>
        <w:rPr>
          <w:rFonts w:hint="eastAsia"/>
          <w:color w:val="000000"/>
          <w:highlight w:val="none"/>
        </w:rPr>
        <w:t xml:space="preserve">》，提交《</w:t>
      </w:r>
      <w:r>
        <w:rPr>
          <w:rFonts w:hint="eastAsia"/>
          <w:color w:val="000000"/>
          <w:highlight w:val="none"/>
          <w:lang w:eastAsia="zh-CN"/>
        </w:rPr>
        <w:t xml:space="preserve">投标（响应）供应商确认函</w:t>
      </w:r>
      <w:r>
        <w:rPr>
          <w:rFonts w:hint="eastAsia"/>
          <w:color w:val="000000"/>
          <w:highlight w:val="none"/>
        </w:rPr>
        <w:t xml:space="preserve">》日期视同为依法获取</w:t>
      </w:r>
      <w:r>
        <w:rPr>
          <w:rFonts w:hint="eastAsia"/>
          <w:color w:val="000000"/>
          <w:highlight w:val="none"/>
          <w:lang w:eastAsia="zh-CN"/>
        </w:rPr>
        <w:t xml:space="preserve">招标（采购)文件</w:t>
      </w:r>
      <w:r>
        <w:rPr>
          <w:rFonts w:hint="eastAsia"/>
          <w:color w:val="000000"/>
          <w:highlight w:val="none"/>
        </w:rPr>
        <w:t xml:space="preserve">日期。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售价：免费</w:t>
      </w:r>
      <w:r>
        <w:rPr>
          <w:rFonts w:hint="eastAsia"/>
          <w:color w:val="000000"/>
          <w:highlight w:val="none"/>
        </w:rPr>
      </w:r>
      <w:r/>
    </w:p>
    <w:p>
      <w:pPr>
        <w:pStyle w:val="722"/>
        <w:spacing w:line="360" w:lineRule="auto"/>
        <w:rPr>
          <w:b/>
          <w:color w:val="000000"/>
          <w:highlight w:val="none"/>
        </w:rPr>
      </w:pPr>
      <w:r>
        <w:rPr>
          <w:rFonts w:hint="eastAsia"/>
          <w:b/>
          <w:color w:val="000000"/>
          <w:highlight w:val="none"/>
        </w:rPr>
        <w:t xml:space="preserve">四、响应文件提交 </w:t>
      </w:r>
      <w:r>
        <w:rPr>
          <w:b/>
          <w:color w:val="000000"/>
          <w:highlight w:val="none"/>
        </w:rPr>
      </w:r>
      <w:r/>
    </w:p>
    <w:p>
      <w:pPr>
        <w:pStyle w:val="722"/>
        <w:spacing w:line="360" w:lineRule="auto"/>
        <w:rPr>
          <w:color w:val="000000"/>
          <w:highlight w:val="none"/>
        </w:rPr>
      </w:pPr>
      <w:r>
        <w:rPr>
          <w:rFonts w:hint="eastAsia"/>
          <w:color w:val="000000"/>
          <w:highlight w:val="none"/>
        </w:rPr>
        <w:t xml:space="preserve">截止时间：</w:t>
      </w:r>
      <w:r>
        <w:rPr>
          <w:rFonts w:hint="eastAsia"/>
          <w:color w:val="000000"/>
          <w:highlight w:val="none"/>
          <w:lang w:eastAsia="zh-CN"/>
        </w:rPr>
        <w:t xml:space="preserve">2026-</w:t>
      </w:r>
      <w:r>
        <w:rPr>
          <w:rFonts w:hint="eastAsia"/>
          <w:color w:val="000000"/>
          <w:highlight w:val="none"/>
          <w:lang w:val="en-US" w:eastAsia="zh-CN"/>
        </w:rPr>
        <w:t xml:space="preserve">07</w:t>
      </w:r>
      <w:r>
        <w:rPr>
          <w:rFonts w:hint="eastAsia"/>
          <w:color w:val="000000"/>
          <w:highlight w:val="none"/>
          <w:lang w:eastAsia="zh-CN"/>
        </w:rPr>
        <w:t xml:space="preserve">-</w:t>
      </w:r>
      <w:r>
        <w:rPr>
          <w:rFonts w:hint="eastAsia"/>
          <w:color w:val="000000"/>
          <w:highlight w:val="none"/>
          <w:lang w:val="en-US" w:eastAsia="zh-CN"/>
        </w:rPr>
        <w:t xml:space="preserve">27</w:t>
      </w:r>
      <w:r>
        <w:rPr>
          <w:rFonts w:hint="eastAsia"/>
          <w:color w:val="000000"/>
          <w:highlight w:val="none"/>
        </w:rPr>
        <w:t xml:space="preserve">  09:30 （北京时间）</w:t>
      </w:r>
      <w:r>
        <w:rPr>
          <w:color w:val="000000"/>
          <w:highlight w:val="none"/>
        </w:rPr>
      </w:r>
      <w:r/>
    </w:p>
    <w:p>
      <w:pPr>
        <w:pStyle w:val="722"/>
        <w:spacing w:line="360" w:lineRule="auto"/>
        <w:rPr>
          <w:rFonts w:hint="eastAsia" w:ascii="宋体" w:hAnsi="宋体" w:cs="宋体"/>
          <w:color w:val="000000"/>
          <w:szCs w:val="21"/>
          <w:highlight w:val="none"/>
        </w:rPr>
      </w:pPr>
      <w:r>
        <w:rPr>
          <w:rFonts w:hint="eastAsia"/>
          <w:color w:val="000000"/>
          <w:highlight w:val="none"/>
        </w:rPr>
        <w:t xml:space="preserve">地点：</w:t>
      </w:r>
      <w:r>
        <w:rPr>
          <w:rFonts w:hint="eastAsia" w:ascii="宋体" w:hAnsi="宋体" w:cs="宋体"/>
          <w:color w:val="000000"/>
          <w:szCs w:val="21"/>
          <w:highlight w:val="none"/>
        </w:rPr>
        <w:t xml:space="preserve">苏采云</w:t>
      </w:r>
      <w:r>
        <w:rPr>
          <w:rFonts w:hint="eastAsia"/>
          <w:color w:val="000000"/>
          <w:highlight w:val="none"/>
        </w:rPr>
        <w:t xml:space="preserve">系统</w:t>
      </w:r>
      <w:r>
        <w:rPr>
          <w:rFonts w:hint="eastAsia" w:ascii="宋体" w:hAnsi="宋体" w:cs="宋体"/>
          <w:color w:val="000000"/>
          <w:szCs w:val="21"/>
          <w:highlight w:val="none"/>
        </w:rPr>
      </w:r>
      <w:r/>
    </w:p>
    <w:p>
      <w:pPr>
        <w:pStyle w:val="722"/>
        <w:spacing w:line="360" w:lineRule="auto"/>
        <w:rPr>
          <w:b/>
          <w:color w:val="000000"/>
          <w:highlight w:val="none"/>
        </w:rPr>
      </w:pPr>
      <w:r>
        <w:rPr>
          <w:rFonts w:hint="eastAsia"/>
          <w:b/>
          <w:color w:val="000000"/>
          <w:highlight w:val="none"/>
        </w:rPr>
        <w:t xml:space="preserve">五、开启 </w:t>
      </w:r>
      <w:r>
        <w:rPr>
          <w:b/>
          <w:color w:val="000000"/>
          <w:highlight w:val="none"/>
        </w:rPr>
      </w:r>
      <w:r/>
    </w:p>
    <w:p>
      <w:pPr>
        <w:pStyle w:val="722"/>
        <w:spacing w:line="360" w:lineRule="auto"/>
        <w:rPr>
          <w:color w:val="000000"/>
          <w:highlight w:val="none"/>
        </w:rPr>
      </w:pPr>
      <w:r>
        <w:rPr>
          <w:rFonts w:hint="eastAsia"/>
          <w:color w:val="000000"/>
          <w:highlight w:val="none"/>
        </w:rPr>
        <w:t xml:space="preserve">时间：</w:t>
      </w:r>
      <w:r>
        <w:rPr>
          <w:rFonts w:hint="eastAsia"/>
          <w:color w:val="000000"/>
          <w:highlight w:val="none"/>
          <w:lang w:eastAsia="zh-CN"/>
        </w:rPr>
        <w:t xml:space="preserve">2026-</w:t>
      </w:r>
      <w:r>
        <w:rPr>
          <w:rFonts w:hint="eastAsia"/>
          <w:color w:val="000000"/>
          <w:highlight w:val="none"/>
          <w:lang w:val="en-US" w:eastAsia="zh-CN"/>
        </w:rPr>
        <w:t xml:space="preserve">07</w:t>
      </w:r>
      <w:r>
        <w:rPr>
          <w:rFonts w:hint="eastAsia"/>
          <w:color w:val="000000"/>
          <w:highlight w:val="none"/>
          <w:lang w:eastAsia="zh-CN"/>
        </w:rPr>
        <w:t xml:space="preserve">-</w:t>
      </w:r>
      <w:r>
        <w:rPr>
          <w:rFonts w:hint="eastAsia"/>
          <w:color w:val="000000"/>
          <w:highlight w:val="none"/>
          <w:lang w:val="en-US" w:eastAsia="zh-CN"/>
        </w:rPr>
        <w:t xml:space="preserve">27</w:t>
      </w:r>
      <w:r>
        <w:rPr>
          <w:rFonts w:hint="eastAsia"/>
          <w:color w:val="000000"/>
          <w:highlight w:val="none"/>
        </w:rPr>
        <w:t xml:space="preserve">  09</w:t>
      </w:r>
      <w:r>
        <w:rPr>
          <w:color w:val="000000"/>
          <w:highlight w:val="none"/>
        </w:rPr>
        <w:t xml:space="preserve">:</w:t>
      </w:r>
      <w:r>
        <w:rPr>
          <w:rFonts w:hint="eastAsia"/>
          <w:color w:val="000000"/>
          <w:highlight w:val="none"/>
        </w:rPr>
        <w:t xml:space="preserve">30（北京时间）</w:t>
      </w:r>
      <w:r>
        <w:rPr>
          <w:color w:val="000000"/>
          <w:highlight w:val="none"/>
        </w:rPr>
      </w:r>
      <w:r/>
    </w:p>
    <w:p>
      <w:pPr>
        <w:pStyle w:val="722"/>
        <w:spacing w:line="360" w:lineRule="auto"/>
        <w:rPr>
          <w:rFonts w:hint="eastAsia"/>
          <w:color w:val="000000"/>
          <w:highlight w:val="none"/>
        </w:rPr>
      </w:pPr>
      <w:r>
        <w:rPr>
          <w:rFonts w:hint="eastAsia"/>
          <w:color w:val="000000"/>
          <w:highlight w:val="none"/>
        </w:rPr>
        <w:t xml:space="preserve">地点：苏采云政府采购一体化平台开标大厅（网上不见面开标）</w:t>
      </w:r>
      <w:r>
        <w:rPr>
          <w:rFonts w:hint="eastAsia"/>
          <w:color w:val="000000"/>
          <w:highlight w:val="none"/>
        </w:rPr>
      </w:r>
      <w:r/>
    </w:p>
    <w:p>
      <w:pPr>
        <w:pStyle w:val="722"/>
        <w:spacing w:line="360" w:lineRule="auto"/>
        <w:rPr>
          <w:b/>
          <w:color w:val="000000"/>
          <w:highlight w:val="none"/>
        </w:rPr>
      </w:pPr>
      <w:r>
        <w:rPr>
          <w:rFonts w:hint="eastAsia"/>
          <w:b/>
          <w:color w:val="000000"/>
          <w:highlight w:val="none"/>
        </w:rPr>
        <w:t xml:space="preserve">六、公告期限 </w:t>
      </w:r>
      <w:r>
        <w:rPr>
          <w:b/>
          <w:color w:val="000000"/>
          <w:highlight w:val="none"/>
        </w:rPr>
      </w:r>
      <w:r/>
    </w:p>
    <w:p>
      <w:pPr>
        <w:pStyle w:val="722"/>
        <w:spacing w:line="360" w:lineRule="auto"/>
        <w:rPr>
          <w:color w:val="000000"/>
          <w:highlight w:val="none"/>
        </w:rPr>
      </w:pPr>
      <w:r>
        <w:rPr>
          <w:rFonts w:hint="eastAsia"/>
          <w:color w:val="000000"/>
          <w:highlight w:val="none"/>
        </w:rPr>
        <w:t xml:space="preserve">自本公告发布之日起3个工作日。 </w:t>
      </w:r>
      <w:r>
        <w:rPr>
          <w:color w:val="000000"/>
          <w:highlight w:val="none"/>
        </w:rPr>
      </w:r>
      <w:r/>
    </w:p>
    <w:p>
      <w:pPr>
        <w:pStyle w:val="722"/>
        <w:spacing w:line="360" w:lineRule="auto"/>
        <w:tabs>
          <w:tab w:val="left" w:pos="720" w:leader="none"/>
        </w:tabs>
        <w:rPr>
          <w:b/>
          <w:color w:val="000000"/>
          <w:highlight w:val="none"/>
        </w:rPr>
      </w:pPr>
      <w:r>
        <w:rPr>
          <w:rFonts w:hint="eastAsia"/>
          <w:b/>
          <w:color w:val="000000"/>
          <w:highlight w:val="none"/>
        </w:rPr>
        <w:t xml:space="preserve">七、其他补充事宜 </w:t>
      </w:r>
      <w:r>
        <w:rPr>
          <w:b/>
          <w:color w:val="000000"/>
          <w:highlight w:val="none"/>
        </w:rPr>
      </w:r>
      <w:r/>
    </w:p>
    <w:p>
      <w:pPr>
        <w:pStyle w:val="722"/>
        <w:spacing w:line="360" w:lineRule="auto"/>
        <w:rPr>
          <w:rFonts w:hint="eastAsia"/>
          <w:color w:val="000000"/>
          <w:highlight w:val="none"/>
        </w:rPr>
      </w:pPr>
      <w:r>
        <w:rPr>
          <w:rFonts w:hint="eastAsia"/>
          <w:color w:val="000000"/>
          <w:highlight w:val="none"/>
        </w:rPr>
        <w:t xml:space="preserve">1、本项目采用不见面开标</w:t>
      </w:r>
      <w:r>
        <w:rPr>
          <w:rFonts w:hint="eastAsia"/>
          <w:color w:val="000000"/>
          <w:highlight w:val="none"/>
          <w:lang w:eastAsia="zh-CN"/>
        </w:rPr>
        <w:t xml:space="preserve">（</w:t>
      </w:r>
      <w:r>
        <w:rPr>
          <w:rFonts w:hint="eastAsia"/>
          <w:color w:val="000000"/>
          <w:highlight w:val="none"/>
          <w:lang w:val="en-US" w:eastAsia="zh-CN"/>
        </w:rPr>
        <w:t xml:space="preserve">开启）</w:t>
      </w:r>
      <w:r>
        <w:rPr>
          <w:rFonts w:hint="eastAsia"/>
          <w:color w:val="000000"/>
          <w:highlight w:val="none"/>
        </w:rPr>
        <w:t xml:space="preserve">方式，</w:t>
      </w:r>
      <w:r>
        <w:rPr>
          <w:rFonts w:hint="eastAsia"/>
          <w:color w:val="000000"/>
          <w:highlight w:val="none"/>
          <w:lang w:eastAsia="zh-CN"/>
        </w:rPr>
        <w:t xml:space="preserve">响应人</w:t>
      </w:r>
      <w:r>
        <w:rPr>
          <w:rFonts w:hint="eastAsia"/>
          <w:color w:val="000000"/>
          <w:highlight w:val="none"/>
        </w:rPr>
        <w:t xml:space="preserve">无须到达开标</w:t>
      </w:r>
      <w:r>
        <w:rPr>
          <w:rFonts w:hint="eastAsia"/>
          <w:color w:val="000000"/>
          <w:highlight w:val="none"/>
          <w:lang w:eastAsia="zh-CN"/>
        </w:rPr>
        <w:t xml:space="preserve">（</w:t>
      </w:r>
      <w:r>
        <w:rPr>
          <w:rFonts w:hint="eastAsia"/>
          <w:color w:val="000000"/>
          <w:highlight w:val="none"/>
          <w:lang w:val="en-US" w:eastAsia="zh-CN"/>
        </w:rPr>
        <w:t xml:space="preserve">开启）</w:t>
      </w:r>
      <w:r>
        <w:rPr>
          <w:rFonts w:hint="eastAsia"/>
          <w:color w:val="000000"/>
          <w:highlight w:val="none"/>
        </w:rPr>
        <w:t xml:space="preserve">现场。</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2、各</w:t>
      </w:r>
      <w:r>
        <w:rPr>
          <w:rFonts w:hint="eastAsia"/>
          <w:color w:val="000000"/>
          <w:highlight w:val="none"/>
          <w:lang w:eastAsia="zh-CN"/>
        </w:rPr>
        <w:t xml:space="preserve">响应人</w:t>
      </w:r>
      <w:r>
        <w:rPr>
          <w:rFonts w:hint="eastAsia"/>
          <w:color w:val="000000"/>
          <w:highlight w:val="none"/>
        </w:rPr>
        <w:t xml:space="preserve">（供应商）应及时办理相关业务，为熟悉电子</w:t>
      </w:r>
      <w:r>
        <w:rPr>
          <w:rFonts w:hint="eastAsia"/>
          <w:color w:val="000000"/>
          <w:highlight w:val="none"/>
          <w:lang w:eastAsia="zh-CN"/>
        </w:rPr>
        <w:t xml:space="preserve">投标（响应）</w:t>
      </w:r>
      <w:r>
        <w:rPr>
          <w:rFonts w:hint="eastAsia"/>
          <w:color w:val="000000"/>
          <w:highlight w:val="none"/>
        </w:rPr>
        <w:t xml:space="preserve">流程预留必要准备时间。</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3、有关电子</w:t>
      </w:r>
      <w:r>
        <w:rPr>
          <w:rFonts w:hint="eastAsia"/>
          <w:color w:val="000000"/>
          <w:highlight w:val="none"/>
          <w:lang w:eastAsia="zh-CN"/>
        </w:rPr>
        <w:t xml:space="preserve">投标（响应）</w:t>
      </w:r>
      <w:r>
        <w:rPr>
          <w:rFonts w:hint="eastAsia"/>
          <w:color w:val="000000"/>
          <w:highlight w:val="none"/>
        </w:rPr>
        <w:t xml:space="preserve">具体操作方法详见苏采云系统中的客户端使用说明和供应商《操作手册》。</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4、本次采购的有关信息将在以下网站上发布：</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4.1、中国政府采购网</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4.2、江苏政府采购网</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4.3、苏州市政府采购网</w:t>
      </w:r>
      <w:r>
        <w:rPr>
          <w:rFonts w:hint="eastAsia"/>
          <w:color w:val="000000"/>
          <w:highlight w:val="none"/>
        </w:rPr>
      </w:r>
      <w:r/>
    </w:p>
    <w:p>
      <w:pPr>
        <w:pStyle w:val="722"/>
        <w:ind w:left="0" w:right="0" w:firstLine="0"/>
        <w:jc w:val="both"/>
        <w:spacing w:before="0" w:after="0"/>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val="en-US" w:eastAsia="zh-CN"/>
        </w:rPr>
        <w:t xml:space="preserve">5</w:t>
      </w:r>
      <w:r>
        <w:rPr>
          <w:rFonts w:hint="eastAsia"/>
          <w:color w:val="000000"/>
          <w:highlight w:val="none"/>
        </w:rPr>
        <w:t xml:space="preserve">、</w:t>
      </w:r>
      <w:r>
        <w:rPr>
          <w:rFonts w:ascii="宋体" w:hAnsi="宋体" w:eastAsia="宋体" w:cs="宋体"/>
          <w:color w:val="000000"/>
          <w:sz w:val="21"/>
          <w:highlight w:val="none"/>
        </w:rPr>
        <w:t xml:space="preserve">苏州市财政局政府采购监督电话：</w:t>
      </w:r>
      <w:r>
        <w:rPr>
          <w:rFonts w:ascii="Times New Roman" w:hAnsi="Times New Roman" w:eastAsia="Times New Roman" w:cs="Times New Roman"/>
          <w:color w:val="000000"/>
          <w:sz w:val="21"/>
          <w:highlight w:val="none"/>
        </w:rPr>
        <w:t xml:space="preserve">0512-68616651</w:t>
      </w:r>
      <w:r>
        <w:rPr>
          <w:rFonts w:ascii="宋体" w:hAnsi="宋体" w:eastAsia="宋体" w:cs="宋体"/>
          <w:color w:val="000000"/>
          <w:sz w:val="21"/>
          <w:highlight w:val="none"/>
        </w:rPr>
        <w:t xml:space="preserve">。</w:t>
      </w:r>
      <w:r>
        <w:rPr>
          <w:rFonts w:hint="eastAsia"/>
          <w:color w:val="000000"/>
          <w:highlight w:val="none"/>
        </w:rPr>
      </w:r>
      <w:r/>
    </w:p>
    <w:p>
      <w:pPr>
        <w:pStyle w:val="722"/>
        <w:spacing w:line="360" w:lineRule="auto"/>
        <w:rPr>
          <w:rFonts w:hint="eastAsia"/>
          <w:b/>
          <w:color w:val="000000"/>
          <w:highlight w:val="none"/>
        </w:rPr>
      </w:pPr>
      <w:r>
        <w:rPr>
          <w:rFonts w:hint="eastAsia"/>
          <w:b/>
          <w:color w:val="000000"/>
          <w:highlight w:val="none"/>
        </w:rPr>
        <w:t xml:space="preserve">八、凡对本次采购提出询问，请按以下方式联系。 </w:t>
      </w:r>
      <w:r>
        <w:rPr>
          <w:rFonts w:hint="eastAsia"/>
          <w:b/>
          <w:color w:val="000000"/>
          <w:highlight w:val="none"/>
        </w:rPr>
      </w:r>
      <w:r/>
    </w:p>
    <w:p>
      <w:pPr>
        <w:pStyle w:val="722"/>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1、采购人</w:t>
      </w:r>
      <w:r>
        <w:rPr>
          <w:rFonts w:hint="eastAsia" w:ascii="Times New Roman" w:hAnsi="Times New Roman" w:eastAsia="宋体" w:cs="Times New Roman"/>
          <w:color w:val="000000"/>
          <w:highlight w:val="none"/>
        </w:rPr>
      </w:r>
      <w:r/>
    </w:p>
    <w:p>
      <w:pPr>
        <w:pStyle w:val="722"/>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单位名称：</w:t>
      </w:r>
      <w:r>
        <w:rPr>
          <w:rFonts w:hint="eastAsia" w:ascii="Times New Roman" w:hAnsi="Times New Roman" w:eastAsia="宋体" w:cs="Times New Roman"/>
          <w:color w:val="000000"/>
          <w:highlight w:val="none"/>
          <w:lang w:eastAsia="zh-CN"/>
        </w:rPr>
        <w:t xml:space="preserve">苏州市拙政园管理处（苏州市园林博物馆）</w:t>
      </w:r>
      <w:r>
        <w:rPr>
          <w:rFonts w:hint="eastAsia" w:ascii="Times New Roman" w:hAnsi="Times New Roman" w:eastAsia="宋体" w:cs="Times New Roman"/>
          <w:color w:val="000000"/>
          <w:highlight w:val="none"/>
          <w:lang w:eastAsia="zh-CN"/>
        </w:rPr>
      </w:r>
      <w:r/>
    </w:p>
    <w:p>
      <w:pPr>
        <w:pStyle w:val="722"/>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地址：苏州市东北街 178 号</w:t>
      </w:r>
      <w:r>
        <w:rPr>
          <w:rFonts w:hint="eastAsia" w:ascii="Times New Roman" w:hAnsi="Times New Roman" w:eastAsia="宋体" w:cs="Times New Roman"/>
          <w:color w:val="000000"/>
          <w:highlight w:val="none"/>
        </w:rPr>
      </w:r>
      <w:r/>
    </w:p>
    <w:p>
      <w:pPr>
        <w:pStyle w:val="722"/>
        <w:spacing w:line="360" w:lineRule="auto"/>
        <w:rPr>
          <w:color w:val="000000"/>
          <w:highlight w:val="none"/>
          <w:lang w:val="en-US" w:eastAsia="zh-CN"/>
        </w:rPr>
      </w:pPr>
      <w:r>
        <w:rPr>
          <w:rFonts w:hint="eastAsia" w:ascii="宋体" w:hAnsi="宋体" w:eastAsia="宋体" w:cs="宋体"/>
          <w:color w:val="000000"/>
          <w:highlight w:val="none"/>
        </w:rPr>
        <w:t xml:space="preserve">联系人：</w:t>
      </w:r>
      <w:r>
        <w:rPr>
          <w:rFonts w:hint="eastAsia"/>
          <w:color w:val="000000"/>
          <w:highlight w:val="none"/>
          <w:lang w:val="en-US" w:eastAsia="zh-CN"/>
        </w:rPr>
        <w:t xml:space="preserve">邹强</w:t>
      </w:r>
      <w:r>
        <w:rPr>
          <w:rFonts w:hint="eastAsia"/>
          <w:color w:val="000000"/>
          <w:highlight w:val="none"/>
        </w:rPr>
        <w:t xml:space="preserve"> </w:t>
      </w:r>
      <w:r>
        <w:rPr>
          <w:rFonts w:hint="eastAsia" w:ascii="宋体" w:hAnsi="宋体" w:eastAsia="宋体" w:cs="宋体"/>
          <w:color w:val="000000"/>
          <w:highlight w:val="none"/>
        </w:rPr>
        <w:t xml:space="preserve">   联系电话：</w:t>
      </w:r>
      <w:r>
        <w:rPr>
          <w:color w:val="000000"/>
          <w:highlight w:val="none"/>
        </w:rPr>
        <w:t xml:space="preserve">0512-6</w:t>
      </w:r>
      <w:r>
        <w:rPr>
          <w:rFonts w:hint="eastAsia"/>
          <w:color w:val="000000"/>
          <w:highlight w:val="none"/>
          <w:lang w:val="en-US" w:eastAsia="zh-CN"/>
        </w:rPr>
        <w:t xml:space="preserve">7573590</w:t>
      </w:r>
      <w:r>
        <w:rPr>
          <w:color w:val="000000"/>
          <w:highlight w:val="none"/>
          <w:lang w:val="en-US" w:eastAsia="zh-CN"/>
        </w:rPr>
      </w:r>
      <w:r/>
    </w:p>
    <w:p>
      <w:pPr>
        <w:pStyle w:val="722"/>
        <w:spacing w:line="360" w:lineRule="auto"/>
        <w:rPr>
          <w:color w:val="000000"/>
          <w:highlight w:val="none"/>
        </w:rPr>
      </w:pPr>
      <w:r>
        <w:rPr>
          <w:rFonts w:hint="eastAsia"/>
          <w:color w:val="000000"/>
          <w:highlight w:val="none"/>
        </w:rPr>
        <w:t xml:space="preserve">2、采购代理机构</w:t>
      </w:r>
      <w:r>
        <w:rPr>
          <w:color w:val="000000"/>
          <w:highlight w:val="none"/>
        </w:rPr>
      </w:r>
      <w:r/>
    </w:p>
    <w:p>
      <w:pPr>
        <w:pStyle w:val="722"/>
        <w:spacing w:line="360" w:lineRule="auto"/>
        <w:rPr>
          <w:rFonts w:hint="eastAsia"/>
          <w:color w:val="000000"/>
          <w:highlight w:val="none"/>
        </w:rPr>
      </w:pPr>
      <w:r>
        <w:rPr>
          <w:rFonts w:hint="eastAsia"/>
          <w:color w:val="000000"/>
          <w:highlight w:val="none"/>
        </w:rPr>
        <w:t xml:space="preserve">单位名称：苏州市永诚建设咨询有限公司</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地址：苏州市东吴北路221号7楼          邮编：215007</w:t>
      </w:r>
      <w:r>
        <w:rPr>
          <w:rFonts w:hint="eastAsia"/>
          <w:color w:val="000000"/>
          <w:highlight w:val="none"/>
        </w:rPr>
      </w:r>
      <w:r/>
    </w:p>
    <w:p>
      <w:pPr>
        <w:pStyle w:val="722"/>
        <w:spacing w:line="360" w:lineRule="auto"/>
        <w:rPr>
          <w:color w:val="000000"/>
          <w:highlight w:val="none"/>
        </w:rPr>
      </w:pPr>
      <w:r>
        <w:rPr>
          <w:rFonts w:hint="eastAsia"/>
          <w:color w:val="000000"/>
          <w:highlight w:val="none"/>
        </w:rPr>
        <w:t xml:space="preserve">联系电话：0512-69157588</w:t>
      </w:r>
      <w:r>
        <w:rPr>
          <w:color w:val="000000"/>
          <w:highlight w:val="none"/>
        </w:rPr>
      </w:r>
      <w:r/>
    </w:p>
    <w:p>
      <w:pPr>
        <w:pStyle w:val="722"/>
        <w:spacing w:line="360" w:lineRule="auto"/>
        <w:rPr>
          <w:color w:val="000000"/>
          <w:highlight w:val="none"/>
        </w:rPr>
      </w:pPr>
      <w:r>
        <w:rPr>
          <w:rFonts w:hint="eastAsia"/>
          <w:color w:val="000000"/>
          <w:highlight w:val="none"/>
        </w:rPr>
        <w:t xml:space="preserve">3、项目联系方式</w:t>
      </w:r>
      <w:r>
        <w:rPr>
          <w:color w:val="000000"/>
          <w:highlight w:val="none"/>
        </w:rPr>
      </w:r>
      <w:r/>
    </w:p>
    <w:p>
      <w:pPr>
        <w:pStyle w:val="722"/>
        <w:spacing w:line="360" w:lineRule="auto"/>
        <w:rPr>
          <w:color w:val="000000"/>
          <w:highlight w:val="none"/>
        </w:rPr>
      </w:pPr>
      <w:r>
        <w:rPr>
          <w:rFonts w:hint="eastAsia"/>
          <w:color w:val="000000"/>
          <w:highlight w:val="none"/>
        </w:rPr>
        <w:t xml:space="preserve">项目联系人：程能之、焦秀丽</w:t>
      </w:r>
      <w:r>
        <w:rPr>
          <w:color w:val="000000"/>
          <w:highlight w:val="none"/>
        </w:rPr>
      </w:r>
      <w:r/>
    </w:p>
    <w:p>
      <w:pPr>
        <w:pStyle w:val="722"/>
        <w:spacing w:line="360" w:lineRule="auto"/>
        <w:rPr>
          <w:color w:val="000000"/>
          <w:highlight w:val="none"/>
        </w:rPr>
      </w:pPr>
      <w:r>
        <w:rPr>
          <w:rFonts w:hint="eastAsia"/>
          <w:color w:val="000000"/>
          <w:highlight w:val="none"/>
        </w:rPr>
        <w:t xml:space="preserve">联系电话：0512-69157588-8</w:t>
      </w:r>
      <w:r>
        <w:rPr>
          <w:rFonts w:hint="eastAsia"/>
          <w:color w:val="000000"/>
          <w:highlight w:val="none"/>
          <w:lang w:val="en-US" w:eastAsia="zh-CN"/>
        </w:rPr>
        <w:t xml:space="preserve">16</w:t>
      </w:r>
      <w:r>
        <w:rPr>
          <w:rFonts w:hint="eastAsia"/>
          <w:color w:val="000000"/>
          <w:highlight w:val="none"/>
        </w:rPr>
        <w:t xml:space="preserve">  </w:t>
      </w:r>
      <w:r>
        <w:rPr>
          <w:color w:val="000000"/>
          <w:highlight w:val="none"/>
        </w:rPr>
        <w:t xml:space="preserve"> </w:t>
      </w:r>
      <w:r>
        <w:rPr>
          <w:rFonts w:hint="eastAsia"/>
          <w:color w:val="000000"/>
          <w:highlight w:val="none"/>
        </w:rPr>
        <w:t xml:space="preserve">传真：0512-65268668</w:t>
      </w:r>
      <w:r>
        <w:rPr>
          <w:color w:val="000000"/>
          <w:highlight w:val="none"/>
        </w:rPr>
      </w:r>
      <w:r/>
    </w:p>
    <w:p>
      <w:pPr>
        <w:pStyle w:val="722"/>
        <w:spacing w:line="360" w:lineRule="auto"/>
        <w:rPr>
          <w:rFonts w:hint="eastAsia"/>
          <w:color w:val="000000"/>
          <w:highlight w:val="none"/>
        </w:rPr>
      </w:pPr>
      <w:r>
        <w:rPr>
          <w:rFonts w:hint="eastAsia"/>
          <w:color w:val="000000"/>
          <w:highlight w:val="none"/>
        </w:rPr>
      </w:r>
      <w:r/>
    </w:p>
    <w:p>
      <w:pPr>
        <w:pStyle w:val="722"/>
        <w:rPr>
          <w:rFonts w:hint="eastAsia"/>
          <w:color w:val="000000"/>
          <w:highlight w:val="none"/>
        </w:rPr>
      </w:pPr>
      <w:r>
        <w:rPr>
          <w:rFonts w:hint="eastAsia"/>
          <w:color w:val="000000"/>
          <w:highlight w:val="none"/>
        </w:rPr>
      </w:r>
      <w:r/>
    </w:p>
    <w:p>
      <w:pPr>
        <w:pStyle w:val="722"/>
        <w:jc w:val="right"/>
        <w:spacing w:line="360" w:lineRule="auto"/>
        <w:rPr>
          <w:color w:val="000000"/>
          <w:highlight w:val="none"/>
        </w:rPr>
      </w:pPr>
      <w:r>
        <w:rPr>
          <w:rFonts w:hint="eastAsia"/>
          <w:color w:val="000000"/>
          <w:highlight w:val="none"/>
        </w:rPr>
        <w:t xml:space="preserve">苏州市永诚建设咨询有限公司</w:t>
      </w:r>
      <w:r>
        <w:rPr>
          <w:color w:val="000000"/>
          <w:highlight w:val="none"/>
        </w:rPr>
      </w:r>
      <w:r/>
    </w:p>
    <w:p>
      <w:pPr>
        <w:pStyle w:val="722"/>
        <w:spacing w:line="360" w:lineRule="auto"/>
        <w:rPr>
          <w:rFonts w:ascii="宋体" w:hAnsi="宋体"/>
          <w:b/>
          <w:color w:val="000000"/>
          <w:sz w:val="32"/>
          <w:highlight w:val="none"/>
        </w:rPr>
      </w:pPr>
      <w:r>
        <w:rPr>
          <w:color w:val="000000"/>
          <w:highlight w:val="none"/>
        </w:rPr>
        <w:br w:type="page" w:clear="all"/>
      </w:r>
      <w:bookmarkStart w:id="1" w:name="_Hlk121775411"/>
      <w:r>
        <w:rPr>
          <w:rFonts w:ascii="宋体" w:hAnsi="宋体"/>
          <w:b/>
          <w:color w:val="000000"/>
          <w:sz w:val="32"/>
          <w:highlight w:val="none"/>
        </w:rPr>
      </w:r>
      <w:r/>
    </w:p>
    <w:p>
      <w:pPr>
        <w:pStyle w:val="722"/>
        <w:jc w:val="center"/>
        <w:spacing w:line="400" w:lineRule="exact"/>
        <w:rPr>
          <w:rFonts w:ascii="宋体" w:hAnsi="宋体"/>
          <w:b/>
          <w:color w:val="000000"/>
          <w:sz w:val="32"/>
          <w:highlight w:val="none"/>
        </w:rPr>
      </w:pPr>
      <w:r>
        <w:rPr>
          <w:rFonts w:ascii="宋体" w:hAnsi="宋体"/>
          <w:b/>
          <w:color w:val="000000"/>
          <w:sz w:val="32"/>
          <w:highlight w:val="none"/>
        </w:rPr>
        <w:t xml:space="preserve">二、</w:t>
      </w:r>
      <w:r>
        <w:rPr>
          <w:rFonts w:hint="eastAsia" w:ascii="宋体" w:hAnsi="宋体"/>
          <w:b/>
          <w:color w:val="000000"/>
          <w:sz w:val="32"/>
          <w:highlight w:val="none"/>
        </w:rPr>
        <w:t xml:space="preserve">磋商须知</w:t>
      </w:r>
      <w:r>
        <w:rPr>
          <w:rFonts w:ascii="宋体" w:hAnsi="宋体"/>
          <w:b/>
          <w:color w:val="000000"/>
          <w:sz w:val="32"/>
          <w:highlight w:val="none"/>
        </w:rPr>
      </w:r>
      <w:r/>
    </w:p>
    <w:p>
      <w:pPr>
        <w:pStyle w:val="722"/>
        <w:ind w:firstLine="420"/>
        <w:spacing w:line="360" w:lineRule="auto"/>
        <w:rPr>
          <w:rFonts w:hint="eastAsia"/>
          <w:color w:val="000000"/>
          <w:highlight w:val="none"/>
        </w:rPr>
      </w:pPr>
      <w:r>
        <w:rPr>
          <w:rFonts w:hint="eastAsia"/>
          <w:color w:val="000000"/>
          <w:highlight w:val="none"/>
        </w:rPr>
        <w:t xml:space="preserve">1总则</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1.1响应单位资格要求</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1.1.1详见采购公告中。</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1.1.2响应单位不得存在下列情形之一：</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（1）苏州市财政局《关于印发苏州市市级政府采购信用记录查询和使用工作试行办法的通知》（苏财购（2017）11号）文件规定应拒绝的失信信息。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（2）为采购项目提供整体设计、规范编制或者项目管理、监理、监测等服务的供应商，不得再参加该采购项目的其他采购活动。本项目的此类供应商是：无。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（3）单位负责人为同一人或者存在直接控股、管理关系的不同供应商，不得参加同一合同项下的政府采购活动。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1.1.3联合体</w:t>
      </w:r>
      <w:r>
        <w:rPr>
          <w:rFonts w:hint="eastAsia"/>
          <w:color w:val="000000"/>
          <w:highlight w:val="none"/>
          <w:lang w:eastAsia="zh-CN"/>
        </w:rPr>
        <w:t xml:space="preserve">投标（响应）</w:t>
      </w:r>
      <w:r>
        <w:rPr>
          <w:rFonts w:hint="eastAsia"/>
          <w:color w:val="000000"/>
          <w:highlight w:val="none"/>
        </w:rPr>
        <w:t xml:space="preserve">：第一章竞争性磋商公告规定接受联合体</w:t>
      </w:r>
      <w:r>
        <w:rPr>
          <w:rFonts w:hint="eastAsia"/>
          <w:color w:val="000000"/>
          <w:highlight w:val="none"/>
          <w:lang w:eastAsia="zh-CN"/>
        </w:rPr>
        <w:t xml:space="preserve">投标（响应）</w:t>
      </w:r>
      <w:r>
        <w:rPr>
          <w:rFonts w:hint="eastAsia"/>
          <w:color w:val="000000"/>
          <w:highlight w:val="none"/>
        </w:rPr>
        <w:t xml:space="preserve">的，联合体除应符合上述资格要求外，还应遵守以下规定：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（1）联合体各方应当向采购人提交联合体协议书，载明联合体各方承担的工作和义务，否则</w:t>
      </w:r>
      <w:r>
        <w:rPr>
          <w:rFonts w:hint="eastAsia"/>
          <w:color w:val="000000"/>
          <w:highlight w:val="none"/>
          <w:lang w:eastAsia="zh-CN"/>
        </w:rPr>
        <w:t xml:space="preserve">投标（响应）</w:t>
      </w:r>
      <w:r>
        <w:rPr>
          <w:rFonts w:hint="eastAsia"/>
          <w:color w:val="000000"/>
          <w:highlight w:val="none"/>
        </w:rPr>
        <w:t xml:space="preserve">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（2）联合体中有同类资质的供应商按照联合体分工承担相同工作的，应当按照资质等级较低的供应商确定资质等级。</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（3）联合体各方不得再单独参加或者与其他供应商另外组成联合体参加同一合同项下的政府采购活动，否则各相关</w:t>
      </w:r>
      <w:r>
        <w:rPr>
          <w:rFonts w:hint="eastAsia"/>
          <w:color w:val="000000"/>
          <w:highlight w:val="none"/>
          <w:lang w:eastAsia="zh-CN"/>
        </w:rPr>
        <w:t xml:space="preserve">投标（响应）</w:t>
      </w:r>
      <w:r>
        <w:rPr>
          <w:rFonts w:hint="eastAsia"/>
          <w:color w:val="000000"/>
          <w:highlight w:val="none"/>
        </w:rPr>
        <w:t xml:space="preserve">均无效。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（4）联合体各方应当共同与采购人签订采购合同，就采购合同约定的事项对采购人承担连带责任。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1.2分包</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本项目</w:t>
      </w:r>
      <w:r>
        <w:rPr>
          <w:rFonts w:ascii="Segoe UI Symbol" w:hAnsi="Segoe UI Symbol" w:cs="Segoe UI Symbol"/>
          <w:color w:val="000000"/>
          <w:highlight w:val="none"/>
        </w:rPr>
        <w:t xml:space="preserve">☑</w:t>
      </w:r>
      <w:r>
        <w:rPr>
          <w:rFonts w:hint="eastAsia"/>
          <w:color w:val="000000"/>
          <w:highlight w:val="none"/>
        </w:rPr>
        <w:t xml:space="preserve">不允许分包 </w:t>
      </w:r>
      <w:r>
        <w:rPr>
          <w:color w:val="000000"/>
          <w:highlight w:val="none"/>
        </w:rPr>
        <w:t xml:space="preserve">  </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□允许分包，分包要求：/</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1.3磋商费用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1.3.1供应商应自行承担所有准备及参加磋商的相关费用。不论磋商结果如何，采购人及采购代理机构在任何情况下均无义务也无责任承担这些费用。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1.3.2本次磋商项目由苏州市永诚建设咨询有限公司代理，不收取磋商文件费用。</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1.3.3代理服务费：</w:t>
      </w:r>
      <w:r>
        <w:rPr>
          <w:rFonts w:hint="eastAsia"/>
          <w:color w:val="000000"/>
          <w:highlight w:val="none"/>
          <w:lang w:val="en-US" w:eastAsia="zh-CN"/>
        </w:rPr>
        <w:t xml:space="preserve">由采购人支付</w:t>
      </w:r>
      <w:r>
        <w:rPr>
          <w:rFonts w:hint="eastAsia"/>
          <w:color w:val="000000"/>
          <w:highlight w:val="none"/>
        </w:rPr>
        <w:t xml:space="preserve">，金额按以下计算方式*96.8 %：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color w:val="000000"/>
          <w:highlight w:val="none"/>
          <w:lang w:eastAsia="zh-CN"/>
        </w:rPr>
        <w:t xml:space="preserve">，</w:t>
      </w:r>
      <w:r>
        <w:rPr>
          <w:rFonts w:hint="eastAsia"/>
          <w:color w:val="000000"/>
          <w:highlight w:val="none"/>
          <w:lang w:val="en-US" w:eastAsia="zh-CN"/>
        </w:rPr>
        <w:t xml:space="preserve">用</w:t>
      </w:r>
      <w:r>
        <w:rPr>
          <w:rFonts w:hint="eastAsia"/>
          <w:color w:val="000000"/>
          <w:highlight w:val="none"/>
        </w:rPr>
        <w:t xml:space="preserve">差额定率累进法</w:t>
      </w:r>
      <w:r>
        <w:rPr>
          <w:rFonts w:hint="eastAsia"/>
          <w:color w:val="000000"/>
          <w:highlight w:val="none"/>
          <w:lang w:val="en-US" w:eastAsia="zh-CN"/>
        </w:rPr>
        <w:t xml:space="preserve">累加</w:t>
      </w:r>
      <w:r>
        <w:rPr>
          <w:rFonts w:hint="eastAsia"/>
          <w:color w:val="000000"/>
          <w:highlight w:val="none"/>
        </w:rPr>
        <w:t xml:space="preserve">计算。</w:t>
      </w:r>
      <w:r>
        <w:rPr>
          <w:color w:val="000000"/>
          <w:highlight w:val="none"/>
        </w:rPr>
      </w:r>
      <w:r/>
    </w:p>
    <w:p>
      <w:pPr>
        <w:pStyle w:val="722"/>
        <w:ind w:firstLine="420"/>
        <w:spacing w:line="360" w:lineRule="auto"/>
        <w:rPr>
          <w:rFonts w:hint="eastAsia"/>
          <w:color w:val="000000"/>
          <w:szCs w:val="21"/>
          <w:highlight w:val="none"/>
        </w:rPr>
      </w:pPr>
      <w:r>
        <w:rPr>
          <w:rFonts w:hint="eastAsia"/>
          <w:color w:val="000000"/>
          <w:highlight w:val="none"/>
        </w:rPr>
        <w:t xml:space="preserve">本项目代理费</w:t>
      </w:r>
      <w:r>
        <w:rPr>
          <w:rFonts w:hint="eastAsia"/>
          <w:color w:val="000000"/>
          <w:highlight w:val="none"/>
          <w:u w:val="none"/>
        </w:rPr>
        <w:t xml:space="preserve">：</w:t>
      </w:r>
      <w:r>
        <w:rPr>
          <w:rFonts w:hint="eastAsia"/>
          <w:color w:val="000000"/>
          <w:highlight w:val="none"/>
          <w:u w:val="single"/>
          <w:lang w:val="en-US" w:eastAsia="zh-CN"/>
        </w:rPr>
        <w:t xml:space="preserve">38230.72</w:t>
      </w:r>
      <w:r>
        <w:rPr>
          <w:rFonts w:hint="eastAsia"/>
          <w:b/>
          <w:color w:val="000000"/>
          <w:highlight w:val="none"/>
          <w:u w:val="single"/>
        </w:rPr>
        <w:t xml:space="preserve">元</w:t>
      </w:r>
      <w:r>
        <w:rPr>
          <w:rFonts w:hint="eastAsia"/>
          <w:color w:val="000000"/>
          <w:highlight w:val="none"/>
        </w:rPr>
        <w:t xml:space="preserve">。</w:t>
      </w:r>
      <w:r>
        <w:rPr>
          <w:rFonts w:hint="eastAsia"/>
          <w:color w:val="000000"/>
          <w:szCs w:val="21"/>
          <w:highlight w:val="none"/>
        </w:rPr>
      </w:r>
      <w:r/>
    </w:p>
    <w:p>
      <w:pPr>
        <w:pStyle w:val="722"/>
        <w:ind w:firstLine="420"/>
        <w:spacing w:line="360" w:lineRule="auto"/>
        <w:rPr>
          <w:rFonts w:hint="eastAsia"/>
          <w:color w:val="000000"/>
          <w:highlight w:val="none"/>
        </w:rPr>
      </w:pPr>
      <w:r>
        <w:rPr>
          <w:rFonts w:hint="eastAsia"/>
          <w:color w:val="000000"/>
          <w:highlight w:val="none"/>
        </w:rPr>
        <w:t xml:space="preserve">服务费交纳账户：苏州市永诚建设咨询有限公司</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账号：</w:t>
      </w:r>
      <w:r>
        <w:rPr>
          <w:color w:val="000000"/>
          <w:highlight w:val="none"/>
        </w:rPr>
        <w:t xml:space="preserve">7066602001120149002568</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开户银行：苏州银行股份有限公司苏州分行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1.4保密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参与采购活动的各方应对采购文件和响应文件中的商业和技术等秘密保密，否则应承担相应的法律责任。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1.5语言文字</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1.6计量单位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除磋商文件有特殊要求外，所有计量均采用中华人民共和国法定计量单位。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1.7扫描件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扫描件是指原件的各种彩色复制件，包括扫描、照片等。</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1.8知识产权</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甲方为此而产生的损失和损害、费用和支出（包括律师费）由供应商承担。</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1.9现场踏勘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供应商可自行对有关现场和周围环境进行踏勘，以获取编制响应文件和签署合同所需的信息，踏勘现场所发生的费用由供应商自己承担。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1.10集中现场考察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本项目按以下第 ① 种方式组织集中现场考察：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①采购人不组织集中现场考察；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②采购人组织集中现场考察，请供应商持在“苏采云”系统中下载本项目采购文件的《</w:t>
      </w:r>
      <w:r>
        <w:rPr>
          <w:rFonts w:hint="eastAsia"/>
          <w:color w:val="000000"/>
          <w:highlight w:val="none"/>
          <w:lang w:eastAsia="zh-CN"/>
        </w:rPr>
        <w:t xml:space="preserve">投标（响应）供应商确认函</w:t>
      </w:r>
      <w:r>
        <w:rPr>
          <w:rFonts w:hint="eastAsia"/>
          <w:color w:val="000000"/>
          <w:highlight w:val="none"/>
        </w:rPr>
        <w:t xml:space="preserve">》，按以下时间地点参加集中现场考察：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集合时间：/年/月/日/时/分（北京时间）；</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集合地点：/。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联系人：/；联系电话：/。</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请供应商安排好行程，不得迟到。未提供《</w:t>
      </w:r>
      <w:r>
        <w:rPr>
          <w:rFonts w:hint="eastAsia"/>
          <w:color w:val="000000"/>
          <w:highlight w:val="none"/>
          <w:lang w:eastAsia="zh-CN"/>
        </w:rPr>
        <w:t xml:space="preserve">投标（响应）供应商确认函</w:t>
      </w:r>
      <w:r>
        <w:rPr>
          <w:rFonts w:hint="eastAsia"/>
          <w:color w:val="000000"/>
          <w:highlight w:val="none"/>
        </w:rPr>
        <w:t xml:space="preserve">》或迟到者，恕不接待。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（1）根据自身</w:t>
      </w:r>
      <w:r>
        <w:rPr>
          <w:rFonts w:hint="eastAsia"/>
          <w:color w:val="000000"/>
          <w:highlight w:val="none"/>
          <w:lang w:eastAsia="zh-CN"/>
        </w:rPr>
        <w:t xml:space="preserve">投标（响应）</w:t>
      </w:r>
      <w:r>
        <w:rPr>
          <w:rFonts w:hint="eastAsia"/>
          <w:color w:val="000000"/>
          <w:highlight w:val="none"/>
        </w:rPr>
        <w:t xml:space="preserve">需要，供应商可对项目相关情况进行考察，以获取编制响应文件和签署合同所需的信息。考察现场所发生的费用由供应商自己承担。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（3）经采购人允许，供应商可为考察目的进入采购人的项目现场，但供应商不得因此使采购人承担有关的责任和蒙受损失。供应商应承担考察现场的责任和风险。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（4）供应商应在现场考察时，熟悉现场及本项目的背景概况等情况，以获得一切可能影响其</w:t>
      </w:r>
      <w:r>
        <w:rPr>
          <w:rFonts w:hint="eastAsia"/>
          <w:color w:val="000000"/>
          <w:highlight w:val="none"/>
          <w:lang w:eastAsia="zh-CN"/>
        </w:rPr>
        <w:t xml:space="preserve">投标（响应）</w:t>
      </w:r>
      <w:r>
        <w:rPr>
          <w:rFonts w:hint="eastAsia"/>
          <w:color w:val="000000"/>
          <w:highlight w:val="none"/>
        </w:rPr>
        <w:t xml:space="preserve">的直接资料。供应商中标后，不得以不完全了解情况为理由而向采购人或采购代理机构提出任何索赔的要求，对此采购人或采购代理机构不承担任何责任并将不作任何答复与考虑。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（5）由于未进行现场考察造成的任何问题由供应商自行承担。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1.11法律适用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本次采购活动及因本次采购产生的合同受中华人民共和国有关的法律法规制约和保护。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2磋商文件的说明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2.1磋商文件的获取</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见第一章竞争性磋商公告</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2.2磋商文件的询问</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供应商在收到磋商文件后，若有问题需要询问，应于下载磋商文件后，可通过公告中的联系方式及时提出，采购人或采购代理机构将予以解答。</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2.3磋商文件的澄清或修改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2.3.2为保证供应商有足够时间修正响应文件，或出于其他合理原因，采购代理机构可依法顺延提交首次响应文件截止之日。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2.3.3供应商应及时关注政府采购信息发布媒体上发布的更正（补充）公告，同时在“苏采云”系统中下载更正（补充）资料，如有遗漏（包括但不限于文件未下载或下载不完整），可能无法解密</w:t>
      </w:r>
      <w:r>
        <w:rPr>
          <w:rFonts w:hint="eastAsia"/>
          <w:color w:val="000000"/>
          <w:highlight w:val="none"/>
          <w:lang w:eastAsia="zh-CN"/>
        </w:rPr>
        <w:t xml:space="preserve">投标（响应）</w:t>
      </w:r>
      <w:r>
        <w:rPr>
          <w:rFonts w:hint="eastAsia"/>
          <w:color w:val="000000"/>
          <w:highlight w:val="none"/>
        </w:rPr>
        <w:t xml:space="preserve">文件，由此所造成的</w:t>
      </w:r>
      <w:r>
        <w:rPr>
          <w:rFonts w:hint="eastAsia"/>
          <w:color w:val="000000"/>
          <w:highlight w:val="none"/>
          <w:lang w:eastAsia="zh-CN"/>
        </w:rPr>
        <w:t xml:space="preserve">投标（响应）</w:t>
      </w:r>
      <w:r>
        <w:rPr>
          <w:rFonts w:hint="eastAsia"/>
          <w:color w:val="000000"/>
          <w:highlight w:val="none"/>
        </w:rPr>
        <w:t xml:space="preserve">失败或损失由供应商自行负责。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2.4磋商文件的约束力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2.4.1供应商一旦参加本项目采购活动，即被认为接受了本采购文件的规定和约束。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3响应文件说明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响应单位应详细阅读磋商文件的全部内容，不按磋商文件的要求提供的响应文件和资料，其风险由响应单位自行承担，并根据有关条款规定，可能导致响应无效。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3.1磋商保证金：无</w:t>
      </w:r>
      <w:r>
        <w:rPr>
          <w:rFonts w:hint="eastAsia"/>
          <w:color w:val="000000"/>
          <w:highlight w:val="none"/>
        </w:rPr>
      </w:r>
      <w:r/>
    </w:p>
    <w:p>
      <w:pPr>
        <w:pStyle w:val="722"/>
        <w:ind w:firstLine="422"/>
        <w:spacing w:line="360" w:lineRule="auto"/>
        <w:rPr>
          <w:rFonts w:hint="eastAsia"/>
          <w:b/>
          <w:color w:val="000000"/>
          <w:highlight w:val="none"/>
        </w:rPr>
      </w:pPr>
      <w:r>
        <w:rPr>
          <w:rFonts w:hint="eastAsia"/>
          <w:b/>
          <w:color w:val="000000"/>
          <w:highlight w:val="none"/>
        </w:rPr>
        <w:t xml:space="preserve">3.2响应文件的组成</w:t>
      </w:r>
      <w:r>
        <w:rPr>
          <w:rFonts w:hint="eastAsia"/>
          <w:b/>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3.2.1资格性审查文件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3.2.1.1</w:t>
      </w:r>
      <w:r>
        <w:rPr>
          <w:rFonts w:hint="eastAsia" w:ascii="宋体" w:hAnsi="宋体" w:cs="宋体"/>
          <w:color w:val="000000"/>
          <w:szCs w:val="21"/>
          <w:highlight w:val="none"/>
          <w:shd w:val="clear" w:color="auto" w:fill="ffffff"/>
          <w:lang w:bidi="ar"/>
        </w:rPr>
        <w:t xml:space="preserve">具有独立承担民事责任的能力</w:t>
      </w:r>
      <w:r>
        <w:rPr>
          <w:rFonts w:hint="eastAsia"/>
          <w:color w:val="000000"/>
          <w:highlight w:val="none"/>
        </w:rPr>
        <w:t xml:space="preserve">：</w:t>
      </w:r>
      <w:r>
        <w:rPr>
          <w:rFonts w:hint="eastAsia"/>
          <w:color w:val="000000"/>
          <w:highlight w:val="none"/>
          <w:lang w:val="en-US" w:eastAsia="zh-CN"/>
        </w:rPr>
        <w:t xml:space="preserve">提供</w:t>
      </w:r>
      <w:r>
        <w:rPr>
          <w:rFonts w:hint="eastAsia"/>
          <w:color w:val="000000"/>
          <w:highlight w:val="none"/>
        </w:rPr>
        <w:t xml:space="preserve">包括法人或者其他组织的营业执照等证明文件，自然人的身份证明；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3.2.1.2</w:t>
      </w:r>
      <w:r>
        <w:rPr>
          <w:rFonts w:hint="eastAsia" w:ascii="宋体" w:hAnsi="宋体" w:cs="宋体"/>
          <w:color w:val="000000"/>
          <w:szCs w:val="21"/>
          <w:highlight w:val="none"/>
          <w:shd w:val="clear" w:color="auto" w:fill="ffffff"/>
          <w:lang w:bidi="ar"/>
        </w:rPr>
        <w:t xml:space="preserve">具有良好的商业信誉和健全的财务会计制度</w:t>
      </w:r>
      <w:r>
        <w:rPr>
          <w:rFonts w:hint="eastAsia"/>
          <w:color w:val="000000"/>
          <w:highlight w:val="none"/>
        </w:rPr>
        <w:t xml:space="preserve">：</w:t>
      </w:r>
      <w:r>
        <w:rPr>
          <w:rFonts w:hint="eastAsia"/>
          <w:color w:val="000000"/>
          <w:highlight w:val="none"/>
          <w:lang w:val="en-US" w:eastAsia="zh-CN"/>
        </w:rPr>
        <w:t xml:space="preserve">提供</w:t>
      </w:r>
      <w:r>
        <w:rPr>
          <w:rFonts w:hint="eastAsia"/>
          <w:color w:val="000000"/>
          <w:highlight w:val="none"/>
        </w:rPr>
        <w:t xml:space="preserve">最近一期</w:t>
      </w:r>
      <w:r>
        <w:rPr>
          <w:rFonts w:hint="eastAsia"/>
          <w:color w:val="000000"/>
          <w:highlight w:val="none"/>
          <w:lang w:eastAsia="zh-CN"/>
        </w:rPr>
        <w:t xml:space="preserve">（</w:t>
      </w:r>
      <w:r>
        <w:rPr>
          <w:rFonts w:hint="eastAsia"/>
          <w:color w:val="000000"/>
          <w:highlight w:val="none"/>
          <w:lang w:val="en-US" w:eastAsia="zh-CN"/>
        </w:rPr>
        <w:t xml:space="preserve">2024或2025年度）</w:t>
      </w:r>
      <w:r>
        <w:rPr>
          <w:rFonts w:hint="eastAsia"/>
          <w:color w:val="000000"/>
          <w:highlight w:val="none"/>
        </w:rPr>
        <w:t xml:space="preserve">经审计的财务报告，或银行出具的资信证明，或财政部门认可的政府采购专业担保机构出具的</w:t>
      </w:r>
      <w:r>
        <w:rPr>
          <w:rFonts w:hint="eastAsia"/>
          <w:color w:val="000000"/>
          <w:highlight w:val="none"/>
          <w:lang w:eastAsia="zh-CN"/>
        </w:rPr>
        <w:t xml:space="preserve">投标（响应）</w:t>
      </w:r>
      <w:r>
        <w:rPr>
          <w:rFonts w:hint="eastAsia"/>
          <w:color w:val="000000"/>
          <w:highlight w:val="none"/>
        </w:rPr>
        <w:t xml:space="preserve">担保函；</w:t>
      </w:r>
      <w:r>
        <w:rPr>
          <w:rFonts w:hint="eastAsia"/>
          <w:color w:val="000000"/>
          <w:highlight w:val="none"/>
        </w:rPr>
      </w:r>
      <w:r/>
    </w:p>
    <w:p>
      <w:pPr>
        <w:pStyle w:val="722"/>
        <w:ind w:firstLine="420"/>
        <w:spacing w:line="480" w:lineRule="exact"/>
        <w:rPr>
          <w:rFonts w:hint="eastAsia" w:eastAsia="宋体"/>
          <w:color w:val="000000"/>
          <w:highlight w:val="none"/>
          <w:lang w:eastAsia="zh-CN"/>
        </w:rPr>
      </w:pPr>
      <w:r>
        <w:rPr>
          <w:rFonts w:hint="eastAsia"/>
          <w:color w:val="000000"/>
          <w:highlight w:val="none"/>
        </w:rPr>
        <w:t xml:space="preserve">3.2.1.3</w:t>
      </w:r>
      <w:r>
        <w:rPr>
          <w:rFonts w:hint="eastAsia" w:ascii="宋体" w:hAnsi="宋体" w:cs="宋体"/>
          <w:color w:val="000000"/>
          <w:szCs w:val="21"/>
          <w:highlight w:val="none"/>
          <w:shd w:val="clear" w:color="auto" w:fill="ffffff"/>
          <w:lang w:bidi="ar"/>
        </w:rPr>
        <w:t xml:space="preserve">具有履行合同所必需的设备和专业技术能力</w:t>
      </w:r>
      <w:r>
        <w:rPr>
          <w:rFonts w:hint="eastAsia" w:ascii="宋体" w:hAnsi="宋体" w:cs="宋体"/>
          <w:color w:val="000000"/>
          <w:szCs w:val="21"/>
          <w:highlight w:val="none"/>
          <w:shd w:val="clear" w:color="auto" w:fill="ffffff"/>
          <w:lang w:eastAsia="zh-CN" w:bidi="ar"/>
        </w:rPr>
        <w:t xml:space="preserve">：提供具备履行合同所必需设备和专业技术能力证明材料声明函（见格式）</w:t>
      </w:r>
      <w:r>
        <w:rPr>
          <w:rFonts w:hint="eastAsia" w:eastAsia="宋体"/>
          <w:color w:val="000000"/>
          <w:highlight w:val="none"/>
          <w:lang w:eastAsia="zh-CN"/>
        </w:rPr>
      </w:r>
      <w:r/>
    </w:p>
    <w:p>
      <w:pPr>
        <w:pStyle w:val="722"/>
        <w:ind w:firstLine="420"/>
        <w:spacing w:line="360" w:lineRule="auto"/>
        <w:rPr>
          <w:rFonts w:hint="eastAsia"/>
          <w:color w:val="000000"/>
          <w:highlight w:val="none"/>
        </w:rPr>
      </w:pPr>
      <w:r>
        <w:rPr>
          <w:rFonts w:hint="eastAsia"/>
          <w:color w:val="000000"/>
          <w:highlight w:val="none"/>
        </w:rPr>
        <w:t xml:space="preserve">3.2.1.4有依法缴纳税收和社会保障资金的良好记录：供应商参加本次政府采购活动前半年（至少一个月）依法缴纳税收</w:t>
      </w:r>
      <w:r>
        <w:rPr>
          <w:rFonts w:hint="eastAsia"/>
          <w:color w:val="000000"/>
          <w:highlight w:val="none"/>
          <w:lang w:eastAsia="zh-CN"/>
        </w:rPr>
        <w:t xml:space="preserve">、</w:t>
      </w:r>
      <w:r>
        <w:rPr>
          <w:rFonts w:hint="eastAsia"/>
          <w:color w:val="000000"/>
          <w:highlight w:val="none"/>
        </w:rPr>
        <w:t xml:space="preserve">社会保险的凭据；依法免税或不需要缴纳社会保障资金的供应商，应提供相应证明资料证明其依法免税或不需要缴纳社会保障资金，否则不予认可；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3.2.1.5</w:t>
      </w:r>
      <w:r>
        <w:rPr>
          <w:rFonts w:hint="eastAsia" w:ascii="宋体" w:hAnsi="宋体" w:cs="宋体"/>
          <w:color w:val="000000"/>
          <w:szCs w:val="21"/>
          <w:highlight w:val="none"/>
          <w:shd w:val="clear" w:color="auto" w:fill="ffffff"/>
          <w:lang w:bidi="ar"/>
        </w:rPr>
        <w:t xml:space="preserve">参加政府采购活动前三年内，在经营活动中没有重大违法记录</w:t>
      </w:r>
      <w:r>
        <w:rPr>
          <w:rFonts w:hint="eastAsia" w:ascii="宋体" w:hAnsi="宋体" w:cs="宋体"/>
          <w:color w:val="000000"/>
          <w:szCs w:val="21"/>
          <w:highlight w:val="none"/>
          <w:shd w:val="clear" w:color="auto" w:fill="ffffff"/>
          <w:lang w:eastAsia="zh-CN" w:bidi="ar"/>
        </w:rPr>
        <w:t xml:space="preserve">：提供</w:t>
      </w:r>
      <w:r>
        <w:rPr>
          <w:rFonts w:hint="eastAsia"/>
          <w:color w:val="000000"/>
          <w:highlight w:val="none"/>
        </w:rPr>
        <w:t xml:space="preserve">参加政府采购活动前三年内，在经营活动中没有出现重大违法记录的书面声明函（见格式）；</w:t>
      </w:r>
      <w:r>
        <w:rPr>
          <w:rFonts w:hint="eastAsia"/>
          <w:color w:val="000000"/>
          <w:highlight w:val="none"/>
        </w:rPr>
      </w:r>
      <w:r/>
    </w:p>
    <w:p>
      <w:pPr>
        <w:pStyle w:val="722"/>
        <w:ind w:firstLine="420"/>
        <w:spacing w:line="480" w:lineRule="exact"/>
        <w:rPr>
          <w:rFonts w:ascii="宋体" w:hAnsi="宋体" w:cs="宋体"/>
          <w:color w:val="000000"/>
          <w:szCs w:val="21"/>
          <w:highlight w:val="none"/>
          <w:u w:val="single"/>
          <w:shd w:val="clear" w:color="auto" w:fill="ffffff"/>
          <w:lang w:bidi="ar"/>
        </w:rPr>
      </w:pPr>
      <w:r>
        <w:rPr>
          <w:rFonts w:hint="eastAsia"/>
          <w:color w:val="000000"/>
          <w:highlight w:val="none"/>
        </w:rPr>
        <w:t xml:space="preserve">3.2.1.6</w:t>
      </w:r>
      <w:r>
        <w:rPr>
          <w:rFonts w:hint="eastAsia" w:ascii="宋体" w:hAnsi="宋体" w:cs="宋体"/>
          <w:color w:val="000000"/>
          <w:szCs w:val="21"/>
          <w:highlight w:val="none"/>
          <w:shd w:val="clear" w:color="auto" w:fill="ffffff"/>
          <w:lang w:bidi="ar"/>
        </w:rPr>
        <w:t xml:space="preserve">法律、行政法规规定的其他条件</w:t>
      </w:r>
      <w:r>
        <w:rPr>
          <w:rFonts w:hint="eastAsia" w:ascii="宋体" w:hAnsi="宋体" w:cs="宋体"/>
          <w:color w:val="000000"/>
          <w:szCs w:val="21"/>
          <w:highlight w:val="none"/>
          <w:shd w:val="clear" w:color="auto" w:fill="ffffff"/>
          <w:lang w:val="en-US" w:eastAsia="zh-CN" w:bidi="ar"/>
        </w:rPr>
        <w:t xml:space="preserve">:</w:t>
      </w:r>
      <w:r>
        <w:rPr>
          <w:rFonts w:hint="eastAsia" w:ascii="宋体" w:hAnsi="宋体" w:cs="宋体"/>
          <w:color w:val="000000"/>
          <w:szCs w:val="21"/>
          <w:highlight w:val="none"/>
          <w:u w:val="single"/>
          <w:shd w:val="clear" w:color="auto" w:fill="ffffff"/>
          <w:lang w:bidi="ar"/>
        </w:rPr>
        <w:t xml:space="preserve">/      </w:t>
      </w:r>
      <w:r>
        <w:rPr>
          <w:rFonts w:ascii="宋体" w:hAnsi="宋体" w:cs="宋体"/>
          <w:color w:val="000000"/>
          <w:szCs w:val="21"/>
          <w:highlight w:val="none"/>
          <w:u w:val="single"/>
          <w:shd w:val="clear" w:color="auto" w:fill="ffffff"/>
          <w:lang w:bidi="ar"/>
        </w:rPr>
      </w:r>
      <w:r/>
    </w:p>
    <w:p>
      <w:pPr>
        <w:pStyle w:val="722"/>
        <w:ind w:firstLine="420"/>
        <w:spacing w:line="360" w:lineRule="auto"/>
        <w:rPr>
          <w:rFonts w:hint="eastAsia"/>
          <w:color w:val="000000"/>
          <w:highlight w:val="none"/>
        </w:rPr>
      </w:pPr>
      <w:r>
        <w:rPr>
          <w:rFonts w:hint="eastAsia"/>
          <w:color w:val="000000"/>
          <w:highlight w:val="none"/>
        </w:rPr>
      </w:r>
      <w:r/>
    </w:p>
    <w:p>
      <w:pPr>
        <w:pStyle w:val="722"/>
        <w:ind w:firstLine="211"/>
        <w:spacing w:line="480" w:lineRule="exact"/>
        <w:rPr>
          <w:rFonts w:hint="eastAsia" w:ascii="Times New Roman" w:hAnsi="Times New Roman" w:cs="宋体"/>
          <w:b/>
          <w:bCs/>
          <w:color w:val="000000"/>
          <w:highlight w:val="none"/>
          <w:lang w:bidi="ar"/>
        </w:rPr>
      </w:pPr>
      <w:r>
        <w:rPr>
          <w:rFonts w:hint="eastAsia" w:ascii="Times New Roman" w:hAnsi="Times New Roman" w:cs="宋体"/>
          <w:b/>
          <w:bCs/>
          <w:color w:val="000000"/>
          <w:highlight w:val="none"/>
          <w:lang w:val="en-US" w:eastAsia="zh-CN" w:bidi="ar"/>
        </w:rPr>
        <w:t xml:space="preserve">3.2.1.7</w:t>
      </w:r>
      <w:r>
        <w:rPr>
          <w:rFonts w:hint="eastAsia" w:ascii="Times New Roman" w:hAnsi="Times New Roman" w:cs="宋体"/>
          <w:b/>
          <w:bCs/>
          <w:color w:val="000000"/>
          <w:highlight w:val="none"/>
          <w:lang w:bidi="ar"/>
        </w:rPr>
        <w:t xml:space="preserve">落实政府采购政策需满足的资格要求：</w:t>
      </w:r>
      <w:r>
        <w:rPr>
          <w:rFonts w:hint="eastAsia" w:ascii="Times New Roman" w:hAnsi="Times New Roman" w:cs="宋体"/>
          <w:b/>
          <w:bCs/>
          <w:color w:val="000000"/>
          <w:highlight w:val="none"/>
          <w:lang w:bidi="ar"/>
        </w:rPr>
      </w:r>
      <w:r/>
    </w:p>
    <w:p>
      <w:pPr>
        <w:pStyle w:val="722"/>
        <w:ind w:firstLine="210"/>
        <w:spacing w:line="480" w:lineRule="exact"/>
        <w:rPr>
          <w:rFonts w:hint="eastAsia" w:ascii="Times New Roman" w:hAnsi="Times New Roman" w:cs="宋体"/>
          <w:b/>
          <w:bCs/>
          <w:color w:val="000000"/>
          <w:highlight w:val="none"/>
          <w:lang w:bidi="ar"/>
        </w:rPr>
      </w:pPr>
      <w:r>
        <w:rPr>
          <w:rFonts w:hint="eastAsia" w:ascii="宋体" w:hAnsi="宋体" w:cs="宋体"/>
          <w:color w:val="000000"/>
          <w:szCs w:val="21"/>
          <w:highlight w:val="none"/>
          <w:shd w:val="clear" w:color="auto" w:fill="ffffff"/>
          <w:lang w:bidi="ar"/>
        </w:rPr>
        <w:t xml:space="preserve">根据《政府采购促进中小企业发展管理办法》的相关规定，本项目专门面向中小企业采购。本项目所属行业为</w:t>
      </w:r>
      <w:r>
        <w:rPr>
          <w:rFonts w:hint="eastAsia" w:ascii="宋体" w:hAnsi="宋体" w:cs="宋体"/>
          <w:color w:val="000000"/>
          <w:szCs w:val="21"/>
          <w:highlight w:val="none"/>
          <w:shd w:val="clear" w:color="auto" w:fill="ffffff"/>
          <w:lang w:eastAsia="zh-CN" w:bidi="ar"/>
        </w:rPr>
        <w:t xml:space="preserve">建筑业</w:t>
      </w:r>
      <w:r>
        <w:rPr>
          <w:rFonts w:hint="eastAsia" w:ascii="宋体" w:hAnsi="宋体" w:cs="宋体"/>
          <w:color w:val="000000"/>
          <w:szCs w:val="21"/>
          <w:highlight w:val="none"/>
          <w:shd w:val="clear" w:color="auto" w:fill="ffffff"/>
          <w:lang w:bidi="ar"/>
        </w:rPr>
        <w:t xml:space="preserve">。</w:t>
      </w:r>
      <w:r>
        <w:rPr>
          <w:rFonts w:hint="eastAsia" w:ascii="Times New Roman" w:hAnsi="Times New Roman" w:cs="宋体"/>
          <w:b/>
          <w:bCs/>
          <w:color w:val="000000"/>
          <w:highlight w:val="none"/>
          <w:lang w:bidi="ar"/>
        </w:rPr>
      </w:r>
      <w:r/>
    </w:p>
    <w:p>
      <w:pPr>
        <w:pStyle w:val="722"/>
        <w:ind w:firstLine="210"/>
        <w:spacing w:line="480" w:lineRule="exact"/>
        <w:rPr>
          <w:rFonts w:hint="eastAsia" w:ascii="Times New Roman" w:hAnsi="Times New Roman" w:cs="宋体"/>
          <w:color w:val="000000"/>
          <w:highlight w:val="none"/>
          <w:u w:val="single"/>
          <w:lang w:bidi="ar"/>
        </w:rPr>
      </w:pPr>
      <w:r>
        <w:rPr>
          <w:rFonts w:hint="eastAsia" w:ascii="Times New Roman" w:hAnsi="Times New Roman" w:cs="宋体"/>
          <w:color w:val="000000"/>
          <w:highlight w:val="none"/>
          <w:u w:val="single"/>
          <w:lang w:bidi="ar"/>
        </w:rPr>
        <w:t xml:space="preserve">提供《中小企业声明函》（见格式）或提供《残疾人福利性单位声明函》（见格式）或提供由省级以上监狱管理局、戒毒管理局（含新疆生产建设兵团）出具的属于监狱企业的证明文件。</w:t>
      </w:r>
      <w:r>
        <w:rPr>
          <w:rFonts w:hint="eastAsia" w:ascii="Times New Roman" w:hAnsi="Times New Roman" w:cs="宋体"/>
          <w:color w:val="000000"/>
          <w:highlight w:val="none"/>
          <w:u w:val="single"/>
          <w:lang w:bidi="ar"/>
        </w:rPr>
      </w:r>
      <w:r/>
    </w:p>
    <w:p>
      <w:pPr>
        <w:pStyle w:val="722"/>
        <w:ind w:firstLine="210"/>
        <w:spacing w:line="480" w:lineRule="exact"/>
        <w:rPr>
          <w:rFonts w:hint="eastAsia" w:ascii="Times New Roman" w:hAnsi="Times New Roman" w:cs="宋体"/>
          <w:color w:val="000000"/>
          <w:highlight w:val="none"/>
          <w:u w:val="single"/>
          <w:lang w:bidi="ar"/>
        </w:rPr>
      </w:pPr>
      <w:r>
        <w:rPr>
          <w:rFonts w:hint="eastAsia" w:ascii="Times New Roman" w:hAnsi="Times New Roman" w:cs="宋体"/>
          <w:color w:val="000000"/>
          <w:highlight w:val="none"/>
          <w:u w:val="single"/>
          <w:lang w:bidi="ar"/>
        </w:rPr>
      </w:r>
      <w:r/>
    </w:p>
    <w:p>
      <w:pPr>
        <w:pStyle w:val="722"/>
        <w:spacing w:line="240" w:lineRule="auto"/>
        <w:rPr>
          <w:rFonts w:hint="eastAsia" w:cs="宋体"/>
          <w:b/>
          <w:bCs/>
          <w:color w:val="000000"/>
          <w:highlight w:val="none"/>
          <w:lang w:eastAsia="zh-CN" w:bidi="ar"/>
        </w:rPr>
      </w:pPr>
      <w:r>
        <w:rPr>
          <w:rFonts w:hint="eastAsia" w:cs="宋体"/>
          <w:b/>
          <w:bCs/>
          <w:color w:val="000000"/>
          <w:highlight w:val="none"/>
          <w:lang w:val="en-US" w:eastAsia="zh-CN" w:bidi="ar"/>
        </w:rPr>
        <w:t xml:space="preserve">3.2.1.8</w:t>
      </w:r>
      <w:r>
        <w:rPr>
          <w:rFonts w:hint="eastAsia" w:cs="宋体"/>
          <w:b/>
          <w:bCs/>
          <w:color w:val="000000"/>
          <w:highlight w:val="none"/>
          <w:lang w:bidi="ar"/>
        </w:rPr>
        <w:t xml:space="preserve">特定资格条件</w:t>
      </w:r>
      <w:r>
        <w:rPr>
          <w:rFonts w:hint="eastAsia" w:cs="宋体"/>
          <w:b/>
          <w:bCs/>
          <w:color w:val="000000"/>
          <w:highlight w:val="none"/>
          <w:lang w:eastAsia="zh-CN" w:bidi="ar"/>
        </w:rPr>
        <w:t xml:space="preserve">：</w:t>
      </w:r>
      <w:r>
        <w:rPr>
          <w:rFonts w:hint="eastAsia" w:cs="宋体"/>
          <w:b/>
          <w:bCs/>
          <w:color w:val="000000"/>
          <w:highlight w:val="none"/>
          <w:lang w:eastAsia="zh-CN" w:bidi="ar"/>
        </w:rPr>
      </w:r>
      <w:r/>
    </w:p>
    <w:p>
      <w:pPr>
        <w:pStyle w:val="748"/>
        <w:spacing w:before="155" w:line="228" w:lineRule="auto"/>
        <w:rPr>
          <w:color w:val="000000"/>
          <w:sz w:val="21"/>
          <w:szCs w:val="21"/>
          <w:highlight w:val="none"/>
        </w:rPr>
      </w:pPr>
      <w:r>
        <w:rPr>
          <w:rFonts w:hint="eastAsia"/>
          <w:color w:val="000000"/>
          <w:spacing w:val="7"/>
          <w:sz w:val="21"/>
          <w:szCs w:val="21"/>
          <w:highlight w:val="none"/>
          <w:lang w:val="en-US" w:eastAsia="zh-CN"/>
        </w:rPr>
        <w:t xml:space="preserve">3.2.1.8.1单位资质证书扫描</w:t>
      </w:r>
      <w:r>
        <w:rPr>
          <w:color w:val="000000"/>
          <w:spacing w:val="7"/>
          <w:sz w:val="21"/>
          <w:szCs w:val="21"/>
          <w:highlight w:val="none"/>
        </w:rPr>
        <w:t xml:space="preserve">件</w:t>
      </w:r>
      <w:r>
        <w:rPr>
          <w:rFonts w:hint="eastAsia"/>
          <w:color w:val="000000"/>
          <w:spacing w:val="7"/>
          <w:sz w:val="21"/>
          <w:szCs w:val="21"/>
          <w:highlight w:val="none"/>
          <w:lang w:eastAsia="zh-CN"/>
        </w:rPr>
        <w:t xml:space="preserve">、</w:t>
      </w:r>
      <w:r>
        <w:rPr>
          <w:color w:val="000000"/>
          <w:spacing w:val="5"/>
          <w:sz w:val="21"/>
          <w:szCs w:val="21"/>
          <w:highlight w:val="none"/>
        </w:rPr>
        <w:t xml:space="preserve">有效期内的</w:t>
      </w:r>
      <w:r>
        <w:rPr>
          <w:rFonts w:hint="eastAsia"/>
          <w:color w:val="000000"/>
          <w:spacing w:val="5"/>
          <w:sz w:val="21"/>
          <w:szCs w:val="21"/>
          <w:highlight w:val="none"/>
          <w:lang w:val="en-US" w:eastAsia="zh-CN"/>
        </w:rPr>
        <w:t xml:space="preserve">企业</w:t>
      </w:r>
      <w:r>
        <w:rPr>
          <w:color w:val="000000"/>
          <w:spacing w:val="5"/>
          <w:sz w:val="21"/>
          <w:szCs w:val="21"/>
          <w:highlight w:val="none"/>
        </w:rPr>
        <w:t xml:space="preserve">安全生产许可证</w:t>
      </w:r>
      <w:r>
        <w:rPr>
          <w:rFonts w:hint="eastAsia"/>
          <w:color w:val="000000"/>
          <w:spacing w:val="5"/>
          <w:sz w:val="21"/>
          <w:szCs w:val="21"/>
          <w:highlight w:val="none"/>
          <w:lang w:val="en-US" w:eastAsia="zh-CN"/>
        </w:rPr>
        <w:t xml:space="preserve">扫描</w:t>
      </w:r>
      <w:r>
        <w:rPr>
          <w:color w:val="000000"/>
          <w:spacing w:val="5"/>
          <w:sz w:val="21"/>
          <w:szCs w:val="21"/>
          <w:highlight w:val="none"/>
        </w:rPr>
        <w:t xml:space="preserve">件。</w:t>
      </w:r>
      <w:r>
        <w:rPr>
          <w:color w:val="000000"/>
          <w:sz w:val="21"/>
          <w:szCs w:val="21"/>
          <w:highlight w:val="none"/>
        </w:rPr>
      </w:r>
      <w:r/>
    </w:p>
    <w:p>
      <w:pPr>
        <w:pStyle w:val="748"/>
        <w:ind w:right="39"/>
        <w:spacing w:before="154" w:line="341" w:lineRule="auto"/>
        <w:rPr>
          <w:rFonts w:hint="eastAsia"/>
          <w:color w:val="000000"/>
          <w:sz w:val="21"/>
          <w:szCs w:val="21"/>
          <w:highlight w:val="none"/>
        </w:rPr>
      </w:pPr>
      <w:r>
        <w:rPr>
          <w:rFonts w:hint="eastAsia"/>
          <w:color w:val="000000"/>
          <w:spacing w:val="7"/>
          <w:sz w:val="21"/>
          <w:szCs w:val="21"/>
          <w:highlight w:val="none"/>
          <w:lang w:val="en-US" w:eastAsia="zh-CN"/>
        </w:rPr>
        <w:t xml:space="preserve">3.2.1.8.2</w:t>
      </w:r>
      <w:r>
        <w:rPr>
          <w:color w:val="000000"/>
          <w:spacing w:val="9"/>
          <w:sz w:val="21"/>
          <w:szCs w:val="21"/>
          <w:highlight w:val="none"/>
        </w:rPr>
        <w:t xml:space="preserve">拟选派项目</w:t>
      </w:r>
      <w:r>
        <w:rPr>
          <w:rFonts w:hint="eastAsia"/>
          <w:color w:val="000000"/>
          <w:spacing w:val="9"/>
          <w:sz w:val="21"/>
          <w:szCs w:val="21"/>
          <w:highlight w:val="none"/>
          <w:lang w:val="en-US" w:eastAsia="zh-CN"/>
        </w:rPr>
        <w:t xml:space="preserve">负责人</w:t>
      </w:r>
      <w:r>
        <w:rPr>
          <w:color w:val="000000"/>
          <w:spacing w:val="9"/>
          <w:sz w:val="21"/>
          <w:szCs w:val="21"/>
          <w:highlight w:val="none"/>
          <w:lang w:val="en-US"/>
        </w:rPr>
        <w:t xml:space="preserve">建造师</w:t>
      </w:r>
      <w:r>
        <w:rPr>
          <w:color w:val="000000"/>
          <w:spacing w:val="9"/>
          <w:sz w:val="21"/>
          <w:szCs w:val="21"/>
          <w:highlight w:val="none"/>
        </w:rPr>
        <w:t xml:space="preserve">注册证书</w:t>
      </w:r>
      <w:r>
        <w:rPr>
          <w:rFonts w:hint="eastAsia"/>
          <w:color w:val="000000"/>
          <w:spacing w:val="9"/>
          <w:sz w:val="21"/>
          <w:szCs w:val="21"/>
          <w:highlight w:val="none"/>
          <w:lang w:val="en-US" w:eastAsia="zh-CN"/>
        </w:rPr>
        <w:t xml:space="preserve">扫描</w:t>
      </w:r>
      <w:r>
        <w:rPr>
          <w:color w:val="000000"/>
          <w:spacing w:val="9"/>
          <w:sz w:val="21"/>
          <w:szCs w:val="21"/>
          <w:highlight w:val="none"/>
        </w:rPr>
        <w:t xml:space="preserve">件</w:t>
      </w:r>
      <w:r>
        <w:rPr>
          <w:rFonts w:hint="eastAsia"/>
          <w:color w:val="000000"/>
          <w:spacing w:val="9"/>
          <w:sz w:val="21"/>
          <w:szCs w:val="21"/>
          <w:highlight w:val="none"/>
          <w:lang w:eastAsia="zh-CN"/>
        </w:rPr>
        <w:t xml:space="preserve">、</w:t>
      </w:r>
      <w:r>
        <w:rPr>
          <w:color w:val="000000"/>
          <w:spacing w:val="9"/>
          <w:sz w:val="21"/>
          <w:szCs w:val="21"/>
          <w:highlight w:val="none"/>
        </w:rPr>
        <w:t xml:space="preserve">项目</w:t>
      </w:r>
      <w:r>
        <w:rPr>
          <w:rFonts w:hint="eastAsia"/>
          <w:color w:val="000000"/>
          <w:spacing w:val="9"/>
          <w:sz w:val="21"/>
          <w:szCs w:val="21"/>
          <w:highlight w:val="none"/>
          <w:lang w:val="en-US" w:eastAsia="zh-CN"/>
        </w:rPr>
        <w:t xml:space="preserve">负责人</w:t>
      </w:r>
      <w:r>
        <w:rPr>
          <w:color w:val="000000"/>
          <w:spacing w:val="9"/>
          <w:sz w:val="21"/>
          <w:szCs w:val="21"/>
          <w:highlight w:val="none"/>
        </w:rPr>
        <w:t xml:space="preserve">安全生产考</w:t>
      </w:r>
      <w:r>
        <w:rPr>
          <w:color w:val="000000"/>
          <w:spacing w:val="11"/>
          <w:sz w:val="21"/>
          <w:szCs w:val="21"/>
          <w:highlight w:val="none"/>
        </w:rPr>
        <w:t xml:space="preserve">核合格证（B</w:t>
      </w:r>
      <w:r>
        <w:rPr>
          <w:color w:val="000000"/>
          <w:spacing w:val="-23"/>
          <w:sz w:val="21"/>
          <w:szCs w:val="21"/>
          <w:highlight w:val="none"/>
        </w:rPr>
        <w:t xml:space="preserve"> </w:t>
      </w:r>
      <w:r>
        <w:rPr>
          <w:color w:val="000000"/>
          <w:spacing w:val="11"/>
          <w:sz w:val="21"/>
          <w:szCs w:val="21"/>
          <w:highlight w:val="none"/>
        </w:rPr>
        <w:t xml:space="preserve">类）证书</w:t>
      </w:r>
      <w:r>
        <w:rPr>
          <w:rFonts w:hint="eastAsia"/>
          <w:color w:val="000000"/>
          <w:spacing w:val="11"/>
          <w:sz w:val="21"/>
          <w:szCs w:val="21"/>
          <w:highlight w:val="none"/>
          <w:lang w:val="en-US" w:eastAsia="zh-CN"/>
        </w:rPr>
        <w:t xml:space="preserve">扫描</w:t>
      </w:r>
      <w:r>
        <w:rPr>
          <w:color w:val="000000"/>
          <w:spacing w:val="11"/>
          <w:sz w:val="21"/>
          <w:szCs w:val="21"/>
          <w:highlight w:val="none"/>
        </w:rPr>
        <w:t xml:space="preserve">件</w:t>
      </w:r>
      <w:r>
        <w:rPr>
          <w:rFonts w:hint="eastAsia"/>
          <w:color w:val="000000"/>
          <w:spacing w:val="11"/>
          <w:sz w:val="21"/>
          <w:szCs w:val="21"/>
          <w:highlight w:val="none"/>
          <w:lang w:eastAsia="zh-CN"/>
        </w:rPr>
        <w:t xml:space="preserve">。</w:t>
      </w:r>
      <w:r>
        <w:rPr>
          <w:color w:val="000000"/>
          <w:spacing w:val="11"/>
          <w:sz w:val="21"/>
          <w:szCs w:val="21"/>
          <w:highlight w:val="none"/>
        </w:rPr>
        <w:t xml:space="preserve">项目</w:t>
      </w:r>
      <w:r>
        <w:rPr>
          <w:rFonts w:hint="eastAsia"/>
          <w:color w:val="000000"/>
          <w:spacing w:val="11"/>
          <w:sz w:val="21"/>
          <w:szCs w:val="21"/>
          <w:highlight w:val="none"/>
          <w:lang w:val="en-US" w:eastAsia="zh-CN"/>
        </w:rPr>
        <w:t xml:space="preserve">负责人</w:t>
      </w:r>
      <w:r>
        <w:rPr>
          <w:color w:val="000000"/>
          <w:spacing w:val="11"/>
          <w:sz w:val="21"/>
          <w:szCs w:val="21"/>
          <w:highlight w:val="none"/>
        </w:rPr>
        <w:t xml:space="preserve">除满足资格条件外还必须满足以下条件：①项目负责人不得同时在两个或者两个以上单位受聘</w:t>
      </w:r>
      <w:r>
        <w:rPr>
          <w:color w:val="000000"/>
          <w:spacing w:val="10"/>
          <w:sz w:val="21"/>
          <w:szCs w:val="21"/>
          <w:highlight w:val="none"/>
        </w:rPr>
        <w:t xml:space="preserve">或者执业。②项目负责人是非变更后无在建工程，或项目负责人是变更后无在建工程（必须原合同工期</w:t>
      </w:r>
      <w:r>
        <w:rPr>
          <w:color w:val="000000"/>
          <w:spacing w:val="9"/>
          <w:sz w:val="21"/>
          <w:szCs w:val="21"/>
          <w:highlight w:val="none"/>
        </w:rPr>
        <w:t xml:space="preserve">已满且变更备案之日已满</w:t>
      </w:r>
      <w:r>
        <w:rPr>
          <w:color w:val="000000"/>
          <w:spacing w:val="-34"/>
          <w:sz w:val="21"/>
          <w:szCs w:val="21"/>
          <w:highlight w:val="none"/>
        </w:rPr>
        <w:t xml:space="preserve"> </w:t>
      </w:r>
      <w:r>
        <w:rPr>
          <w:color w:val="000000"/>
          <w:spacing w:val="9"/>
          <w:sz w:val="21"/>
          <w:szCs w:val="21"/>
          <w:highlight w:val="none"/>
        </w:rPr>
        <w:t xml:space="preserve">6</w:t>
      </w:r>
      <w:r>
        <w:rPr>
          <w:color w:val="000000"/>
          <w:spacing w:val="-41"/>
          <w:sz w:val="21"/>
          <w:szCs w:val="21"/>
          <w:highlight w:val="none"/>
        </w:rPr>
        <w:t xml:space="preserve"> </w:t>
      </w:r>
      <w:r>
        <w:rPr>
          <w:color w:val="000000"/>
          <w:spacing w:val="9"/>
          <w:sz w:val="21"/>
          <w:szCs w:val="21"/>
          <w:highlight w:val="none"/>
        </w:rPr>
        <w:t xml:space="preserve">个月</w:t>
      </w:r>
      <w:r>
        <w:rPr>
          <w:color w:val="000000"/>
          <w:spacing w:val="16"/>
          <w:sz w:val="21"/>
          <w:szCs w:val="21"/>
          <w:highlight w:val="none"/>
        </w:rPr>
        <w:t xml:space="preserve">），</w:t>
      </w:r>
      <w:r>
        <w:rPr>
          <w:color w:val="000000"/>
          <w:spacing w:val="9"/>
          <w:sz w:val="21"/>
          <w:szCs w:val="21"/>
          <w:highlight w:val="none"/>
        </w:rPr>
        <w:t xml:space="preserve">或因非承</w:t>
      </w:r>
      <w:r>
        <w:rPr>
          <w:color w:val="000000"/>
          <w:spacing w:val="7"/>
          <w:sz w:val="21"/>
          <w:szCs w:val="21"/>
          <w:highlight w:val="none"/>
        </w:rPr>
        <w:t xml:space="preserve">包方原因致使工程项目停工或因故不能按期开工、且已办理了项目负责人相关手续。提供承诺函。</w:t>
      </w:r>
      <w:r>
        <w:rPr>
          <w:rFonts w:hint="eastAsia"/>
          <w:color w:val="000000"/>
          <w:sz w:val="21"/>
          <w:szCs w:val="21"/>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3.2.2符合性审查文件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3.2.2.1磋商响应函（格式见第六章）；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3.2.2.2</w:t>
      </w:r>
      <w:r>
        <w:rPr>
          <w:rFonts w:hint="eastAsia"/>
          <w:color w:val="000000"/>
          <w:highlight w:val="none"/>
          <w:lang w:val="en-US" w:eastAsia="zh-CN"/>
        </w:rPr>
        <w:t xml:space="preserve">磋商响应报价表</w:t>
      </w:r>
      <w:r>
        <w:rPr>
          <w:rFonts w:hint="eastAsia"/>
          <w:color w:val="000000"/>
          <w:highlight w:val="none"/>
        </w:rPr>
        <w:t xml:space="preserve">（格式见第六章）；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3.2.2.3</w:t>
      </w:r>
      <w:r>
        <w:rPr>
          <w:rFonts w:hint="eastAsia"/>
          <w:color w:val="000000"/>
          <w:highlight w:val="none"/>
          <w:lang w:val="en-US" w:eastAsia="zh-CN"/>
        </w:rPr>
        <w:t xml:space="preserve">工程量清单报价</w:t>
      </w:r>
      <w:r>
        <w:rPr>
          <w:rFonts w:hint="eastAsia"/>
          <w:color w:val="000000"/>
          <w:highlight w:val="none"/>
        </w:rPr>
        <w:t xml:space="preserve">（格式见第六章）；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3.2.2.4服务要求偏离表（格式见第六章）；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3.2.2.5法人授权委托书（如有授权委托，格式见第六章）或法定代表人身份证</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3.2.2.6代理人身份证（如有授权委托）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3.2.2.7采购文件中要求必须提供的承诺书（格式见第六章）；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w:t>
      </w:r>
      <w:r>
        <w:rPr>
          <w:rFonts w:hint="eastAsia"/>
          <w:color w:val="000000"/>
          <w:highlight w:val="none"/>
          <w:lang w:val="en-US" w:eastAsia="zh-CN"/>
        </w:rPr>
        <w:t xml:space="preserve">8</w:t>
      </w:r>
      <w:r>
        <w:rPr>
          <w:rFonts w:hint="eastAsia"/>
          <w:color w:val="000000"/>
          <w:highlight w:val="none"/>
        </w:rPr>
        <w:t xml:space="preserve">采购需求中所涉及到的或响应单位认为需加以说明或证明的其他材料、证明；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w:t>
      </w:r>
      <w:r>
        <w:rPr>
          <w:rFonts w:hint="eastAsia"/>
          <w:color w:val="000000"/>
          <w:highlight w:val="none"/>
          <w:lang w:val="en-US" w:eastAsia="zh-CN"/>
        </w:rPr>
        <w:t xml:space="preserve">3</w:t>
      </w:r>
      <w:r>
        <w:rPr>
          <w:rFonts w:hint="eastAsia"/>
          <w:color w:val="000000"/>
          <w:highlight w:val="none"/>
        </w:rPr>
        <w:t xml:space="preserve">综合评审文件：评分标准中所涉及到的各项方案及其他得分证明材料等。</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以上3.2.1项是资格审查要求必须提供的材料，专门面向中小企业的项目必须提供3.2.1.</w:t>
      </w:r>
      <w:r>
        <w:rPr>
          <w:rFonts w:hint="eastAsia"/>
          <w:color w:val="000000"/>
          <w:highlight w:val="none"/>
          <w:lang w:val="en-US" w:eastAsia="zh-CN"/>
        </w:rPr>
        <w:t xml:space="preserve">7</w:t>
      </w:r>
      <w:r>
        <w:rPr>
          <w:rFonts w:hint="eastAsia"/>
          <w:color w:val="000000"/>
          <w:highlight w:val="none"/>
        </w:rPr>
        <w:t xml:space="preserve">项资料，否则响应无效。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以上3.2.2.1-3.2.2.</w:t>
      </w:r>
      <w:r>
        <w:rPr>
          <w:rFonts w:hint="eastAsia"/>
          <w:color w:val="000000"/>
          <w:highlight w:val="none"/>
          <w:lang w:val="en-US" w:eastAsia="zh-CN"/>
        </w:rPr>
        <w:t xml:space="preserve">4</w:t>
      </w:r>
      <w:r>
        <w:rPr>
          <w:rFonts w:hint="eastAsia"/>
          <w:color w:val="000000"/>
          <w:highlight w:val="none"/>
        </w:rPr>
        <w:t xml:space="preserve">、3.2.2.7为符合性审查必须提供的资料，如有授权委托，采购需求中所涉及到的或响应单位认为需加以说明或证明的其他材料、证明还必须提供3.2.2.</w:t>
      </w:r>
      <w:r>
        <w:rPr>
          <w:rFonts w:hint="eastAsia"/>
          <w:color w:val="000000"/>
          <w:highlight w:val="none"/>
          <w:lang w:val="en-US" w:eastAsia="zh-CN"/>
        </w:rPr>
        <w:t xml:space="preserve">5</w:t>
      </w:r>
      <w:r>
        <w:rPr>
          <w:rFonts w:hint="eastAsia"/>
          <w:color w:val="000000"/>
          <w:highlight w:val="none"/>
        </w:rPr>
        <w:t xml:space="preserve">、3.2.2.</w:t>
      </w:r>
      <w:r>
        <w:rPr>
          <w:rFonts w:hint="eastAsia"/>
          <w:color w:val="000000"/>
          <w:highlight w:val="none"/>
          <w:lang w:val="en-US" w:eastAsia="zh-CN"/>
        </w:rPr>
        <w:t xml:space="preserve">6、3.2.2.8</w:t>
      </w:r>
      <w:r>
        <w:rPr>
          <w:rFonts w:hint="eastAsia"/>
          <w:color w:val="000000"/>
          <w:highlight w:val="none"/>
        </w:rPr>
        <w:t xml:space="preserve">项材料，否则响应无效。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注：为便于评审，防止漏评、误判，制作电子</w:t>
      </w:r>
      <w:r>
        <w:rPr>
          <w:rFonts w:hint="eastAsia"/>
          <w:color w:val="000000"/>
          <w:highlight w:val="none"/>
          <w:lang w:eastAsia="zh-CN"/>
        </w:rPr>
        <w:t xml:space="preserve">投标（响应）</w:t>
      </w:r>
      <w:r>
        <w:rPr>
          <w:rFonts w:hint="eastAsia"/>
          <w:color w:val="000000"/>
          <w:highlight w:val="none"/>
        </w:rPr>
        <w:t xml:space="preserve">文件时请与电子</w:t>
      </w:r>
      <w:r>
        <w:rPr>
          <w:rFonts w:hint="eastAsia"/>
          <w:color w:val="000000"/>
          <w:highlight w:val="none"/>
          <w:lang w:eastAsia="zh-CN"/>
        </w:rPr>
        <w:t xml:space="preserve">投标（响应）</w:t>
      </w:r>
      <w:r>
        <w:rPr>
          <w:rFonts w:hint="eastAsia"/>
          <w:color w:val="000000"/>
          <w:highlight w:val="none"/>
        </w:rPr>
        <w:t xml:space="preserve">文件制作软件目录一一对应，将相关资料上传至对应模块。</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供应商应保证上传的</w:t>
      </w:r>
      <w:r>
        <w:rPr>
          <w:rFonts w:hint="eastAsia"/>
          <w:color w:val="000000"/>
          <w:highlight w:val="none"/>
          <w:lang w:eastAsia="zh-CN"/>
        </w:rPr>
        <w:t xml:space="preserve">投标（响应）</w:t>
      </w:r>
      <w:r>
        <w:rPr>
          <w:rFonts w:hint="eastAsia"/>
          <w:color w:val="000000"/>
          <w:highlight w:val="none"/>
        </w:rPr>
        <w:t xml:space="preserve">文件完整、清晰可辨认，若因上传资料过小或模糊不清等肉眼无法辨认的都视为该资料未提供。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响应单位必须保证全部响应资料的真实性，如有虚假或对采购文件所要求说明的情况故意隐瞒或虚报，视为不实质性响应磋商文件，响应无效。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如供应商响应文件中某些条款不响应磋商文件提出的全部服务内容与要求，须在偏离表中逐条列出，未列出的视同响应。</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3.3响应报价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3.3.1响应报价应包括完成本采购项目全部内容的一切费用，除非合同条款中另有规定，响应单位所报价格在合同实施期间不因市场变化因素而变动。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3.3.2如果磋商文件要求分标段</w:t>
      </w:r>
      <w:r>
        <w:rPr>
          <w:rFonts w:hint="eastAsia"/>
          <w:color w:val="000000"/>
          <w:highlight w:val="none"/>
          <w:lang w:eastAsia="zh-CN"/>
        </w:rPr>
        <w:t xml:space="preserve">投标（响应）</w:t>
      </w:r>
      <w:r>
        <w:rPr>
          <w:rFonts w:hint="eastAsia"/>
          <w:color w:val="000000"/>
          <w:highlight w:val="none"/>
        </w:rPr>
        <w:t xml:space="preserve">的，则供应商可以根据自身经营许可范围，选择响应其中部分或者全部标段，但各标段应分别计算填写单价和总价。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3.3.3供应商应对所投项目的全部内容进行报价，只对其中部分内容报价的，其响应无效。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3.3.4一项采购内容只允许一个报价，任何有选择性响应报价的，其响应无效。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3.3.6报价的大写金额和小写金额不一致的，以大写金额为准。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3.3.7单价金额小数点或者百分比有明显错位的，以该次报价总价为准。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3.3.8总价金额与按单价汇总金额不一致的，以单价金额计算结果为准。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3.3.9响应文件报价中的单价和总价全部采用人民币表示，费率以人民币的百分比（%）表示，除非另有规定。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lang w:val="en-US" w:eastAsia="zh-CN"/>
        </w:rPr>
        <w:t xml:space="preserve">3.3.10</w:t>
      </w:r>
      <w:r>
        <w:rPr>
          <w:rFonts w:hint="eastAsia"/>
          <w:color w:val="000000"/>
          <w:highlight w:val="none"/>
        </w:rPr>
        <w:t xml:space="preserve">根据江苏省财政厅转发“苏财购【2026】36号”《财政部关于推动解决政府采购异常低价问题的通知》，在评标</w:t>
      </w:r>
      <w:r>
        <w:rPr>
          <w:rFonts w:hint="eastAsia"/>
          <w:color w:val="000000"/>
          <w:highlight w:val="none"/>
          <w:lang w:eastAsia="zh-CN"/>
        </w:rPr>
        <w:t xml:space="preserve">（</w:t>
      </w:r>
      <w:r>
        <w:rPr>
          <w:rFonts w:hint="eastAsia"/>
          <w:color w:val="000000"/>
          <w:highlight w:val="none"/>
          <w:lang w:val="en-US" w:eastAsia="zh-CN"/>
        </w:rPr>
        <w:t xml:space="preserve">评审）</w:t>
      </w:r>
      <w:r>
        <w:rPr>
          <w:rFonts w:hint="eastAsia"/>
          <w:color w:val="000000"/>
          <w:highlight w:val="none"/>
        </w:rPr>
        <w:t xml:space="preserve">过程中，如出现</w:t>
      </w:r>
      <w:r>
        <w:rPr>
          <w:rFonts w:hint="eastAsia"/>
          <w:color w:val="000000"/>
          <w:highlight w:val="none"/>
          <w:lang w:eastAsia="zh-CN"/>
        </w:rPr>
        <w:t xml:space="preserve">投标（响应）</w:t>
      </w:r>
      <w:r>
        <w:rPr>
          <w:rFonts w:hint="eastAsia"/>
          <w:color w:val="000000"/>
          <w:highlight w:val="none"/>
        </w:rPr>
        <w:t xml:space="preserve">单位低价</w:t>
      </w:r>
      <w:r>
        <w:rPr>
          <w:rFonts w:hint="eastAsia"/>
          <w:color w:val="000000"/>
          <w:highlight w:val="none"/>
          <w:lang w:eastAsia="zh-CN"/>
        </w:rPr>
        <w:t xml:space="preserve">投标（响应）</w:t>
      </w:r>
      <w:r>
        <w:rPr>
          <w:rFonts w:hint="eastAsia"/>
          <w:color w:val="000000"/>
          <w:highlight w:val="none"/>
        </w:rPr>
        <w:t xml:space="preserve">的情况，</w:t>
      </w:r>
      <w:r>
        <w:rPr>
          <w:rFonts w:hint="eastAsia"/>
          <w:color w:val="000000"/>
          <w:highlight w:val="none"/>
          <w:lang w:eastAsia="zh-CN"/>
        </w:rPr>
        <w:t xml:space="preserve">评标委员会（评审委员会）</w:t>
      </w:r>
      <w:r>
        <w:rPr>
          <w:rFonts w:hint="eastAsia"/>
          <w:color w:val="000000"/>
          <w:highlight w:val="none"/>
        </w:rPr>
        <w:t xml:space="preserve">将对异常低价</w:t>
      </w:r>
      <w:r>
        <w:rPr>
          <w:rFonts w:hint="eastAsia"/>
          <w:color w:val="000000"/>
          <w:highlight w:val="none"/>
          <w:lang w:eastAsia="zh-CN"/>
        </w:rPr>
        <w:t xml:space="preserve">投标（响应）</w:t>
      </w:r>
      <w:r>
        <w:rPr>
          <w:rFonts w:hint="eastAsia"/>
          <w:color w:val="000000"/>
          <w:highlight w:val="none"/>
        </w:rPr>
        <w:t xml:space="preserve">启动审查，审查的情形和具体要求，包括：</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）评</w:t>
      </w:r>
      <w:r>
        <w:rPr>
          <w:rFonts w:hint="eastAsia"/>
          <w:color w:val="000000"/>
          <w:highlight w:val="none"/>
          <w:lang w:val="en-US" w:eastAsia="zh-CN"/>
        </w:rPr>
        <w:t xml:space="preserve">审</w:t>
      </w:r>
      <w:r>
        <w:rPr>
          <w:rFonts w:hint="eastAsia"/>
          <w:color w:val="000000"/>
          <w:highlight w:val="none"/>
        </w:rPr>
        <w:t xml:space="preserve">过程中出现下列情形之一的，评</w:t>
      </w:r>
      <w:r>
        <w:rPr>
          <w:rFonts w:hint="eastAsia"/>
          <w:color w:val="000000"/>
          <w:highlight w:val="none"/>
          <w:lang w:val="en-US" w:eastAsia="zh-CN"/>
        </w:rPr>
        <w:t xml:space="preserve">审</w:t>
      </w:r>
      <w:r>
        <w:rPr>
          <w:rFonts w:hint="eastAsia"/>
          <w:color w:val="000000"/>
          <w:highlight w:val="none"/>
        </w:rPr>
        <w:t xml:space="preserve">委员会应当启动异常低价</w:t>
      </w:r>
      <w:r>
        <w:rPr>
          <w:rFonts w:hint="eastAsia"/>
          <w:color w:val="000000"/>
          <w:highlight w:val="none"/>
          <w:lang w:eastAsia="zh-CN"/>
        </w:rPr>
        <w:t xml:space="preserve">投标（响应）</w:t>
      </w:r>
      <w:r>
        <w:rPr>
          <w:rFonts w:hint="eastAsia"/>
          <w:color w:val="000000"/>
          <w:highlight w:val="none"/>
        </w:rPr>
        <w:t xml:space="preserve">审查程序：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1）</w:t>
      </w:r>
      <w:r>
        <w:rPr>
          <w:rFonts w:hint="eastAsia"/>
          <w:color w:val="000000"/>
          <w:highlight w:val="none"/>
          <w:lang w:eastAsia="zh-CN"/>
        </w:rPr>
        <w:t xml:space="preserve">投标（响应）</w:t>
      </w:r>
      <w:r>
        <w:rPr>
          <w:rFonts w:hint="eastAsia"/>
          <w:color w:val="000000"/>
          <w:highlight w:val="none"/>
        </w:rPr>
        <w:t xml:space="preserve">报价低于全部通过符合性审查供应商</w:t>
      </w:r>
      <w:r>
        <w:rPr>
          <w:rFonts w:hint="eastAsia"/>
          <w:color w:val="000000"/>
          <w:highlight w:val="none"/>
          <w:lang w:eastAsia="zh-CN"/>
        </w:rPr>
        <w:t xml:space="preserve">投标（响应）</w:t>
      </w:r>
      <w:r>
        <w:rPr>
          <w:rFonts w:hint="eastAsia"/>
          <w:color w:val="000000"/>
          <w:highlight w:val="none"/>
        </w:rPr>
        <w:t xml:space="preserve">报价平均值50%的，即</w:t>
      </w:r>
      <w:r>
        <w:rPr>
          <w:rFonts w:hint="eastAsia"/>
          <w:color w:val="000000"/>
          <w:highlight w:val="none"/>
          <w:lang w:eastAsia="zh-CN"/>
        </w:rPr>
        <w:t xml:space="preserve">投标（响应）</w:t>
      </w:r>
      <w:r>
        <w:rPr>
          <w:rFonts w:hint="eastAsia"/>
          <w:color w:val="000000"/>
          <w:highlight w:val="none"/>
        </w:rPr>
        <w:t xml:space="preserve">报价&lt;全部通过符合性审查供应商</w:t>
      </w:r>
      <w:r>
        <w:rPr>
          <w:rFonts w:hint="eastAsia"/>
          <w:color w:val="000000"/>
          <w:highlight w:val="none"/>
          <w:lang w:eastAsia="zh-CN"/>
        </w:rPr>
        <w:t xml:space="preserve">投标（响应）</w:t>
      </w:r>
      <w:r>
        <w:rPr>
          <w:rFonts w:hint="eastAsia"/>
          <w:color w:val="000000"/>
          <w:highlight w:val="none"/>
        </w:rPr>
        <w:t xml:space="preserve">报价平均值×50% ；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2）</w:t>
      </w:r>
      <w:r>
        <w:rPr>
          <w:rFonts w:hint="eastAsia"/>
          <w:color w:val="000000"/>
          <w:highlight w:val="none"/>
          <w:lang w:eastAsia="zh-CN"/>
        </w:rPr>
        <w:t xml:space="preserve">投标（响应）</w:t>
      </w:r>
      <w:r>
        <w:rPr>
          <w:rFonts w:hint="eastAsia"/>
          <w:color w:val="000000"/>
          <w:highlight w:val="none"/>
        </w:rPr>
        <w:t xml:space="preserve">报价低于通过符合性审查的次低报价供应商</w:t>
      </w:r>
      <w:r>
        <w:rPr>
          <w:rFonts w:hint="eastAsia"/>
          <w:color w:val="000000"/>
          <w:highlight w:val="none"/>
          <w:lang w:eastAsia="zh-CN"/>
        </w:rPr>
        <w:t xml:space="preserve">投标（响应）</w:t>
      </w:r>
      <w:r>
        <w:rPr>
          <w:rFonts w:hint="eastAsia"/>
          <w:color w:val="000000"/>
          <w:highlight w:val="none"/>
        </w:rPr>
        <w:t xml:space="preserve">报价50%的，即</w:t>
      </w:r>
      <w:r>
        <w:rPr>
          <w:rFonts w:hint="eastAsia"/>
          <w:color w:val="000000"/>
          <w:highlight w:val="none"/>
          <w:lang w:eastAsia="zh-CN"/>
        </w:rPr>
        <w:t xml:space="preserve">投标（响应）</w:t>
      </w:r>
      <w:r>
        <w:rPr>
          <w:rFonts w:hint="eastAsia"/>
          <w:color w:val="000000"/>
          <w:highlight w:val="none"/>
        </w:rPr>
        <w:t xml:space="preserve">报价&lt;通过符合性审查的次低报价供应商</w:t>
      </w:r>
      <w:r>
        <w:rPr>
          <w:rFonts w:hint="eastAsia"/>
          <w:color w:val="000000"/>
          <w:highlight w:val="none"/>
          <w:lang w:eastAsia="zh-CN"/>
        </w:rPr>
        <w:t xml:space="preserve">投标（响应）</w:t>
      </w:r>
      <w:r>
        <w:rPr>
          <w:rFonts w:hint="eastAsia"/>
          <w:color w:val="000000"/>
          <w:highlight w:val="none"/>
        </w:rPr>
        <w:t xml:space="preserve">报价×50% ；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3）</w:t>
      </w:r>
      <w:r>
        <w:rPr>
          <w:rFonts w:hint="eastAsia"/>
          <w:color w:val="000000"/>
          <w:highlight w:val="none"/>
          <w:lang w:eastAsia="zh-CN"/>
        </w:rPr>
        <w:t xml:space="preserve">投标（响应）</w:t>
      </w:r>
      <w:r>
        <w:rPr>
          <w:rFonts w:hint="eastAsia"/>
          <w:color w:val="000000"/>
          <w:highlight w:val="none"/>
        </w:rPr>
        <w:t xml:space="preserve">报价低于采购项目最高限价45%的，即</w:t>
      </w:r>
      <w:r>
        <w:rPr>
          <w:rFonts w:hint="eastAsia"/>
          <w:color w:val="000000"/>
          <w:highlight w:val="none"/>
          <w:lang w:eastAsia="zh-CN"/>
        </w:rPr>
        <w:t xml:space="preserve">投标（响应）</w:t>
      </w:r>
      <w:r>
        <w:rPr>
          <w:rFonts w:hint="eastAsia"/>
          <w:color w:val="000000"/>
          <w:highlight w:val="none"/>
        </w:rPr>
        <w:t xml:space="preserve">报价&lt;采购项目最高限价×45%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（1.4）评审委员会基于专业判断，认为供应商报价过低，有可能影响产品质量或者不能诚信履约的其他情形。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）启动异常低价</w:t>
      </w:r>
      <w:r>
        <w:rPr>
          <w:rFonts w:hint="eastAsia"/>
          <w:color w:val="000000"/>
          <w:highlight w:val="none"/>
          <w:lang w:eastAsia="zh-CN"/>
        </w:rPr>
        <w:t xml:space="preserve">投标（响应）</w:t>
      </w:r>
      <w:r>
        <w:rPr>
          <w:rFonts w:hint="eastAsia"/>
          <w:color w:val="000000"/>
          <w:highlight w:val="none"/>
        </w:rPr>
        <w:t xml:space="preserve">审查后，</w:t>
      </w:r>
      <w:r>
        <w:rPr>
          <w:rFonts w:hint="eastAsia"/>
          <w:color w:val="000000"/>
          <w:highlight w:val="none"/>
          <w:lang w:eastAsia="zh-CN"/>
        </w:rPr>
        <w:t xml:space="preserve">评标委员会（评审委员会）</w:t>
      </w:r>
      <w:r>
        <w:rPr>
          <w:rFonts w:hint="eastAsia"/>
          <w:color w:val="000000"/>
          <w:highlight w:val="none"/>
        </w:rPr>
        <w:t xml:space="preserve">应当要求相关供应商在启动审查的40分钟内，提供项目具体成本测算等与报价合理性相关的书面说明及必要的证明材料，包括但不限于原材料成本、人工成本、制造费用等对</w:t>
      </w:r>
      <w:r>
        <w:rPr>
          <w:rFonts w:hint="eastAsia"/>
          <w:color w:val="000000"/>
          <w:highlight w:val="none"/>
          <w:lang w:eastAsia="zh-CN"/>
        </w:rPr>
        <w:t xml:space="preserve">投标（响应）</w:t>
      </w:r>
      <w:r>
        <w:rPr>
          <w:rFonts w:hint="eastAsia"/>
          <w:color w:val="000000"/>
          <w:highlight w:val="none"/>
        </w:rPr>
        <w:t xml:space="preserve">价格作出解释，其中属于第3项情形的，供应商已随</w:t>
      </w:r>
      <w:r>
        <w:rPr>
          <w:rFonts w:hint="eastAsia"/>
          <w:color w:val="000000"/>
          <w:highlight w:val="none"/>
          <w:lang w:eastAsia="zh-CN"/>
        </w:rPr>
        <w:t xml:space="preserve">投标（响应）</w:t>
      </w:r>
      <w:r>
        <w:rPr>
          <w:rFonts w:hint="eastAsia"/>
          <w:color w:val="000000"/>
          <w:highlight w:val="none"/>
        </w:rPr>
        <w:t xml:space="preserve">文件一并提交相关书面说明及必要的证明材料的，在评审现场可不重复提交。评审委员会依据，参考同类项目中标（成交）价格，类似产品市场价格水平，行业人工费用标准，国家有关部门指导行业协会发布的行业平均成本等情况对供应商报价合理性进行判断。</w:t>
      </w:r>
      <w:r>
        <w:rPr>
          <w:rFonts w:hint="eastAsia"/>
          <w:color w:val="000000"/>
          <w:highlight w:val="none"/>
          <w:lang w:eastAsia="zh-CN"/>
        </w:rPr>
        <w:t xml:space="preserve">投标（响应）</w:t>
      </w:r>
      <w:r>
        <w:rPr>
          <w:rFonts w:hint="eastAsia"/>
          <w:color w:val="000000"/>
          <w:highlight w:val="none"/>
        </w:rPr>
        <w:t xml:space="preserve">供应商不提供书面说明、证明材料，或者提供的书面说明、证明材料不能证明其报价合理性的，评审委员会应当将其作为无效</w:t>
      </w:r>
      <w:r>
        <w:rPr>
          <w:rFonts w:hint="eastAsia"/>
          <w:color w:val="000000"/>
          <w:highlight w:val="none"/>
          <w:lang w:eastAsia="zh-CN"/>
        </w:rPr>
        <w:t xml:space="preserve">投标（响应）</w:t>
      </w:r>
      <w:r>
        <w:rPr>
          <w:rFonts w:hint="eastAsia"/>
          <w:color w:val="000000"/>
          <w:highlight w:val="none"/>
        </w:rPr>
        <w:t xml:space="preserve">处理。审查相关情况现场在评审报告中进行记录。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3.4电子</w:t>
      </w:r>
      <w:r>
        <w:rPr>
          <w:rFonts w:hint="eastAsia"/>
          <w:color w:val="000000"/>
          <w:highlight w:val="none"/>
          <w:lang w:eastAsia="zh-CN"/>
        </w:rPr>
        <w:t xml:space="preserve">投标（响应）</w:t>
      </w:r>
      <w:r>
        <w:rPr>
          <w:rFonts w:hint="eastAsia"/>
          <w:color w:val="000000"/>
          <w:highlight w:val="none"/>
        </w:rPr>
        <w:t xml:space="preserve">文件的编制与递交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3.4.1电子</w:t>
      </w:r>
      <w:r>
        <w:rPr>
          <w:rFonts w:hint="eastAsia"/>
          <w:color w:val="000000"/>
          <w:highlight w:val="none"/>
          <w:lang w:eastAsia="zh-CN"/>
        </w:rPr>
        <w:t xml:space="preserve">投标（响应）</w:t>
      </w:r>
      <w:r>
        <w:rPr>
          <w:rFonts w:hint="eastAsia"/>
          <w:color w:val="000000"/>
          <w:highlight w:val="none"/>
        </w:rPr>
        <w:t xml:space="preserve">文件制作：本项目为网上招</w:t>
      </w:r>
      <w:r>
        <w:rPr>
          <w:rFonts w:hint="eastAsia"/>
          <w:color w:val="000000"/>
          <w:highlight w:val="none"/>
          <w:lang w:eastAsia="zh-CN"/>
        </w:rPr>
        <w:t xml:space="preserve">投标（响应）</w:t>
      </w:r>
      <w:r>
        <w:rPr>
          <w:rFonts w:hint="eastAsia"/>
          <w:color w:val="000000"/>
          <w:highlight w:val="none"/>
        </w:rPr>
        <w:t xml:space="preserve">项目，请供应商插入CA 证书登陆“苏采云”系统下载客户端（参与项目页面可下载客户端及客户端使用说明），在客户端编制电子</w:t>
      </w:r>
      <w:r>
        <w:rPr>
          <w:rFonts w:hint="eastAsia"/>
          <w:color w:val="000000"/>
          <w:highlight w:val="none"/>
          <w:lang w:eastAsia="zh-CN"/>
        </w:rPr>
        <w:t xml:space="preserve">投标（响应）</w:t>
      </w:r>
      <w:r>
        <w:rPr>
          <w:rFonts w:hint="eastAsia"/>
          <w:color w:val="000000"/>
          <w:highlight w:val="none"/>
        </w:rPr>
        <w:t xml:space="preserve">文件并进行CA加密。操作步骤详见“苏采云”系统页面提示和《操作手册》。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3.4.2电子</w:t>
      </w:r>
      <w:r>
        <w:rPr>
          <w:rFonts w:hint="eastAsia"/>
          <w:color w:val="000000"/>
          <w:highlight w:val="none"/>
          <w:lang w:eastAsia="zh-CN"/>
        </w:rPr>
        <w:t xml:space="preserve">投标（响应）</w:t>
      </w:r>
      <w:r>
        <w:rPr>
          <w:rFonts w:hint="eastAsia"/>
          <w:color w:val="000000"/>
          <w:highlight w:val="none"/>
        </w:rPr>
        <w:t xml:space="preserve">（响应)文件递交：供应商应当按照《操作手册》指引，在</w:t>
      </w:r>
      <w:r>
        <w:rPr>
          <w:rFonts w:hint="eastAsia"/>
          <w:color w:val="000000"/>
          <w:highlight w:val="none"/>
          <w:lang w:eastAsia="zh-CN"/>
        </w:rPr>
        <w:t xml:space="preserve">投标（响应）</w:t>
      </w:r>
      <w:r>
        <w:rPr>
          <w:rFonts w:hint="eastAsia"/>
          <w:color w:val="000000"/>
          <w:highlight w:val="none"/>
        </w:rPr>
        <w:t xml:space="preserve">文件提交截止时间前完成电子</w:t>
      </w:r>
      <w:r>
        <w:rPr>
          <w:rFonts w:hint="eastAsia"/>
          <w:color w:val="000000"/>
          <w:highlight w:val="none"/>
          <w:lang w:eastAsia="zh-CN"/>
        </w:rPr>
        <w:t xml:space="preserve">投标（响应）</w:t>
      </w:r>
      <w:r>
        <w:rPr>
          <w:rFonts w:hint="eastAsia"/>
          <w:color w:val="000000"/>
          <w:highlight w:val="none"/>
        </w:rPr>
        <w:t xml:space="preserve">文件的上传，未按要求成功上传的</w:t>
      </w:r>
      <w:r>
        <w:rPr>
          <w:rFonts w:hint="eastAsia"/>
          <w:color w:val="000000"/>
          <w:highlight w:val="none"/>
          <w:lang w:eastAsia="zh-CN"/>
        </w:rPr>
        <w:t xml:space="preserve">投标（响应）</w:t>
      </w:r>
      <w:r>
        <w:rPr>
          <w:rFonts w:hint="eastAsia"/>
          <w:color w:val="000000"/>
          <w:highlight w:val="none"/>
        </w:rPr>
        <w:t xml:space="preserve">文件视为未递交。供应商应充分考虑到网络环境、网络带宽等风险因素，如因供应商自身原因造成的电子</w:t>
      </w:r>
      <w:r>
        <w:rPr>
          <w:rFonts w:hint="eastAsia"/>
          <w:color w:val="000000"/>
          <w:highlight w:val="none"/>
          <w:lang w:eastAsia="zh-CN"/>
        </w:rPr>
        <w:t xml:space="preserve">投标（响应）</w:t>
      </w:r>
      <w:r>
        <w:rPr>
          <w:rFonts w:hint="eastAsia"/>
          <w:color w:val="000000"/>
          <w:highlight w:val="none"/>
        </w:rPr>
        <w:t xml:space="preserve">文件上传不成功由供应商自行承担全部责任。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注：（1）请供应商务必保管好编制递交电子</w:t>
      </w:r>
      <w:r>
        <w:rPr>
          <w:rFonts w:hint="eastAsia"/>
          <w:color w:val="000000"/>
          <w:highlight w:val="none"/>
          <w:lang w:eastAsia="zh-CN"/>
        </w:rPr>
        <w:t xml:space="preserve">投标（响应）</w:t>
      </w:r>
      <w:r>
        <w:rPr>
          <w:rFonts w:hint="eastAsia"/>
          <w:color w:val="000000"/>
          <w:highlight w:val="none"/>
        </w:rPr>
        <w:t xml:space="preserve">文件时使用的CA，如因丢失、损坏等原因更换CA锁时，需重新制作电子</w:t>
      </w:r>
      <w:r>
        <w:rPr>
          <w:rFonts w:hint="eastAsia"/>
          <w:color w:val="000000"/>
          <w:highlight w:val="none"/>
          <w:lang w:eastAsia="zh-CN"/>
        </w:rPr>
        <w:t xml:space="preserve">投标（响应）</w:t>
      </w:r>
      <w:r>
        <w:rPr>
          <w:rFonts w:hint="eastAsia"/>
          <w:color w:val="000000"/>
          <w:highlight w:val="none"/>
        </w:rPr>
        <w:t xml:space="preserve">文件并递交，否则可能无法解密，因此导致的响应失败等不利后果由供应商自行承担。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（2）如本项目在政府采购信息发布媒体上发布了更正（补充）公告，请供应商务必在“苏采云”系统中下载更正（补充）资料，根据更正后的采购文件重新编制电子</w:t>
      </w:r>
      <w:r>
        <w:rPr>
          <w:rFonts w:hint="eastAsia"/>
          <w:color w:val="000000"/>
          <w:highlight w:val="none"/>
          <w:lang w:eastAsia="zh-CN"/>
        </w:rPr>
        <w:t xml:space="preserve">投标（响应）</w:t>
      </w:r>
      <w:r>
        <w:rPr>
          <w:rFonts w:hint="eastAsia"/>
          <w:color w:val="000000"/>
          <w:highlight w:val="none"/>
        </w:rPr>
        <w:t xml:space="preserve">文件并递交，否则可能无法解密，因此导致的响应失败等不利后果由供应商自行承担。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3.4.3 响应文件未按照磋商文件要求加盖CA电子公章的，响应无效。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3.4.4联合体</w:t>
      </w:r>
      <w:r>
        <w:rPr>
          <w:rFonts w:hint="eastAsia"/>
          <w:color w:val="000000"/>
          <w:highlight w:val="none"/>
          <w:lang w:eastAsia="zh-CN"/>
        </w:rPr>
        <w:t xml:space="preserve">投标（响应）</w:t>
      </w:r>
      <w:r>
        <w:rPr>
          <w:rFonts w:hint="eastAsia"/>
          <w:color w:val="000000"/>
          <w:highlight w:val="none"/>
        </w:rPr>
        <w:t xml:space="preserve">：如招标（采购）公告中允许联合体</w:t>
      </w:r>
      <w:r>
        <w:rPr>
          <w:rFonts w:hint="eastAsia"/>
          <w:color w:val="000000"/>
          <w:highlight w:val="none"/>
          <w:lang w:eastAsia="zh-CN"/>
        </w:rPr>
        <w:t xml:space="preserve">投标（响应）</w:t>
      </w:r>
      <w:r>
        <w:rPr>
          <w:rFonts w:hint="eastAsia"/>
          <w:color w:val="000000"/>
          <w:highlight w:val="none"/>
        </w:rPr>
        <w:t xml:space="preserve">，联合体</w:t>
      </w:r>
      <w:r>
        <w:rPr>
          <w:rFonts w:hint="eastAsia"/>
          <w:color w:val="000000"/>
          <w:highlight w:val="none"/>
          <w:lang w:eastAsia="zh-CN"/>
        </w:rPr>
        <w:t xml:space="preserve">投标（响应）</w:t>
      </w:r>
      <w:r>
        <w:rPr>
          <w:rFonts w:hint="eastAsia"/>
          <w:color w:val="000000"/>
          <w:highlight w:val="none"/>
        </w:rPr>
        <w:t xml:space="preserve">的</w:t>
      </w:r>
      <w:r>
        <w:rPr>
          <w:rFonts w:hint="eastAsia"/>
          <w:color w:val="000000"/>
          <w:highlight w:val="none"/>
          <w:lang w:eastAsia="zh-CN"/>
        </w:rPr>
        <w:t xml:space="preserve">投标（响应）</w:t>
      </w:r>
      <w:r>
        <w:rPr>
          <w:rFonts w:hint="eastAsia"/>
          <w:color w:val="000000"/>
          <w:highlight w:val="none"/>
        </w:rPr>
        <w:t xml:space="preserve">文件制作上传操作如下：</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第一步：在</w:t>
      </w:r>
      <w:r>
        <w:rPr>
          <w:rFonts w:hint="eastAsia"/>
          <w:color w:val="000000"/>
          <w:highlight w:val="none"/>
          <w:lang w:eastAsia="zh-CN"/>
        </w:rPr>
        <w:t xml:space="preserve">投标（响应）</w:t>
      </w:r>
      <w:r>
        <w:rPr>
          <w:rFonts w:hint="eastAsia"/>
          <w:color w:val="000000"/>
          <w:highlight w:val="none"/>
        </w:rPr>
        <w:t xml:space="preserve">文件中上传联合体</w:t>
      </w:r>
      <w:r>
        <w:rPr>
          <w:rFonts w:hint="eastAsia"/>
          <w:color w:val="000000"/>
          <w:highlight w:val="none"/>
          <w:lang w:eastAsia="zh-CN"/>
        </w:rPr>
        <w:t xml:space="preserve">投标（响应）</w:t>
      </w:r>
      <w:r>
        <w:rPr>
          <w:rFonts w:hint="eastAsia"/>
          <w:color w:val="000000"/>
          <w:highlight w:val="none"/>
        </w:rPr>
        <w:t xml:space="preserve">协议书。</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第二步；在</w:t>
      </w:r>
      <w:r>
        <w:rPr>
          <w:rFonts w:hint="eastAsia"/>
          <w:color w:val="000000"/>
          <w:highlight w:val="none"/>
          <w:lang w:eastAsia="zh-CN"/>
        </w:rPr>
        <w:t xml:space="preserve">投标（响应）</w:t>
      </w:r>
      <w:r>
        <w:rPr>
          <w:rFonts w:hint="eastAsia"/>
          <w:color w:val="000000"/>
          <w:highlight w:val="none"/>
        </w:rPr>
        <w:t xml:space="preserve">文件中，由联合体中的牵头人制作</w:t>
      </w:r>
      <w:r>
        <w:rPr>
          <w:rFonts w:hint="eastAsia"/>
          <w:color w:val="000000"/>
          <w:highlight w:val="none"/>
          <w:lang w:eastAsia="zh-CN"/>
        </w:rPr>
        <w:t xml:space="preserve">投标（响应）</w:t>
      </w:r>
      <w:r>
        <w:rPr>
          <w:rFonts w:hint="eastAsia"/>
          <w:color w:val="000000"/>
          <w:highlight w:val="none"/>
        </w:rPr>
        <w:t xml:space="preserve">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3.4.5如</w:t>
      </w:r>
      <w:r>
        <w:rPr>
          <w:rFonts w:hint="eastAsia"/>
          <w:color w:val="000000"/>
          <w:highlight w:val="none"/>
          <w:lang w:eastAsia="zh-CN"/>
        </w:rPr>
        <w:t xml:space="preserve">投标（响应）</w:t>
      </w:r>
      <w:r>
        <w:rPr>
          <w:rFonts w:hint="eastAsia"/>
          <w:color w:val="000000"/>
          <w:highlight w:val="none"/>
        </w:rPr>
        <w:t xml:space="preserve">文件制作机器码信息一致，视为不同</w:t>
      </w:r>
      <w:r>
        <w:rPr>
          <w:rFonts w:hint="eastAsia"/>
          <w:color w:val="000000"/>
          <w:highlight w:val="none"/>
          <w:lang w:eastAsia="zh-CN"/>
        </w:rPr>
        <w:t xml:space="preserve">投标（响应）</w:t>
      </w:r>
      <w:r>
        <w:rPr>
          <w:rFonts w:hint="eastAsia"/>
          <w:color w:val="000000"/>
          <w:highlight w:val="none"/>
        </w:rPr>
        <w:t xml:space="preserve">供应商使用同一台电脑编制</w:t>
      </w:r>
      <w:r>
        <w:rPr>
          <w:rFonts w:hint="eastAsia"/>
          <w:color w:val="000000"/>
          <w:highlight w:val="none"/>
          <w:lang w:eastAsia="zh-CN"/>
        </w:rPr>
        <w:t xml:space="preserve">投标（响应）</w:t>
      </w:r>
      <w:r>
        <w:rPr>
          <w:rFonts w:hint="eastAsia"/>
          <w:color w:val="000000"/>
          <w:highlight w:val="none"/>
        </w:rPr>
        <w:t xml:space="preserve">文件，</w:t>
      </w:r>
      <w:r>
        <w:rPr>
          <w:rFonts w:hint="eastAsia"/>
          <w:color w:val="000000"/>
          <w:highlight w:val="none"/>
          <w:lang w:eastAsia="zh-CN"/>
        </w:rPr>
        <w:t xml:space="preserve">投标（响应）</w:t>
      </w:r>
      <w:r>
        <w:rPr>
          <w:rFonts w:hint="eastAsia"/>
          <w:color w:val="000000"/>
          <w:highlight w:val="none"/>
        </w:rPr>
        <w:t xml:space="preserve">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3.5响应文件开启（解密）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3.5.1线上参加（观看）开标（开启）会方式：登录“苏采云”系统，点击“开标大厅”，选择对应项目，点击进入不见面开标系统。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3.5.3供应商在“苏采云”系统规定的时间内未成功解密电子响应文件的，响应无效。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3.6技术支持：联系方式见磋商采购公告</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3.7响应文件的修改和撤回</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3.7.1供应商在提交</w:t>
      </w:r>
      <w:r>
        <w:rPr>
          <w:rFonts w:hint="eastAsia"/>
          <w:color w:val="000000"/>
          <w:highlight w:val="none"/>
          <w:lang w:eastAsia="zh-CN"/>
        </w:rPr>
        <w:t xml:space="preserve">投标（响应）</w:t>
      </w:r>
      <w:r>
        <w:rPr>
          <w:rFonts w:hint="eastAsia"/>
          <w:color w:val="000000"/>
          <w:highlight w:val="none"/>
        </w:rPr>
        <w:t xml:space="preserve">文件截止时间前，可以对所递交的</w:t>
      </w:r>
      <w:r>
        <w:rPr>
          <w:rFonts w:hint="eastAsia"/>
          <w:color w:val="000000"/>
          <w:highlight w:val="none"/>
          <w:lang w:eastAsia="zh-CN"/>
        </w:rPr>
        <w:t xml:space="preserve">投标（响应）</w:t>
      </w:r>
      <w:r>
        <w:rPr>
          <w:rFonts w:hint="eastAsia"/>
          <w:color w:val="000000"/>
          <w:highlight w:val="none"/>
        </w:rPr>
        <w:t xml:space="preserve">文件进行补充、修改或者撤回，具体操作方法见《操作手册》。提交</w:t>
      </w:r>
      <w:r>
        <w:rPr>
          <w:rFonts w:hint="eastAsia"/>
          <w:color w:val="000000"/>
          <w:highlight w:val="none"/>
          <w:lang w:eastAsia="zh-CN"/>
        </w:rPr>
        <w:t xml:space="preserve">投标（响应）</w:t>
      </w:r>
      <w:r>
        <w:rPr>
          <w:rFonts w:hint="eastAsia"/>
          <w:color w:val="000000"/>
          <w:highlight w:val="none"/>
        </w:rPr>
        <w:t xml:space="preserve">文件截止时间后供应商不得撤回</w:t>
      </w:r>
      <w:r>
        <w:rPr>
          <w:rFonts w:hint="eastAsia"/>
          <w:color w:val="000000"/>
          <w:highlight w:val="none"/>
          <w:lang w:eastAsia="zh-CN"/>
        </w:rPr>
        <w:t xml:space="preserve">投标（响应）</w:t>
      </w:r>
      <w:r>
        <w:rPr>
          <w:rFonts w:hint="eastAsia"/>
          <w:color w:val="000000"/>
          <w:highlight w:val="none"/>
        </w:rPr>
        <w:t xml:space="preserve">文件。供应商撤回</w:t>
      </w:r>
      <w:r>
        <w:rPr>
          <w:rFonts w:hint="eastAsia"/>
          <w:color w:val="000000"/>
          <w:highlight w:val="none"/>
          <w:lang w:eastAsia="zh-CN"/>
        </w:rPr>
        <w:t xml:space="preserve">投标（响应）</w:t>
      </w:r>
      <w:r>
        <w:rPr>
          <w:rFonts w:hint="eastAsia"/>
          <w:color w:val="000000"/>
          <w:highlight w:val="none"/>
        </w:rPr>
        <w:t xml:space="preserve">文件，则认为其不再参与本项目采购活动。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4磋商程序</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4.1磋商小组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4.1.1采购代理机构负责组织评审工作；磋商小组由相关专家及采购人代表组成，且人员构成符合政府采购有关规定。磋商小组负责具体评审事务，并独立履行法律、法规规定的职责。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4.1.2磋商小组与参加采购活动的供应商存在下列利害关系之一的，应当回避:</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(1)参加采购活动前三年内，与供应商存在劳动关系，或者担任过供应商的董事、监事，或者是供应商的控股股东或实际控制人；</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(2)与供应商的法定代表人或者负责人有夫妻、直系血亲、三代以内旁系血亲或者近姻亲关系；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(3)与供应商有其他可能影响政府采购活动公平、公正进行的关系。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4.1.4磋商小组成员应当按照客观、公正、审慎的原则，根据磋商文件规定的评审程序、评审方法和评审标准进行独立评审。</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4.2响应文件审查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4.2.1由磋商小组按磋商文件的资格条件进行资格性审查，未通过资格性审查的响应无效。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（1）查询时间：响应文件递交截止时间。</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（2）查询渠道：采购代理机构会在接收</w:t>
      </w:r>
      <w:r>
        <w:rPr>
          <w:rFonts w:hint="eastAsia"/>
          <w:color w:val="000000"/>
          <w:highlight w:val="none"/>
          <w:lang w:eastAsia="zh-CN"/>
        </w:rPr>
        <w:t xml:space="preserve">投标（响应）文件</w:t>
      </w:r>
      <w:r>
        <w:rPr>
          <w:rFonts w:hint="eastAsia"/>
          <w:color w:val="000000"/>
          <w:highlight w:val="none"/>
        </w:rPr>
        <w:t xml:space="preserve">截止时间后，登录信用中国网站（www.creditchina.gov.cn）和中国政府采购网（www.ccgp.gov.cn/）查询供应商的信用记录，并将查询结果递交</w:t>
      </w:r>
      <w:r>
        <w:rPr>
          <w:rFonts w:hint="eastAsia"/>
          <w:color w:val="000000"/>
          <w:highlight w:val="none"/>
          <w:lang w:eastAsia="zh-CN"/>
        </w:rPr>
        <w:t xml:space="preserve">评标委员会（评审委员会）</w:t>
      </w:r>
      <w:r>
        <w:rPr>
          <w:rFonts w:hint="eastAsia"/>
          <w:color w:val="000000"/>
          <w:highlight w:val="none"/>
        </w:rPr>
        <w:t xml:space="preserve">。</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（一）政府采购严重违法记录，即供应商被全国各级财政部门列入“政府采购严重违法失信行为记录名单”，且在处罚有效期内的。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（二）财政部门与法院、工商、税务等部门联合惩戒的失信信息，包括：</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（1）被列入失信被执行人名单；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（2）被列入重大税收违法案件当事人名单；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w:t>
      </w:r>
      <w:r>
        <w:rPr>
          <w:rFonts w:hint="eastAsia"/>
          <w:color w:val="000000"/>
          <w:highlight w:val="none"/>
          <w:lang w:eastAsia="zh-CN"/>
        </w:rPr>
        <w:t xml:space="preserve">投标（响应）</w:t>
      </w:r>
      <w:r>
        <w:rPr>
          <w:rFonts w:hint="eastAsia"/>
          <w:color w:val="000000"/>
          <w:highlight w:val="none"/>
        </w:rPr>
        <w:t xml:space="preserve">文件日未满三年的。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4.2.3接受联合体的项目，两个以上的自然人、法人或者其他组织组成一个联合体，以一个供应商的身份共同参加政府采购活动的，联合体成员其中一名成员存在失信信息的，视同联合体存在失信信息。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4.2.5未通过资格审查或符合性审查的供应商，磋商小组将在“苏采云”系统中告知未通过资格审查或符合性审查的原因，评审结束后，磋商小组将不再告知未通过资格审查或符合性审查的原因。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4.3磋商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4.3.2磋商小组认为有必要与供应商进行磋商的，磋商供应商按顺序进行磋商。磋商小组所有成员应当集中与单一供应商分别进行磋商，并给予所有参加磋商的供应商平等的磋商机会。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4.4澄清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4.4.1本项目采用线上澄清。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4.4.3接到磋商小组澄清、说明和更正要求的供应商如未按规定做出澄清、说明和更正，其风险由供应商自行承担。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4.5最后报价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w:t>
      </w:r>
      <w:r>
        <w:rPr>
          <w:rFonts w:hint="eastAsia"/>
          <w:color w:val="000000"/>
          <w:highlight w:val="none"/>
          <w:lang w:eastAsia="zh-CN"/>
        </w:rPr>
        <w:t xml:space="preserve">（</w:t>
      </w:r>
      <w:r>
        <w:rPr>
          <w:rFonts w:hint="eastAsia"/>
          <w:color w:val="000000"/>
          <w:highlight w:val="none"/>
          <w:lang w:val="en-US" w:eastAsia="zh-CN"/>
        </w:rPr>
        <w:t xml:space="preserve">评审）</w:t>
      </w:r>
      <w:r>
        <w:rPr>
          <w:rFonts w:hint="eastAsia"/>
          <w:color w:val="000000"/>
          <w:highlight w:val="none"/>
        </w:rPr>
        <w:t xml:space="preserve">当日通讯畅通，否则导致的对供应商不利的后果由供应商自行承担。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4.5.4磋商小组认为某最后报价明显低于其他供应商的最后报价，有可能影响产品质量或者不能诚信履约的，应当要求其在合理的时间内提供书面说明（线上开评标项目可通过“苏采云”系统要求其提供），必要时提交相关证明材料；供应商不能证明其报价合理性的，磋商小组应当将其响应文件按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4.5.5未在规定时间提交最后报价的，响应文件按无效处理。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4.5.6在规定时间内提交最后报价的供应商少于3家的，项目终止。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4.5.7如磋商过程中出现本磋商文件未尽事宜，由磋商小组根据政府采购有关法律、法规讨论决定。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5项目终止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出现下列情形之一的，采购人或者采购代理机构应当终止竞争性磋商采购活动，发布项目终止公告并说明原因，重新开展采购活动：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5.1、因情况变化，不再符合规定的竞争性磋商采购方式适用情形的；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5.2、出现影响采购公正的违法、违规行为的；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5.3、在采购过程中符合竞争要求的供应商或者报价未超过采购预算的供应商不足3家的，但符合《政府采购竞争性磋商采购方式管理暂行办法》第三条第四项的情形除外。</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项目终止后，采购代理机构将项目终止的理由告知所有供应商。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6成交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6.1磋商小组应当根据综合评分情况，按照评审得分由高到底顺序推荐3名成交候选供应商，评审得分相同的，按照最后报价由低到高的顺序推荐，评审得分且最后报价相同的，按照技术指标优劣顺序推荐。</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6.2</w:t>
      </w:r>
      <w:r>
        <w:rPr>
          <w:rFonts w:hint="eastAsia"/>
          <w:color w:val="000000"/>
          <w:highlight w:val="none"/>
          <w:lang w:val="en-US" w:eastAsia="zh-CN"/>
        </w:rPr>
        <w:t xml:space="preserve">采购人</w:t>
      </w:r>
      <w:r>
        <w:rPr>
          <w:rFonts w:hint="eastAsia"/>
          <w:color w:val="000000"/>
          <w:highlight w:val="none"/>
        </w:rPr>
        <w:t xml:space="preserve">根据磋商成交原则确定</w:t>
      </w:r>
      <w:r>
        <w:rPr>
          <w:rFonts w:hint="eastAsia"/>
          <w:color w:val="000000"/>
          <w:highlight w:val="none"/>
          <w:lang w:eastAsia="zh-CN"/>
        </w:rPr>
        <w:t xml:space="preserve">成交单位</w:t>
      </w:r>
      <w:r>
        <w:rPr>
          <w:rFonts w:hint="eastAsia"/>
          <w:color w:val="000000"/>
          <w:highlight w:val="none"/>
        </w:rPr>
        <w:t xml:space="preserve">。</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6.3采购人或者采购代理机构应当在</w:t>
      </w:r>
      <w:r>
        <w:rPr>
          <w:rFonts w:hint="eastAsia"/>
          <w:color w:val="000000"/>
          <w:highlight w:val="none"/>
          <w:lang w:eastAsia="zh-CN"/>
        </w:rPr>
        <w:t xml:space="preserve">成交单位</w:t>
      </w:r>
      <w:r>
        <w:rPr>
          <w:rFonts w:hint="eastAsia"/>
          <w:color w:val="000000"/>
          <w:highlight w:val="none"/>
        </w:rPr>
        <w:t xml:space="preserve">确定后2个工作日内，在政府采购信息媒体上发布成交结果，成交公告期限为1个工作日。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6.4采购人或采购代理机构根据相关规定发布成交公告，成交公告发出的同时应当向</w:t>
      </w:r>
      <w:r>
        <w:rPr>
          <w:rFonts w:hint="eastAsia"/>
          <w:color w:val="000000"/>
          <w:highlight w:val="none"/>
          <w:lang w:eastAsia="zh-CN"/>
        </w:rPr>
        <w:t xml:space="preserve">成交单位</w:t>
      </w:r>
      <w:r>
        <w:rPr>
          <w:rFonts w:hint="eastAsia"/>
          <w:color w:val="000000"/>
          <w:highlight w:val="none"/>
        </w:rPr>
        <w:t xml:space="preserve">发出《成交通知书》。请</w:t>
      </w:r>
      <w:r>
        <w:rPr>
          <w:rFonts w:hint="eastAsia"/>
          <w:color w:val="000000"/>
          <w:highlight w:val="none"/>
          <w:lang w:eastAsia="zh-CN"/>
        </w:rPr>
        <w:t xml:space="preserve">成交单位</w:t>
      </w:r>
      <w:r>
        <w:rPr>
          <w:rFonts w:hint="eastAsia"/>
          <w:color w:val="000000"/>
          <w:highlight w:val="none"/>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color w:val="000000"/>
          <w:highlight w:val="none"/>
          <w:lang w:eastAsia="zh-CN"/>
        </w:rPr>
        <w:t xml:space="preserve">成交单位</w:t>
      </w:r>
      <w:r>
        <w:rPr>
          <w:rFonts w:hint="eastAsia"/>
          <w:color w:val="000000"/>
          <w:highlight w:val="none"/>
        </w:rPr>
        <w:t xml:space="preserve">自行承担）；对未通过资格审查的供应商，应当告知其未通过的原因；未</w:t>
      </w:r>
      <w:r>
        <w:rPr>
          <w:rFonts w:hint="eastAsia"/>
          <w:color w:val="000000"/>
          <w:highlight w:val="none"/>
          <w:lang w:eastAsia="zh-CN"/>
        </w:rPr>
        <w:t xml:space="preserve">成交单位</w:t>
      </w:r>
      <w:r>
        <w:rPr>
          <w:rFonts w:hint="eastAsia"/>
          <w:color w:val="000000"/>
          <w:highlight w:val="none"/>
        </w:rPr>
        <w:t xml:space="preserve">须在成交公告发出之日起2个工作日内向采购代理机构另行提供用以接收《未成交通知书》的电子邮件地址，未按时提供电子邮件地址或提供信息有误的，视为自动放弃并自行承担相应后果。</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6.5成交通知书发出后，采购人不得违法改变成交结果，</w:t>
      </w:r>
      <w:r>
        <w:rPr>
          <w:rFonts w:hint="eastAsia"/>
          <w:color w:val="000000"/>
          <w:highlight w:val="none"/>
          <w:lang w:eastAsia="zh-CN"/>
        </w:rPr>
        <w:t xml:space="preserve">成交单位</w:t>
      </w:r>
      <w:r>
        <w:rPr>
          <w:rFonts w:hint="eastAsia"/>
          <w:color w:val="000000"/>
          <w:highlight w:val="none"/>
        </w:rPr>
        <w:t xml:space="preserve">无正当理由不得放弃成交。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7履约保证金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7.1详见本采购文件合同文本中的约定。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8合同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8.1采购人原则上应当自中标（成交）通知书发出之日起15日内（最迟30日内），按照磋商文件确定的合同文本以及采购标的、规格型号、采购金额、采购数量、技术和服务要求等事项签订政府采购合同。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9质疑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9.1质疑及答复遵守《政府采购质疑和投诉办法》（中华人民共和国财政部令第94号）规定。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9.2供应商认为采购文件、采购过程和采购结果使自己的权益受到损害的，可以在知道或应知其权益受到损害之日起七个工作日内，以书面形式代理机构提出质疑。上述应知其权益受到损害之日，是指：</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①对可以质疑的采购文件提出质疑的，为收到采购文件之日或者采购文件公告期限届满之日；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②对采购过程提出质疑的，为各采购程序环节结束之日；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③对中标或者成交结果提出质疑的，为中标或者成交结果公告期限届满之日。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9.3供应商应当在法定质疑期内一次性提出针对同一采购程序环节的质疑。供应商如在法定期限内对同一采购程序环节提出多次质疑的，代理机构将只对供应商第一次质疑作出答复。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9.4提出质疑的供应商应当是参与所质疑项目采购活动的供应商，未依照采购公告要求获取采购文件的供应商，视为未参与该项政府采购活动，不具备对该政府采购项目提出质疑的法定权利。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对采购文件内容质疑时，需提供在“苏采云”系统中下载本项目磋商文件的《</w:t>
      </w:r>
      <w:r>
        <w:rPr>
          <w:rFonts w:hint="eastAsia"/>
          <w:color w:val="000000"/>
          <w:highlight w:val="none"/>
          <w:lang w:eastAsia="zh-CN"/>
        </w:rPr>
        <w:t xml:space="preserve">投标（响应）供应商确认函</w:t>
      </w:r>
      <w:r>
        <w:rPr>
          <w:rFonts w:hint="eastAsia"/>
          <w:color w:val="000000"/>
          <w:highlight w:val="none"/>
        </w:rPr>
        <w:t xml:space="preserve">》，未提供的视为未依照采购公告要求获取磋商文件的供应商，不具备对该政府采购项目提出质疑的法定权利。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9.5供应商（含潜在供应商）询问、质疑请向采购代理机构提出，由采购代理机构负责答复。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联系单位：苏州市永诚建设咨询有限公司</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联系电话：0512-69</w:t>
      </w:r>
      <w:r>
        <w:rPr>
          <w:color w:val="000000"/>
          <w:highlight w:val="none"/>
        </w:rPr>
        <w:t xml:space="preserve">157588</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通讯地址：苏州市东吴北路2</w:t>
      </w:r>
      <w:r>
        <w:rPr>
          <w:color w:val="000000"/>
          <w:highlight w:val="none"/>
        </w:rPr>
        <w:t xml:space="preserve">21</w:t>
      </w:r>
      <w:r>
        <w:rPr>
          <w:rFonts w:hint="eastAsia"/>
          <w:color w:val="000000"/>
          <w:highlight w:val="none"/>
        </w:rPr>
        <w:t xml:space="preserve">号7楼</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联系人：程能之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9.6接收质疑函的方式为书面形式（当场送达或邮寄方式）。供应商质疑函范本格式请参照“苏州市政府采购”网站——“下载中心”——“政府采购供应商质疑函范本”。 供应商如组成联合体参加</w:t>
      </w:r>
      <w:r>
        <w:rPr>
          <w:rFonts w:hint="eastAsia"/>
          <w:color w:val="000000"/>
          <w:highlight w:val="none"/>
          <w:lang w:eastAsia="zh-CN"/>
        </w:rPr>
        <w:t xml:space="preserve">投标（响应）</w:t>
      </w:r>
      <w:r>
        <w:rPr>
          <w:rFonts w:hint="eastAsia"/>
          <w:color w:val="000000"/>
          <w:highlight w:val="none"/>
        </w:rPr>
        <w:t xml:space="preserve">，则《质疑函范本》中要求签字、盖章、加盖公章之处，联合体各方均须按要求签字、盖章、加盖公章。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10未尽事宜</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按《中华人民共和国政府采购法》及其他有关法律法规的规定执行。</w:t>
      </w:r>
      <w:r>
        <w:rPr>
          <w:rFonts w:hint="eastAsia"/>
          <w:color w:val="000000"/>
          <w:highlight w:val="none"/>
        </w:rPr>
      </w:r>
      <w:r/>
    </w:p>
    <w:p>
      <w:pPr>
        <w:pStyle w:val="722"/>
        <w:spacing w:line="360" w:lineRule="auto"/>
        <w:rPr>
          <w:color w:val="000000"/>
          <w:highlight w:val="none"/>
        </w:rPr>
      </w:pPr>
      <w:r>
        <w:rPr>
          <w:color w:val="000000"/>
          <w:highlight w:val="none"/>
        </w:rPr>
      </w:r>
      <w:r/>
    </w:p>
    <w:p>
      <w:pPr>
        <w:pStyle w:val="722"/>
        <w:spacing w:line="360" w:lineRule="auto"/>
        <w:rPr>
          <w:rFonts w:ascii="宋体" w:hAnsi="宋体"/>
          <w:b/>
          <w:bCs/>
          <w:color w:val="000000"/>
          <w:sz w:val="32"/>
          <w:szCs w:val="32"/>
          <w:highlight w:val="none"/>
        </w:rPr>
      </w:pPr>
      <w:r>
        <w:rPr>
          <w:color w:val="000000"/>
          <w:highlight w:val="none"/>
        </w:rPr>
        <w:br w:type="page" w:clear="all"/>
      </w:r>
      <w:bookmarkEnd w:id="1"/>
      <w:r>
        <w:rPr>
          <w:rFonts w:ascii="宋体" w:hAnsi="宋体"/>
          <w:b/>
          <w:bCs/>
          <w:color w:val="000000"/>
          <w:sz w:val="32"/>
          <w:szCs w:val="32"/>
          <w:highlight w:val="none"/>
        </w:rPr>
      </w:r>
      <w:r/>
    </w:p>
    <w:p>
      <w:pPr>
        <w:pStyle w:val="722"/>
        <w:ind w:firstLine="3033"/>
        <w:tabs>
          <w:tab w:val="left" w:pos="315" w:leader="none"/>
          <w:tab w:val="center" w:pos="4153" w:leader="none"/>
        </w:tabs>
        <w:rPr>
          <w:rFonts w:ascii="黑体" w:eastAsia="黑体"/>
          <w:color w:val="000000"/>
          <w:sz w:val="28"/>
          <w:szCs w:val="28"/>
          <w:highlight w:val="none"/>
        </w:rPr>
      </w:pPr>
      <w:r>
        <w:rPr>
          <w:rFonts w:hint="eastAsia" w:ascii="宋体" w:hAnsi="宋体"/>
          <w:b/>
          <w:bCs/>
          <w:color w:val="000000"/>
          <w:sz w:val="32"/>
          <w:szCs w:val="32"/>
          <w:highlight w:val="none"/>
        </w:rPr>
        <w:t xml:space="preserve">三、采购内容</w:t>
      </w:r>
      <w:r>
        <w:rPr>
          <w:rFonts w:ascii="黑体" w:eastAsia="黑体"/>
          <w:color w:val="000000"/>
          <w:sz w:val="28"/>
          <w:szCs w:val="28"/>
          <w:highlight w:val="none"/>
        </w:rPr>
      </w:r>
      <w:r/>
    </w:p>
    <w:p>
      <w:pPr>
        <w:pStyle w:val="722"/>
        <w:ind w:firstLine="480"/>
        <w:spacing w:line="400" w:lineRule="exact"/>
        <w:rPr>
          <w:rFonts w:ascii="宋体" w:hAnsi="宋体" w:cs="宋体"/>
          <w:color w:val="000000"/>
          <w:szCs w:val="21"/>
          <w:highlight w:val="none"/>
        </w:rPr>
      </w:pPr>
      <w:r>
        <w:rPr>
          <w:rFonts w:hint="eastAsia" w:ascii="新宋体" w:hAnsi="新宋体" w:eastAsia="新宋体" w:cs="宋体"/>
          <w:color w:val="000000"/>
          <w:szCs w:val="21"/>
          <w:highlight w:val="none"/>
        </w:rPr>
        <w:t xml:space="preserve">苏州市永诚建设咨询有限公司受</w:t>
      </w:r>
      <w:r>
        <w:rPr>
          <w:rFonts w:hint="eastAsia" w:ascii="宋体" w:hAnsi="宋体" w:eastAsia="新宋体" w:cs="宋体"/>
          <w:color w:val="000000"/>
          <w:szCs w:val="21"/>
          <w:highlight w:val="none"/>
          <w:lang w:eastAsia="zh-CN"/>
        </w:rPr>
        <w:t xml:space="preserve">苏州市拙政园管理处（苏州市园林博物馆）</w:t>
      </w:r>
      <w:r>
        <w:rPr>
          <w:rFonts w:hint="eastAsia" w:ascii="新宋体" w:hAnsi="新宋体" w:eastAsia="新宋体" w:cs="宋体"/>
          <w:color w:val="000000"/>
          <w:szCs w:val="21"/>
          <w:highlight w:val="none"/>
        </w:rPr>
        <w:t xml:space="preserve">的委托，就其所需要采购的</w:t>
      </w:r>
      <w:r>
        <w:rPr>
          <w:rFonts w:hint="eastAsia" w:ascii="宋体" w:hAnsi="宋体" w:eastAsia="新宋体" w:cs="宋体"/>
          <w:color w:val="000000"/>
          <w:szCs w:val="21"/>
          <w:highlight w:val="none"/>
          <w:lang w:eastAsia="zh-CN"/>
        </w:rPr>
        <w:t xml:space="preserve">东园灯光亮化工程</w:t>
      </w:r>
      <w:r>
        <w:rPr>
          <w:rFonts w:hint="eastAsia" w:ascii="宋体" w:hAnsi="宋体" w:cs="宋体"/>
          <w:color w:val="000000"/>
          <w:szCs w:val="21"/>
          <w:highlight w:val="none"/>
        </w:rPr>
        <w:t xml:space="preserve"> 在国内组织竞争性磋商采购。欢迎符合采购文件资格条件的供应商前来参加磋商。</w:t>
      </w:r>
      <w:r>
        <w:rPr>
          <w:rFonts w:ascii="宋体" w:hAnsi="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一、项目编号： </w:t>
      </w:r>
      <w:r>
        <w:rPr>
          <w:rFonts w:hint="eastAsia" w:ascii="宋体" w:hAnsi="宋体" w:eastAsia="新宋体" w:cs="宋体"/>
          <w:color w:val="000000"/>
          <w:szCs w:val="21"/>
          <w:highlight w:val="none"/>
          <w:lang w:eastAsia="zh-CN"/>
        </w:rPr>
        <w:t xml:space="preserve">JSZC-320500-CCCC-C2026-0019</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二、项目名称：</w:t>
      </w:r>
      <w:r>
        <w:rPr>
          <w:rFonts w:hint="eastAsia" w:ascii="宋体" w:hAnsi="宋体" w:cs="宋体"/>
          <w:color w:val="000000"/>
          <w:sz w:val="21"/>
          <w:szCs w:val="21"/>
          <w:highlight w:val="none"/>
          <w:lang w:eastAsia="zh-CN"/>
        </w:rPr>
        <w:t xml:space="preserve">东园灯光亮化工程</w:t>
      </w:r>
      <w:r>
        <w:rPr>
          <w:rFonts w:hint="eastAsia" w:ascii="宋体" w:hAnsi="宋体" w:eastAsia="宋体" w:cs="宋体"/>
          <w:color w:val="000000"/>
          <w:sz w:val="21"/>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三、项目预算：项目总预算</w:t>
      </w:r>
      <w:r>
        <w:rPr>
          <w:rFonts w:hint="eastAsia" w:ascii="新宋体" w:hAnsi="新宋体" w:eastAsia="新宋体" w:cs="宋体"/>
          <w:color w:val="000000"/>
          <w:szCs w:val="21"/>
          <w:highlight w:val="none"/>
          <w:lang w:eastAsia="zh-CN"/>
        </w:rPr>
        <w:t xml:space="preserve">人民币叁佰贰拾贰万陆仟柒佰柒拾陆元捌角陆分（￥3226776.86元）</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四、最高限价：</w:t>
      </w:r>
      <w:r>
        <w:rPr>
          <w:rFonts w:hint="eastAsia" w:ascii="新宋体" w:hAnsi="新宋体" w:eastAsia="新宋体" w:cs="宋体"/>
          <w:color w:val="000000"/>
          <w:szCs w:val="21"/>
          <w:highlight w:val="none"/>
          <w:lang w:eastAsia="zh-CN"/>
        </w:rPr>
        <w:t xml:space="preserve">人民币叁佰贰拾贰万陆仟柒佰柒拾陆元捌角陆分（￥3226776.86元）</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rPr>
        <w:t xml:space="preserve">五、</w:t>
      </w:r>
      <w:r>
        <w:rPr>
          <w:rFonts w:hint="eastAsia" w:ascii="新宋体" w:hAnsi="新宋体" w:eastAsia="新宋体" w:cs="宋体"/>
          <w:color w:val="000000"/>
          <w:szCs w:val="21"/>
          <w:highlight w:val="none"/>
          <w:lang w:val="en-US" w:eastAsia="zh-CN"/>
        </w:rPr>
        <w:t xml:space="preserve">项目概况</w:t>
      </w:r>
      <w:r>
        <w:rPr>
          <w:rFonts w:hint="eastAsia" w:ascii="新宋体" w:hAnsi="新宋体" w:eastAsia="新宋体" w:cs="宋体"/>
          <w:color w:val="000000"/>
          <w:szCs w:val="21"/>
          <w:highlight w:val="none"/>
          <w:lang w:val="en-US" w:eastAsia="zh-CN"/>
        </w:rPr>
      </w:r>
      <w:r/>
    </w:p>
    <w:p>
      <w:pPr>
        <w:pStyle w:val="722"/>
        <w:ind w:left="567"/>
        <w:spacing w:line="400" w:lineRule="exact"/>
        <w:rPr>
          <w:rFonts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lang w:val="en-US" w:eastAsia="zh-CN"/>
        </w:rPr>
        <w:t xml:space="preserve">项目背景：东园是改革开放以来古城区首个规划建设的城市公园，在承载城市生态、历史文化传承、市民游客休憩游览等方 面发挥重要作用。因东园面积较大、游客中老人儿童占比高、园内地形复杂等因素，区域内存在夜间灯光亮度不足、区域照明缺失等安全隐患，需进行整体灯光亮化提升，消除安全隐患，提升景观效果。计划启动东园灯光亮化工程项目。</w:t>
      </w:r>
      <w:r>
        <w:rPr>
          <w:rFonts w:ascii="新宋体" w:hAnsi="新宋体" w:eastAsia="新宋体" w:cs="宋体"/>
          <w:color w:val="000000"/>
          <w:szCs w:val="21"/>
          <w:highlight w:val="none"/>
          <w:lang w:val="en-US" w:eastAsia="zh-CN"/>
        </w:rPr>
      </w:r>
      <w:r/>
    </w:p>
    <w:p>
      <w:pPr>
        <w:pStyle w:val="722"/>
        <w:ind w:left="567"/>
        <w:spacing w:line="400" w:lineRule="exact"/>
        <w:rPr>
          <w:rFonts w:hint="eastAsia" w:ascii="新宋体" w:hAnsi="新宋体" w:eastAsia="新宋体" w:cs="宋体"/>
          <w:color w:val="000000"/>
          <w:szCs w:val="21"/>
          <w:highlight w:val="none"/>
          <w:lang w:val="en-US" w:eastAsia="en-US"/>
        </w:rPr>
      </w:pPr>
      <w:r>
        <w:rPr>
          <w:rFonts w:hint="eastAsia" w:ascii="新宋体" w:hAnsi="新宋体" w:eastAsia="新宋体" w:cs="宋体"/>
          <w:color w:val="000000"/>
          <w:szCs w:val="21"/>
          <w:highlight w:val="none"/>
          <w:lang w:val="en-US" w:eastAsia="en-US"/>
        </w:rPr>
        <w:t xml:space="preserve">施工工期：</w:t>
      </w:r>
      <w:r>
        <w:rPr>
          <w:rFonts w:hint="eastAsia" w:ascii="新宋体" w:hAnsi="新宋体" w:eastAsia="新宋体" w:cs="宋体"/>
          <w:color w:val="000000"/>
          <w:szCs w:val="21"/>
          <w:highlight w:val="none"/>
          <w:lang w:val="en-US" w:eastAsia="zh-CN"/>
        </w:rPr>
        <w:t xml:space="preserve">90日历天</w:t>
      </w:r>
      <w:r>
        <w:rPr>
          <w:rFonts w:hint="eastAsia" w:ascii="新宋体" w:hAnsi="新宋体" w:eastAsia="新宋体" w:cs="宋体"/>
          <w:color w:val="000000"/>
          <w:szCs w:val="21"/>
          <w:highlight w:val="none"/>
          <w:lang w:val="en-US" w:eastAsia="en-US"/>
        </w:rPr>
        <w:t xml:space="preserve">， 以实际开工时间为准。</w:t>
      </w:r>
      <w:r>
        <w:rPr>
          <w:rFonts w:hint="eastAsia" w:ascii="新宋体" w:hAnsi="新宋体" w:eastAsia="新宋体" w:cs="宋体"/>
          <w:color w:val="000000"/>
          <w:szCs w:val="21"/>
          <w:highlight w:val="none"/>
          <w:lang w:val="en-US" w:eastAsia="en-US"/>
        </w:rPr>
      </w:r>
      <w:r/>
    </w:p>
    <w:p>
      <w:pPr>
        <w:pStyle w:val="722"/>
        <w:ind w:left="567"/>
        <w:spacing w:line="400" w:lineRule="exact"/>
        <w:rPr>
          <w:rFonts w:hint="eastAsia" w:ascii="新宋体" w:hAnsi="新宋体" w:eastAsia="新宋体" w:cs="宋体"/>
          <w:color w:val="000000"/>
          <w:szCs w:val="21"/>
          <w:highlight w:val="none"/>
          <w:lang w:val="en-US" w:eastAsia="en-US"/>
        </w:rPr>
      </w:pPr>
      <w:r>
        <w:rPr>
          <w:rFonts w:hint="eastAsia" w:ascii="新宋体" w:hAnsi="新宋体" w:eastAsia="新宋体" w:cs="宋体"/>
          <w:color w:val="000000"/>
          <w:szCs w:val="21"/>
          <w:highlight w:val="none"/>
          <w:lang w:val="en-US" w:eastAsia="en-US"/>
        </w:rPr>
        <w:t xml:space="preserve">工程地点：本工程位于苏州市</w:t>
      </w:r>
      <w:r>
        <w:rPr>
          <w:rFonts w:hint="eastAsia" w:ascii="新宋体" w:hAnsi="新宋体" w:eastAsia="新宋体" w:cs="宋体"/>
          <w:color w:val="000000"/>
          <w:szCs w:val="21"/>
          <w:highlight w:val="none"/>
          <w:lang w:val="en-US" w:eastAsia="zh-CN"/>
        </w:rPr>
        <w:t xml:space="preserve">东</w:t>
      </w:r>
      <w:r>
        <w:rPr>
          <w:rFonts w:hint="eastAsia" w:ascii="新宋体" w:hAnsi="新宋体" w:eastAsia="新宋体" w:cs="宋体"/>
          <w:color w:val="000000"/>
          <w:szCs w:val="21"/>
          <w:highlight w:val="none"/>
          <w:lang w:val="en-US" w:eastAsia="en-US"/>
        </w:rPr>
        <w:t xml:space="preserve">园区域内。</w:t>
      </w:r>
      <w:r>
        <w:rPr>
          <w:rFonts w:hint="eastAsia" w:ascii="新宋体" w:hAnsi="新宋体" w:eastAsia="新宋体" w:cs="宋体"/>
          <w:color w:val="000000"/>
          <w:szCs w:val="21"/>
          <w:highlight w:val="none"/>
          <w:lang w:val="en-US" w:eastAsia="en-US"/>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资金来源：财政资金。</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项目质量要求：合格。</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项目承包方式：包工包料。</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工程报价方式：固定综合单价。</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验收标准：根据现行国家、行业相关技术、施工及验收标准、规范规程及采购需求进行验</w:t>
      </w:r>
      <w:r>
        <w:rPr>
          <w:rFonts w:hint="eastAsia" w:ascii="新宋体" w:hAnsi="新宋体" w:eastAsia="新宋体" w:cs="宋体"/>
          <w:color w:val="000000"/>
          <w:szCs w:val="21"/>
          <w:highlight w:val="none"/>
        </w:rPr>
      </w:r>
      <w:r/>
    </w:p>
    <w:p>
      <w:pPr>
        <w:pStyle w:val="722"/>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收。 </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质保期：1年</w:t>
      </w:r>
      <w:r>
        <w:rPr>
          <w:rFonts w:hint="eastAsia" w:ascii="新宋体" w:hAnsi="新宋体" w:eastAsia="新宋体" w:cs="宋体"/>
          <w:color w:val="000000"/>
          <w:szCs w:val="21"/>
          <w:highlight w:val="none"/>
        </w:rPr>
      </w:r>
      <w:r/>
    </w:p>
    <w:p>
      <w:pPr>
        <w:pStyle w:val="722"/>
        <w:numPr>
          <w:ilvl w:val="0"/>
          <w:numId w:val="3"/>
        </w:numPr>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施工要求</w:t>
      </w: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1.施工组织设计要求：施工组织设计包括总体概述、施工总体进度计划、分部分项工程施工方案应科学 合理；劳动力配备合理，工作任务明确，人员组织到位；机械设备投入符合项目要求，有详尽的计划， 项目实施进度、时间，关键节点和里程碑设置清晰准确；安全文明施工措施、季节性施工措施科学、 合理、操作性强，施工质量保证措施科学、合理，给出应对措施验收条件明晰可行。</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2.施工应符合现行国家技术、施工及验收规范（规程）及江苏省、苏州市的有关规定。</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应按标书、工程量清单及施工图纸（如有） 的有关要求进行施工</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eastAsia="zh-CN"/>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.工程质量符合“合格 ”标准。</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rPr>
        <w:t xml:space="preserve">.请响应单位自行现场踏勘，充分考虑周边环境影响因素（包括施工通道、地形高差、管线影响、古老树木影响及文明围挡措施等施工难度和技术要求）后进行</w:t>
      </w:r>
      <w:r>
        <w:rPr>
          <w:rFonts w:hint="eastAsia" w:ascii="新宋体" w:hAnsi="新宋体" w:eastAsia="新宋体" w:cs="宋体"/>
          <w:color w:val="000000"/>
          <w:szCs w:val="21"/>
          <w:highlight w:val="none"/>
          <w:lang w:eastAsia="zh-CN"/>
        </w:rPr>
        <w:t xml:space="preserve">投标（响应）报价</w:t>
      </w:r>
      <w:r>
        <w:rPr>
          <w:rFonts w:hint="eastAsia" w:ascii="新宋体" w:hAnsi="新宋体" w:eastAsia="新宋体" w:cs="宋体"/>
          <w:color w:val="000000"/>
          <w:szCs w:val="21"/>
          <w:highlight w:val="none"/>
        </w:rPr>
        <w:t xml:space="preserve">，不得另行增加措施费用。运输车辆须充分考虑景区外部公共道路通行要求和景区内部绿化、环境和建筑物、构筑物保护要求，根据景 区出入口及园内通行道路配备合适车型，不得超高或超宽，不得损坏道路或碾压道路两旁绿化、构筑 物等，发生损坏照价赔偿或者修复至原样。原则上只允许使用中小型车辆，不得驾驶大型机械入场。 部分机动车无法到达的区域作业充分考虑二次搬运费用，费用包含在本次</w:t>
      </w:r>
      <w:r>
        <w:rPr>
          <w:rFonts w:hint="eastAsia" w:ascii="新宋体" w:hAnsi="新宋体" w:eastAsia="新宋体" w:cs="宋体"/>
          <w:color w:val="000000"/>
          <w:szCs w:val="21"/>
          <w:highlight w:val="none"/>
          <w:lang w:eastAsia="zh-CN"/>
        </w:rPr>
        <w:t xml:space="preserve">投标（响应）报价</w:t>
      </w:r>
      <w:r>
        <w:rPr>
          <w:rFonts w:hint="eastAsia" w:ascii="新宋体" w:hAnsi="新宋体" w:eastAsia="新宋体" w:cs="宋体"/>
          <w:color w:val="000000"/>
          <w:szCs w:val="21"/>
          <w:highlight w:val="none"/>
        </w:rPr>
        <w:t xml:space="preserve">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rPr>
        <w:t xml:space="preserve">.工程竣工验收通过后（以竣工验收报告日期为准），</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应在三十天内向市财政局委托的工程造价咨询机构移交全部结算资料。结算资料移交后不得再行增补结算资料。因结算资料不全引起的结算造 价的误差， 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负责承担。超过三十天移交结算资料的</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，应承担相应的违约责任并支付违 约金。违约金的计算方法为：按逾期天数累计计算，每逾期一天支付</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 1000 元的违约金，该项违约金总额不得超过 2 万元。</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rPr>
        <w:t xml:space="preserve">.响应报价时要求考虑环境等其他影响因素，对因施工现场各种因素考虑不全面，造成施工期间投入加大或其他费用增加，承包方不能因此提出索赔。承包方不得以成交价中未考虑施工组织设计的其他因素而推诿或提出索赔。</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rPr>
        <w:t xml:space="preserve">务必加强建设工程施工现场的场容管理、治安保卫管理、 消防管理、防火管理、噪音管理，文明施工管理,改善工地周边的景观环境，促进各建设项目的顺利实施，施工现场要求告知如下</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 </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成交单位应组织成立施工项目组。在施工过程中，严格按图纸、工程量清单及相关要求施工，核心游览区域施工现场禁止破坏古建筑本体、古建构筑物、园路、绿化等，如需局部保养维修或改造，需获得 管理处同意，方可实施（如施工单位对古建筑本体、古建构筑物、园路等进行保养维修，需按原有材料工艺 进行维修）。主材需要提供小样，封样，经业主、监理、设计同意后方可施工。</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成交单位施工人员进入施工现场内（单位围墙内都属于施工现场），</w:t>
      </w:r>
      <w:r>
        <w:rPr>
          <w:rFonts w:ascii="Segoe UI" w:hAnsi="Segoe UI" w:eastAsia="Segoe UI" w:cs="Segoe UI"/>
          <w:i w:val="0"/>
          <w:iCs w:val="0"/>
          <w:caps w:val="0"/>
          <w:color w:val="0f1115"/>
          <w:spacing w:val="0"/>
          <w:sz w:val="22"/>
          <w:szCs w:val="22"/>
          <w:highlight w:val="none"/>
          <w:shd w:val="clear" w:color="auto" w:fill="ffffff"/>
        </w:rPr>
        <w:t xml:space="preserve">统一佩戴安全帽等防护装备</w:t>
      </w:r>
      <w:r>
        <w:rPr>
          <w:rFonts w:hint="eastAsia" w:ascii="新宋体" w:hAnsi="新宋体" w:eastAsia="新宋体" w:cs="宋体"/>
          <w:color w:val="000000"/>
          <w:szCs w:val="21"/>
          <w:highlight w:val="none"/>
        </w:rPr>
        <w:t xml:space="preserve">，不得出现 敞胸露怀、吸烟、喝酒、打牌、玩手机（包括给手机充电）、睡觉、钓鱼等不文明行为。施工人员要佩戴安 全帽等防护措施进场进行各种专业施工。如遇游客等人员询问问题，注意文明用语。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成交单位在施工前期做好准备工作，施工前现场（施工范围）做好全封闭围挡才能进行施工，围挡高度 需满足相关要求（现场无条件全封闭围挡情况下，需配备软质围挡进行封闭施工，并做好现场警示标牌工作）。 施工围栏及警示标牌应以美观、不影响园林环境为标准，并满足相关规定。同时做好防尘、噪音等文明施工 防护工作，杜绝投诉（投诉包括网络、电话12345等渠道）。</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成交单位在施工区域需接临水临电及使用大功率电器需报备管理处职能部门及电工，经得同意方可实施。 并自行配备有资质施工人员进行安装，安装的临时电箱、临时电缆电线、水管等临时设施设备需满足相关的 质量规定（禁止安装三无电器线路），杜绝由临水临电电器线路，导致安全隐患（在每天施工收工前， 由施 工人员自行检查关闭电器开关及水阀）。</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施工过程中如遇高空作业（1.5米以上为高空作业）、电力施工作业人员需配备符合安全规定的安全绳索、 梯子、鞋子等保护措施，施工过程中，现场需配备安全员全过程跟踪安全管理督促。成交单位开工前需对施 工人员做好安全教育工作，断绝安全隐患。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施工现场每日产生施工垃圾，需日产日清，做到每天工完场清。各种建筑材料、设备、工具等必须按施 工进度计划进入施工现场内，按规定存放整齐，杜绝乱堆乱放情况发生。</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成交单位对施工现场内造成噪音污染的各种施工机械，要采取有效的隔音防噪措施，使受影响区域的噪 音符合标准（如必需在现场施工的，产生噪音的，无法达到隔音防噪措施的，需经建设方同意，方可施工）， 如达不到隔音防噪措施标准的，需在核心区范围以外进行施工，加工后进场安装。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针对特殊工序施工要求，需切割、焊接、打磨等施工，影响周边环境污染及安全，易引起火灾的，需在 核心游览区域外加工完成后，并运至现场进行安装施工。如施工现场必需进行切割、焊接、打磨等安全风险 施工。实施方需提前报备业务科室和安保科，并办理相关审批手续。具体施工时需有实施方安全员驻扎现场 进行安全管理，并配备灭火器等防护措施，杜绝安全隐患。</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成交单位在施工过程中，施工人员、材料进出需办理相关审批手续，并提供相应的审批纸质材料</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成交单位施工现场要有严格的成品保护措施和制度，未竣工交付使用的房屋建筑和卫生间一律不得使用， 造成建筑成品污损或管道堵塞的，实施单位负责无偿修复。</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成交单位原则上不得进行夜间施工，如确实有必要，应提前向管理处有关职能部门（建设方责任科室和 安保科）提前申报，经审批后方可进行施工。</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成交单位必需严格执行安全用电管理，不得使用不符合规范安全要求的电器，用电接电及使用大功率电 器需报备职能部门及管理处电工，经得同意方可实施。</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成交单位现场负责人或项目经理就是施工现场的场容管理、治安管理、消防管理、防火管理、噪声、施 工人员等管理的总负责人。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14</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材料运输至施工现场过程中，避免对园内及办公区道路抛洒污染，做好清理处理措施（污染路面实施单 位需在第一时间进行清理工作）。运输推车做好保护措施，避免对建筑物（包括墙体、木柱、木门等）造成 碰撞破坏。施工人员在运输过程中，如碰到游客及其他人员，注意文明用语提醒，避免运输推车碰到游客及 其他人员。</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竣工资料要求目录：1）前期资料（</w:t>
      </w:r>
      <w:r>
        <w:rPr>
          <w:rFonts w:hint="eastAsia" w:ascii="新宋体" w:hAnsi="新宋体" w:eastAsia="新宋体" w:cs="宋体"/>
          <w:color w:val="000000"/>
          <w:szCs w:val="21"/>
          <w:highlight w:val="none"/>
          <w:lang w:eastAsia="zh-CN"/>
        </w:rPr>
        <w:t xml:space="preserve">采购公告</w:t>
      </w: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eastAsia="zh-CN"/>
        </w:rPr>
        <w:t xml:space="preserve">招标（采购)文件</w:t>
      </w:r>
      <w:r>
        <w:rPr>
          <w:rFonts w:hint="eastAsia" w:ascii="新宋体" w:hAnsi="新宋体" w:eastAsia="新宋体" w:cs="宋体"/>
          <w:color w:val="000000"/>
          <w:szCs w:val="21"/>
          <w:highlight w:val="none"/>
        </w:rPr>
        <w:t xml:space="preserve">、中标通知书等整套前期</w:t>
      </w:r>
      <w:r>
        <w:rPr>
          <w:rFonts w:hint="eastAsia" w:ascii="新宋体" w:hAnsi="新宋体" w:eastAsia="新宋体" w:cs="宋体"/>
          <w:color w:val="000000"/>
          <w:szCs w:val="21"/>
          <w:highlight w:val="none"/>
          <w:lang w:eastAsia="zh-CN"/>
        </w:rPr>
        <w:t xml:space="preserve">采购资料</w:t>
      </w:r>
      <w:r>
        <w:rPr>
          <w:rFonts w:hint="eastAsia" w:ascii="新宋体" w:hAnsi="新宋体" w:eastAsia="新宋体" w:cs="宋体"/>
          <w:color w:val="000000"/>
          <w:szCs w:val="21"/>
          <w:highlight w:val="none"/>
        </w:rPr>
        <w:t xml:space="preserve">）2）中标通知书（盖建设单位公章）3）施工合同（提供原件）4）施工组织设计（包括工期计划、应急方案等报审资料）5）设计交底6）开工报告7）工序报验（包括材料报验及工序报验等）8）通知书及联系单（包括联系单及回 复等）9）预验收申请（包括预验收审核等）10）竣工证明书（包括监理工程质量评估报告、施工单位自评报 告等</w:t>
      </w:r>
      <w:r>
        <w:rPr>
          <w:rFonts w:hint="eastAsia" w:ascii="新宋体" w:hAnsi="新宋体" w:eastAsia="新宋体" w:cs="宋体"/>
          <w:color w:val="000000"/>
          <w:szCs w:val="21"/>
          <w:highlight w:val="none"/>
        </w:rPr>
        <w:t xml:space="preserve">资料）11）施工照片（要求施工前照片、施工过程照片、施工完成照片、所有照片彩色打印）12）签证 单、技术核定单（变更资料包括：签证单、技术核定单、图纸、工程量计算确认书等资料）13）工程量计算 书14）工程量确认单15）送审结算书16）支付情况说明（包括施工发票复印件）17）竣工资料移交单18）施 工图纸（有设计院出图章）19）竣工图纸（有竣工图章）等，提供四套原件，竣工资料由实施单位负责装订 成册，涉及费用考虑在报价中。竣工资料整套在竣工验收前一天移交甲方，如不移交不予验收，涉及后果由 中标单位自行承担。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16</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施工质量应符合现行国家技术、施工及验收规范规程，对施工工艺的特殊要求，按设计图纸及国家有关 规定执行。成交单位切实加强各自监督督导工作，工作需相互支持、密切配合，打好坚实的基础，确保工作 的顺利进行，如实施单位违反以上规定，按签定得合同违约条款进行处罚。</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安全文明</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rPr>
        <w:t xml:space="preserve">作为本工程总承包管理单位，</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应全面负责本工程现场安全文明管理。</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本工程所产生的垃圾和多余土方的需运出区域范围处理，必须满足建设、规划、城管、环保等部门要 求， 由此引起的费用自行考虑计入</w:t>
      </w:r>
      <w:r>
        <w:rPr>
          <w:rFonts w:hint="eastAsia" w:ascii="新宋体" w:hAnsi="新宋体" w:eastAsia="新宋体" w:cs="宋体"/>
          <w:color w:val="000000"/>
          <w:szCs w:val="21"/>
          <w:highlight w:val="none"/>
          <w:lang w:eastAsia="zh-CN"/>
        </w:rPr>
        <w:t xml:space="preserve">投标（响应）报价</w:t>
      </w:r>
      <w:r>
        <w:rPr>
          <w:rFonts w:hint="eastAsia" w:ascii="新宋体" w:hAnsi="新宋体" w:eastAsia="新宋体" w:cs="宋体"/>
          <w:color w:val="000000"/>
          <w:szCs w:val="21"/>
          <w:highlight w:val="none"/>
        </w:rPr>
        <w:t xml:space="preserve">内，结算时不调整。</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由于</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安全文明施工问题造成</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被他人索赔，</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保留向</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索赔的权利。涉及安全文明施工的所有费用</w:t>
      </w:r>
      <w:r>
        <w:rPr>
          <w:rFonts w:hint="eastAsia" w:ascii="新宋体" w:hAnsi="新宋体" w:eastAsia="新宋体" w:cs="宋体"/>
          <w:color w:val="000000"/>
          <w:szCs w:val="21"/>
          <w:highlight w:val="none"/>
          <w:lang w:eastAsia="zh-CN"/>
        </w:rPr>
        <w:t xml:space="preserve">响应人</w:t>
      </w:r>
      <w:r>
        <w:rPr>
          <w:rFonts w:hint="eastAsia" w:ascii="新宋体" w:hAnsi="新宋体" w:eastAsia="新宋体" w:cs="宋体"/>
          <w:color w:val="000000"/>
          <w:szCs w:val="21"/>
          <w:highlight w:val="none"/>
        </w:rPr>
        <w:t xml:space="preserve">应考虑在</w:t>
      </w:r>
      <w:r>
        <w:rPr>
          <w:rFonts w:hint="eastAsia" w:ascii="新宋体" w:hAnsi="新宋体" w:eastAsia="新宋体" w:cs="宋体"/>
          <w:color w:val="000000"/>
          <w:szCs w:val="21"/>
          <w:highlight w:val="none"/>
          <w:lang w:eastAsia="zh-CN"/>
        </w:rPr>
        <w:t xml:space="preserve">投标（响应）</w:t>
      </w:r>
      <w:r>
        <w:rPr>
          <w:rFonts w:hint="eastAsia" w:ascii="新宋体" w:hAnsi="新宋体" w:eastAsia="新宋体" w:cs="宋体"/>
          <w:color w:val="000000"/>
          <w:szCs w:val="21"/>
          <w:highlight w:val="none"/>
        </w:rPr>
        <w:t xml:space="preserve">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rPr>
        <w:t xml:space="preserve">工期要求</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本工程至竣工验收的工期为</w:t>
      </w:r>
      <w:r>
        <w:rPr>
          <w:rFonts w:hint="eastAsia" w:ascii="新宋体" w:hAnsi="新宋体" w:eastAsia="新宋体" w:cs="宋体"/>
          <w:color w:val="000000"/>
          <w:szCs w:val="21"/>
          <w:highlight w:val="none"/>
          <w:lang w:eastAsia="zh-CN"/>
        </w:rPr>
        <w:t xml:space="preserve">90日历天</w:t>
      </w:r>
      <w:r>
        <w:rPr>
          <w:rFonts w:hint="eastAsia" w:ascii="新宋体" w:hAnsi="新宋体" w:eastAsia="新宋体" w:cs="宋体"/>
          <w:color w:val="000000"/>
          <w:szCs w:val="21"/>
          <w:highlight w:val="none"/>
        </w:rPr>
        <w:t xml:space="preserve">(已包括所有节假日、雨雪天等)， </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在整个工期内需承担总的管理与配合的职责。</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必须考虑采取一切必要的措施来保证工程按期完成，</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认为</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在标价中已充分考虑了 由此而引起的一切费用。</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应考虑到气候 因素对工程施工的影响，气候因素应是</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应考虑到的风险。</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不接受</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因气候因素而提出的任何索赔。</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在施工过程中，在未得到</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同意的情况下，不得以任何理由顺延工期。</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rPr>
        <w:t xml:space="preserve">工程通用要求</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响应单位应充分踏勘现场，为完成工程内容所需的一切辅助工作，包括临设、水电、排水、交通运输等，均应充分踏勘，相关费用自行考虑。</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本工程各项相关手续齐全后</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方可进场施工，</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需自行考虑办理相关手续周期，若办理前期手续延误开工时间，</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不得提出费用索赔。</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现场文明施工须参照苏州市规建委、质、安监现场形象标准执行，达到同等及以上标准，该部分所有 的费用考虑在</w:t>
      </w:r>
      <w:r>
        <w:rPr>
          <w:rFonts w:hint="eastAsia" w:ascii="新宋体" w:hAnsi="新宋体" w:eastAsia="新宋体" w:cs="宋体"/>
          <w:color w:val="000000"/>
          <w:szCs w:val="21"/>
          <w:highlight w:val="none"/>
          <w:lang w:eastAsia="zh-CN"/>
        </w:rPr>
        <w:t xml:space="preserve">投标（响应）</w:t>
      </w:r>
      <w:r>
        <w:rPr>
          <w:rFonts w:hint="eastAsia" w:ascii="新宋体" w:hAnsi="新宋体" w:eastAsia="新宋体" w:cs="宋体"/>
          <w:color w:val="000000"/>
          <w:szCs w:val="21"/>
          <w:highlight w:val="none"/>
        </w:rPr>
        <w:t xml:space="preserve">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还应负责</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现场的垃圾清运及其它环境卫生工作，施工现场及道路保洁由专人负责，保证 施工现场及场内外运输通道保洁。</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涉及文明施工的所有费用应考虑</w:t>
      </w:r>
      <w:r>
        <w:rPr>
          <w:rFonts w:hint="eastAsia" w:ascii="新宋体" w:hAnsi="新宋体" w:eastAsia="新宋体" w:cs="宋体"/>
          <w:color w:val="000000"/>
          <w:szCs w:val="21"/>
          <w:highlight w:val="none"/>
          <w:lang w:eastAsia="zh-CN"/>
        </w:rPr>
        <w:t xml:space="preserve">投标（响应）</w:t>
      </w:r>
      <w:r>
        <w:rPr>
          <w:rFonts w:hint="eastAsia" w:ascii="新宋体" w:hAnsi="新宋体" w:eastAsia="新宋体" w:cs="宋体"/>
          <w:color w:val="000000"/>
          <w:szCs w:val="21"/>
          <w:highlight w:val="none"/>
        </w:rPr>
        <w:t xml:space="preserve">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rPr>
        <w:t xml:space="preserve">本项目实施过程中可能发生变更，最终变更方式参照《苏州市市级政府投资建筑工程变更备案管理实施细则》（苏住建规〔2018〕1 号）及《关于调整市级政府投资建设项目工程变更管理方式的通知》（苏住建建〔2025〕18号）执行。</w:t>
      </w:r>
      <w:r>
        <w:rPr>
          <w:rFonts w:hint="eastAsia" w:ascii="新宋体" w:hAnsi="新宋体" w:eastAsia="新宋体" w:cs="宋体"/>
          <w:color w:val="000000"/>
          <w:szCs w:val="21"/>
          <w:highlight w:val="none"/>
          <w:lang w:val="en-US" w:eastAsia="zh-CN"/>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七、</w:t>
      </w:r>
      <w:r>
        <w:rPr>
          <w:rFonts w:hint="eastAsia" w:ascii="新宋体" w:hAnsi="新宋体" w:eastAsia="新宋体" w:cs="宋体"/>
          <w:color w:val="000000"/>
          <w:szCs w:val="21"/>
          <w:highlight w:val="none"/>
        </w:rPr>
        <w:t xml:space="preserve">综合说明</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1.报价说明：</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报价方式：本工程项目采用固定综合单价报价方式。</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rPr>
          <w:rFonts w:hint="eastAsia" w:ascii="新宋体" w:hAnsi="新宋体" w:eastAsia="新宋体" w:cs="宋体"/>
          <w:color w:val="000000"/>
          <w:szCs w:val="21"/>
          <w:highlight w:val="none"/>
        </w:rPr>
      </w:r>
      <w:r/>
    </w:p>
    <w:p>
      <w:pPr>
        <w:pStyle w:val="722"/>
        <w:numPr>
          <w:ilvl w:val="0"/>
          <w:numId w:val="4"/>
        </w:numPr>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参加磋商供应商报价时，必须按统一的工程量清单报价，成交后，本工程中工程量清单项目的综合单价按供应商己标价工程量清单</w:t>
      </w:r>
      <w:r>
        <w:rPr>
          <w:rFonts w:hint="eastAsia" w:ascii="新宋体" w:hAnsi="新宋体" w:eastAsia="新宋体" w:cs="宋体"/>
          <w:color w:val="000000"/>
          <w:szCs w:val="21"/>
          <w:highlight w:val="none"/>
          <w:lang w:val="en-US" w:eastAsia="zh-CN"/>
        </w:rPr>
        <w:t xml:space="preserve">二次报价</w:t>
      </w:r>
      <w:r>
        <w:rPr>
          <w:rFonts w:hint="eastAsia" w:ascii="新宋体" w:hAnsi="新宋体" w:eastAsia="新宋体" w:cs="宋体"/>
          <w:color w:val="000000"/>
          <w:szCs w:val="21"/>
          <w:highlight w:val="none"/>
        </w:rPr>
        <w:t xml:space="preserve">下浮</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如有</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之后的综合单价执行，最终价格以审计为准。</w:t>
      </w:r>
      <w:r>
        <w:rPr>
          <w:rFonts w:hint="eastAsia" w:ascii="新宋体" w:hAnsi="新宋体" w:eastAsia="新宋体" w:cs="宋体"/>
          <w:color w:val="000000"/>
          <w:szCs w:val="21"/>
          <w:highlight w:val="none"/>
        </w:rPr>
      </w:r>
      <w:r/>
    </w:p>
    <w:p>
      <w:pPr>
        <w:pStyle w:val="722"/>
        <w:numPr>
          <w:ilvl w:val="0"/>
          <w:numId w:val="4"/>
        </w:numPr>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本工程在磋商文件中已明确的各项施工措施费，均包含在合同总价中。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）计价格式中列明的所有需要填报的单价和合价，供应商均需填报，未填报的单价和合价，视为此项费用已包含在工程量清单的其他单价和合价中。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rPr>
        <w:t xml:space="preserve">）包装和运输：本项目服务所涉及的包装和运输均由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rPr>
        <w:t xml:space="preserve">）保险：</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的工作人员保险由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2.本项目报价包括完成该项目所需的全部人工费、材料费</w:t>
      </w:r>
      <w:r>
        <w:rPr>
          <w:rFonts w:hint="eastAsia" w:ascii="新宋体" w:hAnsi="新宋体" w:eastAsia="新宋体" w:cs="宋体"/>
          <w:color w:val="000000"/>
          <w:szCs w:val="21"/>
          <w:highlight w:val="none"/>
        </w:rPr>
        <w:t xml:space="preserve">、机械使用费、管理费、利润、工程风险， 以及所需的深化设计、施工准备、施工过程、保修期等所需的供货、运输、人工、运杂保险、装卸、备品、备件、损耗、安装、调试、人员培训、售后服务、专利技术等一切费用。在合同实施期间，不增加任何费用。在合同实施期间，不增加任何费用。</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3.采购人在安装现场提供水源、电源接驳， 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装表计量，水电费由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4.</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所有临时设施不需要再使用时，如采购人要求拆除，成交单位应立即无条件拆除。</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5.</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必须对所提供货物和服务等知识产权方面的一切产权关系负全部责任</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由此而引起的法律纠纷 以及费用</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须全部承担。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6.响应产品属于国家有关部门规定的须具备强制性认证的产品或国家有关部门颁布的须符合生产安全标准的产品，成交单位在提请采购人验收时须提供上述产品的认证或认可证明资料，否则由此所造成的人身伤害、财产损失或损坏均由成交单位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rPr>
        <w:t xml:space="preserve">本项目采购需求均不允许出现负偏离，否则视为非实质性响应磋商文件的要求。</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采购文件提出的是最低限度的要求，并未对一切细节作出规定，也未充分引述全部有关标准和规范的条文，供应商所提供的相关货物或服务都应符合已颁布的现行的国家标准、行业标准和地方标准，并应达到或优于采购文件要求。若采购文件中涉及品牌或品牌导向，则仅作参考。</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rPr>
        <w:t xml:space="preserve">根据财政部、发展改革委、生态环境部、市场监管总局关于调整优化节能产品、环境标志产品政府采购执行机制的通知：</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本次拟采购产品如属于政府采购节能产品品目清单（强制采购）范围、环境标志产品政府采购品目清单内，响应单位应当提供由国家确定的认证机构出具的、处于有效期之内的节能产品认证证书复印件，否则视为无效</w:t>
      </w:r>
      <w:r>
        <w:rPr>
          <w:rFonts w:hint="eastAsia" w:ascii="新宋体" w:hAnsi="新宋体" w:eastAsia="新宋体" w:cs="宋体"/>
          <w:color w:val="000000"/>
          <w:szCs w:val="21"/>
          <w:highlight w:val="none"/>
          <w:lang w:eastAsia="zh-CN"/>
        </w:rPr>
        <w:t xml:space="preserve">投标（响应）</w:t>
      </w: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(2)本次拟采购的其他产品中未涉及到节能强制采购产品、优先采购节能产品、优先采购环保产品。</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rPr>
        <w:t xml:space="preserve">. 响应单位必须承诺响应采购文件中提出的全部服务要求，如果对其中某些条款不响应时，必须在文件中逐条列出。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11.</w:t>
      </w:r>
      <w:r>
        <w:rPr>
          <w:rFonts w:hint="eastAsia" w:ascii="新宋体" w:hAnsi="新宋体" w:eastAsia="新宋体" w:cs="宋体"/>
          <w:color w:val="000000"/>
          <w:szCs w:val="21"/>
          <w:highlight w:val="none"/>
        </w:rPr>
        <w:t xml:space="preserve">响应文件内容须真实、准确、有效，如提供虚假材料或对采购文件所要求说明的情况故 意隐瞒或虚报，视为不实质性响应采购要求，其响应文件将被拒绝。 已成交的将取消成交资格，并按相关法律法规处理。</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12.</w:t>
      </w:r>
      <w:r>
        <w:rPr>
          <w:rFonts w:hint="eastAsia" w:ascii="新宋体" w:hAnsi="新宋体" w:eastAsia="新宋体" w:cs="宋体"/>
          <w:color w:val="000000"/>
          <w:szCs w:val="21"/>
          <w:highlight w:val="none"/>
        </w:rPr>
        <w:t xml:space="preserve">响应报价</w:t>
      </w:r>
      <w:r>
        <w:rPr>
          <w:rFonts w:hint="eastAsia" w:ascii="新宋体" w:hAnsi="新宋体" w:eastAsia="新宋体" w:cs="宋体"/>
          <w:color w:val="000000"/>
          <w:szCs w:val="21"/>
          <w:highlight w:val="none"/>
          <w:lang w:val="en-US" w:eastAsia="zh-CN"/>
        </w:rPr>
        <w:t xml:space="preserve">应当</w:t>
      </w:r>
      <w:r>
        <w:rPr>
          <w:rFonts w:hint="eastAsia" w:ascii="新宋体" w:hAnsi="新宋体" w:eastAsia="新宋体" w:cs="宋体"/>
          <w:color w:val="000000"/>
          <w:szCs w:val="21"/>
          <w:highlight w:val="none"/>
        </w:rPr>
        <w:t xml:space="preserve">对所要采购的全部内容进行报价，只投其中部分内容者，其响应文件将被拒绝，采购人除支付本次采购项目的成交金额外不再承担其他任何费用。</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13.</w:t>
      </w:r>
      <w:r>
        <w:rPr>
          <w:rFonts w:hint="eastAsia" w:ascii="新宋体" w:hAnsi="新宋体" w:eastAsia="新宋体" w:cs="宋体"/>
          <w:color w:val="000000"/>
          <w:szCs w:val="21"/>
          <w:highlight w:val="none"/>
        </w:rPr>
        <w:t xml:space="preserve">本项目验收时采购人有权委托第三方进行各项检测，如不符合采购要求则不予通过验收。</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对货物或服务缺陷不予更正，采购人有权另请其他单位更正，所发生的费用在</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所提交的履约保证金中或应付款</w:t>
      </w:r>
      <w:r>
        <w:rPr>
          <w:rFonts w:hint="eastAsia" w:ascii="新宋体" w:hAnsi="新宋体" w:eastAsia="新宋体" w:cs="宋体"/>
          <w:color w:val="000000"/>
          <w:szCs w:val="21"/>
          <w:highlight w:val="none"/>
          <w:lang w:val="en-US" w:eastAsia="zh-CN"/>
        </w:rPr>
        <w:t xml:space="preserve">中</w:t>
      </w:r>
      <w:r>
        <w:rPr>
          <w:rFonts w:hint="eastAsia" w:ascii="新宋体" w:hAnsi="新宋体" w:eastAsia="新宋体" w:cs="宋体"/>
          <w:color w:val="000000"/>
          <w:szCs w:val="21"/>
          <w:highlight w:val="none"/>
        </w:rPr>
        <w:t xml:space="preserve">扣除，如不足以补偿更正金额，采购人有权对不足部分提出的补偿。</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14.</w:t>
      </w:r>
      <w:r>
        <w:rPr>
          <w:rFonts w:hint="eastAsia" w:ascii="新宋体" w:hAnsi="新宋体" w:eastAsia="新宋体" w:cs="宋体"/>
          <w:color w:val="000000"/>
          <w:szCs w:val="21"/>
          <w:highlight w:val="none"/>
        </w:rPr>
        <w:t xml:space="preserve">服务响应要求：接到采购人通知后 2 小时内响应，4 小时内到达现场，24 小时内解决问题。</w:t>
      </w:r>
      <w:r>
        <w:rPr>
          <w:rFonts w:hint="eastAsia" w:ascii="新宋体" w:hAnsi="新宋体" w:eastAsia="新宋体" w:cs="宋体"/>
          <w:color w:val="000000"/>
          <w:szCs w:val="21"/>
          <w:highlight w:val="none"/>
        </w:rPr>
      </w:r>
      <w:r/>
    </w:p>
    <w:p>
      <w:pPr>
        <w:pStyle w:val="722"/>
        <w:ind w:firstLine="480"/>
        <w:spacing w:line="400" w:lineRule="exact"/>
        <w:rPr>
          <w:highlight w:val="none"/>
        </w:rPr>
      </w:pPr>
      <w:r>
        <w:rPr>
          <w:rFonts w:hint="eastAsia" w:ascii="新宋体" w:hAnsi="新宋体" w:eastAsia="新宋体" w:cs="宋体"/>
          <w:color w:val="000000"/>
          <w:szCs w:val="21"/>
          <w:highlight w:val="none"/>
          <w:lang w:val="en-US" w:eastAsia="zh-CN"/>
        </w:rPr>
        <w:t xml:space="preserve">15.</w:t>
      </w:r>
      <w:r>
        <w:rPr>
          <w:rFonts w:ascii="NSimSun" w:hAnsi="NSimSun" w:eastAsia="NSimSun" w:cs="NSimSun"/>
          <w:color w:val="000000"/>
          <w:sz w:val="21"/>
        </w:rPr>
        <w:t xml:space="preserve">工程量清单、图纸（另附）请各潜在投标（响应）单位请自行去百度网盘下载</w:t>
      </w:r>
      <w:r>
        <w:rPr>
          <w:rFonts w:ascii="NSimSun" w:hAnsi="NSimSun" w:eastAsia="NSimSun" w:cs="NSimSun"/>
          <w:b/>
          <w:color w:val="000000"/>
          <w:sz w:val="21"/>
        </w:rPr>
        <w:t xml:space="preserve">（百度网盘下载地址：https://pan.baidu.com/s/1WivThOtOb2ZxmHBb9oty6g?pwd=5nuw 提取码: 5nuw 。</w:t>
      </w:r>
      <w:r>
        <w:rPr>
          <w:rFonts w:ascii="NSimSun" w:hAnsi="NSimSun" w:eastAsia="NSimSun" w:cs="NSimSun"/>
          <w:color w:val="000000"/>
          <w:sz w:val="21"/>
        </w:rPr>
        <w:t xml:space="preserve">复制这段内容后打开百度网盘手机App，操作更方便哦）。若下载有问题请及时联系代理公司，联系电话0512-69157588*816。</w:t>
      </w:r>
      <w:r>
        <w:rPr>
          <w:rFonts w:hint="eastAsia" w:ascii="新宋体" w:hAnsi="新宋体" w:eastAsia="新宋体" w:cs="宋体"/>
          <w:color w:val="000000"/>
          <w:szCs w:val="21"/>
          <w:highlight w:val="none"/>
          <w:lang w:val="en-US" w:eastAsia="zh-CN"/>
        </w:rPr>
      </w:r>
      <w:r>
        <w:rPr>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八</w:t>
      </w:r>
      <w:r>
        <w:rPr>
          <w:rFonts w:hint="eastAsia" w:ascii="新宋体" w:hAnsi="新宋体" w:eastAsia="新宋体" w:cs="宋体"/>
          <w:color w:val="000000"/>
          <w:szCs w:val="21"/>
          <w:highlight w:val="none"/>
        </w:rPr>
        <w:t xml:space="preserve">、若</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出现下列情形的将被解除承包合同：</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1、将承包的项目转包他人；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2、违反</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文件的有关规定；</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3、出现重大问题或重大事故造成严重影响的。</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宋体" w:hAnsi="宋体" w:cs="宋体"/>
          <w:color w:val="000000"/>
          <w:szCs w:val="21"/>
          <w:highlight w:val="none"/>
          <w:lang w:val="en-US" w:eastAsia="zh-CN"/>
        </w:rPr>
        <w:t xml:space="preserve">九、</w:t>
      </w:r>
      <w:r>
        <w:rPr>
          <w:rFonts w:hint="eastAsia" w:ascii="新宋体" w:hAnsi="新宋体" w:eastAsia="新宋体" w:cs="宋体"/>
          <w:color w:val="000000"/>
          <w:szCs w:val="21"/>
          <w:highlight w:val="none"/>
        </w:rPr>
        <w:t xml:space="preserve">凡涉及</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文件的补充说明和修改，均以政府采购网上发布的通知为准。</w:t>
      </w:r>
      <w:r>
        <w:rPr>
          <w:rFonts w:hint="eastAsia" w:ascii="新宋体" w:hAnsi="新宋体" w:eastAsia="新宋体" w:cs="宋体"/>
          <w:color w:val="000000"/>
          <w:szCs w:val="21"/>
          <w:highlight w:val="none"/>
        </w:rPr>
      </w:r>
      <w:r/>
    </w:p>
    <w:p>
      <w:pPr>
        <w:pStyle w:val="722"/>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2731"/>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四、评审方法及评分标准</w:t>
      </w:r>
      <w:r>
        <w:rPr>
          <w:rFonts w:ascii="宋体" w:hAnsi="宋体"/>
          <w:b/>
          <w:bCs/>
          <w:color w:val="000000"/>
          <w:sz w:val="32"/>
          <w:szCs w:val="32"/>
          <w:highlight w:val="none"/>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一、评</w:t>
      </w:r>
      <w:r>
        <w:rPr>
          <w:rFonts w:hint="eastAsia" w:ascii="宋体" w:hAnsi="宋体" w:cs="宋体"/>
          <w:bCs/>
          <w:color w:val="000000"/>
          <w:szCs w:val="21"/>
          <w:highlight w:val="none"/>
          <w:lang w:val="en-US" w:eastAsia="zh-CN"/>
        </w:rPr>
        <w:t xml:space="preserve">审</w:t>
      </w:r>
      <w:r>
        <w:rPr>
          <w:rFonts w:hint="eastAsia" w:ascii="宋体" w:hAnsi="宋体" w:cs="宋体"/>
          <w:bCs/>
          <w:color w:val="000000"/>
          <w:szCs w:val="21"/>
          <w:highlight w:val="none"/>
          <w:lang w:val="zh-CN"/>
        </w:rPr>
        <w:t xml:space="preserve">办法</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1、本次评审采用为综合评分法，即在满足招标（采购)文件实质性要求前提下，按照招标（采购)文件中规定的评分标准和各项因素进行综合评审后，以总得分最高的响应人作为相应标段的中标候选人。</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评标委员会（评审委员会）各成员独立对每个进入打分程序的有效响应人的标书技术部分以打分的形式进行评审和评价（计算结果均四舍五入保留两位小数）。对评委的评分（除价格分外）进行统计汇总，直接算术平均计算得分. </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3、对评委的评分（除价格分外）进行统计汇总，计算出每个响应人的得分，加上价格得分即为每个响应人的综合得分。</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4、如出现总得分最高的响应人有两个或两个以上的，以投标（响应）报价较低者优先作为该标段中标候选人，如果投标（响应）报价也相同的，则由采购方组织以抽签方式确定中标候选人。</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5、针对小微型企业的评审：</w:t>
      </w:r>
      <w:r>
        <w:rPr>
          <w:rFonts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5.1、根据财政部、工业和信息化部关于印发《政府采购促进中小企业发展管理办法》的通知规定：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（1）本项目属于专门面向中小企业采购。</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（3）本项目采购标的对应的中小企业划分标准所属行业为：</w:t>
      </w:r>
      <w:r>
        <w:rPr>
          <w:rFonts w:hint="eastAsia" w:ascii="宋体" w:hAnsi="宋体" w:cs="宋体"/>
          <w:bCs/>
          <w:color w:val="000000"/>
          <w:szCs w:val="21"/>
          <w:highlight w:val="none"/>
          <w:lang w:val="en-US" w:eastAsia="zh-CN"/>
        </w:rPr>
        <w:t xml:space="preserve">建筑业</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5.2、残疾人福利性单位</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5.3、监狱企业</w:t>
      </w:r>
      <w:r>
        <w:rPr>
          <w:rFonts w:hint="eastAsia"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残疾人福利性单位，不视同小微企业，不享受残疾人福利性单位政策。</w:t>
      </w:r>
      <w:r>
        <w:rPr>
          <w:rFonts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信用查询：根据政府采购法及相关法规，以及苏州市财政局《关于印发苏州市市级政府采购信用记录查询和使用工作试行办法的通知》（苏财购（2017）11号）文件的规定，我们将对供应商进行信用查询，凡经评审委员会确认不符合政府采购相关法律法规规定的，将拒绝其参与政府采购活动。</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6.1、查询时间：响应文件递交截止时间。 </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6.2、查询渠道：</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采购代理机构会在接收投标（响应）文件截止时间后，登录信用中国网站（www.creditchina.gov.cn）和中国政府采购网（www.ccgp.gov.cn/）查询供应商的信用记录，并将查询结果递交评标委员会（评审委员会）。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6.3、查询证据留存方式：</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对存在失信信息的供应商，评审委员会填写《苏州市级政府采购供应商失信信息确认函》，由失信供应商应签名确认。同时，采购代理机构工作人员根据评审委员会确认的失信信息，登陆到来源网站页面进行复核并打印，作为证据留存。</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6.4、信用记录使用规则：</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评审委员会在对供应商进行资格性审查时，根据查询结果对供应商的不良信用记录逐项甄别确认。凡经评审委员会确认不符合政府采购相关法律法规规定的，将拒绝其参与政府采购活动。</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二、评分标准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（一）价格分（30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1.磋商报价不超过采购预算价格或最高限价的，为有效磋商报价。超出此范围的磋商报价为无效报价。 无效报价的响应文件不进行评审，也不得标。</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2.价格得分计算方法：根据各响应单位通过符合性审查的有效磋商报价中的最低价作为评审基准价，其价格分为满分。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3.其他响应单位的价格分统一按照下列公式计算：</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磋商报价得分=(评审基准价／磋商报价)×价格权值（30%） × 100，小数点后保留两位。</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（二）技术服务方案、水平（50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1.总体概述：工程概述、总体安排、及施工部署及施工段划分等健全、合理、规范、高效。概述描述清晰明了、科学合理、可实施性强的得 8 分；概述描述较为清晰明了、科学合理的得 5分；有涉及但不全面的得 2分；未提供不得分。最高 8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2.施工总进度计划：关于本工程施工进度计划的描述， 以及为完成该计划所定措施科学、合理、规范、 高效。进度计划描述清晰明了、科学合理、可实施性强的得 6 分；进度计划描述较为清晰明了、科学 合理的得 3 分；有涉及但不全面的得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3.分部、分项工程的施工方案：工程分部分项工程的施工方案、具体施工技术措施科学、合理、操作性强、规范、高效的得 6 分；工程分部分项工程的施工方案、具体施工技术措施较为科学、合理的得 3 分；有涉及但不全面的得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4.安全文明施工措施：该工程安全文明施工、施工现场扬尘污染防治措施及环境保护方面的措施科学、 合理、操作性强、规范、高效的得 6 分；安全文明施工、施工现场扬尘污染防治措施及环境保护方面的措施内容不全面的得 3 分； 以上内容仅有涉及、内容不准确的得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劳动力配备：劳动力配备合理、分工清晰明确，管理制度描述详实、科学、合理、规范，针对性及可操作性强的得6分；劳动力配备较合理、分工较清晰明确，可操作性较强的的得3分；劳动力配备不合理、分工不明确，针对性及可操作性差的得1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6.季节性施工：季节性施工、已有设备、管线的加固、保护等特殊情况下的施工措施科学、合理、操作 性强、高效。季节性施工、已有设备、管线的加固、保护等特殊情况下的施工措施科学、合理、操作 性强、高效的得 6 分；季节性施工、已有设备、管线的加固、保护等特殊情况下的施工措施较为科学 的得 3 分； 以上措施不全面有缺失的得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7.后期维修方案:后期维修方案科学合理、便捷有效的得 6 分；有涉及但不全面的得 3 分；提供方案较为一般的得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8.园林景区短驳、转运及错峰施工和抢工方案：方案完全符合项目实际，详尽的得 6 分；综合评定一般，方案一般，基本能满足项目实施需要的得 3 分；综合评定较差，方案内容不足，不太能满足项目实施需要的得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（三）响应单位综合能力（20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1.拟投入本项目的</w:t>
      </w:r>
      <w:r>
        <w:rPr>
          <w:rFonts w:hint="eastAsia" w:ascii="宋体" w:hAnsi="宋体" w:cs="宋体"/>
          <w:bCs/>
          <w:color w:val="000000"/>
          <w:szCs w:val="21"/>
          <w:highlight w:val="none"/>
          <w:lang w:val="en-US" w:eastAsia="zh-CN"/>
        </w:rPr>
        <w:t xml:space="preserve">技术负责人</w:t>
      </w:r>
      <w:r>
        <w:rPr>
          <w:rFonts w:hint="eastAsia" w:ascii="宋体" w:hAnsi="宋体" w:cs="宋体"/>
          <w:bCs/>
          <w:color w:val="000000"/>
          <w:szCs w:val="21"/>
          <w:highlight w:val="none"/>
          <w:lang w:val="zh-CN"/>
        </w:rPr>
        <w:t xml:space="preserve">（3分）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拟投入本项目的</w:t>
      </w:r>
      <w:r>
        <w:rPr>
          <w:rFonts w:hint="eastAsia" w:ascii="宋体" w:hAnsi="宋体" w:cs="宋体"/>
          <w:bCs/>
          <w:color w:val="000000"/>
          <w:szCs w:val="21"/>
          <w:highlight w:val="none"/>
          <w:lang w:val="en-US" w:eastAsia="zh-CN"/>
        </w:rPr>
        <w:t xml:space="preserve">技术负责人</w:t>
      </w:r>
      <w:r>
        <w:rPr>
          <w:rFonts w:hint="eastAsia" w:ascii="宋体" w:hAnsi="宋体" w:cs="宋体"/>
          <w:bCs/>
          <w:color w:val="000000"/>
          <w:szCs w:val="21"/>
          <w:highlight w:val="none"/>
          <w:lang w:val="zh-CN"/>
        </w:rPr>
        <w:t xml:space="preserve">具有高级工程师职称证书的得3分，具有工程师职称证书的得2分，具有初级工程师职称证书的得1分，最高得3分。提供相关证书和磋商响应截止时间当月或上月</w:t>
      </w:r>
      <w:r>
        <w:rPr>
          <w:rFonts w:hint="eastAsia" w:ascii="宋体" w:hAnsi="宋体" w:cs="宋体"/>
          <w:bCs/>
          <w:color w:val="000000"/>
          <w:szCs w:val="21"/>
          <w:highlight w:val="none"/>
          <w:lang w:val="en-US" w:eastAsia="zh-CN"/>
        </w:rPr>
        <w:t xml:space="preserve">出具的响应单位正在为其缴纳</w:t>
      </w:r>
      <w:r>
        <w:rPr>
          <w:rFonts w:hint="eastAsia" w:ascii="宋体" w:hAnsi="宋体" w:cs="宋体"/>
          <w:bCs/>
          <w:color w:val="000000"/>
          <w:szCs w:val="21"/>
          <w:highlight w:val="none"/>
          <w:lang w:val="zh-CN"/>
        </w:rPr>
        <w:t xml:space="preserve">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2.拟投入本项目组成员比较（包括安全员、施工员、资料员、质量员、材料员）：每配备一类技术人员 得 1 分，最高得 5 分。提供相关证书和磋商响应截止时间当月或上月出具的响应单位正在为其缴纳社保的证明，否则不得分。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3.拟投入本项目组中成员具有中级及以上职称的，每配备一人得1分，最高得2分。提供相关证书和磋商响应截止时间当月或上月出具的响应单位正在为其缴纳社保的证明，否则不得分。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4.响应单位 </w:t>
      </w:r>
      <w:r>
        <w:rPr>
          <w:rFonts w:hint="eastAsia" w:ascii="宋体" w:hAnsi="宋体" w:cs="宋体"/>
          <w:bCs/>
          <w:color w:val="000000"/>
          <w:szCs w:val="21"/>
          <w:highlight w:val="none"/>
          <w:lang w:val="en-US" w:eastAsia="zh-CN"/>
        </w:rPr>
        <w:t xml:space="preserve">2023</w:t>
      </w:r>
      <w:r>
        <w:rPr>
          <w:rFonts w:hint="eastAsia" w:ascii="宋体" w:hAnsi="宋体" w:cs="宋体"/>
          <w:bCs/>
          <w:color w:val="000000"/>
          <w:szCs w:val="21"/>
          <w:highlight w:val="none"/>
          <w:lang w:val="zh-CN"/>
        </w:rPr>
        <w:t xml:space="preserve">年至今（以竣工日期为准) 承接并已完成的类似项目业绩：每提供一份得 2 分，最高得10分（响应文件中需提供完整的施工合同及竣工验收单扫描件，否则不得分）。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br w:type="page" w:clear="all"/>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注：针对评分标准中评分的每一条，磋商响应单位均应提供相关资料并作出相应说明供评委评判，不提供相 关资料的视为不具备该项得分的条件。</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numPr>
          <w:ilvl w:val="0"/>
          <w:numId w:val="0"/>
        </w:numPr>
        <w:spacing w:line="440" w:lineRule="exact"/>
        <w:rPr>
          <w:color w:val="000000"/>
          <w:highlight w:val="none"/>
        </w:rPr>
      </w:pPr>
      <w:r>
        <w:rPr>
          <w:color w:val="000000"/>
          <w:highlight w:val="none"/>
        </w:rPr>
        <w:br w:type="page" w:clear="all"/>
      </w:r>
      <w:r>
        <w:rPr>
          <w:color w:val="000000"/>
          <w:highlight w:val="none"/>
        </w:rPr>
      </w:r>
      <w:r/>
    </w:p>
    <w:p>
      <w:pPr>
        <w:pStyle w:val="722"/>
        <w:numPr>
          <w:ilvl w:val="0"/>
          <w:numId w:val="5"/>
        </w:numPr>
        <w:ind w:firstLine="2409"/>
        <w:spacing w:line="440" w:lineRule="exact"/>
        <w:rPr>
          <w:color w:val="000000"/>
          <w:highlight w:val="none"/>
        </w:rPr>
      </w:pPr>
      <w:r>
        <w:rPr>
          <w:rFonts w:hint="eastAsia" w:ascii="宋体" w:hAnsi="宋体" w:eastAsia="宋体" w:cs="Times New Roman"/>
          <w:b/>
          <w:bCs/>
          <w:color w:val="000000"/>
          <w:sz w:val="32"/>
          <w:szCs w:val="32"/>
          <w:highlight w:val="none"/>
        </w:rPr>
        <w:t xml:space="preserve">合同</w:t>
      </w:r>
      <w:r>
        <w:rPr>
          <w:rFonts w:hint="eastAsia" w:ascii="宋体" w:hAnsi="宋体"/>
          <w:b/>
          <w:bCs/>
          <w:color w:val="000000"/>
          <w:sz w:val="32"/>
          <w:szCs w:val="32"/>
          <w:highlight w:val="none"/>
        </w:rPr>
        <w:t xml:space="preserve">主要条款及格式</w:t>
      </w:r>
      <w:r>
        <w:rPr>
          <w:color w:val="000000"/>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甲方（甲方）：</w:t>
      </w:r>
      <w:r>
        <w:rPr>
          <w:rFonts w:hint="eastAsia" w:ascii="宋体" w:hAnsi="宋体" w:cs="Times New Roman"/>
          <w:color w:val="000000"/>
          <w:sz w:val="21"/>
          <w:szCs w:val="21"/>
          <w:highlight w:val="none"/>
          <w:lang w:eastAsia="zh-CN"/>
        </w:rPr>
        <w:t xml:space="preserve">苏州市拙政园管理处（苏州市园林博物馆）</w:t>
      </w:r>
      <w:r>
        <w:rPr>
          <w:rFonts w:hint="eastAsia" w:ascii="宋体" w:hAnsi="宋体" w:eastAsia="宋体" w:cs="Times New Roman"/>
          <w:color w:val="000000"/>
          <w:sz w:val="21"/>
          <w:szCs w:val="21"/>
          <w:highlight w:val="none"/>
          <w:lang w:eastAsia="zh-CN"/>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代表人：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乙方（供应方）：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代表人：</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w:t>
      </w:r>
      <w:r>
        <w:rPr>
          <w:rFonts w:ascii="宋体" w:hAnsi="宋体" w:eastAsia="宋体" w:cs="Times New Roman"/>
          <w:color w:val="000000"/>
          <w:sz w:val="21"/>
          <w:szCs w:val="21"/>
          <w:highlight w:val="none"/>
        </w:rPr>
      </w:r>
      <w:r/>
    </w:p>
    <w:p>
      <w:pPr>
        <w:pStyle w:val="722"/>
        <w:ind w:firstLine="413"/>
        <w:spacing w:after="160" w:line="360" w:lineRule="auto"/>
        <w:tabs>
          <w:tab w:val="left" w:pos="360" w:leader="none"/>
        </w:tabs>
        <w:rPr>
          <w:rFonts w:ascii="宋体" w:hAnsi="宋体"/>
          <w:b/>
          <w:color w:val="000000"/>
          <w:szCs w:val="21"/>
          <w:highlight w:val="none"/>
        </w:rPr>
      </w:pPr>
      <w:r>
        <w:rPr>
          <w:rFonts w:hint="eastAsia" w:ascii="宋体" w:hAnsi="宋体"/>
          <w:b/>
          <w:color w:val="000000"/>
          <w:szCs w:val="21"/>
          <w:highlight w:val="none"/>
        </w:rPr>
        <w:t xml:space="preserve">一、合同内容</w:t>
      </w:r>
      <w:r>
        <w:rPr>
          <w:rFonts w:ascii="宋体" w:hAnsi="宋体"/>
          <w:b/>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1、乙方负责甲方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，详见成交工程量清单。</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2、下列文件为本合同不可分割部分：</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①成交通知书；</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②采购文件；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③乙方成交的响应文件；</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④乙方在招</w:t>
      </w:r>
      <w:r>
        <w:rPr>
          <w:rFonts w:hint="eastAsia" w:ascii="宋体" w:hAnsi="宋体"/>
          <w:color w:val="000000"/>
          <w:szCs w:val="21"/>
          <w:highlight w:val="none"/>
          <w:lang w:eastAsia="zh-CN"/>
        </w:rPr>
        <w:t xml:space="preserve">投标（响应）过程</w:t>
      </w:r>
      <w:r>
        <w:rPr>
          <w:rFonts w:hint="eastAsia" w:ascii="宋体" w:hAnsi="宋体"/>
          <w:color w:val="000000"/>
          <w:szCs w:val="21"/>
          <w:highlight w:val="none"/>
        </w:rPr>
        <w:t xml:space="preserve">中所作的其它承诺、声明、书面澄清等。</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二、合同价款</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1、成交合同价：人民币                元整 (￥          )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2、合同价款及调整：本工程项目采用固定单价合同。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磋商供应商应充分考虑施工期间各类建材的市场风险和国家政策性调整风险系数，本合同未有约定的按 照国家相关文件执行。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执行固定单价报价的基本规定：</w:t>
      </w:r>
      <w:r>
        <w:rPr>
          <w:rFonts w:ascii="宋体" w:hAnsi="宋体"/>
          <w:color w:val="000000"/>
          <w:szCs w:val="21"/>
          <w:highlight w:val="none"/>
        </w:rPr>
      </w:r>
      <w:r/>
    </w:p>
    <w:p>
      <w:pPr>
        <w:pStyle w:val="722"/>
        <w:ind w:firstLine="411"/>
        <w:spacing w:after="160" w:line="360" w:lineRule="auto"/>
        <w:tabs>
          <w:tab w:val="left" w:pos="36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①</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报价时，必须按统一的工程量清单报价，本工程采用固定单价，本工程中工程量清单项目的综合单价按</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己标价工程量清单</w:t>
      </w:r>
      <w:r>
        <w:rPr>
          <w:rFonts w:hint="eastAsia" w:ascii="宋体" w:hAnsi="宋体"/>
          <w:color w:val="000000"/>
          <w:szCs w:val="21"/>
          <w:highlight w:val="none"/>
          <w:lang w:val="en-US" w:eastAsia="zh-CN"/>
        </w:rPr>
        <w:t xml:space="preserve">二次报价</w:t>
      </w:r>
      <w:r>
        <w:rPr>
          <w:rFonts w:hint="eastAsia" w:ascii="宋体" w:hAnsi="宋体"/>
          <w:color w:val="000000"/>
          <w:szCs w:val="21"/>
          <w:highlight w:val="none"/>
        </w:rPr>
        <w:t xml:space="preserve">下浮</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之后的综合单价执行，最终价格以审计为准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②原合同金额</w:t>
      </w:r>
      <w:r>
        <w:rPr>
          <w:rFonts w:hint="eastAsia" w:ascii="宋体" w:hAnsi="宋体"/>
          <w:color w:val="000000"/>
          <w:szCs w:val="21"/>
          <w:highlight w:val="none"/>
          <w:lang w:val="en-US" w:eastAsia="zh-CN"/>
        </w:rPr>
        <w:t xml:space="preserve">追加的，</w:t>
      </w:r>
      <w:r>
        <w:rPr>
          <w:rFonts w:hint="eastAsia" w:ascii="宋体" w:hAnsi="宋体"/>
          <w:color w:val="000000"/>
          <w:szCs w:val="21"/>
          <w:highlight w:val="none"/>
        </w:rPr>
        <w:t xml:space="preserve">须满足：（1）追加金额不得超过原合同金额的 10%。（2）原合同金额 10%以内的追加费用，限于原合同内工程清单数量调整增加及与履行本工程相关且必备的工程费用，其他原合同外工程内容不得计入。</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③本工程在磋商采购文件中已明确的各项施工措施费，均包含在合同总价中。其他在磋商采购文件和答疑中未提及、未明确部分的施工措施费项目，可以根据相关资料按实调整，并作相应的下浮。</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④在履行合同过程中，按照《苏州市市级政府投资建筑工程变更备案管理实施细则》（苏住建规〔2018〕1 号）及《关于调整市级政府投资建设项目工程变更管理方式的通知》（苏住建建〔2025〕18号）执行变更程序。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3、合同支付：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付款方式：</w:t>
      </w:r>
      <w:r>
        <w:rPr>
          <w:rFonts w:hint="eastAsia" w:ascii="宋体" w:hAnsi="宋体"/>
          <w:color w:val="000000"/>
          <w:szCs w:val="21"/>
          <w:highlight w:val="none"/>
        </w:rPr>
        <w:t xml:space="preserve">合同签订生效后支付10%作为预付款，施工过程中，</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有权每月向监理单位申请合格工程量金额的进度款，监理单位签署申请同意后支付进度款，支付合格工程量进度款60%</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年底</w:t>
      </w:r>
      <w:r>
        <w:rPr>
          <w:rFonts w:hint="eastAsia" w:ascii="宋体" w:hAnsi="宋体"/>
          <w:color w:val="000000"/>
          <w:szCs w:val="21"/>
          <w:highlight w:val="none"/>
          <w:lang w:val="en-US" w:eastAsia="zh-CN"/>
        </w:rPr>
        <w:t xml:space="preserve">前</w:t>
      </w:r>
      <w:r>
        <w:rPr>
          <w:rFonts w:hint="eastAsia" w:ascii="宋体" w:hAnsi="宋体"/>
          <w:color w:val="000000"/>
          <w:szCs w:val="21"/>
          <w:highlight w:val="none"/>
        </w:rPr>
        <w:t xml:space="preserve">最多支付至</w:t>
      </w:r>
      <w:r>
        <w:rPr>
          <w:rFonts w:hint="eastAsia" w:ascii="宋体" w:hAnsi="宋体"/>
          <w:color w:val="000000"/>
          <w:szCs w:val="21"/>
          <w:highlight w:val="none"/>
          <w:lang w:val="en-US" w:eastAsia="zh-CN"/>
        </w:rPr>
        <w:t xml:space="preserve">245</w:t>
      </w:r>
      <w:r>
        <w:rPr>
          <w:rFonts w:hint="eastAsia" w:ascii="宋体" w:hAnsi="宋体"/>
          <w:color w:val="000000"/>
          <w:szCs w:val="21"/>
          <w:highlight w:val="none"/>
        </w:rPr>
        <w:t xml:space="preserve">万</w:t>
      </w:r>
      <w:r>
        <w:rPr>
          <w:rFonts w:hint="eastAsia" w:ascii="宋体" w:hAnsi="宋体"/>
          <w:color w:val="000000"/>
          <w:szCs w:val="21"/>
          <w:highlight w:val="none"/>
          <w:lang w:val="en-US" w:eastAsia="zh-CN"/>
        </w:rPr>
        <w:t xml:space="preserve">元</w:t>
      </w:r>
      <w:r>
        <w:rPr>
          <w:rFonts w:hint="eastAsia" w:ascii="宋体" w:hAnsi="宋体"/>
          <w:color w:val="000000"/>
          <w:szCs w:val="21"/>
          <w:highlight w:val="none"/>
        </w:rPr>
        <w:t xml:space="preserve">。工程竣工验收合格后可支付至合同价的70%，竣工结算评审完成后支付至评审审定金额的97%。竣工验收</w:t>
      </w:r>
      <w:r>
        <w:rPr>
          <w:rFonts w:hint="eastAsia" w:ascii="宋体" w:hAnsi="宋体"/>
          <w:color w:val="000000"/>
          <w:szCs w:val="21"/>
          <w:highlight w:val="none"/>
          <w:lang w:val="en-US" w:eastAsia="zh-CN"/>
        </w:rPr>
        <w:t xml:space="preserve">合格</w:t>
      </w:r>
      <w:r>
        <w:rPr>
          <w:rFonts w:hint="eastAsia" w:ascii="宋体" w:hAnsi="宋体"/>
          <w:color w:val="000000"/>
          <w:szCs w:val="21"/>
          <w:highlight w:val="none"/>
        </w:rPr>
        <w:t xml:space="preserve">一年后无问题付清余款</w:t>
      </w:r>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4、材料、设备供应方式：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乙方应严格按设计图纸施工，所有的原材料必须符合国家规范要求，并配合甲方（监理监督）按批次做好原材料的取样送检工作，不得弄虚作假，不得使用劣质材料。若发生甲供材料，则甲供材料的提前申请：乙方应提前 30 天对可能影响工程进度的甲供材料提出书面申请，以便甲方有充分时间准备供货。若因申请滞后引起的进度问题由乙方负责。 甲供材料由乙方进行卸货接收、验收、保管及成品保护，费用 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中。未按施工方案施工，擅自变更工艺或材料罚款合同价2%，由甲方直接在工程款中扣除。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 甲供材料、设备  </w:t>
      </w:r>
      <w:r>
        <w:rPr>
          <w:rFonts w:hint="eastAsia" w:ascii="宋体" w:hAnsi="宋体"/>
          <w:color w:val="000000"/>
          <w:szCs w:val="21"/>
          <w:highlight w:val="none"/>
          <w:u w:val="single"/>
        </w:rPr>
        <w:t xml:space="preserve">      无             </w:t>
      </w:r>
      <w:r>
        <w:rPr>
          <w:rFonts w:hint="eastAsia" w:ascii="宋体" w:hAnsi="宋体"/>
          <w:color w:val="000000"/>
          <w:szCs w:val="21"/>
          <w:highlight w:val="none"/>
        </w:rPr>
        <w:t xml:space="preserve">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（2）乙供材料、设备   </w:t>
      </w:r>
      <w:r>
        <w:rPr>
          <w:rFonts w:hint="eastAsia" w:ascii="宋体" w:hAnsi="宋体"/>
          <w:color w:val="000000"/>
          <w:szCs w:val="21"/>
          <w:highlight w:val="none"/>
          <w:u w:val="single"/>
        </w:rPr>
        <w:t xml:space="preserve"> 其余全部乙供         </w:t>
      </w:r>
      <w:r>
        <w:rPr>
          <w:rFonts w:hint="eastAsia" w:ascii="宋体" w:hAnsi="宋体"/>
          <w:color w:val="000000"/>
          <w:szCs w:val="21"/>
          <w:highlight w:val="none"/>
        </w:rPr>
        <w:t xml:space="preserve">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5、相关报表、计划的提交:乙方在合同签订后 7 日内须提供工程施工总进度计划、进场材料计划、施工组织设计、劳动力人员安排计划各贰份，报监理并转报甲方审核；经批准的乙方提交的第一次总进度 计划的主要节点作为里程碑时间</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6、乙方须保证法定节假日、领导视察工地等期间正常施工及管理，同时须考虑到该施工期间的材料供应、道路封闭、施工现场清洁清理等各种困难因素，并已于工期及报价中充分考虑。而且因为本工程施工环境复杂，既要保证完成施工任务，又要考虑游客和居民的出行方便，不被游客和居民投诉。</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7、乙方需服从甲方安全管理，承担施工安全保卫工作及非夜间施工照明的责任和要求：做好施工 范围内的文明施工、施工安全及保卫工作，要求组织保安巡视，防止安全和治安事故。 现场发现明火、易燃物乱堆（文物区域内严禁烟火），停工整顿，罚款5</w:t>
      </w:r>
      <w:r>
        <w:rPr>
          <w:rFonts w:ascii="宋体" w:hAnsi="宋体"/>
          <w:color w:val="000000"/>
          <w:szCs w:val="21"/>
          <w:highlight w:val="none"/>
        </w:rPr>
        <w:t xml:space="preserve">000</w:t>
      </w:r>
      <w:r>
        <w:rPr>
          <w:rFonts w:hint="eastAsia" w:ascii="宋体" w:hAnsi="宋体"/>
          <w:color w:val="000000"/>
          <w:szCs w:val="21"/>
          <w:highlight w:val="none"/>
        </w:rPr>
        <w:t xml:space="preserve">元，高空作业未系安全带、脚手架不规范收使用，每人次扣</w:t>
      </w:r>
      <w:r>
        <w:rPr>
          <w:rFonts w:ascii="宋体" w:hAnsi="宋体"/>
          <w:color w:val="000000"/>
          <w:szCs w:val="21"/>
          <w:highlight w:val="none"/>
        </w:rPr>
        <w:t xml:space="preserve">2</w:t>
      </w:r>
      <w:r>
        <w:rPr>
          <w:rFonts w:hint="eastAsia" w:ascii="宋体" w:hAnsi="宋体"/>
          <w:color w:val="000000"/>
          <w:szCs w:val="21"/>
          <w:highlight w:val="none"/>
        </w:rPr>
        <w:t xml:space="preserve">000元，罚款由甲方直接在工程款中扣除。乙方必须提供和维护夜间治安所需临时设施和出入通道使用的照明、围栏、标志设施，并负责安全保卫，确保人员和车辆的安全。因乙方未设置以上照明、围栏、标志设施导致的安全事故以及治安事故由乙方负责，并承担产生的 一切可能发生的费用。所采取的对游客和居民协调工作的各项措施必须详细、全面、可行；保证游客和居民 的通道畅通，施工场地的卫生，控制噪音及三废的排放，负责施工场合的治安保障工作， 以上所有费用考虑 在</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中。工程施工现场应配备必要的标示标牌等指示设施，费用自行考虑，计入措施费。一旦发生安 全事故与甲方无关。非夜间施工中做到节约用电、安全用电。施工期间如遇停水、停电，乙方应通过自 备临时装置等方式自行解决，工期亦不会因此而延长。</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8、施工场地周围地下管线和邻近建筑物、构筑物（含文物保护建筑）、古树名木的保护要求及费用承担：乙方负责保护，发生的费用由乙方包含在</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中。保护方案必须符合相关部门的要求，实施前必须经相关单位批准。在施工阶段由乙方对邻近古枫香等古老树木做好钢管脚手架围挡保护措施，协调处 理施工场地周围地上地下管线和邻近建筑物、构筑物（含文物保护建筑）的保护工作，因保护施工场地周围地上地下管线和邻近建筑物、构筑物、古树名木而发生的费用包含在</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施工路段地下管线的物探工作由乙方承担主要责任，甲方配合提供相关资料。开挖时若发现石、木构建等均采用人工开挖，尽可能利用旧石材，发现重要文物等均按相关规范要求执行，如乙方擅自处理，造成的损失及处罚由乙方承担。施工中造成文物本体损伤（如墙体开裂、雕刻破损等），罚款合同价5%，赔偿修复费用，由甲方直接在工程款中扣除。发生重大文物损坏（如梁架坍塌），终止合同，追究法律责任，赔偿修复费用，并处合同价10%罚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9、所有隐蔽工程作业完成必须提前通知甲方、监理进行现场验收，验收手续完成后方可回填或进行 下一工序施工，如隐蔽工程未经现场验收自行回填而发现质量问题的，甲方有权要求挖开全部隐蔽作业面进行检查，因此导致的工期延误和经济损失全部由乙方承担，不得索赔；因乙方原因导致的分部分项工期拖幅（对照进场提交的进度控制表），按 1000 元/1 次拖幅计价，单项封顶 1 万元。项目建设地块内垃圾清理完毕后需通过甲方验收，验收合格后进入下阶段工序。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10、施工场地清洁卫生的要求： 按照苏州市现场施工清洁卫生</w:t>
      </w:r>
      <w:r>
        <w:rPr>
          <w:rFonts w:hint="eastAsia" w:ascii="宋体" w:hAnsi="宋体"/>
          <w:color w:val="000000"/>
          <w:szCs w:val="21"/>
          <w:highlight w:val="none"/>
        </w:rPr>
        <w:t xml:space="preserve">规定，乙方在工程实施期间负责每天将施工场地范围内的所有地面和地下建筑垃圾、建筑杂物、生活垃圾等清理干净，并及时清除出施工现场。 如违反规定要求乙方承担当地行政执法部门的处罚费用，同时甲方对乙方处以同等数额的罚款并在工程结算中予以扣除，如乙方不作清理或清理不干净，甲方有权委托其他单位或个人清理，所产生的一切 费用由乙方负责。甲方在工程款结算时直接在乙方工程款中扣除，并处以 1 万元人民币的罚款。竣工交付前，将所有各类垃圾清除清运出场，将所有剩余的建筑材料清运出场，将所有施工机械和设备清运 出场，费用包含在本次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中。乙方建筑垃圾混入原有构件（如拆除砖瓦未分类存放），罚款5000元/次，由甲方直接在工程款中扣除。乙方必须服从甲方现场的统一管理和协调，做到文明施工。施工现 场要按甲方要求统一设立标识、标语、标牌，做到文明施工。</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11、防尘、排污：必须要采取有力的措施防止工地扬尘、工程车抛撒滴漏。露天土方需进行</w:t>
      </w:r>
      <w:r>
        <w:rPr>
          <w:rFonts w:hint="eastAsia" w:ascii="宋体" w:hAnsi="宋体"/>
          <w:color w:val="000000"/>
          <w:szCs w:val="21"/>
          <w:highlight w:val="none"/>
        </w:rPr>
        <w:t xml:space="preserve">覆盖，施工 通道应经常进行洒水降尘，严禁施工车辆抛撒滴漏污染道路，施工车辆驶出工地前，必须经冲洗场冲洗干净， 杜绝车轮夹泥上路。从乙方施工起点起的上、下游各 150 米范围内的现有雨污水管道被垃圾堵塞，必须由乙方清除。因此原因造成相关职能部门处罚时，或给甲方带来不良影响时，乙方除支付罚金外，还需 承担由此造成对甲方的不良影响和额外工作增加的补偿金 3 万元/次起。该款项无需经乙方同意，由甲方直接在工程款中扣除。施工噪音、粉尘影响周边环境（文物区需采取降尘措施）罚款5000元 /次，由甲方直接在工程款中扣除。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12、节日、假日或任何其他法定休息日：乙方被认为在他的工作进度计划中已为一切公认的节日、假 日或任何其他法定休息日留有余地。规定的合同期被认为是包括这些日期在内，有关这些问题不再考虑任何 延期或额外费用。如果乙方接到指令在法定假日以外的任何额外日期停工，将给以延期以补偿中断的工作。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13、本工程不得转包，发现有此情况作违约处理，甲方有权终止合同，并要求乙方赔偿相应损失。 乙方承诺的项目经理、项目技术负责人及各专业工程师必须为乙方的在职职工，在工程现场以及工程例 会上必须到场，否则发包方有权进行处罚及单方终止合同，并要求乙方赔偿相关损失。项目经理在同一合 同期内严禁兼任另一合同的项目经理，在同一市内原则上不得兼任另一合同的项目经理。在整个工程实施过 程中，乙方成立项目经理部，派出</w:t>
      </w:r>
      <w:r>
        <w:rPr>
          <w:rFonts w:hint="eastAsia" w:ascii="宋体" w:hAnsi="宋体"/>
          <w:color w:val="000000"/>
          <w:szCs w:val="21"/>
          <w:highlight w:val="none"/>
          <w:lang w:eastAsia="zh-CN"/>
        </w:rPr>
        <w:t xml:space="preserve">投标（响应）文件</w:t>
      </w:r>
      <w:r>
        <w:rPr>
          <w:rFonts w:hint="eastAsia" w:ascii="宋体" w:hAnsi="宋体"/>
          <w:color w:val="000000"/>
          <w:szCs w:val="21"/>
          <w:highlight w:val="none"/>
        </w:rPr>
        <w:t xml:space="preserve">中承诺的项目经理及主要管理人员。未事先征得甲方同意，承 包人不得擅自更换项目经理，但甲方有权根据工程实施情况要求更换不称职的项目经理，乙方必须在 7 日内调整到位。经乙方提出，甲方同意更换项目经理，乙方必须支付甲方 30 万元的违约金。其他人 员的承诺按</w:t>
      </w:r>
      <w:r>
        <w:rPr>
          <w:rFonts w:hint="eastAsia" w:ascii="宋体" w:hAnsi="宋体"/>
          <w:color w:val="000000"/>
          <w:szCs w:val="21"/>
          <w:highlight w:val="none"/>
          <w:lang w:eastAsia="zh-CN"/>
        </w:rPr>
        <w:t xml:space="preserve">投标（响应）文件</w:t>
      </w:r>
      <w:r>
        <w:rPr>
          <w:rFonts w:hint="eastAsia" w:ascii="宋体" w:hAnsi="宋体"/>
          <w:color w:val="000000"/>
          <w:szCs w:val="21"/>
          <w:highlight w:val="none"/>
        </w:rPr>
        <w:t xml:space="preserve">。监理人还将对其实行考勤制度，项目经理、施工员、安全员必须保证坚守工地现场，若甲方发现以上主要管理人员每缺岗一天，按 1000 元/人.次计违约金，按人次累计计算，不封顶。该款项扣 除时无需经乙方同意，由甲方直接在工程款中扣除，工程结束不返还。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14、乙方必须将其一切施工活动限制在工程项目用地红线边界范围内，如乙方出于工程的需要，不 得不临时占用或开挖工程建筑红线边界范围外的土地或道路，乙方应自行办理全部手续，并承担由此发生 全部费用，乙方不应以占用建筑红线边界范围外的土地有关情况作为延长合同工期和增加费用的理由。</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15、乙方应认真踏勘现场，了解现场施工条件及环境，充分考虑各项施工措施费，如(但不限于)施工 技术措施费、现场安全文明施工措施费、赶工措施费、技术措施费、特殊条件下施工增加费、设备试车费等 费用均包含在本次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中，竣工结算时不作任何调整。</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16、本工程以财政投资评审审定结果为项目价款结算依据。</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lang w:val="en-US" w:eastAsia="zh-CN"/>
        </w:rPr>
      </w:pPr>
      <w:r>
        <w:rPr>
          <w:rFonts w:hint="eastAsia" w:ascii="宋体" w:hAnsi="宋体"/>
          <w:color w:val="000000"/>
          <w:szCs w:val="21"/>
          <w:highlight w:val="none"/>
        </w:rPr>
        <w:t xml:space="preserve">17、工期：</w:t>
      </w:r>
      <w:r>
        <w:rPr>
          <w:rFonts w:hint="eastAsia" w:ascii="宋体" w:hAnsi="宋体"/>
          <w:color w:val="000000"/>
          <w:szCs w:val="21"/>
          <w:highlight w:val="none"/>
          <w:lang w:eastAsia="zh-CN"/>
        </w:rPr>
        <w:t xml:space="preserve">90日历天</w:t>
      </w:r>
      <w:r>
        <w:rPr>
          <w:rFonts w:hint="eastAsia" w:ascii="宋体" w:hAnsi="宋体"/>
          <w:color w:val="000000"/>
          <w:szCs w:val="21"/>
          <w:highlight w:val="none"/>
        </w:rPr>
        <w:t xml:space="preserve">， 以实际开工时间为准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质保期：1年。</w:t>
      </w:r>
      <w:r>
        <w:rPr>
          <w:rFonts w:ascii="宋体" w:hAnsi="宋体"/>
          <w:color w:val="000000"/>
          <w:szCs w:val="21"/>
          <w:highlight w:val="none"/>
          <w:lang w:val="en-US" w:eastAsia="zh-CN"/>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18、伴随服务：</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乙方除应履行按期按量交付合格的工程及设备、材料的义务之外，还应提供下列服务：</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（1）乙方应根据现场踏勘情况，对于施工现场原有的各类垃圾的清运费用已包含在本次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 竣工结算时不作调整。乙方应充分考虑场地情况，本工程场地内临时设施的二次搬迁（如有）、安拆不再 补偿费用，竣工结算时不作调整。</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（2）乙方应根据现场踏勘情况，充分估计甲方现场提供的临时用电用水的负荷和位置，如用地红 线内需要接驳连接由乙方自行解决，费用视为考虑在本次报价中。</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（3）若工程施工中，安全、质量、文明施工、环境保护等各方面被媒体曝光，对甲方造成不良影响 的，视同违约。除妥善处理有关事项外，还须支付甲方合同违约金、赔偿金计 3 万元/次。该款项无需经承 包人同意，由甲方直接在工程款中扣除。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（4）除合同另有约定之外，伴随服务的费用均已含在合同价款中， 甲方不再另行进行支付。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19、双方约定乙方应做的其他工作：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A）施工过程中，应充分配合甲方和监理工程师的工作，认真做好施工组织管理和协调工作，配合其它乙方的施工，并无条件配</w:t>
      </w:r>
      <w:r>
        <w:rPr>
          <w:rFonts w:hint="eastAsia" w:ascii="宋体" w:hAnsi="宋体"/>
          <w:color w:val="000000"/>
          <w:szCs w:val="21"/>
          <w:highlight w:val="none"/>
        </w:rPr>
        <w:t xml:space="preserve">合甲方和监理工程师的调度，接受甲方和监理工程师的监督管理，按期、 保质完成施工任务。关键节点延误超3天（如屋面揭瓦必须在雨季前完成），罚款合同价1%/天，由甲方直接在工程款中扣除。乙方不得以任何理由(如增减费用及/或工期调整未能确定等)拖延执行或不执行指令。若乙方在收到甲方催促执行的书面通知后 7 天 之内，乙方仍未执行，罚款合同价2%/天且甲方可另行委托他人执行该指令范围内的工作，乙方应承担因此发生的与此有关的一切费用（包括但不限于另行比选执行人的费用、支付给执行人的相关费用），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B）无论监理工程师或甲方是否进行并通过了各项检验，均不解除乙方对自己承包的工程的质量所负责任，除非质量问题是由于设计原因引起，而针对此类质量问题乙方须及时通知监理工程师和甲方。乙方工艺不达标，责令限期返工，且每处罚款合同价0.5%，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C）双方约定乙方应做的其他工作： ①工程验收资料齐备。施工日志、影像</w:t>
      </w:r>
      <w:r>
        <w:rPr>
          <w:rFonts w:hint="eastAsia" w:ascii="宋体" w:hAnsi="宋体"/>
          <w:color w:val="000000"/>
          <w:szCs w:val="21"/>
          <w:highlight w:val="none"/>
        </w:rPr>
        <w:t xml:space="preserve">记录缺失（需全程记录修缮过程），罚款合同价1%，限期补全。②竣工图纸、竣工决算应在工程验收后（以竣工验收单时间为准）30天内交付，否则按每天 500 元罚款。③协助或配合甲方办理有关手续，如变更签 证备案、档案移交验收等。④需由设计资质等级和业务范围允许的乙方完成的设计文件提交时间:承包范围内工程没有设计文件或设计文件需要深化的，由乙方自行（如有设计资质）或另行委托具有相应资质的设计单位编制或深化设计文件， 由甲方及甲方委托的设计单位认可后按图施工，该部分设计文件的编制费 用包含或视为已经包含在合同价款中。</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三、合同生效及其它</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1、本合同经双方签字盖章后生效。</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2、合同在执行过程中出现的未尽事宜，双方在不违背本合同和采购文件的原则下协商解决，协商结果 以书面形式盖章记录在案，作为本合同的附件，与本合同具有同等效力，但需向采购方提交二份备存。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四、合同的解除和转让</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 甲方和乙方协商一致，可以解除合同。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2、除本合同另有约定外，有下列情形之一，合同一方可以解除合同：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（1）因不可抗力致使不能实现合同目的，未受不可抗力影响的一方有权解除合同；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（2）因合同一方违约导致合同不能履行，另一方有权解除合同；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（3）乙方工程延期 20 天无法合格交付的视为无法交付，或者乙方交付的工程存在质量问题经甲方提出整改要求后无法修改到位的。</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3、合同的部分和全部都不得转让。</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color w:val="000000"/>
          <w:szCs w:val="21"/>
          <w:highlight w:val="none"/>
        </w:rPr>
        <w:t xml:space="preserve"> </w:t>
      </w:r>
      <w:r>
        <w:rPr>
          <w:rFonts w:hint="eastAsia" w:ascii="宋体" w:hAnsi="宋体"/>
          <w:b/>
          <w:bCs/>
          <w:color w:val="000000"/>
          <w:szCs w:val="21"/>
          <w:highlight w:val="none"/>
        </w:rPr>
        <w:t xml:space="preserve">五、其它</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1、乙方承诺具有履行本合同所需的工程等相关资质，否则视为根本违约， 甲方有权单方解除本合同并 不予支付工程款。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2、乙方承包后不得转包、不得违法分包，否则，一经发现， 甲方有权单方解除本合同并不予支付工程款。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4、乙方延期交付的，每延期一日支付合同价款万分之二的违约金，直至通过合格验收之日； 乙方交付 的工程存在质量问题或瑕疵的，应根据合同约定及甲方要求及时整改到位，延误时间不予延长工期；乙方不 能自行整改到位的， 甲方可自行委托其他方整改，所支付的全部费用均由乙方承担且甲方可直接从应付乙方 的工程款中予以扣除。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5、乙方施工过程中造成任何人员伤亡的，均由乙方自行承担，如因任何原因导致甲方先行垫付或甲方 支付任何相关补偿等费用的， 甲方可向乙方全额追偿且甲方可直接从应付乙方的工程款中予以扣除。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6、本合同未尽之处双方协商解决；如协商不成，双方同意由一方向工程所在地有管辖权的人民法院提 起诉讼。</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六、附则</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1、合同份数：本合同一式六份， 甲乙双方各两份，招标代理机构两份。</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2、未尽事宜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color w:val="000000"/>
          <w:szCs w:val="21"/>
          <w:highlight w:val="none"/>
        </w:rPr>
        <w:t xml:space="preserve">本合同未尽事宜应按《中华人民共和国民法典》、《中华人民共和国建筑法》</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《中华人民共和国政府采购法》 以及其同相关法律、法规之规定解释。</w:t>
      </w:r>
      <w:r>
        <w:rPr>
          <w:rFonts w:ascii="宋体" w:hAnsi="宋体" w:eastAsia="宋体" w:cs="Times New Roman"/>
          <w:color w:val="000000"/>
          <w:sz w:val="21"/>
          <w:szCs w:val="21"/>
          <w:highlight w:val="none"/>
        </w:rPr>
      </w:r>
      <w:r/>
    </w:p>
    <w:p>
      <w:pPr>
        <w:pStyle w:val="722"/>
        <w:ind w:firstLine="420"/>
        <w:jc w:val="left"/>
        <w:spacing w:after="16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甲方签章：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乙方签章：          </w:t>
      </w:r>
      <w:r>
        <w:rPr>
          <w:rFonts w:ascii="宋体" w:hAnsi="宋体" w:eastAsia="宋体" w:cs="宋体"/>
          <w:color w:val="000000"/>
          <w:sz w:val="21"/>
          <w:szCs w:val="21"/>
          <w:highlight w:val="none"/>
        </w:rPr>
      </w:r>
      <w:r/>
    </w:p>
    <w:p>
      <w:pPr>
        <w:pStyle w:val="722"/>
        <w:ind w:firstLine="420"/>
        <w:jc w:val="left"/>
        <w:spacing w:after="16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经办人：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法人代表或授权委托人</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22"/>
        <w:ind w:firstLine="425"/>
        <w:spacing w:after="160" w:line="360" w:lineRule="auto"/>
        <w:rPr>
          <w:rFonts w:ascii="宋体" w:hAnsi="宋体" w:eastAsia="宋体" w:cs="Times New Roman"/>
          <w:color w:val="000000"/>
          <w:sz w:val="21"/>
          <w:szCs w:val="21"/>
          <w:highlight w:val="none"/>
        </w:rPr>
      </w:pPr>
      <w:r>
        <w:rPr>
          <w:rFonts w:hint="eastAsia" w:ascii="宋体" w:hAnsi="宋体" w:eastAsia="宋体" w:cs="宋体"/>
          <w:color w:val="000000"/>
          <w:sz w:val="21"/>
          <w:szCs w:val="21"/>
          <w:highlight w:val="none"/>
        </w:rPr>
        <w:t xml:space="preserve">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ascii="宋体" w:hAnsi="宋体" w:eastAsia="宋体" w:cs="Times New Roman"/>
          <w:color w:val="000000"/>
          <w:sz w:val="21"/>
          <w:szCs w:val="21"/>
          <w:highlight w:val="none"/>
        </w:rPr>
      </w:r>
      <w:r/>
    </w:p>
    <w:p>
      <w:pPr>
        <w:pStyle w:val="722"/>
        <w:jc w:val="both"/>
        <w:spacing w:line="360" w:lineRule="auto"/>
        <w:rPr>
          <w:rFonts w:hint="eastAsia" w:ascii="宋体" w:hAnsi="宋体"/>
          <w:b/>
          <w:color w:val="000000"/>
          <w:sz w:val="32"/>
          <w:highlight w:val="none"/>
        </w:rPr>
        <w:outlineLvl w:val="0"/>
      </w:pPr>
      <w:r>
        <w:rPr>
          <w:rFonts w:hint="eastAsia" w:ascii="宋体" w:hAnsi="宋体"/>
          <w:b/>
          <w:color w:val="000000"/>
          <w:sz w:val="32"/>
          <w:highlight w:val="none"/>
        </w:rPr>
      </w:r>
      <w:r/>
    </w:p>
    <w:p>
      <w:pPr>
        <w:pStyle w:val="722"/>
        <w:jc w:val="center"/>
        <w:spacing w:line="360" w:lineRule="auto"/>
        <w:rPr>
          <w:color w:val="000000"/>
          <w:highlight w:val="none"/>
        </w:rPr>
        <w:outlineLvl w:val="0"/>
      </w:pPr>
      <w:r>
        <w:rPr>
          <w:rFonts w:hint="eastAsia" w:ascii="宋体" w:hAnsi="宋体"/>
          <w:b/>
          <w:color w:val="000000"/>
          <w:sz w:val="32"/>
          <w:highlight w:val="none"/>
        </w:rPr>
        <w:br w:type="page" w:clear="all"/>
      </w:r>
      <w:r>
        <w:rPr>
          <w:rFonts w:hint="eastAsia" w:ascii="宋体" w:hAnsi="宋体"/>
          <w:b/>
          <w:color w:val="000000"/>
          <w:sz w:val="32"/>
          <w:highlight w:val="none"/>
        </w:rPr>
        <w:t xml:space="preserve">六、磋商响应文件格式</w:t>
      </w:r>
      <w:r>
        <w:rPr>
          <w:color w:val="000000"/>
          <w:highlight w:val="none"/>
        </w:rPr>
      </w:r>
      <w:r/>
    </w:p>
    <w:p>
      <w:pPr>
        <w:pStyle w:val="7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格式1：</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磋商响应报价表（第一次）</w:t>
      </w:r>
      <w:r>
        <w:rPr>
          <w:rFonts w:hint="eastAsia" w:ascii="宋体" w:hAnsi="宋体" w:eastAsia="宋体" w:cs="宋体"/>
          <w:color w:val="000000"/>
          <w:sz w:val="21"/>
          <w:szCs w:val="21"/>
          <w:highlight w:val="none"/>
        </w:rPr>
      </w:r>
      <w:r/>
    </w:p>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922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76"/>
        <w:gridCol w:w="567"/>
        <w:gridCol w:w="549"/>
        <w:gridCol w:w="667"/>
        <w:gridCol w:w="2036"/>
        <w:gridCol w:w="3625"/>
      </w:tblGrid>
      <w:tr>
        <w:trPr>
          <w:trHeight w:val="750"/>
        </w:trPr>
        <w:tc>
          <w:tcPr>
            <w:gridSpan w:val="3"/>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6328"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771"/>
        </w:trPr>
        <w:tc>
          <w:tcPr>
            <w:gridSpan w:val="3"/>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6328"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960"/>
        </w:trPr>
        <w:tc>
          <w:tcPr>
            <w:tcBorders>
              <w:top w:val="none" w:color="000000" w:sz="4" w:space="0"/>
              <w:left w:val="single" w:color="000000" w:sz="4" w:space="0"/>
              <w:bottom w:val="single" w:color="000000" w:sz="4" w:space="0"/>
              <w:right w:val="single" w:color="000000" w:sz="4" w:space="0"/>
            </w:tcBorders>
            <w:tcW w:w="1776"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工期</w:t>
            </w:r>
            <w:r>
              <w:rPr>
                <w:rFonts w:hint="eastAsia" w:ascii="宋体" w:hAnsi="宋体" w:eastAsia="宋体" w:cs="宋体"/>
                <w:bCs/>
                <w:color w:val="000000"/>
                <w:sz w:val="21"/>
                <w:szCs w:val="21"/>
                <w:highlight w:val="none"/>
              </w:rPr>
            </w:r>
            <w:r/>
          </w:p>
        </w:tc>
        <w:tc>
          <w:tcPr>
            <w:gridSpan w:val="3"/>
            <w:tcBorders>
              <w:top w:val="none" w:color="000000" w:sz="4" w:space="0"/>
              <w:left w:val="none" w:color="000000" w:sz="4" w:space="0"/>
              <w:bottom w:val="single" w:color="000000" w:sz="4" w:space="0"/>
              <w:right w:val="single" w:color="000000" w:sz="4" w:space="0"/>
            </w:tcBorders>
            <w:tcW w:w="1783"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质量</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质保期</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5"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总报价（含税）</w:t>
            </w:r>
            <w:r>
              <w:rPr>
                <w:rFonts w:hint="eastAsia" w:ascii="宋体" w:hAnsi="宋体" w:eastAsia="宋体" w:cs="宋体"/>
                <w:bCs/>
                <w:color w:val="000000"/>
                <w:sz w:val="21"/>
                <w:szCs w:val="21"/>
                <w:highlight w:val="none"/>
              </w:rPr>
              <w:t xml:space="preserve">（元）</w:t>
            </w:r>
            <w:r>
              <w:rPr>
                <w:rFonts w:hint="eastAsia" w:ascii="宋体" w:hAnsi="宋体" w:eastAsia="宋体" w:cs="宋体"/>
                <w:bCs/>
                <w:color w:val="000000"/>
                <w:sz w:val="21"/>
                <w:szCs w:val="21"/>
                <w:highlight w:val="none"/>
              </w:rPr>
            </w:r>
            <w:r/>
          </w:p>
        </w:tc>
      </w:tr>
      <w:tr>
        <w:trPr>
          <w:trHeight w:val="977"/>
        </w:trPr>
        <w:tc>
          <w:tcPr>
            <w:tcBorders>
              <w:top w:val="none" w:color="000000" w:sz="4" w:space="0"/>
              <w:left w:val="single" w:color="000000" w:sz="4" w:space="0"/>
              <w:bottom w:val="single" w:color="000000" w:sz="4" w:space="0"/>
              <w:right w:val="single" w:color="000000" w:sz="4" w:space="0"/>
            </w:tcBorders>
            <w:tcW w:w="1776"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      天</w:t>
            </w:r>
            <w:r>
              <w:rPr>
                <w:rFonts w:hint="eastAsia" w:ascii="宋体" w:hAnsi="宋体" w:eastAsia="宋体" w:cs="宋体"/>
                <w:bCs/>
                <w:color w:val="000000"/>
                <w:sz w:val="21"/>
                <w:szCs w:val="21"/>
                <w:highlight w:val="none"/>
                <w:u w:val="single"/>
              </w:rPr>
            </w:r>
            <w:r/>
          </w:p>
        </w:tc>
        <w:tc>
          <w:tcPr>
            <w:gridSpan w:val="3"/>
            <w:tcBorders>
              <w:top w:val="none" w:color="000000" w:sz="4" w:space="0"/>
              <w:left w:val="none" w:color="000000" w:sz="4" w:space="0"/>
              <w:bottom w:val="single" w:color="000000" w:sz="4" w:space="0"/>
              <w:right w:val="single" w:color="000000" w:sz="4" w:space="0"/>
            </w:tcBorders>
            <w:tcW w:w="1783" w:type="dxa"/>
            <w:vAlign w:val="center"/>
            <w:textDirection w:val="lrTb"/>
            <w:noWrap w:val="false"/>
          </w:tcPr>
          <w:p>
            <w:pPr>
              <w:pStyle w:val="722"/>
              <w:spacing w:line="360" w:lineRule="auto"/>
              <w:widowControl/>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tc>
        <w:tc>
          <w:tcPr>
            <w:tcBorders>
              <w:top w:val="none" w:color="000000" w:sz="4" w:space="0"/>
              <w:left w:val="none" w:color="000000" w:sz="4" w:space="0"/>
              <w:bottom w:val="single" w:color="000000" w:sz="4" w:space="0"/>
              <w:right w:val="single" w:color="000000" w:sz="4" w:space="0"/>
            </w:tcBorders>
            <w:tcW w:w="3625" w:type="dxa"/>
            <w:vAlign w:val="center"/>
            <w:textDirection w:val="lrTb"/>
            <w:noWrap w:val="false"/>
          </w:tcPr>
          <w:p>
            <w:pPr>
              <w:pStyle w:val="722"/>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u w:val="single"/>
              </w:rPr>
              <w:t xml:space="preserve">大写：人民币               （小写：￥        元）</w:t>
            </w:r>
            <w:r>
              <w:rPr>
                <w:rFonts w:hint="eastAsia" w:ascii="宋体" w:hAnsi="宋体" w:eastAsia="宋体" w:cs="宋体"/>
                <w:bCs/>
                <w:color w:val="000000"/>
                <w:sz w:val="21"/>
                <w:szCs w:val="21"/>
                <w:highlight w:val="none"/>
              </w:rPr>
            </w:r>
            <w:r/>
          </w:p>
        </w:tc>
      </w:tr>
      <w:tr>
        <w:trPr>
          <w:trHeight w:val="1271"/>
        </w:trPr>
        <w:tc>
          <w:tcPr>
            <w:gridSpan w:val="2"/>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其中税率</w:t>
            </w:r>
            <w:r>
              <w:rPr>
                <w:rFonts w:hint="eastAsia" w:ascii="宋体" w:hAnsi="宋体" w:eastAsia="宋体" w:cs="宋体"/>
                <w:color w:val="000000"/>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6877"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1115"/>
        </w:trPr>
        <w:tc>
          <w:tcPr>
            <w:gridSpan w:val="2"/>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属于中小微型企业</w:t>
            </w:r>
            <w:r>
              <w:rPr>
                <w:rFonts w:hint="eastAsia" w:ascii="宋体" w:hAnsi="宋体" w:eastAsia="宋体" w:cs="宋体"/>
                <w:color w:val="000000"/>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6877" w:type="dxa"/>
            <w:vAlign w:val="center"/>
            <w:textDirection w:val="lrTb"/>
            <w:noWrap w:val="false"/>
          </w:tcPr>
          <w:p>
            <w:pPr>
              <w:pStyle w:val="722"/>
              <w:ind w:firstLine="105"/>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中型□        小型□       微型□  </w:t>
            </w:r>
            <w:r>
              <w:rPr>
                <w:rFonts w:hint="eastAsia" w:ascii="宋体" w:hAnsi="宋体" w:eastAsia="宋体" w:cs="宋体"/>
                <w:color w:val="000000"/>
                <w:sz w:val="21"/>
                <w:szCs w:val="21"/>
                <w:highlight w:val="none"/>
                <w:u w:val="single"/>
              </w:rPr>
            </w:r>
            <w:r/>
          </w:p>
        </w:tc>
      </w:tr>
    </w:tbl>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响应单位：（单位盖章）</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2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注：1、响应人如属中小微型企业的，请自行在“属于中、小、微型企业”方框上打“√”。</w:t>
      </w:r>
      <w:r>
        <w:rPr>
          <w:rFonts w:hint="eastAsia" w:ascii="宋体" w:hAnsi="宋体" w:eastAsia="宋体" w:cs="宋体"/>
          <w:color w:val="000000"/>
          <w:sz w:val="21"/>
          <w:szCs w:val="21"/>
          <w:highlight w:val="none"/>
        </w:rPr>
      </w:r>
      <w:r/>
    </w:p>
    <w:p>
      <w:pPr>
        <w:pStyle w:val="722"/>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格式2：</w:t>
      </w:r>
      <w:r>
        <w:rPr>
          <w:rFonts w:hint="eastAsia" w:ascii="宋体" w:hAnsi="宋体" w:eastAsia="宋体" w:cs="宋体"/>
          <w:b/>
          <w:bCs/>
          <w:color w:val="000000"/>
          <w:sz w:val="21"/>
          <w:szCs w:val="21"/>
          <w:highlight w:val="none"/>
        </w:rPr>
      </w:r>
      <w:r/>
    </w:p>
    <w:p>
      <w:pPr>
        <w:pStyle w:val="722"/>
        <w:jc w:val="center"/>
        <w:spacing w:before="75" w:after="75" w:line="24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工程量清单报价</w:t>
      </w:r>
      <w:r>
        <w:rPr>
          <w:rFonts w:hint="eastAsia" w:ascii="宋体" w:hAnsi="宋体" w:eastAsia="宋体" w:cs="宋体"/>
          <w:color w:val="000000"/>
          <w:sz w:val="21"/>
          <w:szCs w:val="21"/>
          <w:highlight w:val="none"/>
        </w:rPr>
      </w:r>
      <w:r/>
    </w:p>
    <w:p>
      <w:pPr>
        <w:pStyle w:val="722"/>
        <w:jc w:val="left"/>
        <w:spacing w:before="75" w:after="75" w:line="495" w:lineRule="atLeas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95" w:lineRule="atLeas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1.各供应商应根据竞争性磋商文件的要求，在响应文件中提出为完成本项目相应工作所必需包含的详细具体工程量清单内容，并以此做出详细的报价（</w:t>
      </w:r>
      <w:r>
        <w:rPr>
          <w:rFonts w:hint="eastAsia" w:ascii="宋体" w:hAnsi="宋体" w:eastAsia="宋体" w:cs="宋体"/>
          <w:color w:val="000000"/>
          <w:sz w:val="21"/>
          <w:szCs w:val="21"/>
          <w:highlight w:val="none"/>
        </w:rPr>
        <w:t xml:space="preserve">按《建设工程工程量清单计价标准》（GB/T50500-2024）及江苏省配套施行的2026版计价依据提供</w:t>
      </w:r>
      <w:r>
        <w:rPr>
          <w:rFonts w:hint="eastAsia" w:ascii="宋体" w:hAnsi="宋体" w:eastAsia="宋体" w:cs="宋体"/>
          <w:color w:val="000000"/>
          <w:sz w:val="21"/>
          <w:szCs w:val="21"/>
          <w:highlight w:val="none"/>
        </w:rPr>
        <w:t xml:space="preserve">）。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完成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1365"/>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ind w:firstLine="1365"/>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jc w:val="left"/>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格式3：</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磋商响应函</w:t>
      </w:r>
      <w:r>
        <w:rPr>
          <w:rFonts w:hint="eastAsia" w:ascii="宋体" w:hAnsi="宋体" w:eastAsia="宋体" w:cs="宋体"/>
          <w:b/>
          <w:color w:val="000000"/>
          <w:sz w:val="21"/>
          <w:szCs w:val="21"/>
          <w:highlight w:val="none"/>
        </w:rPr>
      </w:r>
      <w:r/>
    </w:p>
    <w:p>
      <w:pPr>
        <w:pStyle w:val="72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zh-CN"/>
        </w:rPr>
        <w:t xml:space="preserve">苏州市永诚建设咨询有限公司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p>
      <w:pPr>
        <w:pStyle w:val="722"/>
        <w:ind w:left="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我方收到贵公司</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号磋商采购文件，经仔细阅读和研究，我方决定参加磋商。并向贵公司承诺：</w:t>
      </w:r>
      <w:r>
        <w:rPr>
          <w:rFonts w:hint="eastAsia" w:ascii="宋体" w:hAnsi="宋体" w:eastAsia="宋体" w:cs="宋体"/>
          <w:color w:val="000000"/>
          <w:sz w:val="21"/>
          <w:szCs w:val="21"/>
          <w:highlight w:val="none"/>
        </w:rPr>
      </w:r>
      <w:r/>
    </w:p>
    <w:p>
      <w:pPr>
        <w:pStyle w:val="722"/>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1、愿意按照磋商采购文件的一切要求，提供以上所有工程施工，总价格及明细见《磋商响应报价表》、《工程量清单报价》。</w:t>
      </w:r>
      <w:r>
        <w:rPr>
          <w:rFonts w:hint="eastAsia" w:ascii="宋体" w:hAnsi="宋体" w:eastAsia="宋体" w:cs="宋体"/>
          <w:color w:val="000000"/>
          <w:sz w:val="21"/>
          <w:szCs w:val="21"/>
          <w:highlight w:val="none"/>
        </w:rPr>
      </w:r>
      <w:r/>
    </w:p>
    <w:p>
      <w:pPr>
        <w:pStyle w:val="722"/>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2、如果我们的响应文件被接受，我们将严格履行磋商采购文件中规定的每一项要求，按期、按质、按量履行义务。</w:t>
      </w:r>
      <w:r>
        <w:rPr>
          <w:rFonts w:hint="eastAsia" w:ascii="宋体" w:hAnsi="宋体" w:eastAsia="宋体" w:cs="宋体"/>
          <w:color w:val="000000"/>
          <w:sz w:val="21"/>
          <w:szCs w:val="21"/>
          <w:highlight w:val="none"/>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3、我方同意按磋商采购文件中的规定，我方的响应文件有效期限为磋商开始后60天，如果我方在规定的有效期内撤回我方的响应文件，我方的磋商保证金可被贵方没收。</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5、我方愿意遵守磋商采购文件中所列的收费方式。</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7、我方同意我方若无法按约定条款履行义务等行为，采购方有权取消我方的成交资格。</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zh-CN"/>
        </w:rPr>
        <w:t xml:space="preserve">8、我方愿意按磋商采购文件的规定交纳人民币</w:t>
      </w:r>
      <w:r>
        <w:rPr>
          <w:rFonts w:hint="eastAsia" w:ascii="宋体" w:hAnsi="宋体" w:eastAsia="宋体" w:cs="宋体"/>
          <w:color w:val="000000"/>
          <w:sz w:val="21"/>
          <w:szCs w:val="21"/>
          <w:highlight w:val="none"/>
          <w:u w:val="single"/>
          <w:lang w:val="zh-CN"/>
        </w:rPr>
        <w:t xml:space="preserve">  /  </w:t>
      </w:r>
      <w:r>
        <w:rPr>
          <w:rFonts w:hint="eastAsia" w:ascii="宋体" w:hAnsi="宋体" w:eastAsia="宋体" w:cs="宋体"/>
          <w:color w:val="000000"/>
          <w:sz w:val="21"/>
          <w:szCs w:val="21"/>
          <w:highlight w:val="none"/>
          <w:lang w:val="zh-CN"/>
        </w:rPr>
        <w:t xml:space="preserve">元的</w:t>
      </w:r>
      <w:r>
        <w:rPr>
          <w:rFonts w:hint="eastAsia" w:hAnsi="宋体" w:eastAsia="宋体" w:cs="宋体"/>
          <w:color w:val="000000"/>
          <w:sz w:val="21"/>
          <w:szCs w:val="21"/>
          <w:highlight w:val="none"/>
          <w:lang w:val="zh-CN"/>
        </w:rPr>
        <w:t xml:space="preserve">投标（响应）保证金</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、与本磋商有关的通讯地址：</w:t>
      </w:r>
      <w:r>
        <w:rPr>
          <w:rFonts w:hint="eastAsia" w:ascii="宋体" w:hAnsi="宋体" w:eastAsia="宋体" w:cs="宋体"/>
          <w:color w:val="000000"/>
          <w:sz w:val="21"/>
          <w:szCs w:val="21"/>
          <w:highlight w:val="none"/>
        </w:rPr>
      </w:r>
      <w:r/>
    </w:p>
    <w:p>
      <w:pPr>
        <w:pStyle w:val="935"/>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      联系人：</w:t>
      </w:r>
      <w:r>
        <w:rPr>
          <w:rFonts w:hint="eastAsia" w:ascii="宋体" w:hAnsi="宋体" w:eastAsia="宋体" w:cs="宋体"/>
          <w:color w:val="000000"/>
          <w:sz w:val="21"/>
          <w:szCs w:val="21"/>
          <w:highlight w:val="none"/>
          <w:u w:val="single"/>
        </w:rPr>
      </w:r>
      <w:r/>
    </w:p>
    <w:p>
      <w:pPr>
        <w:pStyle w:val="935"/>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邮政编码：</w:t>
      </w:r>
      <w:r>
        <w:rPr>
          <w:rFonts w:hint="eastAsia" w:ascii="宋体" w:hAnsi="宋体" w:eastAsia="宋体" w:cs="宋体"/>
          <w:color w:val="000000"/>
          <w:sz w:val="21"/>
          <w:szCs w:val="21"/>
          <w:highlight w:val="none"/>
          <w:u w:val="single"/>
        </w:rPr>
      </w:r>
      <w:r/>
    </w:p>
    <w:p>
      <w:pPr>
        <w:pStyle w:val="935"/>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   传真：</w:t>
      </w:r>
      <w:r>
        <w:rPr>
          <w:rFonts w:hint="eastAsia" w:ascii="宋体" w:hAnsi="宋体" w:eastAsia="宋体" w:cs="宋体"/>
          <w:color w:val="000000"/>
          <w:sz w:val="21"/>
          <w:szCs w:val="21"/>
          <w:highlight w:val="none"/>
          <w:u w:val="single"/>
        </w:rPr>
      </w:r>
      <w:r/>
    </w:p>
    <w:p>
      <w:pPr>
        <w:pStyle w:val="935"/>
        <w:ind w:firstLine="4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供应商名称：（单位盖章）</w:t>
      </w:r>
      <w:r>
        <w:rPr>
          <w:rFonts w:hint="eastAsia" w:ascii="宋体" w:hAnsi="宋体" w:eastAsia="宋体" w:cs="宋体"/>
          <w:color w:val="000000"/>
          <w:sz w:val="21"/>
          <w:szCs w:val="21"/>
          <w:highlight w:val="none"/>
        </w:rPr>
      </w:r>
      <w:r/>
    </w:p>
    <w:p>
      <w:pPr>
        <w:pStyle w:val="72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供应商法定代表人或授权委托人：（签字或签章）</w:t>
      </w:r>
      <w:r>
        <w:rPr>
          <w:rFonts w:hint="eastAsia" w:ascii="宋体" w:hAnsi="宋体" w:eastAsia="宋体" w:cs="宋体"/>
          <w:color w:val="000000"/>
          <w:sz w:val="21"/>
          <w:szCs w:val="21"/>
          <w:highlight w:val="none"/>
        </w:rPr>
      </w:r>
      <w:r/>
    </w:p>
    <w:p>
      <w:pPr>
        <w:pStyle w:val="722"/>
        <w:ind w:firstLine="630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格式4：</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供应商关于资格的声明函</w:t>
      </w:r>
      <w:r>
        <w:rPr>
          <w:rFonts w:hint="eastAsia" w:ascii="宋体" w:hAnsi="宋体" w:eastAsia="宋体" w:cs="宋体"/>
          <w:b/>
          <w:bCs/>
          <w:color w:val="000000"/>
          <w:sz w:val="21"/>
          <w:szCs w:val="21"/>
          <w:highlight w:val="none"/>
        </w:rPr>
      </w:r>
      <w:r/>
    </w:p>
    <w:p>
      <w:pPr>
        <w:pStyle w:val="722"/>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(采购人或采购代理机构)  </w:t>
      </w:r>
      <w:r>
        <w:rPr>
          <w:rFonts w:hint="eastAsia" w:ascii="宋体" w:hAnsi="宋体" w:eastAsia="宋体" w:cs="宋体"/>
          <w:color w:val="000000"/>
          <w:sz w:val="21"/>
          <w:szCs w:val="21"/>
          <w:highlight w:val="none"/>
        </w:rPr>
      </w:r>
      <w:r/>
    </w:p>
    <w:p>
      <w:pPr>
        <w:pStyle w:val="722"/>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已知晓竞争性磋商文件要求并认真审核自身情况，在此郑重声明，我方具备并满足下列各项条款的规定，并在响应文件中提供真实、完整的资格证明材料。本声明如有虚假或不实之处，我方将失去合格乙方资格。</w:t>
      </w:r>
      <w:r>
        <w:rPr>
          <w:rFonts w:hint="eastAsia" w:ascii="宋体" w:hAnsi="宋体" w:eastAsia="宋体" w:cs="宋体"/>
          <w:color w:val="000000"/>
          <w:sz w:val="21"/>
          <w:szCs w:val="21"/>
          <w:highlight w:val="none"/>
        </w:rPr>
      </w:r>
      <w:r/>
    </w:p>
    <w:tbl>
      <w:tblPr>
        <w:tblW w:w="8520"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gridSpan w:val="2"/>
            <w:tcMar>
              <w:left w:w="105" w:type="dxa"/>
              <w:right w:w="105" w:type="dxa"/>
            </w:tcMar>
            <w:tcW w:w="852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《中华人民共和国政府采购法》第二十二条对乙方的要求</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特定资格要求</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乙方是否知晓并遵守规定做如实声明（是/否）</w:t>
            </w: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企业资质要求（见公告）</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项目经理资格要求（见公告）</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项目经理无在建要求</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乙方应当遵守中国的有关法律、法规和规章的规定，参加政府采购活动时已经自觉检查并按照政府采购相关法律规定，主动回避相应利害关系。</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（4）本项目不接受联合体</w:t>
            </w:r>
            <w:r>
              <w:rPr>
                <w:rFonts w:hint="eastAsia" w:ascii="宋体" w:hAnsi="宋体" w:cs="宋体"/>
                <w:color w:val="000000"/>
                <w:sz w:val="21"/>
                <w:szCs w:val="21"/>
                <w:highlight w:val="none"/>
                <w:lang w:eastAsia="zh-CN"/>
              </w:rPr>
              <w:t xml:space="preserve">投标（响应）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ind w:firstLine="480"/>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2、我方对上述声明的真实性、合法性、准确性、有效性负责，并愿意根据磋商文件和磋商过程中贵方要求提供全部现有资料、数据、文件等予以证实。</w:t>
      </w:r>
      <w:r>
        <w:rPr>
          <w:rFonts w:hint="eastAsia" w:ascii="宋体" w:hAnsi="宋体" w:eastAsia="宋体" w:cs="宋体"/>
          <w:color w:val="000000"/>
          <w:sz w:val="21"/>
          <w:szCs w:val="21"/>
          <w:highlight w:val="none"/>
        </w:rPr>
      </w:r>
      <w:r/>
    </w:p>
    <w:p>
      <w:pPr>
        <w:pStyle w:val="722"/>
        <w:ind w:firstLine="48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8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备注：对于接受联合体形式的磋商且乙方是联合体的，则联合体各成员都应当提交本资格证明文件。</w:t>
      </w:r>
      <w:r>
        <w:rPr>
          <w:rFonts w:hint="eastAsia" w:ascii="宋体" w:hAnsi="宋体" w:eastAsia="宋体" w:cs="宋体"/>
          <w:color w:val="000000"/>
          <w:sz w:val="21"/>
          <w:szCs w:val="21"/>
          <w:highlight w:val="none"/>
        </w:rPr>
      </w:r>
      <w:r/>
    </w:p>
    <w:p>
      <w:pPr>
        <w:pStyle w:val="722"/>
        <w:ind w:firstLine="1560"/>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ind w:firstLine="156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left"/>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格式5：</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法人授权委托书</w:t>
      </w:r>
      <w:r>
        <w:rPr>
          <w:rFonts w:hint="eastAsia" w:ascii="宋体" w:hAnsi="宋体" w:eastAsia="宋体" w:cs="宋体"/>
          <w:b/>
          <w:bCs/>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(采购人或采购代理机构) </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我方的法人代表</w:t>
      </w:r>
      <w:r>
        <w:rPr>
          <w:rFonts w:hint="eastAsia" w:ascii="宋体" w:hAnsi="宋体" w:eastAsia="宋体" w:cs="宋体"/>
          <w:color w:val="000000"/>
          <w:sz w:val="21"/>
          <w:szCs w:val="21"/>
          <w:highlight w:val="none"/>
          <w:u w:val="single"/>
        </w:rPr>
        <w:t xml:space="preserve">（填写“法人代表全名”）</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u w:val="single"/>
        </w:rPr>
        <w:t xml:space="preserve">（填写“授权代表全名”）</w:t>
      </w:r>
      <w:r>
        <w:rPr>
          <w:rFonts w:hint="eastAsia" w:ascii="宋体" w:hAnsi="宋体" w:eastAsia="宋体" w:cs="宋体"/>
          <w:color w:val="000000"/>
          <w:sz w:val="21"/>
          <w:szCs w:val="21"/>
          <w:highlight w:val="none"/>
        </w:rPr>
        <w:t xml:space="preserve">为我方的授权代表，代表我方参加</w:t>
      </w:r>
      <w:r>
        <w:rPr>
          <w:rFonts w:hint="eastAsia" w:ascii="宋体" w:hAnsi="宋体" w:eastAsia="宋体" w:cs="宋体"/>
          <w:color w:val="000000"/>
          <w:sz w:val="21"/>
          <w:szCs w:val="21"/>
          <w:highlight w:val="none"/>
          <w:u w:val="single"/>
        </w:rPr>
        <w:t xml:space="preserve">  （填写“项目名称”）   </w:t>
      </w:r>
      <w:r>
        <w:rPr>
          <w:rFonts w:hint="eastAsia" w:ascii="宋体" w:hAnsi="宋体" w:eastAsia="宋体" w:cs="宋体"/>
          <w:color w:val="000000"/>
          <w:sz w:val="21"/>
          <w:szCs w:val="21"/>
          <w:highlight w:val="none"/>
        </w:rPr>
        <w:t xml:space="preserve">项目（采购编号：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）的响应磋商，全权代表我方处理响应磋商过程的一切事宜。授权代表在响应磋商过程中所签署的一切文件和处理与之有关的一切事务，我方均予以认可并对此承担责任。授权期限自</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至</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授权代表无转委权。特此授权。</w:t>
      </w:r>
      <w:r>
        <w:rPr>
          <w:rFonts w:hint="eastAsia" w:ascii="宋体" w:hAnsi="宋体" w:eastAsia="宋体" w:cs="宋体"/>
          <w:color w:val="000000"/>
          <w:sz w:val="21"/>
          <w:szCs w:val="21"/>
          <w:highlight w:val="none"/>
        </w:rPr>
      </w:r>
      <w:r/>
    </w:p>
    <w:p>
      <w:pPr>
        <w:pStyle w:val="722"/>
        <w:jc w:val="center"/>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授权方</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u w:val="single"/>
        </w:rPr>
        <w:t xml:space="preserve">（全称并加盖单位公章）</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法人代表签字或盖章：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接受授权方</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right"/>
        <w:spacing w:before="75" w:after="75" w:line="36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jc w:val="left"/>
        <w:spacing w:before="75" w:after="75" w:line="36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0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附：法人代表、授权代表的身份证正反面复印件</w:t>
      </w:r>
      <w:r>
        <w:rPr>
          <w:rFonts w:hint="eastAsia" w:ascii="宋体" w:hAnsi="宋体" w:eastAsia="宋体" w:cs="宋体"/>
          <w:color w:val="000000"/>
          <w:sz w:val="21"/>
          <w:szCs w:val="21"/>
          <w:highlight w:val="none"/>
        </w:rPr>
      </w:r>
      <w:r/>
    </w:p>
    <w:tbl>
      <w:tblPr>
        <w:tblW w:w="8565"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right w:w="105" w:type="dxa"/>
            </w:tcMar>
            <w:tcW w:w="8565" w:type="dxa"/>
            <w:vAlign w:val="center"/>
            <w:textDirection w:val="lrTb"/>
            <w:noWrap w:val="false"/>
          </w:tcPr>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要求：真实、有效、清晰</w:t>
            </w:r>
            <w:r>
              <w:rPr>
                <w:rFonts w:hint="eastAsia" w:ascii="宋体" w:hAnsi="宋体" w:eastAsia="宋体" w:cs="宋体"/>
                <w:color w:val="000000"/>
                <w:sz w:val="21"/>
                <w:szCs w:val="21"/>
                <w:highlight w:val="none"/>
              </w:rPr>
            </w:r>
            <w:r/>
          </w:p>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格式6：</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t xml:space="preserve">供应商情况表</w:t>
      </w:r>
      <w:r>
        <w:rPr>
          <w:rFonts w:hint="eastAsia" w:ascii="宋体" w:hAnsi="宋体" w:eastAsia="宋体" w:cs="宋体"/>
          <w:b/>
          <w:bCs/>
          <w:color w:val="000000"/>
          <w:spacing w:val="20"/>
          <w:sz w:val="21"/>
          <w:szCs w:val="21"/>
          <w:highlight w:val="none"/>
        </w:rPr>
      </w:r>
      <w:r/>
    </w:p>
    <w:p>
      <w:pPr>
        <w:pStyle w:val="722"/>
        <w:ind w:right="250"/>
        <w:jc w:val="right"/>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月</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日</w:t>
      </w:r>
      <w:r>
        <w:rPr>
          <w:rFonts w:hint="eastAsia" w:ascii="宋体" w:hAnsi="宋体" w:eastAsia="宋体" w:cs="宋体"/>
          <w:color w:val="000000"/>
          <w:spacing w:val="20"/>
          <w:sz w:val="21"/>
          <w:szCs w:val="21"/>
          <w:highlight w:val="none"/>
        </w:rPr>
      </w:r>
      <w:r/>
    </w:p>
    <w:tbl>
      <w:tblPr>
        <w:tblW w:w="8986"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73"/>
        <w:gridCol w:w="528"/>
        <w:gridCol w:w="1257"/>
        <w:gridCol w:w="1011"/>
        <w:gridCol w:w="564"/>
        <w:gridCol w:w="746"/>
        <w:gridCol w:w="1384"/>
        <w:gridCol w:w="611"/>
        <w:gridCol w:w="245"/>
        <w:gridCol w:w="1467"/>
      </w:tblGrid>
      <w:tr>
        <w:trPr>
          <w:trHeight w:val="1040"/>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单位名称</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（盖章）</w:t>
            </w:r>
            <w:r>
              <w:rPr>
                <w:rFonts w:hint="eastAsia" w:ascii="宋体" w:hAnsi="宋体" w:eastAsia="宋体" w:cs="宋体"/>
                <w:color w:val="000000"/>
                <w:spacing w:val="20"/>
                <w:sz w:val="21"/>
                <w:szCs w:val="21"/>
                <w:highlight w:val="none"/>
              </w:rPr>
            </w:r>
            <w:r/>
          </w:p>
        </w:tc>
        <w:tc>
          <w:tcPr>
            <w:gridSpan w:val="2"/>
            <w:tcW w:w="2268"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1310"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注册号</w:t>
            </w:r>
            <w:r>
              <w:rPr>
                <w:rFonts w:hint="eastAsia" w:ascii="宋体" w:hAnsi="宋体" w:eastAsia="宋体" w:cs="宋体"/>
                <w:color w:val="000000"/>
                <w:spacing w:val="20"/>
                <w:sz w:val="21"/>
                <w:szCs w:val="21"/>
                <w:highlight w:val="none"/>
              </w:rPr>
            </w:r>
            <w:r/>
          </w:p>
        </w:tc>
        <w:tc>
          <w:tcPr>
            <w:tcW w:w="1384"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856"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电话</w:t>
            </w:r>
            <w:r>
              <w:rPr>
                <w:rFonts w:hint="eastAsia" w:ascii="宋体" w:hAnsi="宋体" w:eastAsia="宋体" w:cs="宋体"/>
                <w:color w:val="000000"/>
                <w:spacing w:val="20"/>
                <w:sz w:val="21"/>
                <w:szCs w:val="21"/>
                <w:highlight w:val="none"/>
              </w:rPr>
            </w:r>
            <w:r/>
          </w:p>
        </w:tc>
        <w:tc>
          <w:tcPr>
            <w:tcW w:w="1467"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917"/>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企业地址</w:t>
            </w:r>
            <w:r>
              <w:rPr>
                <w:rFonts w:hint="eastAsia" w:ascii="宋体" w:hAnsi="宋体" w:eastAsia="宋体" w:cs="宋体"/>
                <w:color w:val="000000"/>
                <w:spacing w:val="20"/>
                <w:sz w:val="21"/>
                <w:szCs w:val="21"/>
                <w:highlight w:val="none"/>
              </w:rPr>
            </w:r>
            <w:r/>
          </w:p>
        </w:tc>
        <w:tc>
          <w:tcPr>
            <w:gridSpan w:val="2"/>
            <w:tcW w:w="2268"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1310"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注册资金</w:t>
            </w:r>
            <w:r>
              <w:rPr>
                <w:rFonts w:hint="eastAsia" w:ascii="宋体" w:hAnsi="宋体" w:eastAsia="宋体" w:cs="宋体"/>
                <w:color w:val="000000"/>
                <w:spacing w:val="20"/>
                <w:sz w:val="21"/>
                <w:szCs w:val="21"/>
                <w:highlight w:val="none"/>
              </w:rPr>
            </w:r>
            <w:r/>
          </w:p>
        </w:tc>
        <w:tc>
          <w:tcPr>
            <w:tcW w:w="1384"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856"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传真</w:t>
            </w:r>
            <w:r>
              <w:rPr>
                <w:rFonts w:hint="eastAsia" w:ascii="宋体" w:hAnsi="宋体" w:eastAsia="宋体" w:cs="宋体"/>
                <w:color w:val="000000"/>
                <w:spacing w:val="20"/>
                <w:sz w:val="21"/>
                <w:szCs w:val="21"/>
                <w:highlight w:val="none"/>
              </w:rPr>
            </w:r>
            <w:r/>
          </w:p>
        </w:tc>
        <w:tc>
          <w:tcPr>
            <w:tcW w:w="1467"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791"/>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一、单位简历及机构</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821"/>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二、单位优势及特长</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cantSplit/>
          <w:trHeight w:val="919"/>
        </w:trPr>
        <w:tc>
          <w:tcPr>
            <w:tcW w:w="1173" w:type="dxa"/>
            <w:vAlign w:val="center"/>
            <w:vMerge w:val="restart"/>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三、单</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位</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概</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况</w:t>
            </w:r>
            <w:r>
              <w:rPr>
                <w:rFonts w:hint="eastAsia" w:ascii="宋体" w:hAnsi="宋体" w:eastAsia="宋体" w:cs="宋体"/>
                <w:color w:val="000000"/>
                <w:spacing w:val="20"/>
                <w:sz w:val="21"/>
                <w:szCs w:val="21"/>
                <w:highlight w:val="none"/>
              </w:rPr>
            </w:r>
            <w:r/>
          </w:p>
        </w:tc>
        <w:tc>
          <w:tcPr>
            <w:gridSpan w:val="2"/>
            <w:tcW w:w="17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职工总数</w:t>
            </w:r>
            <w:r>
              <w:rPr>
                <w:rFonts w:hint="eastAsia" w:ascii="宋体" w:hAnsi="宋体" w:eastAsia="宋体" w:cs="宋体"/>
                <w:color w:val="000000"/>
                <w:spacing w:val="20"/>
                <w:sz w:val="21"/>
                <w:szCs w:val="21"/>
                <w:highlight w:val="none"/>
              </w:rPr>
            </w:r>
            <w:r/>
          </w:p>
        </w:tc>
        <w:tc>
          <w:tcPr>
            <w:gridSpan w:val="2"/>
            <w:tcW w:w="157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3"/>
            <w:tcW w:w="274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其中：中级职称人员</w:t>
            </w:r>
            <w:r>
              <w:rPr>
                <w:rFonts w:hint="eastAsia" w:ascii="宋体" w:hAnsi="宋体" w:eastAsia="宋体" w:cs="宋体"/>
                <w:color w:val="000000"/>
                <w:spacing w:val="20"/>
                <w:sz w:val="21"/>
                <w:szCs w:val="21"/>
                <w:highlight w:val="none"/>
              </w:rPr>
            </w:r>
            <w:r/>
          </w:p>
        </w:tc>
        <w:tc>
          <w:tcPr>
            <w:gridSpan w:val="2"/>
            <w:tcW w:w="1712"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cantSplit/>
          <w:trHeight w:val="931"/>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资产总计：</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 资产净值：</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 股东权益：</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tc>
      </w:tr>
      <w:tr>
        <w:trPr>
          <w:cantSplit/>
          <w:trHeight w:val="609"/>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营业面积（含厂房面积）：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t xml:space="preserve">，其中  产权：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t xml:space="preserve">，租：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r>
            <w:r/>
          </w:p>
        </w:tc>
      </w:tr>
      <w:tr>
        <w:trPr>
          <w:cantSplit/>
          <w:trHeight w:val="913"/>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销（零）售额：202</w:t>
            </w:r>
            <w:r>
              <w:rPr>
                <w:rFonts w:hint="eastAsia" w:ascii="宋体" w:hAnsi="宋体" w:cs="宋体"/>
                <w:color w:val="000000"/>
                <w:spacing w:val="20"/>
                <w:sz w:val="21"/>
                <w:szCs w:val="21"/>
                <w:highlight w:val="none"/>
                <w:lang w:val="en-US" w:eastAsia="zh-CN"/>
              </w:rPr>
              <w:t xml:space="preserve">4</w:t>
            </w: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销（零）售额：202</w:t>
            </w:r>
            <w:r>
              <w:rPr>
                <w:rFonts w:hint="eastAsia" w:ascii="宋体" w:hAnsi="宋体" w:cs="宋体"/>
                <w:color w:val="000000"/>
                <w:spacing w:val="20"/>
                <w:sz w:val="21"/>
                <w:szCs w:val="21"/>
                <w:highlight w:val="none"/>
                <w:lang w:val="en-US" w:eastAsia="zh-CN"/>
              </w:rPr>
              <w:t xml:space="preserve">5</w:t>
            </w: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tc>
      </w:tr>
      <w:tr>
        <w:trPr>
          <w:cantSplit/>
          <w:trHeight w:val="952"/>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实现利润：202</w:t>
            </w:r>
            <w:r>
              <w:rPr>
                <w:rFonts w:hint="eastAsia" w:ascii="宋体" w:hAnsi="宋体" w:cs="宋体"/>
                <w:color w:val="000000"/>
                <w:spacing w:val="20"/>
                <w:sz w:val="21"/>
                <w:szCs w:val="21"/>
                <w:highlight w:val="none"/>
                <w:lang w:val="en-US" w:eastAsia="zh-CN"/>
              </w:rPr>
              <w:t xml:space="preserve">4</w:t>
            </w:r>
            <w:r>
              <w:rPr>
                <w:rFonts w:hint="eastAsia" w:ascii="宋体" w:hAnsi="宋体" w:eastAsia="宋体" w:cs="宋体"/>
                <w:color w:val="000000"/>
                <w:spacing w:val="20"/>
                <w:sz w:val="21"/>
                <w:szCs w:val="21"/>
                <w:highlight w:val="none"/>
              </w:rPr>
              <w:t xml:space="preserve">年  </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实现利润：202</w:t>
            </w:r>
            <w:r>
              <w:rPr>
                <w:rFonts w:hint="eastAsia" w:ascii="宋体" w:hAnsi="宋体" w:cs="宋体"/>
                <w:color w:val="000000"/>
                <w:spacing w:val="20"/>
                <w:sz w:val="21"/>
                <w:szCs w:val="21"/>
                <w:highlight w:val="none"/>
                <w:lang w:val="en-US" w:eastAsia="zh-CN"/>
              </w:rPr>
              <w:t xml:space="preserve">5</w:t>
            </w:r>
            <w:r>
              <w:rPr>
                <w:rFonts w:hint="eastAsia" w:ascii="宋体" w:hAnsi="宋体" w:eastAsia="宋体" w:cs="宋体"/>
                <w:color w:val="000000"/>
                <w:spacing w:val="20"/>
                <w:sz w:val="21"/>
                <w:szCs w:val="21"/>
                <w:highlight w:val="none"/>
              </w:rPr>
              <w:t xml:space="preserve">年 </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 万元；</w:t>
            </w:r>
            <w:r>
              <w:rPr>
                <w:rFonts w:hint="eastAsia" w:ascii="宋体" w:hAnsi="宋体" w:eastAsia="宋体" w:cs="宋体"/>
                <w:color w:val="000000"/>
                <w:spacing w:val="20"/>
                <w:sz w:val="21"/>
                <w:szCs w:val="21"/>
                <w:highlight w:val="none"/>
              </w:rPr>
            </w:r>
            <w:r/>
          </w:p>
        </w:tc>
      </w:tr>
      <w:tr>
        <w:trPr>
          <w:cantSplit/>
          <w:trHeight w:val="355"/>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restart"/>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主</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要</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业绩</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1</w:t>
            </w:r>
            <w:r>
              <w:rPr>
                <w:rFonts w:hint="eastAsia" w:ascii="宋体" w:hAnsi="宋体" w:eastAsia="宋体" w:cs="宋体"/>
                <w:color w:val="000000"/>
                <w:spacing w:val="20"/>
                <w:sz w:val="21"/>
                <w:szCs w:val="21"/>
                <w:highlight w:val="none"/>
              </w:rPr>
            </w:r>
            <w:r/>
          </w:p>
        </w:tc>
      </w:tr>
      <w:tr>
        <w:trPr>
          <w:cantSplit/>
          <w:trHeight w:val="421"/>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2</w:t>
            </w:r>
            <w:r>
              <w:rPr>
                <w:rFonts w:hint="eastAsia" w:ascii="宋体" w:hAnsi="宋体" w:eastAsia="宋体" w:cs="宋体"/>
                <w:color w:val="000000"/>
                <w:spacing w:val="20"/>
                <w:sz w:val="21"/>
                <w:szCs w:val="21"/>
                <w:highlight w:val="none"/>
              </w:rPr>
            </w:r>
            <w:r/>
          </w:p>
        </w:tc>
      </w:tr>
      <w:tr>
        <w:trPr>
          <w:cantSplit/>
          <w:trHeight w:val="614"/>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3</w:t>
            </w:r>
            <w:r>
              <w:rPr>
                <w:rFonts w:hint="eastAsia" w:ascii="宋体" w:hAnsi="宋体" w:eastAsia="宋体" w:cs="宋体"/>
                <w:color w:val="000000"/>
                <w:spacing w:val="20"/>
                <w:sz w:val="21"/>
                <w:szCs w:val="21"/>
                <w:highlight w:val="none"/>
              </w:rPr>
            </w:r>
            <w:r/>
          </w:p>
        </w:tc>
      </w:tr>
    </w:tbl>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格式7：</w:t>
      </w:r>
      <w:r>
        <w:rPr>
          <w:rFonts w:hint="eastAsia" w:ascii="宋体" w:hAnsi="宋体" w:eastAsia="宋体" w:cs="宋体"/>
          <w:bCs/>
          <w:color w:val="000000"/>
          <w:sz w:val="21"/>
          <w:szCs w:val="21"/>
          <w:highlight w:val="none"/>
        </w:rPr>
        <w:t xml:space="preserve">偏离表</w:t>
      </w:r>
      <w:r>
        <w:rPr>
          <w:rFonts w:hint="eastAsia" w:ascii="宋体" w:hAnsi="宋体" w:eastAsia="宋体" w:cs="宋体"/>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（服务内容、服务要求）偏离表</w:t>
      </w:r>
      <w:r>
        <w:rPr>
          <w:rFonts w:hint="eastAsia" w:ascii="宋体" w:hAnsi="宋体" w:eastAsia="宋体" w:cs="宋体"/>
          <w:bCs/>
          <w:color w:val="000000"/>
          <w:sz w:val="21"/>
          <w:szCs w:val="21"/>
          <w:highlight w:val="none"/>
        </w:rPr>
      </w:r>
      <w:r/>
    </w:p>
    <w:p>
      <w:pPr>
        <w:pStyle w:val="722"/>
        <w:jc w:val="center"/>
        <w:spacing w:line="360" w:lineRule="auto"/>
        <w:rPr>
          <w:rFonts w:hint="eastAsia" w:ascii="宋体" w:hAnsi="宋体" w:eastAsia="宋体" w:cs="宋体"/>
          <w:bCs/>
          <w:color w:val="000000"/>
          <w:spacing w:val="20"/>
          <w:sz w:val="21"/>
          <w:szCs w:val="21"/>
          <w:highlight w:val="none"/>
        </w:rPr>
      </w:pPr>
      <w:r>
        <w:rPr>
          <w:rFonts w:hint="eastAsia" w:ascii="宋体" w:hAnsi="宋体" w:eastAsia="宋体" w:cs="宋体"/>
          <w:bCs/>
          <w:color w:val="000000"/>
          <w:sz w:val="21"/>
          <w:szCs w:val="21"/>
          <w:highlight w:val="none"/>
        </w:rPr>
        <w:t xml:space="preserve">响应人</w:t>
      </w:r>
      <w:r>
        <w:rPr>
          <w:rFonts w:hint="eastAsia" w:ascii="宋体" w:hAnsi="宋体" w:eastAsia="宋体" w:cs="宋体"/>
          <w:bCs/>
          <w:color w:val="000000"/>
          <w:sz w:val="21"/>
          <w:szCs w:val="21"/>
          <w:highlight w:val="none"/>
          <w:lang w:val="zh-CN"/>
        </w:rPr>
        <w:t xml:space="preserve">：               采购编号：</w:t>
      </w:r>
      <w:r>
        <w:rPr>
          <w:rFonts w:hint="eastAsia" w:ascii="宋体" w:hAnsi="宋体" w:eastAsia="宋体" w:cs="宋体"/>
          <w:bCs/>
          <w:color w:val="000000"/>
          <w:spacing w:val="20"/>
          <w:sz w:val="21"/>
          <w:szCs w:val="21"/>
          <w:highlight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683" w:type="dxa"/>
            <w:vAlign w:val="center"/>
            <w:textDirection w:val="lrTb"/>
            <w:noWrap w:val="false"/>
          </w:tcPr>
          <w:p>
            <w:pPr>
              <w:pStyle w:val="722"/>
              <w:ind w:left="54"/>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采购文件条目号</w:t>
            </w:r>
            <w:r>
              <w:rPr>
                <w:rFonts w:hint="eastAsia" w:ascii="宋体" w:hAnsi="宋体" w:eastAsia="宋体" w:cs="宋体"/>
                <w:bCs/>
                <w:color w:val="000000"/>
                <w:sz w:val="21"/>
                <w:szCs w:val="21"/>
                <w:highlight w:val="none"/>
              </w:rPr>
            </w:r>
            <w:r/>
          </w:p>
        </w:tc>
        <w:tc>
          <w:tcPr>
            <w:tcW w:w="2051"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采购要求</w:t>
            </w:r>
            <w:r>
              <w:rPr>
                <w:rFonts w:hint="eastAsia" w:ascii="宋体" w:hAnsi="宋体" w:eastAsia="宋体" w:cs="宋体"/>
                <w:bCs/>
                <w:color w:val="000000"/>
                <w:sz w:val="21"/>
                <w:szCs w:val="21"/>
                <w:highlight w:val="none"/>
              </w:rPr>
            </w:r>
            <w:r/>
          </w:p>
        </w:tc>
        <w:tc>
          <w:tcPr>
            <w:tcW w:w="2052"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采购情况</w:t>
            </w:r>
            <w:r>
              <w:rPr>
                <w:rFonts w:hint="eastAsia" w:ascii="宋体" w:hAnsi="宋体" w:eastAsia="宋体" w:cs="宋体"/>
                <w:bCs/>
                <w:color w:val="000000"/>
                <w:sz w:val="21"/>
                <w:szCs w:val="21"/>
                <w:highlight w:val="none"/>
              </w:rPr>
            </w:r>
            <w:r/>
          </w:p>
        </w:tc>
        <w:tc>
          <w:tcPr>
            <w:tcW w:w="2052"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偏离说明</w:t>
            </w: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72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供应商：（公章）</w:t>
      </w:r>
      <w:r>
        <w:rPr>
          <w:rFonts w:hint="eastAsia" w:ascii="宋体" w:hAnsi="宋体" w:eastAsia="宋体" w:cs="宋体"/>
          <w:bCs/>
          <w:color w:val="000000"/>
          <w:sz w:val="21"/>
          <w:szCs w:val="21"/>
          <w:highlight w:val="none"/>
        </w:rPr>
      </w:r>
      <w:r/>
    </w:p>
    <w:p>
      <w:pPr>
        <w:pStyle w:val="72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72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注：</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供应商须在响应文件中将实际响应内容与采购文件技术、商务部分的要求逐项对应列出，并在“偏离说明”项下填写以下内容：优于的，填写“正偏离”；符合的，填写“无偏离”；低于的，填写“负偏离”。</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lang w:val="zh-CN"/>
        </w:rPr>
      </w:pPr>
      <w:r/>
      <w:bookmarkStart w:id="2" w:name="_Toc15828"/>
      <w:r/>
      <w:bookmarkStart w:id="3" w:name="_Toc24162"/>
      <w:r/>
      <w:bookmarkStart w:id="4" w:name="_Toc22194"/>
      <w:r/>
      <w:bookmarkStart w:id="5" w:name="_Toc25405"/>
      <w:r/>
      <w:bookmarkStart w:id="6" w:name="_Toc12760"/>
      <w:r/>
      <w:bookmarkStart w:id="7" w:name="_Toc28861"/>
      <w:r/>
      <w:bookmarkStart w:id="8" w:name="_Toc7997"/>
      <w:r/>
      <w:bookmarkStart w:id="9" w:name="_Toc492451941"/>
      <w:r/>
      <w:bookmarkStart w:id="10" w:name="_Toc424289703"/>
      <w:r/>
      <w:bookmarkStart w:id="11" w:name="_Toc16394"/>
      <w:r>
        <w:rPr>
          <w:rFonts w:hint="eastAsia" w:ascii="宋体" w:hAnsi="宋体" w:eastAsia="宋体" w:cs="宋体"/>
          <w:color w:val="000000"/>
          <w:sz w:val="21"/>
          <w:szCs w:val="21"/>
          <w:highlight w:val="none"/>
          <w:lang w:val="zh-CN"/>
        </w:rPr>
        <w:t xml:space="preserve">2.若事项较多，供应商可根据响应内容的实际情况另纸说明。</w:t>
      </w:r>
      <w:bookmarkEnd w:id="2"/>
      <w:r/>
      <w:bookmarkEnd w:id="3"/>
      <w:r/>
      <w:bookmarkEnd w:id="4"/>
      <w:r/>
      <w:bookmarkEnd w:id="5"/>
      <w:r/>
      <w:bookmarkEnd w:id="6"/>
      <w:r/>
      <w:bookmarkEnd w:id="7"/>
      <w:r/>
      <w:bookmarkEnd w:id="8"/>
      <w:r/>
      <w:bookmarkEnd w:id="9"/>
      <w:r/>
      <w:bookmarkEnd w:id="10"/>
      <w:r/>
      <w:bookmarkEnd w:id="11"/>
      <w:r>
        <w:rPr>
          <w:rFonts w:hint="eastAsia" w:ascii="宋体" w:hAnsi="宋体" w:eastAsia="宋体" w:cs="宋体"/>
          <w:color w:val="000000"/>
          <w:sz w:val="21"/>
          <w:szCs w:val="21"/>
          <w:highlight w:val="none"/>
          <w:lang w:val="zh-CN"/>
        </w:rPr>
      </w:r>
      <w:r/>
    </w:p>
    <w:p>
      <w:pPr>
        <w:pStyle w:val="722"/>
        <w:jc w:val="left"/>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格式8：</w:t>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投入本项目人员一览表</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（1）拟投入本项目经理资历表</w:t>
      </w:r>
      <w:r>
        <w:rPr>
          <w:rFonts w:hint="eastAsia" w:ascii="宋体" w:hAnsi="宋体" w:eastAsia="宋体" w:cs="宋体"/>
          <w:b/>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r>
      <w:r/>
    </w:p>
    <w:tbl>
      <w:tblPr>
        <w:tblW w:w="922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2102"/>
        <w:gridCol w:w="896"/>
        <w:gridCol w:w="1088"/>
        <w:gridCol w:w="1106"/>
        <w:gridCol w:w="1281"/>
        <w:gridCol w:w="1855"/>
      </w:tblGrid>
      <w:tr>
        <w:trPr>
          <w:cantSplit/>
          <w:trHeight w:val="608"/>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10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rPr>
            </w:r>
            <w:r/>
          </w:p>
        </w:tc>
        <w:tc>
          <w:tcPr>
            <w:gridSpan w:val="2"/>
            <w:tcW w:w="1984"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6"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   别</w:t>
            </w:r>
            <w:r>
              <w:rPr>
                <w:rFonts w:hint="eastAsia" w:ascii="宋体" w:hAnsi="宋体" w:eastAsia="宋体" w:cs="宋体"/>
                <w:color w:val="000000"/>
                <w:sz w:val="21"/>
                <w:szCs w:val="21"/>
                <w:highlight w:val="none"/>
              </w:rPr>
            </w:r>
            <w:r/>
          </w:p>
        </w:tc>
        <w:tc>
          <w:tcPr>
            <w:gridSpan w:val="2"/>
            <w:tcW w:w="3136"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10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身份证号码</w:t>
            </w:r>
            <w:r>
              <w:rPr>
                <w:rFonts w:hint="eastAsia" w:ascii="宋体" w:hAnsi="宋体" w:eastAsia="宋体" w:cs="宋体"/>
                <w:color w:val="000000"/>
                <w:sz w:val="21"/>
                <w:szCs w:val="21"/>
                <w:highlight w:val="none"/>
              </w:rPr>
            </w:r>
            <w:r/>
          </w:p>
        </w:tc>
        <w:tc>
          <w:tcPr>
            <w:gridSpan w:val="3"/>
            <w:tcW w:w="3090"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1" w:type="dxa"/>
            <w:vAlign w:val="center"/>
            <w:textDirection w:val="lrTb"/>
            <w:noWrap w:val="false"/>
          </w:tcPr>
          <w:p>
            <w:pPr>
              <w:pStyle w:val="7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出生年月</w:t>
            </w: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w:t>
            </w:r>
            <w:r>
              <w:rPr>
                <w:rFonts w:hint="eastAsia" w:ascii="宋体" w:hAnsi="宋体" w:eastAsia="宋体" w:cs="宋体"/>
                <w:color w:val="000000"/>
                <w:sz w:val="21"/>
                <w:szCs w:val="21"/>
                <w:highlight w:val="none"/>
              </w:rPr>
            </w:r>
            <w:r/>
          </w:p>
        </w:tc>
      </w:tr>
      <w:tr>
        <w:trPr>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W w:w="2998"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2194"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gridSpan w:val="2"/>
            <w:tcW w:w="3136"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r>
      <w:tr>
        <w:trPr>
          <w:cantSplit/>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6"/>
            <w:tcW w:w="832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建造师注册证书等级、专业类别、注册证编号：</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B类证编号：</w:t>
            </w:r>
            <w:r>
              <w:rPr>
                <w:rFonts w:hint="eastAsia" w:ascii="宋体" w:hAnsi="宋体" w:eastAsia="宋体" w:cs="宋体"/>
                <w:color w:val="000000"/>
                <w:sz w:val="21"/>
                <w:szCs w:val="21"/>
                <w:highlight w:val="none"/>
              </w:rPr>
            </w:r>
            <w:r/>
          </w:p>
        </w:tc>
      </w:tr>
      <w:tr>
        <w:trPr>
          <w:cantSplit/>
          <w:trHeight w:val="1319"/>
        </w:trPr>
        <w:tc>
          <w:tcPr>
            <w:tcW w:w="892" w:type="dxa"/>
            <w:vAlign w:val="center"/>
            <w:textDirection w:val="lrTb"/>
            <w:noWrap w:val="false"/>
          </w:tcPr>
          <w:p>
            <w:pPr>
              <w:pStyle w:val="722"/>
              <w:ind w:left="-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6"/>
            <w:tcW w:w="8328" w:type="dxa"/>
            <w:vAlign w:val="top"/>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曾获得的奖励情况：</w:t>
            </w:r>
            <w:r>
              <w:rPr>
                <w:rFonts w:hint="eastAsia" w:ascii="宋体" w:hAnsi="宋体" w:eastAsia="宋体" w:cs="宋体"/>
                <w:color w:val="000000"/>
                <w:sz w:val="21"/>
                <w:szCs w:val="21"/>
                <w:highlight w:val="none"/>
              </w:rPr>
            </w:r>
            <w:r/>
          </w:p>
        </w:tc>
      </w:tr>
      <w:tr>
        <w:trPr>
          <w:trHeight w:val="1871"/>
        </w:trPr>
        <w:tc>
          <w:tcPr>
            <w:tcW w:w="892" w:type="dxa"/>
            <w:vAlign w:val="center"/>
            <w:textDirection w:val="lrTb"/>
            <w:noWrap w:val="false"/>
          </w:tcPr>
          <w:p>
            <w:pPr>
              <w:pStyle w:val="722"/>
              <w:ind w:left="-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6"/>
            <w:tcW w:w="8328" w:type="dxa"/>
            <w:vAlign w:val="top"/>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注：后附相关证明材料；</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r>
      <w:r/>
    </w:p>
    <w:p>
      <w:pPr>
        <w:pStyle w:val="722"/>
        <w:jc w:val="left"/>
        <w:spacing w:after="0" w:line="240" w:lineRule="auto"/>
        <w:widowControl/>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br w:type="page" w:clear="all"/>
      </w:r>
      <w:r>
        <w:rPr>
          <w:rFonts w:hint="eastAsia" w:ascii="宋体" w:hAnsi="宋体" w:eastAsia="宋体" w:cs="宋体"/>
          <w:b/>
          <w:bCs/>
          <w:color w:val="000000"/>
          <w:spacing w:val="20"/>
          <w:sz w:val="21"/>
          <w:szCs w:val="21"/>
          <w:highlight w:val="none"/>
        </w:rPr>
      </w:r>
      <w:r/>
    </w:p>
    <w:p>
      <w:pPr>
        <w:pStyle w:val="722"/>
        <w:jc w:val="center"/>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t xml:space="preserve">（2）项目组成员信息表</w:t>
      </w:r>
      <w:r>
        <w:rPr>
          <w:rFonts w:hint="eastAsia" w:ascii="宋体" w:hAnsi="宋体" w:eastAsia="宋体" w:cs="宋体"/>
          <w:b/>
          <w:bCs/>
          <w:color w:val="000000"/>
          <w:spacing w:val="20"/>
          <w:sz w:val="21"/>
          <w:szCs w:val="21"/>
          <w:highlight w:val="none"/>
        </w:rPr>
      </w:r>
      <w:r/>
    </w:p>
    <w:tbl>
      <w:tblPr>
        <w:tblW w:w="6896" w:type="dxa"/>
        <w:tblInd w:w="9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42"/>
        <w:gridCol w:w="1711"/>
        <w:gridCol w:w="1760"/>
        <w:gridCol w:w="1652"/>
      </w:tblGrid>
      <w:tr>
        <w:trPr>
          <w:trHeight w:val="840"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年龄（身份证号）</w:t>
            </w: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岗位</w:t>
            </w:r>
            <w:r>
              <w:rPr>
                <w:rFonts w:hint="eastAsia" w:ascii="宋体" w:hAnsi="宋体" w:eastAsia="宋体" w:cs="宋体"/>
                <w:color w:val="000000"/>
                <w:sz w:val="21"/>
                <w:szCs w:val="21"/>
                <w:highlight w:val="none"/>
              </w:rPr>
            </w:r>
            <w:r/>
          </w:p>
        </w:tc>
        <w:tc>
          <w:tcPr>
            <w:tcW w:w="1652" w:type="dxa"/>
            <w:vAlign w:val="center"/>
            <w:textDirection w:val="lrTb"/>
            <w:noWrap w:val="false"/>
          </w:tcPr>
          <w:p>
            <w:pPr>
              <w:pStyle w:val="722"/>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填表说明：</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1、后附相关证明材料；</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2、行数不够自行添加。</w:t>
      </w:r>
      <w:r>
        <w:rPr>
          <w:rFonts w:hint="eastAsia" w:ascii="宋体" w:hAnsi="宋体" w:eastAsia="宋体" w:cs="宋体"/>
          <w:color w:val="000000"/>
          <w:sz w:val="21"/>
          <w:szCs w:val="21"/>
          <w:highlight w:val="none"/>
        </w:rPr>
      </w:r>
      <w:r/>
    </w:p>
    <w:p>
      <w:pPr>
        <w:pStyle w:val="722"/>
        <w:ind w:left="1170" w:hanging="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响应单位：（盖章）</w:t>
      </w:r>
      <w:r>
        <w:rPr>
          <w:rFonts w:hint="eastAsia" w:ascii="宋体" w:hAnsi="宋体" w:eastAsia="宋体" w:cs="宋体"/>
          <w:color w:val="000000"/>
          <w:sz w:val="21"/>
          <w:szCs w:val="21"/>
          <w:highlight w:val="none"/>
        </w:rPr>
      </w:r>
      <w:r/>
    </w:p>
    <w:p>
      <w:pPr>
        <w:pStyle w:val="722"/>
        <w:ind w:left="382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法定代表人或授权委托人：（签字或盖章）</w:t>
      </w:r>
      <w:r>
        <w:rPr>
          <w:rFonts w:hint="eastAsia" w:ascii="宋体" w:hAnsi="宋体" w:eastAsia="宋体" w:cs="宋体"/>
          <w:color w:val="000000"/>
          <w:sz w:val="21"/>
          <w:szCs w:val="21"/>
          <w:highlight w:val="none"/>
        </w:rPr>
      </w:r>
      <w:r/>
    </w:p>
    <w:p>
      <w:pPr>
        <w:pStyle w:val="722"/>
        <w:ind w:firstLine="441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格式9：类似业绩一览表</w:t>
      </w:r>
      <w:r>
        <w:rPr>
          <w:rFonts w:hint="eastAsia" w:ascii="宋体" w:hAnsi="宋体" w:eastAsia="宋体" w:cs="宋体"/>
          <w:color w:val="000000"/>
          <w:sz w:val="21"/>
          <w:szCs w:val="21"/>
          <w:highlight w:val="none"/>
        </w:rPr>
      </w:r>
      <w:r/>
    </w:p>
    <w:p>
      <w:pPr>
        <w:pStyle w:val="722"/>
        <w:jc w:val="center"/>
        <w:spacing w:before="25" w:after="25"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类似业绩一览表</w:t>
      </w:r>
      <w:r>
        <w:rPr>
          <w:rFonts w:hint="eastAsia" w:ascii="宋体" w:hAnsi="宋体" w:eastAsia="宋体" w:cs="宋体"/>
          <w:b/>
          <w:color w:val="000000"/>
          <w:sz w:val="21"/>
          <w:szCs w:val="21"/>
          <w:highlight w:val="none"/>
        </w:rPr>
      </w:r>
      <w:r/>
    </w:p>
    <w:tbl>
      <w:tblPr>
        <w:tblW w:w="9639"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85"/>
        <w:gridCol w:w="1683"/>
        <w:gridCol w:w="1683"/>
        <w:gridCol w:w="2279"/>
        <w:gridCol w:w="1694"/>
        <w:gridCol w:w="1315"/>
      </w:tblGrid>
      <w:tr>
        <w:trPr>
          <w:cantSplit/>
          <w:trHeight w:val="161"/>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主要内容</w:t>
            </w: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合同签订时间</w:t>
            </w: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响应单位：（单位盖章）</w:t>
      </w:r>
      <w:r>
        <w:rPr>
          <w:rFonts w:hint="eastAsia" w:ascii="宋体" w:hAnsi="宋体" w:eastAsia="宋体" w:cs="宋体"/>
          <w:color w:val="000000"/>
          <w:sz w:val="21"/>
          <w:szCs w:val="21"/>
          <w:highlight w:val="none"/>
        </w:rPr>
      </w:r>
      <w:r/>
    </w:p>
    <w:p>
      <w:pPr>
        <w:pStyle w:val="72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法定代表人或代理人：（签字或盖章）</w:t>
      </w:r>
      <w:r>
        <w:rPr>
          <w:rFonts w:hint="eastAsia" w:ascii="宋体" w:hAnsi="宋体" w:eastAsia="宋体" w:cs="宋体"/>
          <w:color w:val="000000"/>
          <w:sz w:val="21"/>
          <w:szCs w:val="21"/>
          <w:highlight w:val="none"/>
        </w:rPr>
      </w:r>
      <w:r/>
    </w:p>
    <w:p>
      <w:pPr>
        <w:pStyle w:val="722"/>
        <w:ind w:left="460" w:firstLine="25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22"/>
        <w:ind w:firstLine="57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ind w:firstLine="480"/>
        <w:jc w:val="left"/>
        <w:spacing w:line="48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rPr>
        <w:t xml:space="preserve">：中小企业声明函</w:t>
      </w:r>
      <w:r>
        <w:rPr>
          <w:rFonts w:hint="eastAsia" w:ascii="宋体" w:hAnsi="宋体" w:eastAsia="宋体" w:cs="宋体"/>
          <w:b/>
          <w:color w:val="000000"/>
          <w:sz w:val="21"/>
          <w:szCs w:val="21"/>
          <w:highlight w:val="none"/>
        </w:rPr>
      </w:r>
      <w:r/>
    </w:p>
    <w:p>
      <w:pPr>
        <w:pStyle w:val="722"/>
        <w:ind w:firstLine="480"/>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中小企业声明函（服务）</w:t>
      </w:r>
      <w:r>
        <w:rPr>
          <w:rFonts w:hint="eastAsia" w:ascii="宋体" w:hAnsi="宋体" w:eastAsia="宋体" w:cs="宋体"/>
          <w:color w:val="000000"/>
          <w:sz w:val="21"/>
          <w:szCs w:val="21"/>
          <w:highlight w:val="none"/>
        </w:rPr>
      </w:r>
      <w:r/>
    </w:p>
    <w:p>
      <w:pPr>
        <w:pStyle w:val="722"/>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b/>
          <w:bCs/>
          <w:color w:val="000000"/>
          <w:sz w:val="21"/>
          <w:szCs w:val="21"/>
          <w:highlight w:val="none"/>
          <w:u w:val="single"/>
        </w:rPr>
        <w:t xml:space="preserve">苏州市拙政园管理处（苏州市园林博物馆）</w:t>
      </w:r>
      <w:r>
        <w:rPr>
          <w:rFonts w:hint="eastAsia" w:ascii="宋体" w:hAnsi="宋体" w:eastAsia="宋体" w:cs="宋体"/>
          <w:color w:val="000000"/>
          <w:sz w:val="21"/>
          <w:szCs w:val="21"/>
          <w:highlight w:val="none"/>
          <w:u w:val="single"/>
        </w:rPr>
        <w:t xml:space="preserve">（ 单 位 名 称 ）</w:t>
      </w:r>
      <w:r>
        <w:rPr>
          <w:rFonts w:hint="eastAsia" w:ascii="宋体" w:hAnsi="宋体" w:eastAsia="宋体" w:cs="宋体"/>
          <w:color w:val="000000"/>
          <w:sz w:val="21"/>
          <w:szCs w:val="21"/>
          <w:highlight w:val="none"/>
        </w:rPr>
        <w:t xml:space="preserve"> 的 </w:t>
      </w:r>
      <w:r>
        <w:rPr>
          <w:rFonts w:hint="eastAsia" w:ascii="宋体" w:hAnsi="宋体" w:cs="宋体"/>
          <w:b/>
          <w:bCs/>
          <w:color w:val="000000"/>
          <w:sz w:val="21"/>
          <w:szCs w:val="21"/>
          <w:highlight w:val="none"/>
          <w:u w:val="single"/>
          <w:lang w:eastAsia="zh-CN"/>
        </w:rPr>
        <w:t xml:space="preserve">东园灯光亮化工程</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采购活动，服务 全部由符合政策要求的中小企业承接。相关企业的具体情况如下： </w:t>
      </w:r>
      <w:r>
        <w:rPr>
          <w:rFonts w:hint="eastAsia" w:ascii="宋体" w:hAnsi="宋体" w:eastAsia="宋体" w:cs="宋体"/>
          <w:color w:val="000000"/>
          <w:sz w:val="21"/>
          <w:szCs w:val="21"/>
          <w:highlight w:val="none"/>
        </w:rPr>
      </w:r>
      <w:r/>
    </w:p>
    <w:p>
      <w:pPr>
        <w:pStyle w:val="722"/>
        <w:ind w:firstLine="422"/>
        <w:jc w:val="left"/>
        <w:spacing w:line="360" w:lineRule="auto"/>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u w:val="single"/>
          <w:lang w:eastAsia="zh-CN"/>
        </w:rPr>
        <w:t xml:space="preserve">东园灯光亮化工程</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b/>
          <w:bCs/>
          <w:color w:val="000000"/>
          <w:sz w:val="21"/>
          <w:szCs w:val="21"/>
          <w:highlight w:val="none"/>
          <w:u w:val="single"/>
        </w:rPr>
        <w:t xml:space="preserve">建筑业</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行业  ； 承建（承接）企业为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企 业 名 称 ）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中 型 企 业 、 小 型 企 业 、 微 型 企 业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2"/>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 形。 本企业对上述声明内容的真实性负责。如有虚假，将依法承担相应责任。 </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2.在服务采购项目中，服务由中小企业承接，即提供服务的人员为中小企业依照《中华人民共和国劳动合同法》订立劳动合同的从业人员。工程类项目中供应商若使用退休人员，将不享受相应扶持政策。</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4.如未对（中型企业、小型企业、微型企业）进行勾选，视同非中小微企业，不可享受相应扶持政策。</w:t>
      </w:r>
      <w:r>
        <w:rPr>
          <w:rFonts w:hint="eastAsia" w:ascii="宋体" w:hAnsi="宋体" w:eastAsia="宋体" w:cs="宋体"/>
          <w:color w:val="000000"/>
          <w:sz w:val="21"/>
          <w:szCs w:val="21"/>
          <w:highlight w:val="none"/>
          <w:lang w:val="zh-CN"/>
        </w:rPr>
      </w:r>
      <w:r/>
    </w:p>
    <w:p>
      <w:pPr>
        <w:pStyle w:val="722"/>
        <w:spacing w:after="0"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附：中小企业划型标准规定</w:t>
      </w:r>
      <w:r>
        <w:rPr>
          <w:rFonts w:hint="eastAsia" w:ascii="宋体" w:hAnsi="宋体" w:eastAsia="宋体" w:cs="宋体"/>
          <w:b/>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hint="eastAsia" w:ascii="宋体" w:hAnsi="宋体" w:eastAsia="宋体" w:cs="宋体"/>
          <w:color w:val="000000"/>
          <w:sz w:val="21"/>
          <w:szCs w:val="21"/>
          <w:highlight w:val="none"/>
        </w:rPr>
      </w:r>
      <w:r/>
    </w:p>
    <w:p>
      <w:pPr>
        <w:pStyle w:val="72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w:t>
      </w:r>
      <w:r>
        <w:rPr>
          <w:rFonts w:hint="eastAsia" w:ascii="宋体" w:hAnsi="宋体" w:cs="宋体"/>
          <w:b/>
          <w:color w:val="000000"/>
          <w:sz w:val="21"/>
          <w:szCs w:val="21"/>
          <w:highlight w:val="none"/>
          <w:lang w:eastAsia="zh-CN"/>
        </w:rPr>
        <w:t xml:space="preserve">其他未列明行业</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7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hint="eastAsia" w:ascii="宋体" w:hAnsi="宋体" w:eastAsia="宋体" w:cs="宋体"/>
          <w:b/>
          <w:color w:val="000000"/>
          <w:sz w:val="21"/>
          <w:szCs w:val="21"/>
          <w:highlight w:val="none"/>
          <w:lang w:val="en-US" w:eastAsia="zh-CN"/>
        </w:rPr>
        <w:t xml:space="preserve">11</w:t>
      </w:r>
      <w:r>
        <w:rPr>
          <w:rFonts w:hint="eastAsia" w:ascii="宋体" w:hAnsi="宋体" w:eastAsia="宋体" w:cs="宋体"/>
          <w:b/>
          <w:color w:val="000000"/>
          <w:sz w:val="21"/>
          <w:szCs w:val="21"/>
          <w:highlight w:val="none"/>
        </w:rPr>
        <w:t xml:space="preserve">：残疾人福利性单位声明函</w:t>
      </w: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r>
      <w:r/>
    </w:p>
    <w:p>
      <w:pPr>
        <w:pStyle w:val="722"/>
        <w:jc w:val="center"/>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残疾人福利性单位声明函</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ind w:right="1560" w:firstLine="444"/>
        <w:jc w:val="center"/>
        <w:spacing w:line="580"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722"/>
        <w:jc w:val="center"/>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jc w:val="center"/>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备注：上述格式为参考，响应单位可自行制作表格参加磋商，但至少应包括上述条目，其他用户名单等表格响应单位自行拟制。</w:t>
      </w: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格式1</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投标（响应）</w:t>
      </w:r>
      <w:r>
        <w:rPr>
          <w:rFonts w:hint="eastAsia" w:ascii="宋体" w:hAnsi="宋体" w:eastAsia="宋体" w:cs="宋体"/>
          <w:b/>
          <w:color w:val="000000"/>
          <w:sz w:val="21"/>
          <w:szCs w:val="21"/>
          <w:highlight w:val="none"/>
        </w:rPr>
        <w:t xml:space="preserve">保证承诺书（参考格式）</w:t>
      </w:r>
      <w:r>
        <w:rPr>
          <w:rFonts w:hint="eastAsia" w:ascii="宋体" w:hAnsi="宋体" w:eastAsia="宋体" w:cs="宋体"/>
          <w:b/>
          <w:bCs/>
          <w:color w:val="000000"/>
          <w:sz w:val="21"/>
          <w:szCs w:val="21"/>
          <w:highlight w:val="none"/>
        </w:rPr>
      </w:r>
      <w:r/>
    </w:p>
    <w:p>
      <w:pPr>
        <w:pStyle w:val="746"/>
        <w:ind w:firstLine="3150"/>
        <w:jc w:val="both"/>
        <w:rPr>
          <w:rFonts w:hint="eastAsia" w:ascii="宋体" w:hAnsi="宋体" w:eastAsia="宋体" w:cs="宋体"/>
          <w:color w:val="000000"/>
          <w:sz w:val="21"/>
          <w:szCs w:val="21"/>
          <w:highlight w:val="none"/>
          <w:lang w:val="zh-CN"/>
        </w:rPr>
        <w:outlineLvl w:val="2"/>
      </w:pPr>
      <w:r>
        <w:rPr>
          <w:rFonts w:hint="eastAsia" w:ascii="宋体" w:hAnsi="宋体" w:eastAsia="宋体" w:cs="宋体"/>
          <w:color w:val="000000"/>
          <w:sz w:val="21"/>
          <w:szCs w:val="21"/>
          <w:highlight w:val="none"/>
          <w:lang w:val="zh-CN"/>
        </w:rPr>
        <w:t xml:space="preserve">投标（响应）保证承诺书（参考格式）</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致：</w:t>
      </w:r>
      <w:r>
        <w:rPr>
          <w:rFonts w:hint="eastAsia" w:ascii="宋体" w:hAnsi="宋体" w:eastAsia="宋体" w:cs="宋体"/>
          <w:color w:val="000000"/>
          <w:sz w:val="21"/>
          <w:szCs w:val="21"/>
          <w:highlight w:val="none"/>
          <w:u w:val="single"/>
          <w:lang w:val="zh-CN"/>
        </w:rPr>
        <w:t xml:space="preserve">（采购代理机构名称）</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我（ 单位/本人，以下统称我单位）自愿参加</w:t>
      </w:r>
      <w:r>
        <w:rPr>
          <w:rFonts w:hint="eastAsia" w:ascii="宋体" w:hAnsi="宋体" w:eastAsia="宋体" w:cs="宋体"/>
          <w:color w:val="000000"/>
          <w:sz w:val="21"/>
          <w:szCs w:val="21"/>
          <w:highlight w:val="none"/>
          <w:u w:val="single"/>
          <w:lang w:val="zh-CN"/>
        </w:rPr>
        <w:t xml:space="preserve">（项目名称和采购编号）</w:t>
      </w:r>
      <w:r>
        <w:rPr>
          <w:rFonts w:hint="eastAsia" w:ascii="宋体" w:hAnsi="宋体" w:eastAsia="宋体" w:cs="宋体"/>
          <w:color w:val="000000"/>
          <w:sz w:val="21"/>
          <w:szCs w:val="21"/>
          <w:highlight w:val="none"/>
          <w:lang w:val="zh-CN"/>
        </w:rPr>
        <w:t xml:space="preserve">的</w:t>
      </w:r>
      <w:r>
        <w:rPr>
          <w:rFonts w:hint="eastAsia" w:ascii="宋体" w:hAnsi="宋体" w:cs="宋体"/>
          <w:color w:val="000000"/>
          <w:sz w:val="21"/>
          <w:szCs w:val="21"/>
          <w:highlight w:val="none"/>
          <w:lang w:val="zh-CN"/>
        </w:rPr>
        <w:t xml:space="preserve">投标（响应）</w:t>
      </w:r>
      <w:r>
        <w:rPr>
          <w:rFonts w:hint="eastAsia" w:ascii="宋体" w:hAnsi="宋体" w:eastAsia="宋体" w:cs="宋体"/>
          <w:color w:val="000000"/>
          <w:sz w:val="21"/>
          <w:szCs w:val="21"/>
          <w:highlight w:val="none"/>
          <w:lang w:val="zh-CN"/>
        </w:rPr>
        <w:t xml:space="preserve">,并做出如下承诺：</w:t>
      </w:r>
      <w:r>
        <w:rPr>
          <w:rFonts w:hint="eastAsia" w:ascii="宋体" w:hAnsi="宋体" w:eastAsia="宋体" w:cs="宋体"/>
          <w:color w:val="000000"/>
          <w:sz w:val="21"/>
          <w:szCs w:val="21"/>
          <w:highlight w:val="none"/>
          <w:lang w:val="zh-CN"/>
        </w:rPr>
      </w:r>
      <w:r/>
    </w:p>
    <w:p>
      <w:pPr>
        <w:pStyle w:val="722"/>
        <w:ind w:left="210" w:firstLine="21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一、除不可抗力外，我单位如果发生以下行为，将在行为发生的10个工作日内，向贵方</w:t>
      </w:r>
      <w:r>
        <w:rPr>
          <w:rFonts w:hint="eastAsia" w:ascii="宋体" w:hAnsi="宋体" w:eastAsia="宋体" w:cs="宋体"/>
          <w:color w:val="000000"/>
          <w:sz w:val="21"/>
          <w:szCs w:val="21"/>
          <w:highlight w:val="none"/>
          <w:u w:val="single"/>
          <w:lang w:val="zh-CN"/>
        </w:rPr>
        <w:t xml:space="preserve">（或采购人）</w:t>
      </w:r>
      <w:r>
        <w:rPr>
          <w:rFonts w:hint="eastAsia" w:ascii="宋体" w:hAnsi="宋体" w:eastAsia="宋体" w:cs="宋体"/>
          <w:color w:val="000000"/>
          <w:sz w:val="21"/>
          <w:szCs w:val="21"/>
          <w:highlight w:val="none"/>
          <w:lang w:val="zh-CN"/>
        </w:rPr>
        <w:t xml:space="preserve">支付本采购文件公布的预算金额（或最高限价）的2%作为违约赔偿金（数量不确定的单价采购须约定具体金额）。</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1.自</w:t>
      </w:r>
      <w:r>
        <w:rPr>
          <w:rFonts w:hint="eastAsia" w:ascii="宋体" w:hAnsi="宋体" w:cs="宋体"/>
          <w:color w:val="000000"/>
          <w:sz w:val="21"/>
          <w:szCs w:val="21"/>
          <w:highlight w:val="none"/>
          <w:lang w:val="zh-CN"/>
        </w:rPr>
        <w:t xml:space="preserve">投标（响应）</w:t>
      </w:r>
      <w:r>
        <w:rPr>
          <w:rFonts w:hint="eastAsia" w:ascii="宋体" w:hAnsi="宋体" w:eastAsia="宋体" w:cs="宋体"/>
          <w:color w:val="000000"/>
          <w:sz w:val="21"/>
          <w:szCs w:val="21"/>
          <w:highlight w:val="none"/>
          <w:lang w:val="zh-CN"/>
        </w:rPr>
        <w:t xml:space="preserve">截止时间至本项目发布中标（成交）公告为止，撤销</w:t>
      </w:r>
      <w:r>
        <w:rPr>
          <w:rFonts w:hint="eastAsia" w:ascii="宋体" w:hAnsi="宋体" w:cs="宋体"/>
          <w:color w:val="000000"/>
          <w:sz w:val="21"/>
          <w:szCs w:val="21"/>
          <w:highlight w:val="none"/>
          <w:lang w:val="zh-CN"/>
        </w:rPr>
        <w:t xml:space="preserve">投标（响应）</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2.中标（成交）后不依法与采购人签订合同；</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中标（成交）后不按本采购文件规定向采购人提交履约保证金(采购文件如有要求递交的情况适用)；</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二、我单位知晓上述行为的法律后果，承认本承诺书作为贵方</w:t>
      </w:r>
      <w:r>
        <w:rPr>
          <w:rFonts w:hint="eastAsia" w:ascii="宋体" w:hAnsi="宋体" w:eastAsia="宋体" w:cs="宋体"/>
          <w:color w:val="000000"/>
          <w:sz w:val="21"/>
          <w:szCs w:val="21"/>
          <w:highlight w:val="none"/>
          <w:u w:val="single"/>
          <w:lang w:val="zh-CN"/>
        </w:rPr>
        <w:t xml:space="preserve">（或采购人）</w:t>
      </w:r>
      <w:r>
        <w:rPr>
          <w:rFonts w:hint="eastAsia" w:ascii="宋体" w:hAnsi="宋体" w:eastAsia="宋体" w:cs="宋体"/>
          <w:color w:val="000000"/>
          <w:sz w:val="21"/>
          <w:szCs w:val="21"/>
          <w:highlight w:val="none"/>
          <w:lang w:val="zh-CN"/>
        </w:rPr>
        <w:t xml:space="preserve">要求我单位履行违约赔偿义务的依据作用。</w:t>
      </w:r>
      <w:r>
        <w:rPr>
          <w:rFonts w:hint="eastAsia" w:ascii="宋体" w:hAnsi="宋体" w:eastAsia="宋体" w:cs="宋体"/>
          <w:color w:val="000000"/>
          <w:sz w:val="21"/>
          <w:szCs w:val="21"/>
          <w:highlight w:val="none"/>
          <w:lang w:val="zh-CN"/>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投标（响应）</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（盖公章）</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、项目经理无在建承诺书（参考格式）</w:t>
      </w:r>
      <w:r>
        <w:rPr>
          <w:rFonts w:hint="eastAsia" w:ascii="宋体" w:hAnsi="宋体" w:eastAsia="宋体" w:cs="宋体"/>
          <w:b/>
          <w:bCs/>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center"/>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项目经理无在建承诺书</w:t>
      </w:r>
      <w:r>
        <w:rPr>
          <w:rFonts w:hint="eastAsia" w:ascii="宋体" w:hAnsi="宋体" w:eastAsia="宋体" w:cs="宋体"/>
          <w:b/>
          <w:bCs/>
          <w:color w:val="000000"/>
          <w:sz w:val="21"/>
          <w:szCs w:val="21"/>
          <w:highlight w:val="none"/>
        </w:rPr>
      </w:r>
      <w:r/>
    </w:p>
    <w:p>
      <w:pPr>
        <w:pStyle w:val="722"/>
        <w:spacing w:after="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（建设单位名称）</w:t>
      </w:r>
      <w:r>
        <w:rPr>
          <w:rFonts w:hint="eastAsia" w:ascii="宋体" w:hAnsi="宋体" w:eastAsia="宋体" w:cs="宋体"/>
          <w:color w:val="000000"/>
          <w:sz w:val="21"/>
          <w:szCs w:val="21"/>
          <w:highlight w:val="none"/>
        </w:rPr>
      </w:r>
      <w:r/>
    </w:p>
    <w:p>
      <w:pPr>
        <w:pStyle w:val="722"/>
        <w:ind w:firstLine="476"/>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我公司郑重承诺就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（项目名称）拟派的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（项目负责人姓名）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（注册证书编号），至本项目磋商响应截止时间前，属于以下第（ ）条情形：</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1、项目负责人是非变更后无在建工程；</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2、项目负责人是变更后无在建工程（必须原合同工期已满且变更备案之日已满6个月）；</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3、因非承包方原因致使工程项目停工或因故不能按期开工、且已办理了项目负责人解锁手续；</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1"/>
          <w:szCs w:val="21"/>
          <w:highlight w:val="none"/>
        </w:rPr>
      </w:r>
      <w:r/>
    </w:p>
    <w:p>
      <w:pPr>
        <w:pStyle w:val="722"/>
        <w:ind w:right="-197" w:firstLine="373"/>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注：属于以上第2、3、4种情形的，请提供相关证明材料扫描件附后，无证明材料不予认可。</w:t>
      </w:r>
      <w:r>
        <w:rPr>
          <w:rFonts w:hint="eastAsia" w:ascii="宋体" w:hAnsi="宋体" w:eastAsia="宋体" w:cs="宋体"/>
          <w:b/>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5、项目负责人未同时在两个或者两个以上单位受聘或者执业：A、同时在两个及以上单位签订劳动合同或交纳社会保险； B、将本人执（职）业资格证书同时注册在两个及以上单位。</w:t>
      </w:r>
      <w:r>
        <w:rPr>
          <w:rFonts w:hint="eastAsia" w:ascii="宋体" w:hAnsi="宋体" w:eastAsia="宋体" w:cs="宋体"/>
          <w:color w:val="000000"/>
          <w:sz w:val="21"/>
          <w:szCs w:val="21"/>
          <w:highlight w:val="none"/>
        </w:rPr>
      </w:r>
      <w:r/>
    </w:p>
    <w:p>
      <w:pPr>
        <w:pStyle w:val="722"/>
        <w:ind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如有虚假，我单位愿意承担一切责任，并承担由此造成的一切损失。</w:t>
      </w:r>
      <w:r>
        <w:rPr>
          <w:rFonts w:hint="eastAsia" w:ascii="宋体" w:hAnsi="宋体" w:eastAsia="宋体" w:cs="宋体"/>
          <w:color w:val="000000"/>
          <w:sz w:val="21"/>
          <w:szCs w:val="21"/>
          <w:highlight w:val="none"/>
        </w:rPr>
      </w:r>
      <w:r/>
    </w:p>
    <w:p>
      <w:pPr>
        <w:pStyle w:val="722"/>
        <w:ind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722"/>
        <w:ind w:right="1200" w:firstLine="3465"/>
        <w:jc w:val="right"/>
        <w:spacing w:after="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contextualSpacing/>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    年   月  日</w:t>
      </w:r>
      <w:r>
        <w:rPr>
          <w:rFonts w:hint="eastAsia" w:ascii="宋体" w:hAnsi="宋体" w:eastAsia="宋体" w:cs="宋体"/>
          <w:color w:val="000000"/>
          <w:sz w:val="21"/>
          <w:szCs w:val="21"/>
          <w:highlight w:val="none"/>
        </w:rPr>
      </w:r>
      <w:r/>
    </w:p>
    <w:p>
      <w:pPr>
        <w:pStyle w:val="722"/>
        <w:ind w:firstLine="482"/>
        <w:jc w:val="left"/>
        <w:spacing w:line="360" w:lineRule="auto"/>
        <w:rPr>
          <w:b/>
          <w:bCs/>
          <w:color w:val="000000"/>
          <w:sz w:val="24"/>
          <w:highlight w:val="none"/>
        </w:rPr>
      </w:pPr>
      <w:r>
        <w:rPr>
          <w:b/>
          <w:bCs/>
          <w:color w:val="000000"/>
          <w:sz w:val="24"/>
          <w:highlight w:val="none"/>
        </w:rPr>
      </w:r>
      <w:r/>
    </w:p>
    <w:p>
      <w:pPr>
        <w:pStyle w:val="722"/>
        <w:rPr>
          <w:rFonts w:hint="eastAsia"/>
          <w:color w:val="000000"/>
          <w:highlight w:val="none"/>
        </w:rPr>
      </w:pPr>
      <w:r>
        <w:rPr>
          <w:rFonts w:hint="eastAsia"/>
          <w:color w:val="000000"/>
          <w:highlight w:val="none"/>
        </w:rPr>
      </w:r>
      <w:r/>
    </w:p>
    <w:p>
      <w:pPr>
        <w:pStyle w:val="722"/>
        <w:spacing w:before="100" w:beforeAutospacing="1" w:after="100" w:afterAutospacing="1"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（全文完）</w:t>
      </w:r>
      <w:r>
        <w:rPr>
          <w:rFonts w:ascii="宋体" w:hAnsi="宋体" w:cs="宋体"/>
          <w:b/>
          <w:color w:val="000000"/>
          <w:szCs w:val="21"/>
          <w:highlight w:val="none"/>
        </w:rPr>
      </w:r>
      <w:r/>
    </w:p>
    <w:sectPr>
      <w:footerReference w:type="default" r:id="rId9"/>
      <w:footerReference w:type="even" r:id="rId10"/>
      <w:footnotePr/>
      <w:endnotePr/>
      <w:type w:val="nextPage"/>
      <w:pgSz w:w="11906" w:h="16838" w:orient="portrait"/>
      <w:pgMar w:top="1440" w:right="106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w:panose1 w:val="05000000000000000000"/>
  </w:font>
  <w:font w:name="Courier New">
    <w:panose1 w:val="02070309020205020404"/>
  </w:font>
  <w:font w:name="Calibri">
    <w:panose1 w:val="020F05020202040302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方正仿宋简体">
    <w:panose1 w:val="020B0503020202020204"/>
  </w:font>
  <w:font w:name="NSimSun">
    <w:panose1 w:val="0201060903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25"/>
      </w:rPr>
      <w:framePr w:w="676" w:wrap="around" w:vAnchor="text" w:hAnchor="margin" w:xAlign="center" w:y="4"/>
    </w:pPr>
    <w:r>
      <w:fldChar w:fldCharType="begin"/>
    </w:r>
    <w:r>
      <w:rPr>
        <w:rStyle w:val="925"/>
      </w:rPr>
      <w:instrText xml:space="preserve">PAGE  </w:instrText>
    </w:r>
    <w:r>
      <w:fldChar w:fldCharType="separate"/>
    </w:r>
    <w:r>
      <w:rPr>
        <w:rStyle w:val="925"/>
      </w:rPr>
      <w:t xml:space="preserve">- 31 -</w:t>
    </w:r>
    <w:r>
      <w:fldChar w:fldCharType="end"/>
    </w:r>
    <w:r>
      <w:rPr>
        <w:rStyle w:val="925"/>
      </w:rPr>
      <w:t xml:space="preserve">  </w:t>
    </w:r>
    <w:r>
      <w:rPr>
        <w:rStyle w:val="925"/>
      </w:rPr>
    </w:r>
    <w:r/>
  </w:p>
  <w:p>
    <w:pPr>
      <w:pStyle w:val="917"/>
      <w:jc w:val="center"/>
      <w:tabs>
        <w:tab w:val="center" w:pos="4153" w:leader="none"/>
        <w:tab w:val="right" w:pos="8306" w:leader="none"/>
      </w:tabs>
    </w:pP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- 2 -</w:t>
    </w:r>
    <w:r>
      <w:fldChar w:fldCharType="end"/>
    </w:r>
    <w:r>
      <w:rPr>
        <w:rStyle w:val="925"/>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722"/>
      </w:pPr>
      <w:rPr>
        <w:rFonts w:hint="eastAsia" w:ascii="宋体" w:hAnsi="宋体" w:eastAsia="宋体" w:cs="宋体"/>
        <w:sz w:val="32"/>
        <w:szCs w:val="32"/>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22"/>
    <w:next w:val="722"/>
    <w:link w:val="736"/>
    <w:uiPriority w:val="9"/>
    <w:qFormat/>
    <w:pPr>
      <w:keepLines/>
      <w:keepNext/>
      <w:spacing w:before="480" w:after="200"/>
      <w:outlineLvl w:val="0"/>
    </w:pPr>
    <w:rPr>
      <w:rFonts w:ascii="Arial" w:hAnsi="Arial" w:eastAsia="Arial" w:cs="Arial"/>
      <w:sz w:val="40"/>
      <w:szCs w:val="40"/>
    </w:rPr>
  </w:style>
  <w:style w:type="paragraph" w:styleId="693">
    <w:name w:val="Heading 2"/>
    <w:basedOn w:val="722"/>
    <w:next w:val="722"/>
    <w:link w:val="737"/>
    <w:uiPriority w:val="9"/>
    <w:unhideWhenUsed/>
    <w:qFormat/>
    <w:pPr>
      <w:keepLines/>
      <w:keepNext/>
      <w:spacing w:before="360" w:after="200"/>
      <w:outlineLvl w:val="1"/>
    </w:pPr>
    <w:rPr>
      <w:rFonts w:ascii="Arial" w:hAnsi="Arial" w:eastAsia="Arial" w:cs="Arial"/>
      <w:sz w:val="34"/>
    </w:rPr>
  </w:style>
  <w:style w:type="paragraph" w:styleId="694">
    <w:name w:val="Heading 3"/>
    <w:basedOn w:val="722"/>
    <w:next w:val="722"/>
    <w:link w:val="738"/>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722"/>
    <w:next w:val="722"/>
    <w:link w:val="739"/>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722"/>
    <w:next w:val="722"/>
    <w:link w:val="740"/>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722"/>
    <w:next w:val="722"/>
    <w:link w:val="741"/>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722"/>
    <w:next w:val="72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22"/>
    <w:next w:val="722"/>
    <w:link w:val="743"/>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22"/>
    <w:next w:val="722"/>
    <w:link w:val="744"/>
    <w:uiPriority w:val="9"/>
    <w:unhideWhenUsed/>
    <w:qFormat/>
    <w:pPr>
      <w:keepLines/>
      <w:keepNext/>
      <w:spacing w:before="320" w:after="200"/>
      <w:outlineLvl w:val="8"/>
    </w:pPr>
    <w:rPr>
      <w:rFonts w:ascii="Arial" w:hAnsi="Arial" w:eastAsia="Arial" w:cs="Arial"/>
      <w:i/>
      <w:iCs/>
      <w:sz w:val="21"/>
      <w:szCs w:val="21"/>
    </w:rPr>
  </w:style>
  <w:style w:type="paragraph" w:styleId="701">
    <w:name w:val="Title"/>
    <w:basedOn w:val="722"/>
    <w:next w:val="722"/>
    <w:link w:val="769"/>
    <w:uiPriority w:val="10"/>
    <w:qFormat/>
    <w:pPr>
      <w:contextualSpacing/>
      <w:spacing w:before="300" w:after="200"/>
    </w:pPr>
    <w:rPr>
      <w:sz w:val="48"/>
      <w:szCs w:val="48"/>
    </w:rPr>
  </w:style>
  <w:style w:type="paragraph" w:styleId="702">
    <w:name w:val="Subtitle"/>
    <w:basedOn w:val="722"/>
    <w:next w:val="722"/>
    <w:link w:val="761"/>
    <w:uiPriority w:val="11"/>
    <w:qFormat/>
    <w:pPr>
      <w:spacing w:before="200" w:after="200"/>
    </w:pPr>
    <w:rPr>
      <w:sz w:val="24"/>
      <w:szCs w:val="24"/>
    </w:rPr>
  </w:style>
  <w:style w:type="paragraph" w:styleId="703">
    <w:name w:val="Header"/>
    <w:basedOn w:val="722"/>
    <w:link w:val="757"/>
    <w:uiPriority w:val="99"/>
    <w:unhideWhenUsed/>
    <w:pPr>
      <w:spacing w:after="0" w:line="240" w:lineRule="auto"/>
      <w:tabs>
        <w:tab w:val="center" w:pos="7143" w:leader="none"/>
        <w:tab w:val="right" w:pos="14287" w:leader="none"/>
      </w:tabs>
    </w:pPr>
  </w:style>
  <w:style w:type="paragraph" w:styleId="704">
    <w:name w:val="Footer"/>
    <w:basedOn w:val="722"/>
    <w:link w:val="755"/>
    <w:uiPriority w:val="99"/>
    <w:unhideWhenUsed/>
    <w:pPr>
      <w:spacing w:after="0" w:line="240" w:lineRule="auto"/>
      <w:tabs>
        <w:tab w:val="center" w:pos="7143" w:leader="none"/>
        <w:tab w:val="right" w:pos="14287" w:leader="none"/>
      </w:tabs>
    </w:pPr>
  </w:style>
  <w:style w:type="paragraph" w:styleId="705">
    <w:name w:val="Caption"/>
    <w:basedOn w:val="722"/>
    <w:next w:val="722"/>
    <w:uiPriority w:val="35"/>
    <w:semiHidden/>
    <w:unhideWhenUsed/>
    <w:qFormat/>
    <w:pPr>
      <w:spacing w:line="276" w:lineRule="auto"/>
    </w:pPr>
    <w:rPr>
      <w:b/>
      <w:bCs/>
      <w:color w:val="4f81bd" w:themeColor="accent1"/>
      <w:sz w:val="18"/>
      <w:szCs w:val="18"/>
    </w:rPr>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Hyperlink"/>
    <w:uiPriority w:val="99"/>
    <w:unhideWhenUsed/>
    <w:rPr>
      <w:color w:val="0000ff" w:themeColor="hyperlink"/>
      <w:u w:val="single"/>
    </w:rPr>
  </w:style>
  <w:style w:type="paragraph" w:styleId="708">
    <w:name w:val="footnote text"/>
    <w:basedOn w:val="722"/>
    <w:link w:val="763"/>
    <w:uiPriority w:val="99"/>
    <w:semiHidden/>
    <w:unhideWhenUsed/>
    <w:pPr>
      <w:spacing w:after="40" w:line="240" w:lineRule="auto"/>
    </w:pPr>
    <w:rPr>
      <w:sz w:val="18"/>
    </w:rPr>
  </w:style>
  <w:style w:type="character" w:styleId="709">
    <w:name w:val="footnote reference"/>
    <w:uiPriority w:val="99"/>
    <w:unhideWhenUsed/>
    <w:rPr>
      <w:vertAlign w:val="superscript"/>
    </w:rPr>
  </w:style>
  <w:style w:type="paragraph" w:styleId="710">
    <w:name w:val="endnote text"/>
    <w:basedOn w:val="722"/>
    <w:link w:val="753"/>
    <w:uiPriority w:val="99"/>
    <w:semiHidden/>
    <w:unhideWhenUsed/>
    <w:pPr>
      <w:spacing w:after="0" w:line="240" w:lineRule="auto"/>
    </w:pPr>
    <w:rPr>
      <w:sz w:val="20"/>
    </w:rPr>
  </w:style>
  <w:style w:type="character" w:styleId="711">
    <w:name w:val="endnote reference"/>
    <w:uiPriority w:val="99"/>
    <w:semiHidden/>
    <w:unhideWhenUsed/>
    <w:rPr>
      <w:vertAlign w:val="superscript"/>
    </w:rPr>
  </w:style>
  <w:style w:type="paragraph" w:styleId="712">
    <w:name w:val="toc 1"/>
    <w:basedOn w:val="722"/>
    <w:next w:val="722"/>
    <w:uiPriority w:val="39"/>
    <w:unhideWhenUsed/>
    <w:pPr>
      <w:ind w:left="0" w:right="0" w:firstLine="0"/>
      <w:spacing w:after="57"/>
    </w:pPr>
  </w:style>
  <w:style w:type="paragraph" w:styleId="713">
    <w:name w:val="toc 2"/>
    <w:basedOn w:val="722"/>
    <w:next w:val="722"/>
    <w:uiPriority w:val="39"/>
    <w:unhideWhenUsed/>
    <w:pPr>
      <w:ind w:left="283" w:right="0" w:firstLine="0"/>
      <w:spacing w:after="57"/>
    </w:pPr>
  </w:style>
  <w:style w:type="paragraph" w:styleId="714">
    <w:name w:val="toc 3"/>
    <w:basedOn w:val="722"/>
    <w:next w:val="722"/>
    <w:uiPriority w:val="39"/>
    <w:unhideWhenUsed/>
    <w:pPr>
      <w:ind w:left="567" w:right="0" w:firstLine="0"/>
      <w:spacing w:after="57"/>
    </w:pPr>
  </w:style>
  <w:style w:type="paragraph" w:styleId="715">
    <w:name w:val="toc 4"/>
    <w:basedOn w:val="722"/>
    <w:next w:val="722"/>
    <w:uiPriority w:val="39"/>
    <w:unhideWhenUsed/>
    <w:pPr>
      <w:ind w:left="850" w:right="0" w:firstLine="0"/>
      <w:spacing w:after="57"/>
    </w:pPr>
  </w:style>
  <w:style w:type="paragraph" w:styleId="716">
    <w:name w:val="toc 5"/>
    <w:basedOn w:val="722"/>
    <w:next w:val="722"/>
    <w:uiPriority w:val="39"/>
    <w:unhideWhenUsed/>
    <w:pPr>
      <w:ind w:left="1134" w:right="0" w:firstLine="0"/>
      <w:spacing w:after="57"/>
    </w:pPr>
  </w:style>
  <w:style w:type="paragraph" w:styleId="717">
    <w:name w:val="toc 6"/>
    <w:basedOn w:val="722"/>
    <w:next w:val="722"/>
    <w:uiPriority w:val="39"/>
    <w:unhideWhenUsed/>
    <w:pPr>
      <w:ind w:left="1417" w:right="0" w:firstLine="0"/>
      <w:spacing w:after="57"/>
    </w:pPr>
  </w:style>
  <w:style w:type="paragraph" w:styleId="718">
    <w:name w:val="toc 7"/>
    <w:basedOn w:val="722"/>
    <w:next w:val="722"/>
    <w:uiPriority w:val="39"/>
    <w:unhideWhenUsed/>
    <w:pPr>
      <w:ind w:left="1701" w:right="0" w:firstLine="0"/>
      <w:spacing w:after="57"/>
    </w:pPr>
  </w:style>
  <w:style w:type="paragraph" w:styleId="719">
    <w:name w:val="toc 8"/>
    <w:basedOn w:val="722"/>
    <w:next w:val="722"/>
    <w:uiPriority w:val="39"/>
    <w:unhideWhenUsed/>
    <w:pPr>
      <w:ind w:left="1984" w:right="0" w:firstLine="0"/>
      <w:spacing w:after="57"/>
    </w:pPr>
  </w:style>
  <w:style w:type="paragraph" w:styleId="720">
    <w:name w:val="toc 9"/>
    <w:basedOn w:val="722"/>
    <w:next w:val="722"/>
    <w:uiPriority w:val="39"/>
    <w:unhideWhenUsed/>
    <w:pPr>
      <w:ind w:left="2268" w:right="0" w:firstLine="0"/>
      <w:spacing w:after="57"/>
    </w:pPr>
  </w:style>
  <w:style w:type="paragraph" w:styleId="721">
    <w:name w:val="table of figures"/>
    <w:basedOn w:val="722"/>
    <w:next w:val="722"/>
    <w:uiPriority w:val="99"/>
    <w:unhideWhenUsed/>
    <w:pPr>
      <w:spacing w:after="0" w:afterAutospacing="0"/>
    </w:pPr>
  </w:style>
  <w:style w:type="paragraph" w:styleId="722" w:default="1">
    <w:name w:val="Normal"/>
    <w:next w:val="734"/>
    <w:link w:val="722"/>
    <w:qFormat/>
    <w:pPr>
      <w:jc w:val="both"/>
      <w:widowControl w:val="off"/>
    </w:pPr>
    <w:rPr>
      <w:rFonts w:ascii="Times New Roman" w:hAnsi="Times New Roman" w:eastAsia="宋体" w:cs="Times New Roman"/>
      <w:sz w:val="21"/>
      <w:szCs w:val="22"/>
      <w:lang w:val="en-US" w:eastAsia="zh-CN" w:bidi="ar-SA"/>
    </w:rPr>
  </w:style>
  <w:style w:type="paragraph" w:styleId="723">
    <w:name w:val="标题 1"/>
    <w:basedOn w:val="722"/>
    <w:next w:val="722"/>
    <w:link w:val="736"/>
    <w:uiPriority w:val="9"/>
    <w:qFormat/>
    <w:pPr>
      <w:keepLines/>
      <w:keepNext/>
      <w:spacing w:before="480" w:after="200"/>
      <w:outlineLvl w:val="0"/>
    </w:pPr>
    <w:rPr>
      <w:rFonts w:ascii="Arial" w:hAnsi="Arial" w:eastAsia="Arial" w:cs="Arial"/>
      <w:sz w:val="40"/>
      <w:szCs w:val="40"/>
    </w:rPr>
  </w:style>
  <w:style w:type="paragraph" w:styleId="724">
    <w:name w:val="标题 2"/>
    <w:basedOn w:val="722"/>
    <w:next w:val="722"/>
    <w:link w:val="737"/>
    <w:uiPriority w:val="9"/>
    <w:unhideWhenUsed/>
    <w:qFormat/>
    <w:pPr>
      <w:keepLines/>
      <w:keepNext/>
      <w:spacing w:before="360" w:after="200"/>
      <w:outlineLvl w:val="1"/>
    </w:pPr>
    <w:rPr>
      <w:rFonts w:ascii="Arial" w:hAnsi="Arial" w:eastAsia="Arial" w:cs="Arial"/>
      <w:sz w:val="34"/>
    </w:rPr>
  </w:style>
  <w:style w:type="paragraph" w:styleId="725">
    <w:name w:val="标题 3"/>
    <w:basedOn w:val="722"/>
    <w:next w:val="722"/>
    <w:link w:val="738"/>
    <w:uiPriority w:val="9"/>
    <w:unhideWhenUsed/>
    <w:qFormat/>
    <w:pPr>
      <w:keepLines/>
      <w:keepNext/>
      <w:spacing w:before="320" w:after="200"/>
      <w:outlineLvl w:val="2"/>
    </w:pPr>
    <w:rPr>
      <w:rFonts w:ascii="Arial" w:hAnsi="Arial" w:eastAsia="Arial" w:cs="Arial"/>
      <w:sz w:val="30"/>
      <w:szCs w:val="30"/>
    </w:rPr>
  </w:style>
  <w:style w:type="paragraph" w:styleId="726">
    <w:name w:val="标题 4"/>
    <w:basedOn w:val="722"/>
    <w:next w:val="722"/>
    <w:link w:val="739"/>
    <w:uiPriority w:val="9"/>
    <w:unhideWhenUsed/>
    <w:qFormat/>
    <w:pPr>
      <w:keepLines/>
      <w:keepNext/>
      <w:spacing w:before="320" w:after="200"/>
      <w:outlineLvl w:val="3"/>
    </w:pPr>
    <w:rPr>
      <w:rFonts w:ascii="Arial" w:hAnsi="Arial" w:eastAsia="Arial" w:cs="Arial"/>
      <w:b/>
      <w:bCs/>
      <w:sz w:val="26"/>
      <w:szCs w:val="26"/>
    </w:rPr>
  </w:style>
  <w:style w:type="paragraph" w:styleId="727">
    <w:name w:val="标题 5"/>
    <w:basedOn w:val="722"/>
    <w:next w:val="722"/>
    <w:link w:val="740"/>
    <w:uiPriority w:val="9"/>
    <w:unhideWhenUsed/>
    <w:qFormat/>
    <w:pPr>
      <w:keepLines/>
      <w:keepNext/>
      <w:spacing w:before="320" w:after="200"/>
      <w:outlineLvl w:val="4"/>
    </w:pPr>
    <w:rPr>
      <w:rFonts w:ascii="Arial" w:hAnsi="Arial" w:eastAsia="Arial" w:cs="Arial"/>
      <w:b/>
      <w:bCs/>
      <w:sz w:val="24"/>
      <w:szCs w:val="24"/>
    </w:rPr>
  </w:style>
  <w:style w:type="paragraph" w:styleId="728">
    <w:name w:val="标题 6"/>
    <w:basedOn w:val="722"/>
    <w:next w:val="722"/>
    <w:link w:val="741"/>
    <w:uiPriority w:val="9"/>
    <w:unhideWhenUsed/>
    <w:qFormat/>
    <w:pPr>
      <w:keepLines/>
      <w:keepNext/>
      <w:spacing w:before="320" w:after="200"/>
      <w:outlineLvl w:val="5"/>
    </w:pPr>
    <w:rPr>
      <w:rFonts w:ascii="Arial" w:hAnsi="Arial" w:eastAsia="Arial" w:cs="Arial"/>
      <w:b/>
      <w:bCs/>
      <w:sz w:val="22"/>
      <w:szCs w:val="22"/>
    </w:rPr>
  </w:style>
  <w:style w:type="paragraph" w:styleId="729">
    <w:name w:val="标题 7"/>
    <w:basedOn w:val="722"/>
    <w:next w:val="72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标题 8"/>
    <w:basedOn w:val="722"/>
    <w:next w:val="722"/>
    <w:link w:val="743"/>
    <w:uiPriority w:val="9"/>
    <w:unhideWhenUsed/>
    <w:qFormat/>
    <w:pPr>
      <w:keepLines/>
      <w:keepNext/>
      <w:spacing w:before="320" w:after="200"/>
      <w:outlineLvl w:val="7"/>
    </w:pPr>
    <w:rPr>
      <w:rFonts w:ascii="Arial" w:hAnsi="Arial" w:eastAsia="Arial" w:cs="Arial"/>
      <w:i/>
      <w:iCs/>
      <w:sz w:val="22"/>
      <w:szCs w:val="22"/>
    </w:rPr>
  </w:style>
  <w:style w:type="paragraph" w:styleId="731">
    <w:name w:val="标题 9"/>
    <w:basedOn w:val="722"/>
    <w:next w:val="722"/>
    <w:link w:val="744"/>
    <w:uiPriority w:val="9"/>
    <w:unhideWhenUsed/>
    <w:qFormat/>
    <w:pPr>
      <w:keepLines/>
      <w:keepNext/>
      <w:spacing w:before="320" w:after="200"/>
      <w:outlineLvl w:val="8"/>
    </w:pPr>
    <w:rPr>
      <w:rFonts w:ascii="Arial" w:hAnsi="Arial" w:eastAsia="Arial" w:cs="Arial"/>
      <w:i/>
      <w:iCs/>
      <w:sz w:val="21"/>
      <w:szCs w:val="21"/>
    </w:rPr>
  </w:style>
  <w:style w:type="character" w:styleId="732">
    <w:name w:val="默认段落字体"/>
    <w:next w:val="732"/>
    <w:link w:val="722"/>
    <w:uiPriority w:val="1"/>
    <w:unhideWhenUsed/>
    <w:qFormat/>
  </w:style>
  <w:style w:type="table" w:styleId="733">
    <w:name w:val="普通表格"/>
    <w:next w:val="733"/>
    <w:link w:val="722"/>
    <w:uiPriority w:val="99"/>
    <w:unhideWhenUsed/>
    <w:qFormat/>
    <w:tblPr/>
  </w:style>
  <w:style w:type="paragraph" w:styleId="734">
    <w:name w:val="正文文本缩进"/>
    <w:basedOn w:val="722"/>
    <w:next w:val="735"/>
    <w:link w:val="722"/>
    <w:qFormat/>
    <w:pPr>
      <w:ind w:left="570"/>
      <w:spacing w:line="520" w:lineRule="exact"/>
    </w:pPr>
    <w:rPr>
      <w:rFonts w:ascii="方正仿宋简体" w:hAnsi="创艺简仿宋" w:eastAsia="方正仿宋简体"/>
      <w:sz w:val="24"/>
    </w:rPr>
  </w:style>
  <w:style w:type="paragraph" w:styleId="735">
    <w:name w:val="寄信人地址"/>
    <w:basedOn w:val="722"/>
    <w:next w:val="735"/>
    <w:link w:val="722"/>
    <w:qFormat/>
    <w:rPr>
      <w:rFonts w:ascii="Arial" w:hAnsi="Arial" w:eastAsia="楷体_GB2312"/>
      <w:sz w:val="26"/>
      <w:szCs w:val="20"/>
    </w:rPr>
  </w:style>
  <w:style w:type="character" w:styleId="736">
    <w:name w:val="Heading 1 Char"/>
    <w:next w:val="736"/>
    <w:link w:val="723"/>
    <w:uiPriority w:val="9"/>
    <w:qFormat/>
    <w:rPr>
      <w:rFonts w:ascii="Arial" w:hAnsi="Arial" w:eastAsia="Arial" w:cs="Arial"/>
      <w:sz w:val="40"/>
      <w:szCs w:val="40"/>
    </w:rPr>
  </w:style>
  <w:style w:type="character" w:styleId="737">
    <w:name w:val="Heading 2 Char"/>
    <w:next w:val="737"/>
    <w:link w:val="724"/>
    <w:uiPriority w:val="9"/>
    <w:qFormat/>
    <w:rPr>
      <w:rFonts w:ascii="Arial" w:hAnsi="Arial" w:eastAsia="Arial" w:cs="Arial"/>
      <w:sz w:val="34"/>
    </w:rPr>
  </w:style>
  <w:style w:type="character" w:styleId="738">
    <w:name w:val="Heading 3 Char"/>
    <w:next w:val="738"/>
    <w:link w:val="725"/>
    <w:uiPriority w:val="9"/>
    <w:qFormat/>
    <w:rPr>
      <w:rFonts w:ascii="Arial" w:hAnsi="Arial" w:eastAsia="Arial" w:cs="Arial"/>
      <w:sz w:val="30"/>
      <w:szCs w:val="30"/>
    </w:rPr>
  </w:style>
  <w:style w:type="character" w:styleId="739">
    <w:name w:val="Heading 4 Char"/>
    <w:next w:val="739"/>
    <w:link w:val="726"/>
    <w:uiPriority w:val="9"/>
    <w:qFormat/>
    <w:rPr>
      <w:rFonts w:ascii="Arial" w:hAnsi="Arial" w:eastAsia="Arial" w:cs="Arial"/>
      <w:b/>
      <w:bCs/>
      <w:sz w:val="26"/>
      <w:szCs w:val="26"/>
    </w:rPr>
  </w:style>
  <w:style w:type="character" w:styleId="740">
    <w:name w:val="Heading 5 Char"/>
    <w:next w:val="740"/>
    <w:link w:val="727"/>
    <w:uiPriority w:val="9"/>
    <w:qFormat/>
    <w:rPr>
      <w:rFonts w:ascii="Arial" w:hAnsi="Arial" w:eastAsia="Arial" w:cs="Arial"/>
      <w:b/>
      <w:bCs/>
      <w:sz w:val="24"/>
      <w:szCs w:val="24"/>
    </w:rPr>
  </w:style>
  <w:style w:type="character" w:styleId="741">
    <w:name w:val="Heading 6 Char"/>
    <w:next w:val="741"/>
    <w:link w:val="728"/>
    <w:uiPriority w:val="9"/>
    <w:qFormat/>
    <w:rPr>
      <w:rFonts w:ascii="Arial" w:hAnsi="Arial" w:eastAsia="Arial" w:cs="Arial"/>
      <w:b/>
      <w:bCs/>
      <w:sz w:val="22"/>
      <w:szCs w:val="22"/>
    </w:rPr>
  </w:style>
  <w:style w:type="character" w:styleId="742">
    <w:name w:val="Heading 7 Char"/>
    <w:next w:val="742"/>
    <w:link w:val="729"/>
    <w:uiPriority w:val="9"/>
    <w:qFormat/>
    <w:rPr>
      <w:rFonts w:ascii="Arial" w:hAnsi="Arial" w:eastAsia="Arial" w:cs="Arial"/>
      <w:b/>
      <w:bCs/>
      <w:i/>
      <w:iCs/>
      <w:sz w:val="22"/>
      <w:szCs w:val="22"/>
    </w:rPr>
  </w:style>
  <w:style w:type="character" w:styleId="743">
    <w:name w:val="Heading 8 Char"/>
    <w:next w:val="743"/>
    <w:link w:val="730"/>
    <w:uiPriority w:val="9"/>
    <w:qFormat/>
    <w:rPr>
      <w:rFonts w:ascii="Arial" w:hAnsi="Arial" w:eastAsia="Arial" w:cs="Arial"/>
      <w:i/>
      <w:iCs/>
      <w:sz w:val="22"/>
      <w:szCs w:val="22"/>
    </w:rPr>
  </w:style>
  <w:style w:type="character" w:styleId="744">
    <w:name w:val="Heading 9 Char"/>
    <w:next w:val="744"/>
    <w:link w:val="731"/>
    <w:uiPriority w:val="9"/>
    <w:qFormat/>
    <w:rPr>
      <w:rFonts w:ascii="Arial" w:hAnsi="Arial" w:eastAsia="Arial" w:cs="Arial"/>
      <w:i/>
      <w:iCs/>
      <w:sz w:val="21"/>
      <w:szCs w:val="21"/>
    </w:rPr>
  </w:style>
  <w:style w:type="paragraph" w:styleId="745">
    <w:name w:val="目录 7"/>
    <w:basedOn w:val="722"/>
    <w:next w:val="722"/>
    <w:link w:val="722"/>
    <w:uiPriority w:val="39"/>
    <w:unhideWhenUsed/>
    <w:qFormat/>
    <w:pPr>
      <w:ind w:left="1701" w:right="0" w:firstLine="0"/>
      <w:spacing w:after="57"/>
    </w:pPr>
  </w:style>
  <w:style w:type="paragraph" w:styleId="746">
    <w:name w:val="正文缩进"/>
    <w:basedOn w:val="722"/>
    <w:next w:val="746"/>
    <w:link w:val="722"/>
    <w:qFormat/>
    <w:pPr>
      <w:ind w:firstLine="420"/>
      <w:jc w:val="left"/>
      <w:widowControl/>
    </w:pPr>
    <w:rPr>
      <w:rFonts w:eastAsia="楷体_GB2312"/>
      <w:sz w:val="24"/>
      <w:szCs w:val="20"/>
    </w:rPr>
  </w:style>
  <w:style w:type="paragraph" w:styleId="747">
    <w:name w:val="题注"/>
    <w:basedOn w:val="722"/>
    <w:next w:val="722"/>
    <w:link w:val="722"/>
    <w:uiPriority w:val="35"/>
    <w:unhideWhenUsed/>
    <w:qFormat/>
    <w:pPr>
      <w:spacing w:line="276" w:lineRule="auto"/>
    </w:pPr>
    <w:rPr>
      <w:b/>
      <w:bCs/>
      <w:color w:val="4f81bd"/>
      <w:sz w:val="18"/>
      <w:szCs w:val="18"/>
    </w:rPr>
  </w:style>
  <w:style w:type="paragraph" w:styleId="748">
    <w:name w:val="正文文本"/>
    <w:basedOn w:val="722"/>
    <w:next w:val="748"/>
    <w:link w:val="722"/>
    <w:semiHidden/>
    <w:qFormat/>
    <w:rPr>
      <w:rFonts w:ascii="宋体" w:hAnsi="宋体" w:eastAsia="宋体" w:cs="宋体"/>
      <w:sz w:val="20"/>
      <w:szCs w:val="20"/>
      <w:lang w:val="en-US" w:eastAsia="en-US" w:bidi="ar-SA"/>
    </w:rPr>
  </w:style>
  <w:style w:type="paragraph" w:styleId="749">
    <w:name w:val="目录 5"/>
    <w:basedOn w:val="722"/>
    <w:next w:val="722"/>
    <w:link w:val="722"/>
    <w:uiPriority w:val="39"/>
    <w:unhideWhenUsed/>
    <w:qFormat/>
    <w:pPr>
      <w:ind w:left="1134" w:right="0" w:firstLine="0"/>
      <w:spacing w:after="57"/>
    </w:pPr>
  </w:style>
  <w:style w:type="paragraph" w:styleId="750">
    <w:name w:val="目录 3"/>
    <w:basedOn w:val="722"/>
    <w:next w:val="722"/>
    <w:link w:val="722"/>
    <w:uiPriority w:val="39"/>
    <w:unhideWhenUsed/>
    <w:qFormat/>
    <w:pPr>
      <w:ind w:left="567" w:right="0" w:firstLine="0"/>
      <w:spacing w:after="57"/>
    </w:pPr>
  </w:style>
  <w:style w:type="paragraph" w:styleId="751">
    <w:name w:val="目录 8"/>
    <w:basedOn w:val="722"/>
    <w:next w:val="722"/>
    <w:link w:val="722"/>
    <w:uiPriority w:val="39"/>
    <w:unhideWhenUsed/>
    <w:qFormat/>
    <w:pPr>
      <w:ind w:left="1984" w:right="0" w:firstLine="0"/>
      <w:spacing w:after="57"/>
    </w:pPr>
  </w:style>
  <w:style w:type="paragraph" w:styleId="752">
    <w:name w:val="尾注文本"/>
    <w:basedOn w:val="722"/>
    <w:next w:val="752"/>
    <w:link w:val="753"/>
    <w:uiPriority w:val="99"/>
    <w:unhideWhenUsed/>
    <w:qFormat/>
    <w:pPr>
      <w:spacing w:after="0" w:line="240" w:lineRule="auto"/>
    </w:pPr>
    <w:rPr>
      <w:sz w:val="20"/>
    </w:rPr>
  </w:style>
  <w:style w:type="character" w:styleId="753">
    <w:name w:val="Endnote Text Char"/>
    <w:next w:val="753"/>
    <w:link w:val="752"/>
    <w:uiPriority w:val="99"/>
    <w:qFormat/>
    <w:rPr>
      <w:sz w:val="20"/>
    </w:rPr>
  </w:style>
  <w:style w:type="paragraph" w:styleId="754">
    <w:name w:val="页脚"/>
    <w:basedOn w:val="722"/>
    <w:next w:val="754"/>
    <w:link w:val="755"/>
    <w:uiPriority w:val="99"/>
    <w:unhideWhenUsed/>
    <w:qFormat/>
    <w:pPr>
      <w:spacing w:after="0" w:line="240" w:lineRule="auto"/>
      <w:tabs>
        <w:tab w:val="center" w:pos="7143" w:leader="none"/>
        <w:tab w:val="right" w:pos="14287" w:leader="none"/>
      </w:tabs>
    </w:pPr>
  </w:style>
  <w:style w:type="character" w:styleId="755">
    <w:name w:val="Caption Char"/>
    <w:next w:val="755"/>
    <w:link w:val="754"/>
    <w:uiPriority w:val="99"/>
    <w:qFormat/>
  </w:style>
  <w:style w:type="paragraph" w:styleId="756">
    <w:name w:val="页眉"/>
    <w:basedOn w:val="722"/>
    <w:next w:val="756"/>
    <w:link w:val="757"/>
    <w:uiPriority w:val="99"/>
    <w:unhideWhenUsed/>
    <w:qFormat/>
    <w:pPr>
      <w:spacing w:after="0" w:line="240" w:lineRule="auto"/>
      <w:tabs>
        <w:tab w:val="center" w:pos="7143" w:leader="none"/>
        <w:tab w:val="right" w:pos="14287" w:leader="none"/>
      </w:tabs>
    </w:pPr>
  </w:style>
  <w:style w:type="character" w:styleId="757">
    <w:name w:val="Header Char"/>
    <w:next w:val="757"/>
    <w:link w:val="756"/>
    <w:uiPriority w:val="99"/>
    <w:qFormat/>
  </w:style>
  <w:style w:type="paragraph" w:styleId="758">
    <w:name w:val="目录 1"/>
    <w:basedOn w:val="722"/>
    <w:next w:val="722"/>
    <w:link w:val="722"/>
    <w:uiPriority w:val="39"/>
    <w:unhideWhenUsed/>
    <w:qFormat/>
    <w:pPr>
      <w:ind w:left="0" w:right="0" w:firstLine="0"/>
      <w:spacing w:after="57"/>
    </w:pPr>
  </w:style>
  <w:style w:type="paragraph" w:styleId="759">
    <w:name w:val="目录 4"/>
    <w:basedOn w:val="722"/>
    <w:next w:val="722"/>
    <w:link w:val="722"/>
    <w:uiPriority w:val="39"/>
    <w:unhideWhenUsed/>
    <w:qFormat/>
    <w:pPr>
      <w:ind w:left="850" w:right="0" w:firstLine="0"/>
      <w:spacing w:after="57"/>
    </w:pPr>
  </w:style>
  <w:style w:type="paragraph" w:styleId="760">
    <w:name w:val="副标题"/>
    <w:basedOn w:val="722"/>
    <w:next w:val="722"/>
    <w:link w:val="761"/>
    <w:uiPriority w:val="11"/>
    <w:qFormat/>
    <w:pPr>
      <w:spacing w:before="200" w:after="200"/>
    </w:pPr>
    <w:rPr>
      <w:sz w:val="24"/>
      <w:szCs w:val="24"/>
    </w:rPr>
  </w:style>
  <w:style w:type="character" w:styleId="761">
    <w:name w:val="Subtitle Char"/>
    <w:next w:val="761"/>
    <w:link w:val="760"/>
    <w:uiPriority w:val="11"/>
    <w:qFormat/>
    <w:rPr>
      <w:sz w:val="24"/>
      <w:szCs w:val="24"/>
    </w:rPr>
  </w:style>
  <w:style w:type="paragraph" w:styleId="762">
    <w:name w:val="脚注文本"/>
    <w:basedOn w:val="722"/>
    <w:next w:val="762"/>
    <w:link w:val="763"/>
    <w:uiPriority w:val="99"/>
    <w:unhideWhenUsed/>
    <w:qFormat/>
    <w:pPr>
      <w:spacing w:after="40" w:line="240" w:lineRule="auto"/>
    </w:pPr>
    <w:rPr>
      <w:sz w:val="18"/>
    </w:rPr>
  </w:style>
  <w:style w:type="character" w:styleId="763">
    <w:name w:val="Footnote Text Char"/>
    <w:next w:val="763"/>
    <w:link w:val="762"/>
    <w:uiPriority w:val="99"/>
    <w:qFormat/>
    <w:rPr>
      <w:sz w:val="18"/>
    </w:rPr>
  </w:style>
  <w:style w:type="paragraph" w:styleId="764">
    <w:name w:val="目录 6"/>
    <w:basedOn w:val="722"/>
    <w:next w:val="722"/>
    <w:link w:val="722"/>
    <w:uiPriority w:val="39"/>
    <w:unhideWhenUsed/>
    <w:qFormat/>
    <w:pPr>
      <w:ind w:left="1417" w:right="0" w:firstLine="0"/>
      <w:spacing w:after="57"/>
    </w:pPr>
  </w:style>
  <w:style w:type="paragraph" w:styleId="765">
    <w:name w:val="图表目录"/>
    <w:basedOn w:val="722"/>
    <w:next w:val="722"/>
    <w:link w:val="722"/>
    <w:uiPriority w:val="99"/>
    <w:unhideWhenUsed/>
    <w:qFormat/>
    <w:pPr>
      <w:spacing w:after="0" w:afterAutospacing="0"/>
    </w:pPr>
  </w:style>
  <w:style w:type="paragraph" w:styleId="766">
    <w:name w:val="目录 2"/>
    <w:basedOn w:val="722"/>
    <w:next w:val="722"/>
    <w:link w:val="722"/>
    <w:uiPriority w:val="39"/>
    <w:unhideWhenUsed/>
    <w:qFormat/>
    <w:pPr>
      <w:ind w:left="283" w:right="0" w:firstLine="0"/>
      <w:spacing w:after="57"/>
    </w:pPr>
  </w:style>
  <w:style w:type="paragraph" w:styleId="767">
    <w:name w:val="目录 9"/>
    <w:basedOn w:val="722"/>
    <w:next w:val="722"/>
    <w:link w:val="722"/>
    <w:uiPriority w:val="39"/>
    <w:unhideWhenUsed/>
    <w:qFormat/>
    <w:pPr>
      <w:ind w:left="2268" w:right="0" w:firstLine="0"/>
      <w:spacing w:after="57"/>
    </w:pPr>
  </w:style>
  <w:style w:type="paragraph" w:styleId="768">
    <w:name w:val="标题"/>
    <w:basedOn w:val="722"/>
    <w:next w:val="722"/>
    <w:link w:val="769"/>
    <w:uiPriority w:val="10"/>
    <w:qFormat/>
    <w:pPr>
      <w:contextualSpacing/>
      <w:spacing w:before="300" w:after="200"/>
    </w:pPr>
    <w:rPr>
      <w:sz w:val="48"/>
      <w:szCs w:val="48"/>
    </w:rPr>
  </w:style>
  <w:style w:type="character" w:styleId="769">
    <w:name w:val="Title Char"/>
    <w:next w:val="769"/>
    <w:link w:val="768"/>
    <w:uiPriority w:val="10"/>
    <w:qFormat/>
    <w:rPr>
      <w:sz w:val="48"/>
      <w:szCs w:val="48"/>
    </w:rPr>
  </w:style>
  <w:style w:type="table" w:styleId="770">
    <w:name w:val="网格型"/>
    <w:next w:val="770"/>
    <w:link w:val="722"/>
    <w:uiPriority w:val="59"/>
    <w:qFormat/>
    <w:pPr>
      <w:spacing w:after="0" w:line="240" w:lineRule="auto"/>
    </w:pPr>
    <w:tblPr/>
  </w:style>
  <w:style w:type="character" w:styleId="771">
    <w:name w:val="尾注引用"/>
    <w:next w:val="771"/>
    <w:link w:val="722"/>
    <w:uiPriority w:val="99"/>
    <w:unhideWhenUsed/>
    <w:qFormat/>
    <w:rPr>
      <w:vertAlign w:val="superscript"/>
    </w:rPr>
  </w:style>
  <w:style w:type="character" w:styleId="772">
    <w:name w:val="超链接"/>
    <w:next w:val="772"/>
    <w:link w:val="722"/>
    <w:uiPriority w:val="99"/>
    <w:unhideWhenUsed/>
    <w:qFormat/>
    <w:rPr>
      <w:color w:val="0000ff"/>
      <w:u w:val="single"/>
    </w:rPr>
  </w:style>
  <w:style w:type="character" w:styleId="773">
    <w:name w:val="脚注引用"/>
    <w:next w:val="773"/>
    <w:link w:val="722"/>
    <w:uiPriority w:val="99"/>
    <w:unhideWhenUsed/>
    <w:qFormat/>
    <w:rPr>
      <w:vertAlign w:val="superscript"/>
    </w:rPr>
  </w:style>
  <w:style w:type="character" w:styleId="774">
    <w:name w:val="Footer Char"/>
    <w:next w:val="774"/>
    <w:link w:val="754"/>
    <w:uiPriority w:val="99"/>
    <w:qFormat/>
  </w:style>
  <w:style w:type="character" w:styleId="775">
    <w:name w:val="font11"/>
    <w:basedOn w:val="776"/>
    <w:next w:val="775"/>
    <w:link w:val="722"/>
    <w:qFormat/>
    <w:rPr>
      <w:rFonts w:ascii="仿宋_GB2312" w:eastAsia="仿宋_GB2312" w:cs="仿宋_GB2312"/>
      <w:b/>
      <w:bCs/>
      <w:color w:val="000000"/>
      <w:sz w:val="24"/>
      <w:szCs w:val="24"/>
      <w:u w:val="none"/>
    </w:rPr>
  </w:style>
  <w:style w:type="character" w:styleId="776">
    <w:name w:val="默认段落字体1"/>
    <w:next w:val="776"/>
    <w:link w:val="722"/>
    <w:uiPriority w:val="1"/>
    <w:unhideWhenUsed/>
    <w:qFormat/>
  </w:style>
  <w:style w:type="paragraph" w:styleId="777">
    <w:name w:val="List Paragraph"/>
    <w:basedOn w:val="722"/>
    <w:next w:val="777"/>
    <w:link w:val="722"/>
    <w:uiPriority w:val="34"/>
    <w:qFormat/>
    <w:pPr>
      <w:contextualSpacing/>
      <w:ind w:left="720"/>
    </w:pPr>
  </w:style>
  <w:style w:type="paragraph" w:styleId="778">
    <w:name w:val="No Spacing"/>
    <w:next w:val="778"/>
    <w:link w:val="722"/>
    <w:uiPriority w:val="1"/>
    <w:qFormat/>
    <w:pPr>
      <w:spacing w:before="0" w:after="0" w:line="240" w:lineRule="auto"/>
    </w:pPr>
    <w:rPr>
      <w:rFonts w:ascii="Times New Roman" w:hAnsi="Times New Roman" w:eastAsia="宋体" w:cs="Times New Roman"/>
    </w:rPr>
  </w:style>
  <w:style w:type="paragraph" w:styleId="779">
    <w:name w:val="Quote"/>
    <w:basedOn w:val="722"/>
    <w:next w:val="722"/>
    <w:link w:val="780"/>
    <w:uiPriority w:val="29"/>
    <w:qFormat/>
    <w:pPr>
      <w:ind w:left="720" w:right="720"/>
    </w:pPr>
    <w:rPr>
      <w:i/>
    </w:rPr>
  </w:style>
  <w:style w:type="character" w:styleId="780">
    <w:name w:val="Quote Char"/>
    <w:next w:val="780"/>
    <w:link w:val="779"/>
    <w:uiPriority w:val="29"/>
    <w:qFormat/>
    <w:rPr>
      <w:i/>
    </w:rPr>
  </w:style>
  <w:style w:type="paragraph" w:styleId="781">
    <w:name w:val="Intense Quote"/>
    <w:basedOn w:val="722"/>
    <w:next w:val="722"/>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next w:val="782"/>
    <w:link w:val="781"/>
    <w:uiPriority w:val="30"/>
    <w:qFormat/>
    <w:rPr>
      <w:i/>
    </w:rPr>
  </w:style>
  <w:style w:type="table" w:styleId="783">
    <w:name w:val="Table Grid Light"/>
    <w:next w:val="783"/>
    <w:link w:val="722"/>
    <w:uiPriority w:val="59"/>
    <w:qFormat/>
    <w:pPr>
      <w:spacing w:after="0" w:line="240" w:lineRule="auto"/>
    </w:pPr>
    <w:tblPr/>
  </w:style>
  <w:style w:type="table" w:styleId="784">
    <w:name w:val="Plain Table 1"/>
    <w:next w:val="784"/>
    <w:link w:val="722"/>
    <w:uiPriority w:val="59"/>
    <w:qFormat/>
    <w:pPr>
      <w:spacing w:after="0" w:line="240" w:lineRule="auto"/>
    </w:pPr>
    <w:tblPr/>
  </w:style>
  <w:style w:type="table" w:styleId="785">
    <w:name w:val="Plain Table 2"/>
    <w:next w:val="785"/>
    <w:link w:val="722"/>
    <w:uiPriority w:val="59"/>
    <w:qFormat/>
    <w:pPr>
      <w:spacing w:after="0" w:line="240" w:lineRule="auto"/>
    </w:pPr>
    <w:tblPr/>
  </w:style>
  <w:style w:type="table" w:styleId="786">
    <w:name w:val="Plain Table 3"/>
    <w:next w:val="786"/>
    <w:link w:val="722"/>
    <w:uiPriority w:val="99"/>
    <w:qFormat/>
    <w:pPr>
      <w:spacing w:after="0" w:line="240" w:lineRule="auto"/>
    </w:pPr>
    <w:tblPr/>
  </w:style>
  <w:style w:type="table" w:styleId="787">
    <w:name w:val="Plain Table 4"/>
    <w:next w:val="787"/>
    <w:link w:val="722"/>
    <w:uiPriority w:val="99"/>
    <w:qFormat/>
    <w:pPr>
      <w:spacing w:after="0" w:line="240" w:lineRule="auto"/>
    </w:pPr>
    <w:tblPr/>
  </w:style>
  <w:style w:type="table" w:styleId="788">
    <w:name w:val="Plain Table 5"/>
    <w:next w:val="788"/>
    <w:link w:val="722"/>
    <w:uiPriority w:val="99"/>
    <w:qFormat/>
    <w:pPr>
      <w:spacing w:after="0" w:line="240" w:lineRule="auto"/>
    </w:pPr>
    <w:tblPr/>
  </w:style>
  <w:style w:type="table" w:styleId="789">
    <w:name w:val="Grid Table 1 Light"/>
    <w:next w:val="789"/>
    <w:link w:val="722"/>
    <w:uiPriority w:val="99"/>
    <w:qFormat/>
    <w:pPr>
      <w:spacing w:after="0" w:line="240" w:lineRule="auto"/>
    </w:pPr>
    <w:tblPr/>
  </w:style>
  <w:style w:type="table" w:styleId="790">
    <w:name w:val="Grid Table 1 Light - Accent 1"/>
    <w:next w:val="790"/>
    <w:link w:val="722"/>
    <w:uiPriority w:val="99"/>
    <w:qFormat/>
    <w:pPr>
      <w:spacing w:after="0" w:line="240" w:lineRule="auto"/>
    </w:pPr>
    <w:tblPr/>
  </w:style>
  <w:style w:type="table" w:styleId="791">
    <w:name w:val="Grid Table 1 Light - Accent 2"/>
    <w:next w:val="791"/>
    <w:link w:val="722"/>
    <w:uiPriority w:val="99"/>
    <w:qFormat/>
    <w:pPr>
      <w:spacing w:after="0" w:line="240" w:lineRule="auto"/>
    </w:pPr>
    <w:tblPr/>
  </w:style>
  <w:style w:type="table" w:styleId="792">
    <w:name w:val="Grid Table 1 Light - Accent 3"/>
    <w:next w:val="792"/>
    <w:link w:val="722"/>
    <w:uiPriority w:val="99"/>
    <w:qFormat/>
    <w:pPr>
      <w:spacing w:after="0" w:line="240" w:lineRule="auto"/>
    </w:pPr>
    <w:tblPr/>
  </w:style>
  <w:style w:type="table" w:styleId="793">
    <w:name w:val="Grid Table 1 Light - Accent 4"/>
    <w:next w:val="793"/>
    <w:link w:val="722"/>
    <w:uiPriority w:val="99"/>
    <w:qFormat/>
    <w:pPr>
      <w:spacing w:after="0" w:line="240" w:lineRule="auto"/>
    </w:pPr>
    <w:tblPr/>
  </w:style>
  <w:style w:type="table" w:styleId="794">
    <w:name w:val="Grid Table 1 Light - Accent 5"/>
    <w:next w:val="794"/>
    <w:link w:val="722"/>
    <w:uiPriority w:val="99"/>
    <w:qFormat/>
    <w:pPr>
      <w:spacing w:after="0" w:line="240" w:lineRule="auto"/>
    </w:pPr>
    <w:tblPr/>
  </w:style>
  <w:style w:type="table" w:styleId="795">
    <w:name w:val="Grid Table 1 Light - Accent 6"/>
    <w:next w:val="795"/>
    <w:link w:val="722"/>
    <w:uiPriority w:val="99"/>
    <w:qFormat/>
    <w:pPr>
      <w:spacing w:after="0" w:line="240" w:lineRule="auto"/>
    </w:pPr>
    <w:tblPr/>
  </w:style>
  <w:style w:type="table" w:styleId="796">
    <w:name w:val="Grid Table 2"/>
    <w:next w:val="796"/>
    <w:link w:val="722"/>
    <w:uiPriority w:val="99"/>
    <w:qFormat/>
    <w:pPr>
      <w:spacing w:after="0" w:line="240" w:lineRule="auto"/>
    </w:pPr>
    <w:tblPr/>
  </w:style>
  <w:style w:type="table" w:styleId="797">
    <w:name w:val="Grid Table 2 - Accent 1"/>
    <w:next w:val="797"/>
    <w:link w:val="722"/>
    <w:uiPriority w:val="99"/>
    <w:qFormat/>
    <w:pPr>
      <w:spacing w:after="0" w:line="240" w:lineRule="auto"/>
    </w:pPr>
    <w:tblPr/>
  </w:style>
  <w:style w:type="table" w:styleId="798">
    <w:name w:val="Grid Table 2 - Accent 2"/>
    <w:next w:val="798"/>
    <w:link w:val="722"/>
    <w:uiPriority w:val="99"/>
    <w:qFormat/>
    <w:pPr>
      <w:spacing w:after="0" w:line="240" w:lineRule="auto"/>
    </w:pPr>
    <w:tblPr/>
  </w:style>
  <w:style w:type="table" w:styleId="799">
    <w:name w:val="Grid Table 2 - Accent 3"/>
    <w:next w:val="799"/>
    <w:link w:val="722"/>
    <w:uiPriority w:val="99"/>
    <w:qFormat/>
    <w:pPr>
      <w:spacing w:after="0" w:line="240" w:lineRule="auto"/>
    </w:pPr>
    <w:tblPr/>
  </w:style>
  <w:style w:type="table" w:styleId="800">
    <w:name w:val="Grid Table 2 - Accent 4"/>
    <w:next w:val="800"/>
    <w:link w:val="722"/>
    <w:uiPriority w:val="99"/>
    <w:qFormat/>
    <w:pPr>
      <w:spacing w:after="0" w:line="240" w:lineRule="auto"/>
    </w:pPr>
    <w:tblPr/>
  </w:style>
  <w:style w:type="table" w:styleId="801">
    <w:name w:val="Grid Table 2 - Accent 5"/>
    <w:next w:val="801"/>
    <w:link w:val="722"/>
    <w:uiPriority w:val="99"/>
    <w:qFormat/>
    <w:pPr>
      <w:spacing w:after="0" w:line="240" w:lineRule="auto"/>
    </w:pPr>
    <w:tblPr/>
  </w:style>
  <w:style w:type="table" w:styleId="802">
    <w:name w:val="Grid Table 2 - Accent 6"/>
    <w:next w:val="802"/>
    <w:link w:val="722"/>
    <w:uiPriority w:val="99"/>
    <w:qFormat/>
    <w:pPr>
      <w:spacing w:after="0" w:line="240" w:lineRule="auto"/>
    </w:pPr>
    <w:tblPr/>
  </w:style>
  <w:style w:type="table" w:styleId="803">
    <w:name w:val="Grid Table 3"/>
    <w:next w:val="803"/>
    <w:link w:val="722"/>
    <w:uiPriority w:val="99"/>
    <w:qFormat/>
    <w:pPr>
      <w:spacing w:after="0" w:line="240" w:lineRule="auto"/>
    </w:pPr>
    <w:tblPr/>
  </w:style>
  <w:style w:type="table" w:styleId="804">
    <w:name w:val="Grid Table 3 - Accent 1"/>
    <w:next w:val="804"/>
    <w:link w:val="722"/>
    <w:uiPriority w:val="99"/>
    <w:qFormat/>
    <w:pPr>
      <w:spacing w:after="0" w:line="240" w:lineRule="auto"/>
    </w:pPr>
    <w:tblPr/>
  </w:style>
  <w:style w:type="table" w:styleId="805">
    <w:name w:val="Grid Table 3 - Accent 2"/>
    <w:next w:val="805"/>
    <w:link w:val="722"/>
    <w:uiPriority w:val="99"/>
    <w:qFormat/>
    <w:pPr>
      <w:spacing w:after="0" w:line="240" w:lineRule="auto"/>
    </w:pPr>
    <w:tblPr/>
  </w:style>
  <w:style w:type="table" w:styleId="806">
    <w:name w:val="Grid Table 3 - Accent 3"/>
    <w:next w:val="806"/>
    <w:link w:val="722"/>
    <w:uiPriority w:val="99"/>
    <w:qFormat/>
    <w:pPr>
      <w:spacing w:after="0" w:line="240" w:lineRule="auto"/>
    </w:pPr>
    <w:tblPr/>
  </w:style>
  <w:style w:type="table" w:styleId="807">
    <w:name w:val="Grid Table 3 - Accent 4"/>
    <w:next w:val="807"/>
    <w:link w:val="722"/>
    <w:uiPriority w:val="99"/>
    <w:qFormat/>
    <w:pPr>
      <w:spacing w:after="0" w:line="240" w:lineRule="auto"/>
    </w:pPr>
    <w:tblPr/>
  </w:style>
  <w:style w:type="table" w:styleId="808">
    <w:name w:val="Grid Table 3 - Accent 5"/>
    <w:next w:val="808"/>
    <w:link w:val="722"/>
    <w:uiPriority w:val="99"/>
    <w:qFormat/>
    <w:pPr>
      <w:spacing w:after="0" w:line="240" w:lineRule="auto"/>
    </w:pPr>
    <w:tblPr/>
  </w:style>
  <w:style w:type="table" w:styleId="809">
    <w:name w:val="Grid Table 3 - Accent 6"/>
    <w:next w:val="809"/>
    <w:link w:val="722"/>
    <w:uiPriority w:val="99"/>
    <w:qFormat/>
    <w:pPr>
      <w:spacing w:after="0" w:line="240" w:lineRule="auto"/>
    </w:pPr>
    <w:tblPr/>
  </w:style>
  <w:style w:type="table" w:styleId="810">
    <w:name w:val="Grid Table 4"/>
    <w:next w:val="810"/>
    <w:link w:val="722"/>
    <w:uiPriority w:val="59"/>
    <w:qFormat/>
    <w:pPr>
      <w:spacing w:after="0" w:line="240" w:lineRule="auto"/>
    </w:pPr>
    <w:tblPr/>
  </w:style>
  <w:style w:type="table" w:styleId="811">
    <w:name w:val="Grid Table 4 - Accent 1"/>
    <w:next w:val="811"/>
    <w:link w:val="722"/>
    <w:uiPriority w:val="59"/>
    <w:qFormat/>
    <w:pPr>
      <w:spacing w:after="0" w:line="240" w:lineRule="auto"/>
    </w:pPr>
    <w:tblPr/>
  </w:style>
  <w:style w:type="table" w:styleId="812">
    <w:name w:val="Grid Table 4 - Accent 2"/>
    <w:next w:val="812"/>
    <w:link w:val="722"/>
    <w:uiPriority w:val="59"/>
    <w:qFormat/>
    <w:pPr>
      <w:spacing w:after="0" w:line="240" w:lineRule="auto"/>
    </w:pPr>
    <w:tblPr/>
  </w:style>
  <w:style w:type="table" w:styleId="813">
    <w:name w:val="Grid Table 4 - Accent 3"/>
    <w:next w:val="813"/>
    <w:link w:val="722"/>
    <w:uiPriority w:val="59"/>
    <w:qFormat/>
    <w:pPr>
      <w:spacing w:after="0" w:line="240" w:lineRule="auto"/>
    </w:pPr>
    <w:tblPr/>
  </w:style>
  <w:style w:type="table" w:styleId="814">
    <w:name w:val="Grid Table 4 - Accent 4"/>
    <w:next w:val="814"/>
    <w:link w:val="722"/>
    <w:uiPriority w:val="59"/>
    <w:qFormat/>
    <w:pPr>
      <w:spacing w:after="0" w:line="240" w:lineRule="auto"/>
    </w:pPr>
    <w:tblPr/>
  </w:style>
  <w:style w:type="table" w:styleId="815">
    <w:name w:val="Grid Table 4 - Accent 5"/>
    <w:next w:val="815"/>
    <w:link w:val="722"/>
    <w:uiPriority w:val="59"/>
    <w:qFormat/>
    <w:pPr>
      <w:spacing w:after="0" w:line="240" w:lineRule="auto"/>
    </w:pPr>
    <w:tblPr/>
  </w:style>
  <w:style w:type="table" w:styleId="816">
    <w:name w:val="Grid Table 4 - Accent 6"/>
    <w:next w:val="816"/>
    <w:link w:val="722"/>
    <w:uiPriority w:val="59"/>
    <w:qFormat/>
    <w:pPr>
      <w:spacing w:after="0" w:line="240" w:lineRule="auto"/>
    </w:pPr>
    <w:tblPr/>
  </w:style>
  <w:style w:type="table" w:styleId="817">
    <w:name w:val="Grid Table 5 Dark"/>
    <w:next w:val="817"/>
    <w:link w:val="722"/>
    <w:uiPriority w:val="99"/>
    <w:qFormat/>
    <w:pPr>
      <w:spacing w:after="0" w:line="240" w:lineRule="auto"/>
    </w:pPr>
    <w:tblPr/>
  </w:style>
  <w:style w:type="table" w:styleId="818">
    <w:name w:val="Grid Table 5 Dark- Accent 1"/>
    <w:next w:val="818"/>
    <w:link w:val="722"/>
    <w:uiPriority w:val="99"/>
    <w:qFormat/>
    <w:pPr>
      <w:spacing w:after="0" w:line="240" w:lineRule="auto"/>
    </w:pPr>
    <w:tblPr/>
  </w:style>
  <w:style w:type="table" w:styleId="819">
    <w:name w:val="Grid Table 5 Dark - Accent 2"/>
    <w:next w:val="819"/>
    <w:link w:val="722"/>
    <w:uiPriority w:val="99"/>
    <w:qFormat/>
    <w:pPr>
      <w:spacing w:after="0" w:line="240" w:lineRule="auto"/>
    </w:pPr>
    <w:tblPr/>
  </w:style>
  <w:style w:type="table" w:styleId="820">
    <w:name w:val="Grid Table 5 Dark - Accent 3"/>
    <w:next w:val="820"/>
    <w:link w:val="722"/>
    <w:uiPriority w:val="99"/>
    <w:qFormat/>
    <w:pPr>
      <w:spacing w:after="0" w:line="240" w:lineRule="auto"/>
    </w:pPr>
    <w:tblPr/>
  </w:style>
  <w:style w:type="table" w:styleId="821">
    <w:name w:val="Grid Table 5 Dark- Accent 4"/>
    <w:next w:val="821"/>
    <w:link w:val="722"/>
    <w:uiPriority w:val="99"/>
    <w:qFormat/>
    <w:pPr>
      <w:spacing w:after="0" w:line="240" w:lineRule="auto"/>
    </w:pPr>
    <w:tblPr/>
  </w:style>
  <w:style w:type="table" w:styleId="822">
    <w:name w:val="Grid Table 5 Dark - Accent 5"/>
    <w:next w:val="822"/>
    <w:link w:val="722"/>
    <w:uiPriority w:val="99"/>
    <w:qFormat/>
    <w:pPr>
      <w:spacing w:after="0" w:line="240" w:lineRule="auto"/>
    </w:pPr>
    <w:tblPr/>
  </w:style>
  <w:style w:type="table" w:styleId="823">
    <w:name w:val="Grid Table 5 Dark - Accent 6"/>
    <w:next w:val="823"/>
    <w:link w:val="722"/>
    <w:uiPriority w:val="99"/>
    <w:qFormat/>
    <w:pPr>
      <w:spacing w:after="0" w:line="240" w:lineRule="auto"/>
    </w:pPr>
    <w:tblPr/>
  </w:style>
  <w:style w:type="table" w:styleId="824">
    <w:name w:val="Grid Table 6 Colorful"/>
    <w:next w:val="824"/>
    <w:link w:val="722"/>
    <w:uiPriority w:val="99"/>
    <w:qFormat/>
    <w:pPr>
      <w:spacing w:after="0" w:line="240" w:lineRule="auto"/>
    </w:pPr>
    <w:tblPr/>
  </w:style>
  <w:style w:type="table" w:styleId="825">
    <w:name w:val="Grid Table 6 Colorful - Accent 1"/>
    <w:next w:val="825"/>
    <w:link w:val="722"/>
    <w:uiPriority w:val="99"/>
    <w:qFormat/>
    <w:pPr>
      <w:spacing w:after="0" w:line="240" w:lineRule="auto"/>
    </w:pPr>
    <w:tblPr/>
  </w:style>
  <w:style w:type="table" w:styleId="826">
    <w:name w:val="Grid Table 6 Colorful - Accent 2"/>
    <w:next w:val="826"/>
    <w:link w:val="722"/>
    <w:uiPriority w:val="99"/>
    <w:qFormat/>
    <w:pPr>
      <w:spacing w:after="0" w:line="240" w:lineRule="auto"/>
    </w:pPr>
    <w:tblPr/>
  </w:style>
  <w:style w:type="table" w:styleId="827">
    <w:name w:val="Grid Table 6 Colorful - Accent 3"/>
    <w:next w:val="827"/>
    <w:link w:val="722"/>
    <w:uiPriority w:val="99"/>
    <w:qFormat/>
    <w:pPr>
      <w:spacing w:after="0" w:line="240" w:lineRule="auto"/>
    </w:pPr>
    <w:tblPr/>
  </w:style>
  <w:style w:type="table" w:styleId="828">
    <w:name w:val="Grid Table 6 Colorful - Accent 4"/>
    <w:next w:val="828"/>
    <w:link w:val="722"/>
    <w:uiPriority w:val="99"/>
    <w:qFormat/>
    <w:pPr>
      <w:spacing w:after="0" w:line="240" w:lineRule="auto"/>
    </w:pPr>
    <w:tblPr/>
  </w:style>
  <w:style w:type="table" w:styleId="829">
    <w:name w:val="Grid Table 6 Colorful - Accent 5"/>
    <w:next w:val="829"/>
    <w:link w:val="722"/>
    <w:uiPriority w:val="99"/>
    <w:qFormat/>
    <w:pPr>
      <w:spacing w:after="0" w:line="240" w:lineRule="auto"/>
    </w:pPr>
    <w:tblPr/>
  </w:style>
  <w:style w:type="table" w:styleId="830">
    <w:name w:val="Grid Table 6 Colorful - Accent 6"/>
    <w:next w:val="830"/>
    <w:link w:val="722"/>
    <w:uiPriority w:val="99"/>
    <w:qFormat/>
    <w:pPr>
      <w:spacing w:after="0" w:line="240" w:lineRule="auto"/>
    </w:pPr>
    <w:tblPr/>
  </w:style>
  <w:style w:type="table" w:styleId="831">
    <w:name w:val="Grid Table 7 Colorful"/>
    <w:next w:val="831"/>
    <w:link w:val="722"/>
    <w:uiPriority w:val="99"/>
    <w:qFormat/>
    <w:pPr>
      <w:spacing w:after="0" w:line="240" w:lineRule="auto"/>
    </w:pPr>
    <w:tblPr/>
  </w:style>
  <w:style w:type="table" w:styleId="832">
    <w:name w:val="Grid Table 7 Colorful - Accent 1"/>
    <w:next w:val="832"/>
    <w:link w:val="722"/>
    <w:uiPriority w:val="99"/>
    <w:qFormat/>
    <w:pPr>
      <w:spacing w:after="0" w:line="240" w:lineRule="auto"/>
    </w:pPr>
    <w:tblPr/>
  </w:style>
  <w:style w:type="table" w:styleId="833">
    <w:name w:val="Grid Table 7 Colorful - Accent 2"/>
    <w:next w:val="833"/>
    <w:link w:val="722"/>
    <w:uiPriority w:val="99"/>
    <w:qFormat/>
    <w:pPr>
      <w:spacing w:after="0" w:line="240" w:lineRule="auto"/>
    </w:pPr>
    <w:tblPr/>
  </w:style>
  <w:style w:type="table" w:styleId="834">
    <w:name w:val="Grid Table 7 Colorful - Accent 3"/>
    <w:next w:val="834"/>
    <w:link w:val="722"/>
    <w:uiPriority w:val="99"/>
    <w:qFormat/>
    <w:pPr>
      <w:spacing w:after="0" w:line="240" w:lineRule="auto"/>
    </w:pPr>
    <w:tblPr/>
  </w:style>
  <w:style w:type="table" w:styleId="835">
    <w:name w:val="Grid Table 7 Colorful - Accent 4"/>
    <w:next w:val="835"/>
    <w:link w:val="722"/>
    <w:uiPriority w:val="99"/>
    <w:qFormat/>
    <w:pPr>
      <w:spacing w:after="0" w:line="240" w:lineRule="auto"/>
    </w:pPr>
    <w:tblPr/>
  </w:style>
  <w:style w:type="table" w:styleId="836">
    <w:name w:val="Grid Table 7 Colorful - Accent 5"/>
    <w:next w:val="836"/>
    <w:link w:val="722"/>
    <w:uiPriority w:val="99"/>
    <w:qFormat/>
    <w:pPr>
      <w:spacing w:after="0" w:line="240" w:lineRule="auto"/>
    </w:pPr>
    <w:tblPr/>
  </w:style>
  <w:style w:type="table" w:styleId="837">
    <w:name w:val="Grid Table 7 Colorful - Accent 6"/>
    <w:next w:val="837"/>
    <w:link w:val="722"/>
    <w:uiPriority w:val="99"/>
    <w:qFormat/>
    <w:pPr>
      <w:spacing w:after="0" w:line="240" w:lineRule="auto"/>
    </w:pPr>
    <w:tblPr/>
  </w:style>
  <w:style w:type="table" w:styleId="838">
    <w:name w:val="List Table 1 Light"/>
    <w:next w:val="838"/>
    <w:link w:val="722"/>
    <w:uiPriority w:val="99"/>
    <w:qFormat/>
    <w:pPr>
      <w:spacing w:after="0" w:line="240" w:lineRule="auto"/>
    </w:pPr>
    <w:tblPr/>
  </w:style>
  <w:style w:type="table" w:styleId="839">
    <w:name w:val="List Table 1 Light - Accent 1"/>
    <w:next w:val="839"/>
    <w:link w:val="722"/>
    <w:uiPriority w:val="99"/>
    <w:qFormat/>
    <w:pPr>
      <w:spacing w:after="0" w:line="240" w:lineRule="auto"/>
    </w:pPr>
    <w:tblPr/>
  </w:style>
  <w:style w:type="table" w:styleId="840">
    <w:name w:val="List Table 1 Light - Accent 2"/>
    <w:next w:val="840"/>
    <w:link w:val="722"/>
    <w:uiPriority w:val="99"/>
    <w:qFormat/>
    <w:pPr>
      <w:spacing w:after="0" w:line="240" w:lineRule="auto"/>
    </w:pPr>
    <w:tblPr/>
  </w:style>
  <w:style w:type="table" w:styleId="841">
    <w:name w:val="List Table 1 Light - Accent 3"/>
    <w:next w:val="841"/>
    <w:link w:val="722"/>
    <w:uiPriority w:val="99"/>
    <w:qFormat/>
    <w:pPr>
      <w:spacing w:after="0" w:line="240" w:lineRule="auto"/>
    </w:pPr>
    <w:tblPr/>
  </w:style>
  <w:style w:type="table" w:styleId="842">
    <w:name w:val="List Table 1 Light - Accent 4"/>
    <w:next w:val="842"/>
    <w:link w:val="722"/>
    <w:uiPriority w:val="99"/>
    <w:qFormat/>
    <w:pPr>
      <w:spacing w:after="0" w:line="240" w:lineRule="auto"/>
    </w:pPr>
    <w:tblPr/>
  </w:style>
  <w:style w:type="table" w:styleId="843">
    <w:name w:val="List Table 1 Light - Accent 5"/>
    <w:next w:val="843"/>
    <w:link w:val="722"/>
    <w:uiPriority w:val="99"/>
    <w:qFormat/>
    <w:pPr>
      <w:spacing w:after="0" w:line="240" w:lineRule="auto"/>
    </w:pPr>
    <w:tblPr/>
  </w:style>
  <w:style w:type="table" w:styleId="844">
    <w:name w:val="List Table 1 Light - Accent 6"/>
    <w:next w:val="844"/>
    <w:link w:val="722"/>
    <w:uiPriority w:val="99"/>
    <w:qFormat/>
    <w:pPr>
      <w:spacing w:after="0" w:line="240" w:lineRule="auto"/>
    </w:pPr>
    <w:tblPr/>
  </w:style>
  <w:style w:type="table" w:styleId="845">
    <w:name w:val="List Table 2"/>
    <w:next w:val="845"/>
    <w:link w:val="722"/>
    <w:uiPriority w:val="99"/>
    <w:qFormat/>
    <w:pPr>
      <w:spacing w:after="0" w:line="240" w:lineRule="auto"/>
    </w:pPr>
    <w:tblPr/>
  </w:style>
  <w:style w:type="table" w:styleId="846">
    <w:name w:val="List Table 2 - Accent 1"/>
    <w:next w:val="846"/>
    <w:link w:val="722"/>
    <w:uiPriority w:val="99"/>
    <w:qFormat/>
    <w:pPr>
      <w:spacing w:after="0" w:line="240" w:lineRule="auto"/>
    </w:pPr>
    <w:tblPr/>
  </w:style>
  <w:style w:type="table" w:styleId="847">
    <w:name w:val="List Table 2 - Accent 2"/>
    <w:next w:val="847"/>
    <w:link w:val="722"/>
    <w:uiPriority w:val="99"/>
    <w:qFormat/>
    <w:pPr>
      <w:spacing w:after="0" w:line="240" w:lineRule="auto"/>
    </w:pPr>
    <w:tblPr/>
  </w:style>
  <w:style w:type="table" w:styleId="848">
    <w:name w:val="List Table 2 - Accent 3"/>
    <w:next w:val="848"/>
    <w:link w:val="722"/>
    <w:uiPriority w:val="99"/>
    <w:qFormat/>
    <w:pPr>
      <w:spacing w:after="0" w:line="240" w:lineRule="auto"/>
    </w:pPr>
    <w:tblPr/>
  </w:style>
  <w:style w:type="table" w:styleId="849">
    <w:name w:val="List Table 2 - Accent 4"/>
    <w:next w:val="849"/>
    <w:link w:val="722"/>
    <w:uiPriority w:val="99"/>
    <w:qFormat/>
    <w:pPr>
      <w:spacing w:after="0" w:line="240" w:lineRule="auto"/>
    </w:pPr>
    <w:tblPr/>
  </w:style>
  <w:style w:type="table" w:styleId="850">
    <w:name w:val="List Table 2 - Accent 5"/>
    <w:next w:val="850"/>
    <w:link w:val="722"/>
    <w:uiPriority w:val="99"/>
    <w:qFormat/>
    <w:pPr>
      <w:spacing w:after="0" w:line="240" w:lineRule="auto"/>
    </w:pPr>
    <w:tblPr/>
  </w:style>
  <w:style w:type="table" w:styleId="851">
    <w:name w:val="List Table 2 - Accent 6"/>
    <w:next w:val="851"/>
    <w:link w:val="722"/>
    <w:uiPriority w:val="99"/>
    <w:qFormat/>
    <w:pPr>
      <w:spacing w:after="0" w:line="240" w:lineRule="auto"/>
    </w:pPr>
    <w:tblPr/>
  </w:style>
  <w:style w:type="table" w:styleId="852">
    <w:name w:val="List Table 3"/>
    <w:next w:val="852"/>
    <w:link w:val="722"/>
    <w:uiPriority w:val="99"/>
    <w:qFormat/>
    <w:pPr>
      <w:spacing w:after="0" w:line="240" w:lineRule="auto"/>
    </w:pPr>
    <w:tblPr/>
  </w:style>
  <w:style w:type="table" w:styleId="853">
    <w:name w:val="List Table 3 - Accent 1"/>
    <w:next w:val="853"/>
    <w:link w:val="722"/>
    <w:uiPriority w:val="99"/>
    <w:qFormat/>
    <w:pPr>
      <w:spacing w:after="0" w:line="240" w:lineRule="auto"/>
    </w:pPr>
    <w:tblPr/>
  </w:style>
  <w:style w:type="table" w:styleId="854">
    <w:name w:val="List Table 3 - Accent 2"/>
    <w:next w:val="854"/>
    <w:link w:val="722"/>
    <w:uiPriority w:val="99"/>
    <w:qFormat/>
    <w:pPr>
      <w:spacing w:after="0" w:line="240" w:lineRule="auto"/>
    </w:pPr>
    <w:tblPr/>
  </w:style>
  <w:style w:type="table" w:styleId="855">
    <w:name w:val="List Table 3 - Accent 3"/>
    <w:next w:val="855"/>
    <w:link w:val="722"/>
    <w:uiPriority w:val="99"/>
    <w:qFormat/>
    <w:pPr>
      <w:spacing w:after="0" w:line="240" w:lineRule="auto"/>
    </w:pPr>
    <w:tblPr/>
  </w:style>
  <w:style w:type="table" w:styleId="856">
    <w:name w:val="List Table 3 - Accent 4"/>
    <w:next w:val="856"/>
    <w:link w:val="722"/>
    <w:uiPriority w:val="99"/>
    <w:qFormat/>
    <w:pPr>
      <w:spacing w:after="0" w:line="240" w:lineRule="auto"/>
    </w:pPr>
    <w:tblPr/>
  </w:style>
  <w:style w:type="table" w:styleId="857">
    <w:name w:val="List Table 3 - Accent 5"/>
    <w:next w:val="857"/>
    <w:link w:val="722"/>
    <w:uiPriority w:val="99"/>
    <w:qFormat/>
    <w:pPr>
      <w:spacing w:after="0" w:line="240" w:lineRule="auto"/>
    </w:pPr>
    <w:tblPr/>
  </w:style>
  <w:style w:type="table" w:styleId="858">
    <w:name w:val="List Table 3 - Accent 6"/>
    <w:next w:val="858"/>
    <w:link w:val="722"/>
    <w:uiPriority w:val="99"/>
    <w:qFormat/>
    <w:pPr>
      <w:spacing w:after="0" w:line="240" w:lineRule="auto"/>
    </w:pPr>
    <w:tblPr/>
  </w:style>
  <w:style w:type="table" w:styleId="859">
    <w:name w:val="List Table 4"/>
    <w:next w:val="859"/>
    <w:link w:val="722"/>
    <w:uiPriority w:val="99"/>
    <w:qFormat/>
    <w:pPr>
      <w:spacing w:after="0" w:line="240" w:lineRule="auto"/>
    </w:pPr>
    <w:tblPr/>
  </w:style>
  <w:style w:type="table" w:styleId="860">
    <w:name w:val="List Table 4 - Accent 1"/>
    <w:next w:val="860"/>
    <w:link w:val="722"/>
    <w:uiPriority w:val="99"/>
    <w:qFormat/>
    <w:pPr>
      <w:spacing w:after="0" w:line="240" w:lineRule="auto"/>
    </w:pPr>
    <w:tblPr/>
  </w:style>
  <w:style w:type="table" w:styleId="861">
    <w:name w:val="List Table 4 - Accent 2"/>
    <w:next w:val="861"/>
    <w:link w:val="722"/>
    <w:uiPriority w:val="99"/>
    <w:qFormat/>
    <w:pPr>
      <w:spacing w:after="0" w:line="240" w:lineRule="auto"/>
    </w:pPr>
    <w:tblPr/>
  </w:style>
  <w:style w:type="table" w:styleId="862">
    <w:name w:val="List Table 4 - Accent 3"/>
    <w:next w:val="862"/>
    <w:link w:val="722"/>
    <w:uiPriority w:val="99"/>
    <w:qFormat/>
    <w:pPr>
      <w:spacing w:after="0" w:line="240" w:lineRule="auto"/>
    </w:pPr>
    <w:tblPr/>
  </w:style>
  <w:style w:type="table" w:styleId="863">
    <w:name w:val="List Table 4 - Accent 4"/>
    <w:next w:val="863"/>
    <w:link w:val="722"/>
    <w:uiPriority w:val="99"/>
    <w:qFormat/>
    <w:pPr>
      <w:spacing w:after="0" w:line="240" w:lineRule="auto"/>
    </w:pPr>
    <w:tblPr/>
  </w:style>
  <w:style w:type="table" w:styleId="864">
    <w:name w:val="List Table 4 - Accent 5"/>
    <w:next w:val="864"/>
    <w:link w:val="722"/>
    <w:uiPriority w:val="99"/>
    <w:qFormat/>
    <w:pPr>
      <w:spacing w:after="0" w:line="240" w:lineRule="auto"/>
    </w:pPr>
    <w:tblPr/>
  </w:style>
  <w:style w:type="table" w:styleId="865">
    <w:name w:val="List Table 4 - Accent 6"/>
    <w:next w:val="865"/>
    <w:link w:val="722"/>
    <w:uiPriority w:val="99"/>
    <w:qFormat/>
    <w:pPr>
      <w:spacing w:after="0" w:line="240" w:lineRule="auto"/>
    </w:pPr>
    <w:tblPr/>
  </w:style>
  <w:style w:type="table" w:styleId="866">
    <w:name w:val="List Table 5 Dark"/>
    <w:next w:val="866"/>
    <w:link w:val="722"/>
    <w:uiPriority w:val="99"/>
    <w:qFormat/>
    <w:pPr>
      <w:spacing w:after="0" w:line="240" w:lineRule="auto"/>
    </w:pPr>
    <w:tblPr/>
  </w:style>
  <w:style w:type="table" w:styleId="867">
    <w:name w:val="List Table 5 Dark - Accent 1"/>
    <w:next w:val="867"/>
    <w:link w:val="722"/>
    <w:uiPriority w:val="99"/>
    <w:qFormat/>
    <w:pPr>
      <w:spacing w:after="0" w:line="240" w:lineRule="auto"/>
    </w:pPr>
    <w:tblPr/>
  </w:style>
  <w:style w:type="table" w:styleId="868">
    <w:name w:val="List Table 5 Dark - Accent 2"/>
    <w:next w:val="868"/>
    <w:link w:val="722"/>
    <w:uiPriority w:val="99"/>
    <w:qFormat/>
    <w:pPr>
      <w:spacing w:after="0" w:line="240" w:lineRule="auto"/>
    </w:pPr>
    <w:tblPr/>
  </w:style>
  <w:style w:type="table" w:styleId="869">
    <w:name w:val="List Table 5 Dark - Accent 3"/>
    <w:next w:val="869"/>
    <w:link w:val="722"/>
    <w:uiPriority w:val="99"/>
    <w:qFormat/>
    <w:pPr>
      <w:spacing w:after="0" w:line="240" w:lineRule="auto"/>
    </w:pPr>
    <w:tblPr/>
  </w:style>
  <w:style w:type="table" w:styleId="870">
    <w:name w:val="List Table 5 Dark - Accent 4"/>
    <w:next w:val="870"/>
    <w:link w:val="722"/>
    <w:uiPriority w:val="99"/>
    <w:qFormat/>
    <w:pPr>
      <w:spacing w:after="0" w:line="240" w:lineRule="auto"/>
    </w:pPr>
    <w:tblPr/>
  </w:style>
  <w:style w:type="table" w:styleId="871">
    <w:name w:val="List Table 5 Dark - Accent 5"/>
    <w:next w:val="871"/>
    <w:link w:val="722"/>
    <w:uiPriority w:val="99"/>
    <w:qFormat/>
    <w:pPr>
      <w:spacing w:after="0" w:line="240" w:lineRule="auto"/>
    </w:pPr>
    <w:tblPr/>
  </w:style>
  <w:style w:type="table" w:styleId="872">
    <w:name w:val="List Table 5 Dark - Accent 6"/>
    <w:next w:val="872"/>
    <w:link w:val="722"/>
    <w:uiPriority w:val="99"/>
    <w:qFormat/>
    <w:pPr>
      <w:spacing w:after="0" w:line="240" w:lineRule="auto"/>
    </w:pPr>
    <w:tblPr/>
  </w:style>
  <w:style w:type="table" w:styleId="873">
    <w:name w:val="List Table 6 Colorful"/>
    <w:next w:val="873"/>
    <w:link w:val="722"/>
    <w:uiPriority w:val="99"/>
    <w:qFormat/>
    <w:pPr>
      <w:spacing w:after="0" w:line="240" w:lineRule="auto"/>
    </w:pPr>
    <w:tblPr/>
  </w:style>
  <w:style w:type="table" w:styleId="874">
    <w:name w:val="List Table 6 Colorful - Accent 1"/>
    <w:next w:val="874"/>
    <w:link w:val="722"/>
    <w:uiPriority w:val="99"/>
    <w:qFormat/>
    <w:pPr>
      <w:spacing w:after="0" w:line="240" w:lineRule="auto"/>
    </w:pPr>
    <w:tblPr/>
  </w:style>
  <w:style w:type="table" w:styleId="875">
    <w:name w:val="List Table 6 Colorful - Accent 2"/>
    <w:next w:val="875"/>
    <w:link w:val="722"/>
    <w:uiPriority w:val="99"/>
    <w:qFormat/>
    <w:pPr>
      <w:spacing w:after="0" w:line="240" w:lineRule="auto"/>
    </w:pPr>
    <w:tblPr/>
  </w:style>
  <w:style w:type="table" w:styleId="876">
    <w:name w:val="List Table 6 Colorful - Accent 3"/>
    <w:next w:val="876"/>
    <w:link w:val="722"/>
    <w:uiPriority w:val="99"/>
    <w:qFormat/>
    <w:pPr>
      <w:spacing w:after="0" w:line="240" w:lineRule="auto"/>
    </w:pPr>
    <w:tblPr/>
  </w:style>
  <w:style w:type="table" w:styleId="877">
    <w:name w:val="List Table 6 Colorful - Accent 4"/>
    <w:next w:val="877"/>
    <w:link w:val="722"/>
    <w:uiPriority w:val="99"/>
    <w:qFormat/>
    <w:pPr>
      <w:spacing w:after="0" w:line="240" w:lineRule="auto"/>
    </w:pPr>
    <w:tblPr/>
  </w:style>
  <w:style w:type="table" w:styleId="878">
    <w:name w:val="List Table 6 Colorful - Accent 5"/>
    <w:next w:val="878"/>
    <w:link w:val="722"/>
    <w:uiPriority w:val="99"/>
    <w:qFormat/>
    <w:pPr>
      <w:spacing w:after="0" w:line="240" w:lineRule="auto"/>
    </w:pPr>
    <w:tblPr/>
  </w:style>
  <w:style w:type="table" w:styleId="879">
    <w:name w:val="List Table 6 Colorful - Accent 6"/>
    <w:next w:val="879"/>
    <w:link w:val="722"/>
    <w:uiPriority w:val="99"/>
    <w:qFormat/>
    <w:pPr>
      <w:spacing w:after="0" w:line="240" w:lineRule="auto"/>
    </w:pPr>
    <w:tblPr/>
  </w:style>
  <w:style w:type="table" w:styleId="880">
    <w:name w:val="List Table 7 Colorful"/>
    <w:next w:val="880"/>
    <w:link w:val="722"/>
    <w:uiPriority w:val="99"/>
    <w:qFormat/>
    <w:pPr>
      <w:spacing w:after="0" w:line="240" w:lineRule="auto"/>
    </w:pPr>
    <w:tblPr/>
  </w:style>
  <w:style w:type="table" w:styleId="881">
    <w:name w:val="List Table 7 Colorful - Accent 1"/>
    <w:next w:val="881"/>
    <w:link w:val="722"/>
    <w:uiPriority w:val="99"/>
    <w:qFormat/>
    <w:pPr>
      <w:spacing w:after="0" w:line="240" w:lineRule="auto"/>
    </w:pPr>
    <w:tblPr/>
  </w:style>
  <w:style w:type="table" w:styleId="882">
    <w:name w:val="List Table 7 Colorful - Accent 2"/>
    <w:next w:val="882"/>
    <w:link w:val="722"/>
    <w:uiPriority w:val="99"/>
    <w:qFormat/>
    <w:pPr>
      <w:spacing w:after="0" w:line="240" w:lineRule="auto"/>
    </w:pPr>
    <w:tblPr/>
  </w:style>
  <w:style w:type="table" w:styleId="883">
    <w:name w:val="List Table 7 Colorful - Accent 3"/>
    <w:next w:val="883"/>
    <w:link w:val="722"/>
    <w:uiPriority w:val="99"/>
    <w:qFormat/>
    <w:pPr>
      <w:spacing w:after="0" w:line="240" w:lineRule="auto"/>
    </w:pPr>
    <w:tblPr/>
  </w:style>
  <w:style w:type="table" w:styleId="884">
    <w:name w:val="List Table 7 Colorful - Accent 4"/>
    <w:next w:val="884"/>
    <w:link w:val="722"/>
    <w:uiPriority w:val="99"/>
    <w:qFormat/>
    <w:pPr>
      <w:spacing w:after="0" w:line="240" w:lineRule="auto"/>
    </w:pPr>
    <w:tblPr/>
  </w:style>
  <w:style w:type="table" w:styleId="885">
    <w:name w:val="List Table 7 Colorful - Accent 5"/>
    <w:next w:val="885"/>
    <w:link w:val="722"/>
    <w:uiPriority w:val="99"/>
    <w:qFormat/>
    <w:pPr>
      <w:spacing w:after="0" w:line="240" w:lineRule="auto"/>
    </w:pPr>
    <w:tblPr/>
  </w:style>
  <w:style w:type="table" w:styleId="886">
    <w:name w:val="List Table 7 Colorful - Accent 6"/>
    <w:next w:val="886"/>
    <w:link w:val="722"/>
    <w:uiPriority w:val="99"/>
    <w:qFormat/>
    <w:pPr>
      <w:spacing w:after="0" w:line="240" w:lineRule="auto"/>
    </w:pPr>
    <w:tblPr/>
  </w:style>
  <w:style w:type="table" w:styleId="887">
    <w:name w:val="Lined - Accent"/>
    <w:next w:val="887"/>
    <w:link w:val="722"/>
    <w:uiPriority w:val="99"/>
    <w:qFormat/>
    <w:pPr>
      <w:spacing w:after="0" w:line="240" w:lineRule="auto"/>
    </w:pPr>
    <w:rPr>
      <w:color w:val="404040"/>
    </w:rPr>
    <w:tblPr/>
  </w:style>
  <w:style w:type="table" w:styleId="888">
    <w:name w:val="Lined - Accent 1"/>
    <w:next w:val="888"/>
    <w:link w:val="722"/>
    <w:uiPriority w:val="99"/>
    <w:qFormat/>
    <w:pPr>
      <w:spacing w:after="0" w:line="240" w:lineRule="auto"/>
    </w:pPr>
    <w:rPr>
      <w:color w:val="404040"/>
    </w:rPr>
    <w:tblPr/>
  </w:style>
  <w:style w:type="table" w:styleId="889">
    <w:name w:val="Lined - Accent 2"/>
    <w:next w:val="889"/>
    <w:link w:val="722"/>
    <w:uiPriority w:val="99"/>
    <w:qFormat/>
    <w:pPr>
      <w:spacing w:after="0" w:line="240" w:lineRule="auto"/>
    </w:pPr>
    <w:rPr>
      <w:color w:val="404040"/>
    </w:rPr>
    <w:tblPr/>
  </w:style>
  <w:style w:type="table" w:styleId="890">
    <w:name w:val="Lined - Accent 3"/>
    <w:next w:val="890"/>
    <w:link w:val="722"/>
    <w:uiPriority w:val="99"/>
    <w:qFormat/>
    <w:pPr>
      <w:spacing w:after="0" w:line="240" w:lineRule="auto"/>
    </w:pPr>
    <w:rPr>
      <w:color w:val="404040"/>
    </w:rPr>
    <w:tblPr/>
  </w:style>
  <w:style w:type="table" w:styleId="891">
    <w:name w:val="Lined - Accent 4"/>
    <w:next w:val="891"/>
    <w:link w:val="722"/>
    <w:uiPriority w:val="99"/>
    <w:qFormat/>
    <w:pPr>
      <w:spacing w:after="0" w:line="240" w:lineRule="auto"/>
    </w:pPr>
    <w:rPr>
      <w:color w:val="404040"/>
    </w:rPr>
    <w:tblPr/>
  </w:style>
  <w:style w:type="table" w:styleId="892">
    <w:name w:val="Lined - Accent 5"/>
    <w:next w:val="892"/>
    <w:link w:val="722"/>
    <w:uiPriority w:val="99"/>
    <w:qFormat/>
    <w:pPr>
      <w:spacing w:after="0" w:line="240" w:lineRule="auto"/>
    </w:pPr>
    <w:rPr>
      <w:color w:val="404040"/>
    </w:rPr>
    <w:tblPr/>
  </w:style>
  <w:style w:type="table" w:styleId="893">
    <w:name w:val="Lined - Accent 6"/>
    <w:next w:val="893"/>
    <w:link w:val="722"/>
    <w:uiPriority w:val="99"/>
    <w:qFormat/>
    <w:pPr>
      <w:spacing w:after="0" w:line="240" w:lineRule="auto"/>
    </w:pPr>
    <w:rPr>
      <w:color w:val="404040"/>
    </w:rPr>
    <w:tblPr/>
  </w:style>
  <w:style w:type="table" w:styleId="894">
    <w:name w:val="Bordered &amp; Lined - Accent"/>
    <w:next w:val="894"/>
    <w:link w:val="722"/>
    <w:uiPriority w:val="99"/>
    <w:qFormat/>
    <w:pPr>
      <w:spacing w:after="0" w:line="240" w:lineRule="auto"/>
    </w:pPr>
    <w:rPr>
      <w:color w:val="404040"/>
    </w:rPr>
    <w:tblPr/>
  </w:style>
  <w:style w:type="table" w:styleId="895">
    <w:name w:val="Bordered &amp; Lined - Accent 1"/>
    <w:next w:val="895"/>
    <w:link w:val="722"/>
    <w:uiPriority w:val="99"/>
    <w:qFormat/>
    <w:pPr>
      <w:spacing w:after="0" w:line="240" w:lineRule="auto"/>
    </w:pPr>
    <w:rPr>
      <w:color w:val="404040"/>
    </w:rPr>
    <w:tblPr/>
  </w:style>
  <w:style w:type="table" w:styleId="896">
    <w:name w:val="Bordered &amp; Lined - Accent 2"/>
    <w:next w:val="896"/>
    <w:link w:val="722"/>
    <w:uiPriority w:val="99"/>
    <w:qFormat/>
    <w:pPr>
      <w:spacing w:after="0" w:line="240" w:lineRule="auto"/>
    </w:pPr>
    <w:rPr>
      <w:color w:val="404040"/>
    </w:rPr>
    <w:tblPr/>
  </w:style>
  <w:style w:type="table" w:styleId="897">
    <w:name w:val="Bordered &amp; Lined - Accent 3"/>
    <w:next w:val="897"/>
    <w:link w:val="722"/>
    <w:uiPriority w:val="99"/>
    <w:qFormat/>
    <w:pPr>
      <w:spacing w:after="0" w:line="240" w:lineRule="auto"/>
    </w:pPr>
    <w:rPr>
      <w:color w:val="404040"/>
    </w:rPr>
    <w:tblPr/>
  </w:style>
  <w:style w:type="table" w:styleId="898">
    <w:name w:val="Bordered &amp; Lined - Accent 4"/>
    <w:next w:val="898"/>
    <w:link w:val="722"/>
    <w:uiPriority w:val="99"/>
    <w:qFormat/>
    <w:pPr>
      <w:spacing w:after="0" w:line="240" w:lineRule="auto"/>
    </w:pPr>
    <w:rPr>
      <w:color w:val="404040"/>
    </w:rPr>
    <w:tblPr/>
  </w:style>
  <w:style w:type="table" w:styleId="899">
    <w:name w:val="Bordered &amp; Lined - Accent 5"/>
    <w:next w:val="899"/>
    <w:link w:val="722"/>
    <w:uiPriority w:val="99"/>
    <w:qFormat/>
    <w:pPr>
      <w:spacing w:after="0" w:line="240" w:lineRule="auto"/>
    </w:pPr>
    <w:rPr>
      <w:color w:val="404040"/>
    </w:rPr>
    <w:tblPr/>
  </w:style>
  <w:style w:type="table" w:styleId="900">
    <w:name w:val="Bordered &amp; Lined - Accent 6"/>
    <w:next w:val="900"/>
    <w:link w:val="722"/>
    <w:uiPriority w:val="99"/>
    <w:qFormat/>
    <w:pPr>
      <w:spacing w:after="0" w:line="240" w:lineRule="auto"/>
    </w:pPr>
    <w:rPr>
      <w:color w:val="404040"/>
    </w:rPr>
    <w:tblPr/>
  </w:style>
  <w:style w:type="table" w:styleId="901">
    <w:name w:val="Bordered"/>
    <w:next w:val="901"/>
    <w:link w:val="722"/>
    <w:uiPriority w:val="99"/>
    <w:qFormat/>
    <w:pPr>
      <w:spacing w:after="0" w:line="240" w:lineRule="auto"/>
    </w:pPr>
    <w:tblPr/>
  </w:style>
  <w:style w:type="table" w:styleId="902">
    <w:name w:val="Bordered - Accent 1"/>
    <w:next w:val="902"/>
    <w:link w:val="722"/>
    <w:uiPriority w:val="99"/>
    <w:qFormat/>
    <w:pPr>
      <w:spacing w:after="0" w:line="240" w:lineRule="auto"/>
    </w:pPr>
    <w:tblPr/>
  </w:style>
  <w:style w:type="table" w:styleId="903">
    <w:name w:val="Bordered - Accent 2"/>
    <w:next w:val="903"/>
    <w:link w:val="722"/>
    <w:uiPriority w:val="99"/>
    <w:qFormat/>
    <w:pPr>
      <w:spacing w:after="0" w:line="240" w:lineRule="auto"/>
    </w:pPr>
    <w:tblPr/>
  </w:style>
  <w:style w:type="table" w:styleId="904">
    <w:name w:val="Bordered - Accent 3"/>
    <w:next w:val="904"/>
    <w:link w:val="722"/>
    <w:uiPriority w:val="99"/>
    <w:qFormat/>
    <w:pPr>
      <w:spacing w:after="0" w:line="240" w:lineRule="auto"/>
    </w:pPr>
    <w:tblPr/>
  </w:style>
  <w:style w:type="table" w:styleId="905">
    <w:name w:val="Bordered - Accent 4"/>
    <w:next w:val="905"/>
    <w:link w:val="722"/>
    <w:uiPriority w:val="99"/>
    <w:qFormat/>
    <w:pPr>
      <w:spacing w:after="0" w:line="240" w:lineRule="auto"/>
    </w:pPr>
    <w:tblPr/>
  </w:style>
  <w:style w:type="table" w:styleId="906">
    <w:name w:val="Bordered - Accent 5"/>
    <w:next w:val="906"/>
    <w:link w:val="722"/>
    <w:uiPriority w:val="99"/>
    <w:qFormat/>
    <w:pPr>
      <w:spacing w:after="0" w:line="240" w:lineRule="auto"/>
    </w:pPr>
    <w:tblPr/>
  </w:style>
  <w:style w:type="table" w:styleId="907">
    <w:name w:val="Bordered - Accent 6"/>
    <w:next w:val="907"/>
    <w:link w:val="722"/>
    <w:uiPriority w:val="99"/>
    <w:qFormat/>
    <w:pPr>
      <w:spacing w:after="0" w:line="240" w:lineRule="auto"/>
    </w:pPr>
    <w:tblPr/>
  </w:style>
  <w:style w:type="paragraph" w:styleId="908">
    <w:name w:val="TOC Heading"/>
    <w:next w:val="908"/>
    <w:link w:val="722"/>
    <w:uiPriority w:val="39"/>
    <w:unhideWhenUsed/>
    <w:qFormat/>
    <w:rPr>
      <w:rFonts w:ascii="Times New Roman" w:hAnsi="Times New Roman" w:eastAsia="宋体" w:cs="Times New Roman"/>
    </w:rPr>
  </w:style>
  <w:style w:type="paragraph" w:styleId="909">
    <w:name w:val="标题 21"/>
    <w:basedOn w:val="722"/>
    <w:next w:val="722"/>
    <w:link w:val="722"/>
    <w:qFormat/>
    <w:pPr>
      <w:keepNext/>
      <w:outlineLvl w:val="1"/>
    </w:pPr>
    <w:rPr>
      <w:rFonts w:ascii="新宋体" w:hAnsi="Times New Roman" w:eastAsia="新宋体" w:cs="Times New Roman"/>
      <w:sz w:val="28"/>
    </w:rPr>
  </w:style>
  <w:style w:type="table" w:styleId="910">
    <w:name w:val="普通表格1"/>
    <w:next w:val="910"/>
    <w:link w:val="722"/>
    <w:uiPriority w:val="99"/>
    <w:unhideWhenUsed/>
    <w:qFormat/>
    <w:tblPr/>
  </w:style>
  <w:style w:type="paragraph" w:styleId="911">
    <w:name w:val="批注文字1"/>
    <w:basedOn w:val="722"/>
    <w:next w:val="911"/>
    <w:link w:val="912"/>
    <w:uiPriority w:val="99"/>
    <w:unhideWhenUsed/>
    <w:qFormat/>
    <w:pPr>
      <w:jc w:val="left"/>
    </w:pPr>
  </w:style>
  <w:style w:type="character" w:styleId="912">
    <w:name w:val="批注文字 字符"/>
    <w:next w:val="912"/>
    <w:link w:val="911"/>
    <w:uiPriority w:val="99"/>
    <w:semiHidden/>
    <w:qFormat/>
    <w:rPr>
      <w:sz w:val="21"/>
      <w:szCs w:val="22"/>
    </w:rPr>
  </w:style>
  <w:style w:type="paragraph" w:styleId="913">
    <w:name w:val="正文文本缩进1"/>
    <w:basedOn w:val="722"/>
    <w:next w:val="913"/>
    <w:link w:val="914"/>
    <w:qFormat/>
    <w:pPr>
      <w:ind w:left="420"/>
      <w:spacing w:after="120"/>
    </w:pPr>
    <w:rPr>
      <w:sz w:val="20"/>
      <w:szCs w:val="24"/>
    </w:rPr>
  </w:style>
  <w:style w:type="character" w:styleId="914">
    <w:name w:val="正文文本缩进 字符"/>
    <w:next w:val="914"/>
    <w:link w:val="913"/>
    <w:qFormat/>
    <w:rPr>
      <w:rFonts w:ascii="Calibri" w:hAnsi="Calibri" w:eastAsia="宋体" w:cs="Times New Roman"/>
      <w:szCs w:val="24"/>
    </w:rPr>
  </w:style>
  <w:style w:type="paragraph" w:styleId="915">
    <w:name w:val="批注框文本1"/>
    <w:basedOn w:val="722"/>
    <w:next w:val="915"/>
    <w:link w:val="916"/>
    <w:uiPriority w:val="99"/>
    <w:unhideWhenUsed/>
    <w:qFormat/>
    <w:rPr>
      <w:sz w:val="18"/>
      <w:szCs w:val="18"/>
    </w:rPr>
  </w:style>
  <w:style w:type="character" w:styleId="916">
    <w:name w:val="批注框文本 字符"/>
    <w:next w:val="916"/>
    <w:link w:val="915"/>
    <w:uiPriority w:val="99"/>
    <w:semiHidden/>
    <w:qFormat/>
    <w:rPr>
      <w:sz w:val="18"/>
      <w:szCs w:val="18"/>
    </w:rPr>
  </w:style>
  <w:style w:type="paragraph" w:styleId="917">
    <w:name w:val="页脚1"/>
    <w:basedOn w:val="722"/>
    <w:next w:val="917"/>
    <w:link w:val="918"/>
    <w:qFormat/>
    <w:pPr>
      <w:jc w:val="left"/>
      <w:tabs>
        <w:tab w:val="center" w:pos="4153" w:leader="none"/>
        <w:tab w:val="right" w:pos="8306" w:leader="none"/>
      </w:tabs>
    </w:pPr>
    <w:rPr>
      <w:sz w:val="18"/>
      <w:szCs w:val="18"/>
    </w:rPr>
  </w:style>
  <w:style w:type="character" w:styleId="918">
    <w:name w:val="页脚 字符"/>
    <w:next w:val="918"/>
    <w:link w:val="917"/>
    <w:qFormat/>
    <w:rPr>
      <w:rFonts w:ascii="Calibri" w:hAnsi="Calibri" w:eastAsia="宋体" w:cs="Times New Roman"/>
      <w:sz w:val="18"/>
      <w:szCs w:val="18"/>
    </w:rPr>
  </w:style>
  <w:style w:type="paragraph" w:styleId="919">
    <w:name w:val="页眉1"/>
    <w:basedOn w:val="722"/>
    <w:next w:val="919"/>
    <w:link w:val="920"/>
    <w:uiPriority w:val="99"/>
    <w:unhideWhenUsed/>
    <w:qFormat/>
    <w:pPr>
      <w:jc w:val="center"/>
      <w:tabs>
        <w:tab w:val="center" w:pos="4153" w:leader="none"/>
        <w:tab w:val="right" w:pos="8306" w:leader="none"/>
      </w:tabs>
    </w:pPr>
    <w:rPr>
      <w:sz w:val="18"/>
      <w:szCs w:val="18"/>
    </w:rPr>
  </w:style>
  <w:style w:type="character" w:styleId="920">
    <w:name w:val="页眉 字符"/>
    <w:next w:val="920"/>
    <w:link w:val="919"/>
    <w:uiPriority w:val="99"/>
    <w:qFormat/>
    <w:rPr>
      <w:sz w:val="18"/>
      <w:szCs w:val="18"/>
    </w:rPr>
  </w:style>
  <w:style w:type="paragraph" w:styleId="921">
    <w:name w:val="普通(网站)1"/>
    <w:basedOn w:val="722"/>
    <w:next w:val="921"/>
    <w:link w:val="722"/>
    <w:uiPriority w:val="99"/>
    <w:unhideWhenUsed/>
    <w:qFormat/>
    <w:pPr>
      <w:ind w:left="0" w:right="0"/>
      <w:jc w:val="left"/>
      <w:spacing w:before="100" w:beforeAutospacing="1" w:after="100" w:afterAutospacing="1"/>
    </w:pPr>
    <w:rPr>
      <w:sz w:val="24"/>
      <w:lang w:val="en-US" w:eastAsia="zh-CN" w:bidi="ar"/>
    </w:rPr>
  </w:style>
  <w:style w:type="paragraph" w:styleId="922">
    <w:name w:val="批注主题1"/>
    <w:basedOn w:val="911"/>
    <w:next w:val="911"/>
    <w:link w:val="923"/>
    <w:uiPriority w:val="99"/>
    <w:unhideWhenUsed/>
    <w:qFormat/>
    <w:rPr>
      <w:b/>
      <w:bCs/>
    </w:rPr>
  </w:style>
  <w:style w:type="character" w:styleId="923">
    <w:name w:val="批注主题 字符"/>
    <w:next w:val="923"/>
    <w:link w:val="922"/>
    <w:uiPriority w:val="99"/>
    <w:semiHidden/>
    <w:qFormat/>
    <w:rPr>
      <w:b/>
      <w:bCs/>
      <w:sz w:val="21"/>
      <w:szCs w:val="22"/>
    </w:rPr>
  </w:style>
  <w:style w:type="character" w:styleId="924">
    <w:name w:val="要点1"/>
    <w:next w:val="924"/>
    <w:link w:val="722"/>
    <w:uiPriority w:val="22"/>
    <w:qFormat/>
    <w:rPr>
      <w:b/>
      <w:bCs/>
    </w:rPr>
  </w:style>
  <w:style w:type="character" w:styleId="925">
    <w:name w:val="页码1"/>
    <w:next w:val="925"/>
    <w:link w:val="722"/>
    <w:uiPriority w:val="99"/>
    <w:unhideWhenUsed/>
    <w:qFormat/>
  </w:style>
  <w:style w:type="character" w:styleId="926">
    <w:name w:val="超链接1"/>
    <w:next w:val="926"/>
    <w:link w:val="722"/>
    <w:uiPriority w:val="99"/>
    <w:unhideWhenUsed/>
    <w:qFormat/>
    <w:rPr>
      <w:color w:val="0563c1"/>
      <w:u w:val="single"/>
    </w:rPr>
  </w:style>
  <w:style w:type="character" w:styleId="927">
    <w:name w:val="批注引用1"/>
    <w:next w:val="927"/>
    <w:link w:val="722"/>
    <w:uiPriority w:val="99"/>
    <w:unhideWhenUsed/>
    <w:qFormat/>
    <w:rPr>
      <w:sz w:val="21"/>
      <w:szCs w:val="21"/>
    </w:rPr>
  </w:style>
  <w:style w:type="character" w:styleId="928">
    <w:name w:val="NormalCharacter1"/>
    <w:next w:val="928"/>
    <w:link w:val="722"/>
    <w:qFormat/>
  </w:style>
  <w:style w:type="character" w:styleId="929">
    <w:name w:val="font01"/>
    <w:next w:val="929"/>
    <w:link w:val="722"/>
    <w:qFormat/>
    <w:rPr>
      <w:rFonts w:ascii="宋体" w:hAnsi="宋体" w:eastAsia="宋体" w:cs="宋体"/>
      <w:color w:val="000000"/>
      <w:sz w:val="20"/>
      <w:szCs w:val="20"/>
      <w:u w:val="none"/>
    </w:rPr>
  </w:style>
  <w:style w:type="paragraph" w:styleId="930">
    <w:name w:val="目录 11"/>
    <w:basedOn w:val="722"/>
    <w:next w:val="722"/>
    <w:link w:val="722"/>
    <w:qFormat/>
    <w:pPr>
      <w:jc w:val="left"/>
    </w:pPr>
    <w:rPr>
      <w:rFonts w:ascii="Calibri" w:hAnsi="Calibri" w:eastAsia="楷体_GB2312" w:cs="Times New Roman"/>
      <w:sz w:val="24"/>
      <w:szCs w:val="20"/>
    </w:rPr>
  </w:style>
  <w:style w:type="paragraph" w:styleId="931">
    <w:name w:val="修订"/>
    <w:next w:val="931"/>
    <w:link w:val="722"/>
    <w:uiPriority w:val="99"/>
    <w:semiHidden/>
    <w:qFormat/>
    <w:rPr>
      <w:rFonts w:ascii="Times New Roman" w:hAnsi="Times New Roman" w:eastAsia="宋体" w:cs="Times New Roman"/>
      <w:sz w:val="21"/>
      <w:szCs w:val="22"/>
      <w:lang w:val="en-US" w:eastAsia="zh-CN" w:bidi="ar-SA"/>
    </w:rPr>
  </w:style>
  <w:style w:type="paragraph" w:styleId="932">
    <w:name w:val="列出段落"/>
    <w:basedOn w:val="722"/>
    <w:next w:val="932"/>
    <w:link w:val="722"/>
    <w:uiPriority w:val="34"/>
    <w:qFormat/>
    <w:pPr>
      <w:ind w:firstLine="420"/>
      <w:spacing w:line="360" w:lineRule="auto"/>
    </w:pPr>
    <w:rPr>
      <w:rFonts w:ascii="Times New Roman" w:hAnsi="Times New Roman" w:eastAsia="宋体" w:cs="Times New Roman"/>
      <w:sz w:val="28"/>
    </w:rPr>
  </w:style>
  <w:style w:type="character" w:styleId="933">
    <w:name w:val="font31"/>
    <w:basedOn w:val="776"/>
    <w:next w:val="933"/>
    <w:link w:val="722"/>
    <w:qFormat/>
    <w:rPr>
      <w:rFonts w:hint="eastAsia" w:ascii="宋体" w:hAnsi="宋体" w:eastAsia="宋体" w:cs="宋体"/>
      <w:b/>
      <w:bCs/>
      <w:color w:val="000000"/>
      <w:sz w:val="24"/>
      <w:szCs w:val="24"/>
      <w:u w:val="none"/>
    </w:rPr>
  </w:style>
  <w:style w:type="paragraph" w:styleId="934">
    <w:name w:val="段"/>
    <w:next w:val="722"/>
    <w:link w:val="722"/>
    <w:qFormat/>
    <w:pPr>
      <w:ind w:firstLine="200"/>
      <w:jc w:val="both"/>
    </w:pPr>
    <w:rPr>
      <w:rFonts w:ascii="宋体" w:hAnsi="Times New Roman" w:eastAsia="Times New Roman" w:cs="Times New Roman"/>
      <w:sz w:val="21"/>
      <w:szCs w:val="22"/>
      <w:lang w:val="en-US" w:eastAsia="zh-CN" w:bidi="ar-SA"/>
    </w:rPr>
  </w:style>
  <w:style w:type="paragraph" w:styleId="935">
    <w:name w:val="纯文本1"/>
    <w:basedOn w:val="722"/>
    <w:next w:val="935"/>
    <w:link w:val="722"/>
    <w:qFormat/>
    <w:rPr>
      <w:rFonts w:ascii="宋体" w:hAnsi="Courier New" w:eastAsia="楷体_GB2312"/>
      <w:sz w:val="28"/>
      <w:szCs w:val="20"/>
    </w:r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dc:creator>
  <cp:lastModifiedBy>程能之</cp:lastModifiedBy>
  <cp:revision>6</cp:revision>
  <dcterms:created xsi:type="dcterms:W3CDTF">2024-10-24T14:02:00Z</dcterms:created>
  <dcterms:modified xsi:type="dcterms:W3CDTF">2026-07-16T03:57:55Z</dcterms:modified>
</cp:coreProperties>
</file>