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keepLines w:val="0"/>
        <w:keepNext w:val="0"/>
        <w:pageBreakBefore w:val="0"/>
        <w:rPr>
          <w:rFonts w:ascii="楷体" w:hAnsi="楷体" w:eastAsia="楷体"/>
          <w:b/>
          <w:sz w:val="72"/>
          <w:szCs w:val="72"/>
          <w:lang w:val="en-US" w:eastAsia="zh-CN"/>
        </w:rPr>
        <w:outlineLvl w:val="9"/>
      </w:pPr>
      <w:r>
        <w:rPr>
          <w:rFonts w:ascii="楷体" w:hAnsi="楷体" w:eastAsia="楷体"/>
          <w:b/>
          <w:sz w:val="72"/>
          <w:szCs w:val="72"/>
          <w:lang w:val="en-US" w:eastAsia="zh-CN"/>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9"/>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ind w:firstLine="708"/>
        <w:keepLines w:val="0"/>
        <w:keepNext w:val="0"/>
        <w:pageBreakBefore w:val="0"/>
        <w:spacing w:line="760" w:lineRule="exact"/>
        <w:rPr>
          <w:rFonts w:hint="eastAsia" w:ascii="黑体" w:hAnsi="黑体" w:eastAsia="黑体" w:cs="Times New Roman"/>
          <w:b/>
          <w:sz w:val="36"/>
        </w:rPr>
        <w:outlineLvl w:val="9"/>
      </w:pPr>
      <w:r>
        <w:rPr>
          <w:rFonts w:hint="eastAsia" w:ascii="黑体" w:hAnsi="黑体" w:eastAsia="黑体" w:cs="Times New Roman"/>
          <w:b/>
          <w:sz w:val="36"/>
        </w:rPr>
        <w:t xml:space="preserve">项目名称:AED（自动体外除颤仪）采购项目</w:t>
      </w:r>
      <w:r>
        <w:rPr>
          <w:rFonts w:hint="eastAsia" w:ascii="黑体" w:hAnsi="黑体" w:eastAsia="黑体" w:cs="Times New Roman"/>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JSZC-320800-JZCG-G2026-0037</w:t>
      </w:r>
      <w:r>
        <w:rPr>
          <w:rFonts w:hint="eastAsia" w:ascii="黑体" w:hAnsi="黑体" w:eastAsia="黑体"/>
          <w:b/>
          <w:sz w:val="36"/>
        </w:rPr>
      </w:r>
      <w:r/>
    </w:p>
    <w:p>
      <w:pPr>
        <w:pStyle w:val="899"/>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9"/>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七</w:t>
      </w:r>
      <w:r>
        <w:rPr>
          <w:rFonts w:hint="eastAsia" w:ascii="黑体" w:hAnsi="黑体" w:eastAsia="黑体"/>
          <w:b/>
          <w:sz w:val="36"/>
          <w:szCs w:val="36"/>
        </w:rPr>
        <w:t xml:space="preserve">月</w:t>
      </w:r>
      <w:r>
        <w:rPr>
          <w:rFonts w:hint="eastAsia" w:ascii="黑体" w:hAnsi="黑体" w:eastAsia="黑体"/>
          <w:b/>
          <w:sz w:val="36"/>
          <w:szCs w:val="36"/>
        </w:rPr>
        <w:t xml:space="preserve">二</w:t>
      </w:r>
      <w:r>
        <w:rPr>
          <w:rFonts w:hint="eastAsia" w:ascii="黑体" w:hAnsi="黑体" w:eastAsia="黑体"/>
          <w:b/>
          <w:sz w:val="36"/>
          <w:szCs w:val="36"/>
        </w:rPr>
        <w:t xml:space="preserve">日</w:t>
      </w:r>
      <w:r>
        <w:rPr>
          <w:rFonts w:hint="eastAsia" w:ascii="宋体" w:hAnsi="宋体"/>
          <w:sz w:val="24"/>
        </w:rPr>
      </w:r>
      <w:r/>
    </w:p>
    <w:p>
      <w:pPr>
        <w:pStyle w:val="899"/>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9"/>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受淮安市红十字会的委托，淮安市政府采购中心就AED（自动体外除颤仪）采购项目项目进行公开招标采购，现邀请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561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5615"/>
                        </a:xfrm>
                        <a:prstGeom prst="rect">
                          <a:avLst/>
                        </a:prstGeom>
                        <a:solidFill>
                          <a:srgbClr val="FFFFFF"/>
                        </a:solidFill>
                        <a:ln>
                          <a:solidFill>
                            <a:srgbClr val="000000"/>
                          </a:solidFill>
                        </a:ln>
                      </wps:spPr>
                      <wps:txbx>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年7月20日9点30分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年7月20日9点30分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v:textbox>
              </v:shape>
            </w:pict>
          </mc:Fallback>
        </mc:AlternateConten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（一）项目编号:JSZC-320800-JZCG-G2026-0037</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（二）项目名称:AED（自动体外除颤仪）采购项目</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（三）预算金额:126.4万元</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（四）最高限价:126.4万元</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（五）采购需求:AED（自动体外除颤仪）采购项目</w:t>
      </w:r>
      <w:r>
        <w:rPr>
          <w:rFonts w:hint="eastAsia" w:ascii="仿宋" w:hAnsi="仿宋" w:eastAsia="仿宋"/>
          <w:sz w:val="28"/>
          <w:szCs w:val="28"/>
          <w:lang w:eastAsia="zh-CN"/>
        </w:rPr>
        <w:t xml:space="preserve">，需求详见第五章项目采购需求。</w:t>
      </w:r>
      <w:r>
        <w:rPr>
          <w:rFonts w:hint="eastAsia" w:ascii="仿宋" w:hAnsi="仿宋" w:eastAsia="仿宋"/>
          <w:sz w:val="28"/>
          <w:szCs w:val="28"/>
          <w:lang w:eastAsia="zh-CN"/>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（六）合同履行期限:采购合同签订后40日内按采购方要求开始供货安装，并于2026年9月底前完成全部设备的安装调试。</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rPr>
          <w:sz w:val="22"/>
        </w:rPr>
      </w:r>
      <w:r/>
    </w:p>
    <w:p>
      <w:pPr>
        <w:pStyle w:val="899"/>
        <w:ind w:firstLine="560"/>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9"/>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sz w:val="28"/>
          <w:szCs w:val="28"/>
        </w:rPr>
        <w:t xml:space="preserve">（一）投标文件提交截止时间及开标时间:2026</w:t>
      </w:r>
      <w:r>
        <w:rPr>
          <w:rFonts w:hint="eastAsia" w:ascii="仿宋" w:hAnsi="仿宋" w:eastAsia="仿宋"/>
          <w:color w:val="auto"/>
          <w:sz w:val="28"/>
          <w:szCs w:val="28"/>
        </w:rPr>
        <w:t xml:space="preserve">年7月20日上午9:30</w:t>
      </w:r>
      <w:r>
        <w:rPr>
          <w:color w:val="auto"/>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名称:淮安市红十字会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地址:淮安市清江浦区西安路168号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袁士杰</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0517-83656181</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9"/>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9"/>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采用暗标方式进行评审。</w:t>
      </w:r>
      <w:r>
        <w:rPr>
          <w:rFonts w:hint="eastAsia" w:ascii="仿宋" w:hAnsi="仿宋" w:eastAsia="仿宋"/>
          <w:bCs/>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9"/>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9"/>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cs="仿宋"/>
          <w:bCs/>
          <w:sz w:val="28"/>
          <w:szCs w:val="28"/>
          <w:highlight w:val="none"/>
          <w:lang w:val="en-US" w:eastAsia="zh-CN"/>
        </w:rPr>
        <w:t xml:space="preserve">自动体外</w:t>
      </w:r>
      <w:r>
        <w:rPr>
          <w:rFonts w:hint="eastAsia" w:ascii="仿宋" w:hAnsi="仿宋" w:eastAsia="仿宋" w:cs="仿宋"/>
          <w:bCs/>
          <w:sz w:val="28"/>
          <w:szCs w:val="28"/>
          <w:highlight w:val="none"/>
        </w:rPr>
        <w:t xml:space="preserve">除颤仪</w:t>
      </w:r>
      <w:r>
        <w:rPr>
          <w:rFonts w:hint="eastAsia" w:ascii="仿宋" w:hAnsi="仿宋" w:eastAsia="仿宋" w:cs="仿宋"/>
          <w:bCs/>
          <w:sz w:val="28"/>
          <w:szCs w:val="28"/>
          <w:highlight w:val="none"/>
          <w:lang w:val="en-US" w:eastAsia="zh-CN"/>
        </w:rPr>
        <w:t xml:space="preserve">(AED)</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rPr>
        <w:t xml:space="preserve">26.1.13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四、</w:t>
      </w:r>
      <w:r>
        <w:rPr>
          <w:rFonts w:hint="eastAsia" w:ascii="仿宋" w:hAnsi="仿宋" w:eastAsia="仿宋" w:cs="Times New Roman"/>
          <w:b/>
          <w:bCs/>
          <w:sz w:val="28"/>
          <w:szCs w:val="28"/>
        </w:rPr>
        <w:t xml:space="preserve">售后服务</w:t>
      </w:r>
      <w:r>
        <w:rPr>
          <w:rFonts w:hint="eastAsia" w:ascii="仿宋" w:hAnsi="仿宋" w:eastAsia="仿宋" w:cs="Times New Roman"/>
          <w:b/>
          <w:bCs/>
          <w:sz w:val="28"/>
          <w:szCs w:val="28"/>
          <w:lang w:val="en-US" w:eastAsia="zh-CN"/>
        </w:rPr>
        <w:t xml:space="preserve">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六、</w:t>
      </w:r>
      <w:r>
        <w:rPr>
          <w:rFonts w:hint="eastAsia" w:ascii="仿宋" w:hAnsi="仿宋" w:eastAsia="仿宋" w:cs="Times New Roman"/>
          <w:b/>
          <w:bCs/>
          <w:sz w:val="28"/>
          <w:szCs w:val="28"/>
        </w:rPr>
        <w:t xml:space="preserve">商务部分</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rPr>
        <w:t xml:space="preserve">中“★”参数</w:t>
      </w:r>
      <w:r>
        <w:rPr>
          <w:rFonts w:hint="eastAsia" w:ascii="仿宋" w:hAnsi="仿宋" w:eastAsia="仿宋"/>
          <w:color w:val="000000"/>
          <w:sz w:val="28"/>
          <w:szCs w:val="28"/>
          <w:lang w:eastAsia="zh-CN"/>
        </w:rPr>
        <w:t xml:space="preserve">或要求</w:t>
      </w:r>
      <w:r>
        <w:rPr>
          <w:rFonts w:hint="eastAsia" w:ascii="仿宋" w:hAnsi="仿宋" w:eastAsia="仿宋"/>
          <w:color w:val="000000"/>
          <w:sz w:val="28"/>
          <w:szCs w:val="28"/>
        </w:rPr>
        <w:t xml:space="preserve">的。</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26.1.1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lang w:eastAsia="zh-CN"/>
        </w:rPr>
        <w:t xml:space="preserve">要求提供承诺书并加盖供应商电子签章</w:t>
      </w:r>
      <w:r>
        <w:rPr>
          <w:rFonts w:hint="eastAsia" w:ascii="仿宋" w:hAnsi="仿宋" w:eastAsia="仿宋"/>
          <w:color w:val="000000"/>
          <w:sz w:val="28"/>
          <w:szCs w:val="28"/>
        </w:rPr>
        <w:t xml:space="preserve">的。</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9"/>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9"/>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w:t>
      </w:r>
      <w:r>
        <w:rPr>
          <w:rFonts w:hint="eastAsia" w:ascii="仿宋" w:hAnsi="仿宋" w:eastAsia="仿宋" w:cs="Times New Roman"/>
          <w:sz w:val="28"/>
          <w:szCs w:val="28"/>
        </w:rPr>
        <w:t xml:space="preserve">科</w:t>
      </w:r>
      <w:r>
        <w:rPr>
          <w:rFonts w:hint="eastAsia" w:ascii="仿宋" w:hAnsi="仿宋" w:eastAsia="仿宋" w:cs="Times New Roman"/>
          <w:sz w:val="28"/>
          <w:szCs w:val="28"/>
        </w:rPr>
        <w:t xml:space="preserve">对该投标人列入失信行为或不良行为记录名单，进行相应的行政处罚。</w:t>
      </w:r>
      <w:r>
        <w:rPr>
          <w:rFonts w:ascii="仿宋" w:hAnsi="仿宋" w:eastAsia="仿宋" w:cs="Times New Roman"/>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0"/>
        <w:ind w:left="0" w:firstLine="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920"/>
        <w:ind w:firstLine="560"/>
        <w:keepLines w:val="0"/>
        <w:keepNext w:val="0"/>
        <w:pageBreakBefore w:val="0"/>
        <w:spacing w:line="52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9"/>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9"/>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0%</w:t>
      </w:r>
      <w:r>
        <w:rPr>
          <w:rFonts w:hint="eastAsia" w:ascii="仿宋" w:hAnsi="仿宋" w:eastAsia="仿宋"/>
          <w:sz w:val="28"/>
          <w:szCs w:val="28"/>
        </w:rPr>
        <w:t xml:space="preserve">的扣除，用扣除后的价格参与评审：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w:t>
      </w:r>
      <w:r>
        <w:rPr>
          <w:rFonts w:hint="eastAsia" w:ascii="仿宋" w:hAnsi="仿宋" w:eastAsia="仿宋"/>
          <w:sz w:val="28"/>
        </w:rPr>
        <w:t xml:space="preserve">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9"/>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9"/>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一个中标候选人。投标文件满足招标文件全部实质性要求，且按照评审因素的量化指标评审得分最高的投标人为排名第一的中标候选人。</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9"/>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（1）投标人所投产品技术参数完全满足招标文件第五章“二、技术参数要求”中标注“★”技术参数要求的得26分，未完全满足的作无效投标处理。</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（2）投标人所投产品技术参数与招标文件第五章 “二、技术参数要求”中未标注“★”技术参数要求相比较，以26基数，每有一项负偏离的扣2.17分，扣完为止。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sz w:val="28"/>
          <w:szCs w:val="28"/>
        </w:rPr>
        <w:t xml:space="preserve">   </w:t>
      </w:r>
      <w:r>
        <w:rPr>
          <w:rFonts w:hint="eastAsia" w:ascii="仿宋" w:hAnsi="仿宋" w:eastAsia="仿宋"/>
        </w:rPr>
        <w:t xml:space="preserve">投标人按照下列要求提供方案，评委会根据投标人提供的方案进行评分，未提供方案或者经三分之二评委认定方案存在重大偏离的整个方案部分均不得分。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（1）项目实施方案（8分）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针对本项目设置分工明确的项目管理团队，并具有合理明确的实施方案，以保障货物交付、安装、验收等有效的项目管理，安装符合规范，方案内容完整详实，对用户需求理解透彻，具有较强的可操作性及针对性</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得8分；方案较完整，</w:t>
      </w:r>
      <w:r>
        <w:rPr>
          <w:rFonts w:hint="eastAsia" w:ascii="仿宋" w:hAnsi="仿宋" w:eastAsia="仿宋"/>
          <w:sz w:val="28"/>
          <w:szCs w:val="28"/>
          <w:highlight w:val="none"/>
          <w:lang w:eastAsia="zh-CN"/>
        </w:rPr>
        <w:t xml:space="preserve">能够</w:t>
      </w:r>
      <w:r>
        <w:rPr>
          <w:rFonts w:hint="eastAsia" w:ascii="仿宋" w:hAnsi="仿宋" w:eastAsia="仿宋"/>
          <w:sz w:val="28"/>
          <w:szCs w:val="28"/>
          <w:highlight w:val="none"/>
        </w:rPr>
        <w:t xml:space="preserve">理解用户需求，可操作性及针对性</w:t>
      </w:r>
      <w:r>
        <w:rPr>
          <w:rFonts w:hint="eastAsia" w:ascii="仿宋" w:hAnsi="仿宋" w:eastAsia="仿宋"/>
          <w:sz w:val="28"/>
          <w:szCs w:val="28"/>
          <w:highlight w:val="none"/>
          <w:lang w:eastAsia="zh-CN"/>
        </w:rPr>
        <w:t xml:space="preserve">完全符合项目需求</w:t>
      </w:r>
      <w:r>
        <w:rPr>
          <w:rFonts w:hint="eastAsia" w:ascii="仿宋" w:hAnsi="仿宋" w:eastAsia="仿宋"/>
          <w:sz w:val="28"/>
          <w:szCs w:val="28"/>
          <w:highlight w:val="none"/>
        </w:rPr>
        <w:t xml:space="preserve">得5分；方案</w:t>
      </w:r>
      <w:r>
        <w:rPr>
          <w:rFonts w:hint="eastAsia" w:ascii="仿宋" w:hAnsi="仿宋" w:eastAsia="仿宋"/>
          <w:sz w:val="28"/>
          <w:szCs w:val="28"/>
          <w:highlight w:val="none"/>
          <w:lang w:eastAsia="zh-CN"/>
        </w:rPr>
        <w:t xml:space="preserve">基本符合项目需求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（2）培训方案（8分）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特点提供产品培训方案：培训方案中包括但不限于对培训的组织计划、产品使用的培训计划、培训人员配备安排、培训课程及课时安排、师资及模具安排、复训安排等内容。培训方案详尽、科学合理、针对性强、</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（3）售后服务方案（8分）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根据供应商提供的售后服务方案（如服务体系、服务内容、故障解决方案、响应时间、专业技术人员保障及服务电话）等酌情打分。售后服务方案完整合理，</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得8分；售后服务方案较为完整合理，可行性较高</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val="en-US" w:eastAsia="zh-CN"/>
        </w:rPr>
        <w:t xml:space="preserve">明标</w:t>
      </w:r>
      <w:r>
        <w:rPr>
          <w:rFonts w:hint="eastAsia" w:ascii="仿宋" w:hAnsi="仿宋" w:eastAsia="仿宋"/>
          <w:sz w:val="28"/>
          <w:szCs w:val="28"/>
        </w:rPr>
        <w:t xml:space="preserve">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eastAsia="zh-CN"/>
        </w:rPr>
        <w:t xml:space="preserve">投标人或</w:t>
      </w:r>
      <w:r>
        <w:rPr>
          <w:rFonts w:hint="eastAsia" w:ascii="仿宋" w:hAnsi="仿宋" w:eastAsia="仿宋"/>
          <w:sz w:val="28"/>
          <w:szCs w:val="28"/>
        </w:rPr>
        <w:t xml:space="preserve">所投产品制造商具备《IECQ QC 080000：2017证书》、《ISO/IEC277012019隐私信息管理体系》、《OHSAS 45001：2018认证证书》、ISO9001质量管理体系认证证书、ISO45001 职业健康安全管理体系认证、ISO14001 环境管理体系认证证书，</w:t>
      </w:r>
      <w:r>
        <w:rPr>
          <w:rFonts w:hint="eastAsia" w:ascii="仿宋" w:hAnsi="仿宋" w:eastAsia="仿宋" w:cs="Times New Roman"/>
          <w:sz w:val="28"/>
          <w:szCs w:val="28"/>
          <w:lang w:val="en-US" w:eastAsia="zh-CN"/>
        </w:rPr>
        <w:t xml:space="preserve">智能管理平台</w:t>
      </w:r>
      <w:r>
        <w:rPr>
          <w:rFonts w:hint="eastAsia" w:ascii="仿宋" w:hAnsi="仿宋" w:eastAsia="仿宋"/>
          <w:sz w:val="28"/>
          <w:szCs w:val="28"/>
        </w:rPr>
        <w:t xml:space="preserve">具备国家公安部认证的《信息系统安全等级保护备案证明》证书的，每提供一项得0.5分，本项最多得2分，不提供不得分。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（2）投标人提供2023年以来完成的所投产品类似业绩证明材料，每提供一份合同得0.5分，本项最高得3分，不提供不得分。（需提供对应的合同</w:t>
      </w:r>
      <w:r>
        <w:rPr>
          <w:rFonts w:hint="eastAsia" w:ascii="仿宋" w:hAnsi="仿宋" w:eastAsia="仿宋"/>
          <w:sz w:val="28"/>
          <w:szCs w:val="28"/>
          <w:lang w:eastAsia="zh-CN"/>
        </w:rPr>
        <w:t xml:space="preserve">或验收报告</w:t>
      </w:r>
      <w:r>
        <w:rPr>
          <w:rFonts w:hint="eastAsia" w:ascii="仿宋" w:hAnsi="仿宋" w:eastAsia="仿宋"/>
          <w:sz w:val="28"/>
          <w:szCs w:val="28"/>
        </w:rPr>
        <w:t xml:space="preserve">扫描件加盖公章）</w:t>
      </w:r>
      <w:r>
        <w:rPr>
          <w:rFonts w:hint="eastAsia" w:ascii="仿宋" w:hAnsi="仿宋" w:eastAsia="仿宋"/>
          <w:sz w:val="28"/>
          <w:szCs w:val="28"/>
        </w:rPr>
      </w:r>
      <w:r/>
    </w:p>
    <w:p>
      <w:pPr>
        <w:pStyle w:val="899"/>
        <w:ind w:firstLine="56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（3）人员要求（4分）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①投标人针对本项目拟派的负责人具备AED同类项目管理经验的得2分，没有不得分。（需提供投标人为拟派项目负责人缴纳的自2025年6月以来任意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月的社保证明，并提供项目负责人具有AED项目管理经验的</w:t>
      </w:r>
      <w:r>
        <w:rPr>
          <w:rFonts w:hint="eastAsia" w:ascii="仿宋" w:hAnsi="仿宋" w:eastAsia="仿宋"/>
          <w:sz w:val="28"/>
          <w:szCs w:val="28"/>
          <w:highlight w:val="none"/>
          <w:lang w:eastAsia="zh-CN"/>
        </w:rPr>
        <w:t xml:space="preserve">项目</w:t>
      </w:r>
      <w:r>
        <w:rPr>
          <w:rFonts w:hint="eastAsia" w:ascii="仿宋" w:hAnsi="仿宋" w:eastAsia="仿宋"/>
          <w:sz w:val="28"/>
          <w:szCs w:val="28"/>
          <w:highlight w:val="none"/>
        </w:rPr>
        <w:t xml:space="preserve">合同</w:t>
      </w:r>
      <w:r>
        <w:rPr>
          <w:rFonts w:hint="eastAsia" w:ascii="仿宋" w:hAnsi="仿宋" w:eastAsia="仿宋"/>
          <w:sz w:val="28"/>
          <w:szCs w:val="28"/>
        </w:rPr>
        <w:t xml:space="preserve">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②投标人针对本项目拟派的售后服务技术人员不少于5人，其中应急救护培训师资不少于2人，且为投标单位正式员工的得2分，没有不得分。（需提供投标人为拟派售后服务技术人员缴纳的自2025年6月以来任意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（4）所投品牌产品在国内2023年1月1日以来，每提供成功施救案例1例的得0.5分，本项最高得3分,没有不得分。</w:t>
      </w:r>
      <w:r>
        <w:rPr>
          <w:rFonts w:hint="eastAsia" w:ascii="仿宋" w:hAnsi="仿宋" w:eastAsia="仿宋"/>
          <w:sz w:val="28"/>
          <w:szCs w:val="28"/>
        </w:rPr>
        <w:t xml:space="preserve">（需提供相关媒体报道截图或网址链接等证明材料</w:t>
      </w:r>
      <w:r>
        <w:rPr>
          <w:rFonts w:hint="eastAsia"/>
          <w:lang w:eastAsia="zh-CN"/>
        </w:rPr>
        <w:t xml:space="preserve">，</w:t>
      </w:r>
      <w:r>
        <w:rPr>
          <w:rFonts w:hint="eastAsia" w:ascii="仿宋" w:hAnsi="仿宋" w:eastAsia="仿宋" w:cs="Times New Roman"/>
          <w:sz w:val="28"/>
          <w:szCs w:val="28"/>
          <w:highlight w:val="none"/>
          <w:lang w:val="en-US" w:eastAsia="zh-CN"/>
        </w:rPr>
        <w:t xml:space="preserve">加盖公章</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投标人承诺对AED、机箱和</w:t>
      </w:r>
      <w:r>
        <w:rPr>
          <w:rFonts w:hint="eastAsia" w:ascii="仿宋" w:hAnsi="仿宋" w:eastAsia="仿宋"/>
          <w:sz w:val="28"/>
          <w:szCs w:val="28"/>
          <w:highlight w:val="none"/>
        </w:rPr>
        <w:t xml:space="preserve">智能管理平台</w:t>
      </w:r>
      <w:r>
        <w:rPr>
          <w:rFonts w:hint="eastAsia" w:ascii="仿宋" w:hAnsi="仿宋" w:eastAsia="仿宋"/>
          <w:sz w:val="28"/>
          <w:szCs w:val="28"/>
        </w:rPr>
        <w:t xml:space="preserve">整体质保期在满足招标文件要求的基础上，每增加1年的得2分，本项最高得8分，不承诺不得分（质保承诺期限不得高于产品使用年限）。</w:t>
      </w:r>
      <w:r>
        <w:rPr>
          <w:rFonts w:hint="eastAsia"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9"/>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9"/>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0"/>
        <w:ind w:firstLine="560"/>
        <w:keepLines w:val="0"/>
        <w:keepNext w:val="0"/>
        <w:pageBreakBefore w:val="0"/>
        <w:spacing w:line="520" w:lineRule="exact"/>
        <w:rPr>
          <w:rFonts w:ascii="仿宋" w:hAnsi="仿宋" w:eastAsia="仿宋"/>
          <w:sz w:val="28"/>
          <w:szCs w:val="28"/>
          <w:highlight w:val="none"/>
          <w:lang w:val="en-US"/>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lang w:val="en-US"/>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lang w:val="en-US" w:eastAsia="zh-CN"/>
        </w:rPr>
        <w:t xml:space="preserve">合同金额的10%</w:t>
      </w:r>
      <w:r>
        <w:rPr>
          <w:rFonts w:ascii="仿宋" w:hAnsi="仿宋" w:eastAsia="仿宋"/>
          <w:sz w:val="28"/>
          <w:szCs w:val="28"/>
        </w:rPr>
        <w:t xml:space="preserve">作为本合同的履约保证金。</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（1）履约保证金退还方式：履约保证金按原缴纳渠道原路无息退还；采用银行保函、履约保险等形式提交的，整体服务保障周期届满后自动失效、解除担保责任。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（2）履约保证金退还时间：本项目整体服务保障周期届满，且中标人全面履行合同全部义务后，甲方在10个工作日内完成履约保证金无息退还。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（3）履约保证金退还条件：中标人已全面履行供货、安装、调试、培训、运维、售后、配件更换等所有合同义务</w:t>
      </w:r>
      <w:r>
        <w:rPr>
          <w:rFonts w:hint="eastAsia" w:ascii="仿宋" w:hAnsi="仿宋" w:eastAsia="仿宋"/>
          <w:sz w:val="28"/>
          <w:szCs w:val="28"/>
          <w:lang w:eastAsia="zh-CN"/>
        </w:rPr>
        <w:t xml:space="preserve">。</w:t>
      </w:r>
      <w:r>
        <w:rPr>
          <w:rFonts w:hint="eastAsia" w:ascii="仿宋" w:hAnsi="仿宋" w:eastAsia="仿宋"/>
          <w:sz w:val="28"/>
          <w:szCs w:val="28"/>
        </w:rPr>
        <w:t xml:space="preserve">项目通过最终履约验收，验收结果合格，全套项目资料、设备台账、数据资料、系统权限均完整移交</w:t>
      </w:r>
      <w:r>
        <w:rPr>
          <w:rFonts w:hint="eastAsia" w:ascii="仿宋" w:hAnsi="仿宋" w:eastAsia="仿宋"/>
          <w:sz w:val="28"/>
          <w:szCs w:val="28"/>
          <w:lang w:eastAsia="zh-CN"/>
        </w:rPr>
        <w:t xml:space="preserve">。全服务保障周期内设备运行稳定、</w:t>
      </w:r>
      <w:r>
        <w:rPr>
          <w:rFonts w:hint="eastAsia" w:ascii="仿宋" w:hAnsi="仿宋" w:eastAsia="仿宋"/>
          <w:sz w:val="28"/>
          <w:szCs w:val="28"/>
        </w:rPr>
        <w:t xml:space="preserve">无重大设备故障、服务违约、有效投诉、索赔及合同纠纷</w:t>
      </w:r>
      <w:r>
        <w:rPr>
          <w:rFonts w:hint="eastAsia" w:ascii="仿宋" w:hAnsi="仿宋" w:eastAsia="仿宋"/>
          <w:sz w:val="28"/>
          <w:szCs w:val="28"/>
          <w:lang w:eastAsia="zh-CN"/>
        </w:rPr>
        <w:t xml:space="preserve">。</w:t>
      </w:r>
      <w:r>
        <w:rPr>
          <w:rFonts w:hint="eastAsia" w:ascii="仿宋" w:hAnsi="仿宋" w:eastAsia="仿宋"/>
          <w:sz w:val="28"/>
          <w:szCs w:val="28"/>
        </w:rPr>
        <w:t xml:space="preserve">所有违约金、赔偿金、维修费用、补偿款项等均已结算完毕</w:t>
      </w:r>
      <w:r>
        <w:rPr>
          <w:rFonts w:hint="eastAsia" w:ascii="仿宋" w:hAnsi="仿宋" w:eastAsia="仿宋"/>
          <w:sz w:val="28"/>
          <w:szCs w:val="28"/>
          <w:lang w:eastAsia="zh-CN"/>
        </w:rPr>
        <w:t xml:space="preserve">。</w:t>
      </w:r>
      <w:r>
        <w:rPr>
          <w:rFonts w:hint="eastAsia" w:ascii="仿宋" w:hAnsi="仿宋" w:eastAsia="仿宋"/>
          <w:sz w:val="28"/>
          <w:szCs w:val="28"/>
        </w:rPr>
        <w:t xml:space="preserve">不存在招标文件、合同约定的扣除、没收履约保证金的其他情形。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如乙方未能履行合同</w:t>
      </w:r>
      <w:r>
        <w:rPr>
          <w:rFonts w:hint="eastAsia" w:ascii="仿宋" w:hAnsi="仿宋" w:eastAsia="仿宋"/>
          <w:sz w:val="28"/>
          <w:szCs w:val="28"/>
          <w:lang w:val="en-US" w:eastAsia="zh-CN"/>
        </w:rPr>
        <w:t xml:space="preserve">规定，包括但不限于：未按时限开展巡检维护、人员培训，质保期未满终止巡检维护等情况</w:t>
      </w:r>
      <w:r>
        <w:rPr>
          <w:rFonts w:hint="eastAsia" w:ascii="仿宋" w:hAnsi="仿宋" w:eastAsia="仿宋"/>
          <w:sz w:val="28"/>
          <w:szCs w:val="28"/>
        </w:rPr>
        <w:t xml:space="preserve">，甲方有权从履约保证金中取得补偿</w:t>
      </w:r>
      <w:r>
        <w:rPr>
          <w:rFonts w:hint="eastAsia" w:ascii="仿宋" w:hAnsi="仿宋" w:eastAsia="仿宋"/>
          <w:sz w:val="28"/>
          <w:szCs w:val="28"/>
          <w:lang w:val="en-US" w:eastAsia="zh-CN"/>
        </w:rPr>
        <w:t xml:space="preserve">用于设备的巡检维护</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9"/>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9"/>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宽</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color w:val="000000"/>
          <w:sz w:val="28"/>
          <w:szCs w:val="28"/>
          <w:highlight w:val="yellow"/>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0"/>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lang w:val="en-US" w:eastAsia="zh-CN" w:bidi="ar-SA"/>
        </w:rPr>
        <w:t xml:space="preserve">一、</w:t>
      </w:r>
      <w:r>
        <w:rPr>
          <w:rFonts w:hint="eastAsia" w:ascii="仿宋" w:hAnsi="仿宋" w:eastAsia="仿宋"/>
          <w:bCs/>
          <w:sz w:val="28"/>
          <w:szCs w:val="28"/>
        </w:rPr>
        <w:t xml:space="preserve">采购清单</w:t>
      </w:r>
      <w:r>
        <w:rPr>
          <w:rFonts w:hint="eastAsia" w:ascii="仿宋" w:hAnsi="仿宋" w:eastAsia="仿宋"/>
          <w:bCs/>
          <w:sz w:val="28"/>
          <w:szCs w:val="28"/>
        </w:rPr>
      </w:r>
      <w:r/>
    </w:p>
    <w:p>
      <w:pPr>
        <w:pStyle w:val="920"/>
        <w:ind w:firstLine="560"/>
        <w:keepLines w:val="0"/>
        <w:keepNext w:val="0"/>
        <w:pageBreakBefore w:val="0"/>
        <w:spacing w:line="520" w:lineRule="exact"/>
        <w:widowControl w:val="off"/>
        <w:rPr>
          <w:rFonts w:hint="eastAsia" w:ascii="仿宋" w:hAnsi="仿宋" w:eastAsia="仿宋"/>
          <w:bCs/>
          <w:sz w:val="28"/>
          <w:szCs w:val="28"/>
          <w:lang w:eastAsia="zh-CN"/>
        </w:rPr>
        <w:outlineLvl w:val="9"/>
      </w:pPr>
      <w:r>
        <w:rPr>
          <w:rFonts w:hint="eastAsia" w:ascii="仿宋" w:hAnsi="仿宋" w:eastAsia="仿宋"/>
          <w:bCs/>
          <w:sz w:val="28"/>
          <w:szCs w:val="28"/>
          <w:lang w:eastAsia="zh-CN"/>
        </w:rPr>
        <w:t xml:space="preserve">采购内容如下。</w:t>
      </w:r>
      <w:r>
        <w:rPr>
          <w:rFonts w:hint="eastAsia" w:ascii="仿宋" w:hAnsi="仿宋" w:eastAsia="仿宋"/>
          <w:bCs/>
          <w:sz w:val="28"/>
          <w:szCs w:val="28"/>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861"/>
        <w:gridCol w:w="1139"/>
        <w:gridCol w:w="3850"/>
      </w:tblGrid>
      <w:tr>
        <w:trPr>
          <w:trHeight w:val="552"/>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设备名称</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数量</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简要技术规格</w:t>
            </w:r>
            <w:r>
              <w:rPr>
                <w:rFonts w:hint="eastAsia" w:ascii="黑体" w:hAnsi="黑体" w:eastAsia="黑体" w:cs="黑体"/>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eastAsia="zh-CN"/>
              </w:rPr>
              <w:outlineLvl w:val="9"/>
            </w:pPr>
            <w:r>
              <w:rPr>
                <w:rFonts w:hint="eastAsia" w:ascii="仿宋" w:hAnsi="仿宋" w:eastAsia="仿宋" w:cs="仿宋"/>
                <w:bCs/>
                <w:sz w:val="28"/>
                <w:szCs w:val="28"/>
                <w:lang w:val="en-US" w:eastAsia="zh-CN"/>
              </w:rPr>
              <w:t xml:space="preserve">自动体外</w:t>
            </w:r>
            <w:r>
              <w:rPr>
                <w:rFonts w:hint="eastAsia" w:ascii="仿宋" w:hAnsi="仿宋" w:eastAsia="仿宋" w:cs="仿宋"/>
                <w:bCs/>
                <w:sz w:val="28"/>
                <w:szCs w:val="28"/>
              </w:rPr>
              <w:t xml:space="preserve">除颤</w:t>
            </w:r>
            <w:r>
              <w:rPr>
                <w:rFonts w:hint="eastAsia" w:ascii="仿宋" w:hAnsi="仿宋" w:eastAsia="仿宋" w:cs="仿宋"/>
                <w:bCs/>
                <w:sz w:val="28"/>
                <w:szCs w:val="28"/>
                <w:lang w:eastAsia="zh-CN"/>
              </w:rPr>
              <w:t xml:space="preserve">仪（</w:t>
            </w:r>
            <w:r>
              <w:rPr>
                <w:rFonts w:hint="eastAsia" w:ascii="仿宋" w:hAnsi="仿宋" w:eastAsia="仿宋" w:cs="仿宋"/>
                <w:bCs/>
                <w:sz w:val="28"/>
                <w:szCs w:val="28"/>
                <w:lang w:val="en-US" w:eastAsia="zh-CN"/>
              </w:rPr>
              <w:t xml:space="preserve">AED</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92</w:t>
            </w:r>
            <w:r>
              <w:rPr>
                <w:rFonts w:hint="eastAsia" w:ascii="仿宋" w:hAnsi="仿宋" w:eastAsia="仿宋" w:cs="仿宋"/>
                <w:bCs/>
                <w:sz w:val="28"/>
                <w:szCs w:val="28"/>
              </w:rPr>
              <w:t xml:space="preserve">台</w:t>
            </w:r>
            <w:r>
              <w:rPr>
                <w:rFonts w:hint="eastAsia" w:ascii="仿宋" w:hAnsi="仿宋" w:eastAsia="仿宋" w:cs="仿宋"/>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机箱</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92套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智能管理平台</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eastAsia="zh-CN"/>
        </w:rPr>
        <w:t xml:space="preserve">各单位需求如下。</w:t>
      </w:r>
      <w:r>
        <w:rPr>
          <w:rFonts w:hint="eastAsia" w:ascii="仿宋" w:hAnsi="仿宋" w:eastAsia="仿宋" w:cs="Times New Roman"/>
          <w:bCs/>
          <w:sz w:val="28"/>
          <w:szCs w:val="28"/>
          <w:lang w:eastAsia="zh-CN"/>
        </w:rPr>
      </w:r>
      <w:r/>
    </w:p>
    <w:tbl>
      <w:tblPr>
        <w:tblStyle w:val="93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781"/>
        <w:gridCol w:w="2280"/>
        <w:gridCol w:w="2100"/>
        <w:gridCol w:w="2400"/>
      </w:tblGrid>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单位</w:t>
            </w:r>
            <w:r>
              <w:rPr>
                <w:rFonts w:hint="eastAsia" w:ascii="黑体" w:hAnsi="黑体" w:eastAsia="黑体" w:cs="黑体"/>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数量（台）</w:t>
            </w:r>
            <w:r>
              <w:rPr>
                <w:rFonts w:hint="eastAsia" w:ascii="黑体" w:hAnsi="黑体" w:eastAsia="黑体" w:cs="黑体"/>
                <w:bCs/>
                <w:sz w:val="28"/>
                <w:szCs w:val="28"/>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机柜（套）</w:t>
            </w:r>
            <w:r>
              <w:rPr>
                <w:rFonts w:hint="eastAsia" w:ascii="黑体" w:hAnsi="黑体" w:eastAsia="黑体" w:cs="黑体"/>
                <w:bCs/>
                <w:sz w:val="28"/>
                <w:szCs w:val="28"/>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管理平台（套）</w:t>
            </w:r>
            <w:r>
              <w:rPr>
                <w:rFonts w:hint="eastAsia" w:ascii="黑体" w:hAnsi="黑体" w:eastAsia="黑体" w:cs="黑体"/>
                <w:bCs/>
                <w:sz w:val="28"/>
                <w:szCs w:val="28"/>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市红会</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清江浦区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淮阴区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洪泽区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涟水县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盱眙县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金湖县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cs="Times New Roman"/>
          <w:bCs/>
          <w:sz w:val="28"/>
          <w:szCs w:val="28"/>
          <w:lang w:eastAsia="zh-CN"/>
        </w:rPr>
        <w:t xml:space="preserve">确定中标单位后，以中标单价*各单位采购数量确定各单位最终合同价，由市红十字会及各县区分别与中标单位签订合同，由各单位依照合同支付款项。所报单价包含货物及有关的所有辅助服务，如运输、保险、安装、调试、提供技术援助、培训、巡检巡修和其他类似的服务费用，整体服务保障周期内，除合同价外，甲方不再承担任何费用。</w:t>
      </w:r>
      <w:r>
        <w:rPr>
          <w:rFonts w:hint="eastAsia" w:ascii="仿宋" w:hAnsi="仿宋" w:eastAsia="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en-US" w:eastAsia="zh-CN" w:bidi="ar-SA"/>
        </w:rPr>
        <w:t xml:space="preserve">二、</w:t>
      </w:r>
      <w:r>
        <w:rPr>
          <w:rFonts w:hint="eastAsia" w:ascii="仿宋" w:hAnsi="仿宋" w:eastAsia="仿宋" w:cs="Times New Roman"/>
          <w:bCs/>
          <w:sz w:val="28"/>
          <w:szCs w:val="28"/>
        </w:rPr>
        <w:t xml:space="preserve">技术参数要求</w:t>
      </w:r>
      <w:r>
        <w:rPr>
          <w:rFonts w:hint="eastAsia" w:ascii="仿宋" w:hAnsi="仿宋" w:eastAsia="仿宋" w:cs="Times New Roman"/>
          <w:bCs/>
          <w:sz w:val="28"/>
          <w:szCs w:val="28"/>
        </w:rPr>
      </w:r>
      <w:r/>
    </w:p>
    <w:tbl>
      <w:tblPr>
        <w:tblStyle w:val="937"/>
        <w:tblW w:w="0" w:type="auto"/>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7775"/>
      </w:tblGrid>
      <w:tr>
        <w:trPr/>
        <w:tc>
          <w:tcPr>
            <w:gridSpan w:val="2"/>
            <w:tcW w:w="8875" w:type="dxa"/>
            <w:vAlign w:val="center"/>
            <w:textDirection w:val="lrTb"/>
            <w:noWrap w:val="false"/>
          </w:tcPr>
          <w:p>
            <w:pPr>
              <w:pStyle w:val="899"/>
              <w:jc w:val="center"/>
              <w:keepLines w:val="0"/>
              <w:keepNext w:val="0"/>
              <w:pageBreakBefore w:val="0"/>
              <w:rPr>
                <w:rFonts w:eastAsia="仿宋_GB2312"/>
                <w:sz w:val="28"/>
                <w:szCs w:val="28"/>
                <w:vertAlign w:val="baseline"/>
                <w:lang w:val="en-US" w:eastAsia="zh-CN"/>
              </w:rPr>
              <w:outlineLvl w:val="9"/>
            </w:pPr>
            <w:r>
              <w:rPr>
                <w:rFonts w:hint="eastAsia"/>
                <w:sz w:val="28"/>
                <w:szCs w:val="28"/>
                <w:vertAlign w:val="baseline"/>
                <w:lang w:val="en-US" w:eastAsia="zh-CN"/>
              </w:rPr>
              <w:t xml:space="preserve">技术参数要求</w:t>
            </w:r>
            <w:r>
              <w:rPr>
                <w:rFonts w:eastAsia="仿宋_GB2312"/>
                <w:sz w:val="28"/>
                <w:szCs w:val="28"/>
                <w:vertAlign w:val="baseline"/>
                <w:lang w:val="en-US" w:eastAsia="zh-CN"/>
              </w:rPr>
            </w:r>
            <w:r/>
          </w:p>
        </w:tc>
      </w:tr>
      <w:tr>
        <w:trPr/>
        <w:tc>
          <w:tcPr>
            <w:tcW w:w="1100" w:type="dxa"/>
            <w:vAlign w:val="center"/>
            <w:textDirection w:val="lrTb"/>
            <w:noWrap w:val="false"/>
          </w:tcPr>
          <w:p>
            <w:pPr>
              <w:pStyle w:val="899"/>
              <w:numPr>
                <w:ilvl w:val="0"/>
                <w:numId w:val="6"/>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自</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动</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体</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外</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仪</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eastAsia="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（AED）</w:t>
            </w:r>
            <w:r>
              <w:rPr>
                <w:rFonts w:eastAsia="仿宋_GB2312"/>
                <w:sz w:val="28"/>
                <w:szCs w:val="28"/>
                <w:vertAlign w:val="baseline"/>
                <w:lang w:val="en-US" w:eastAsia="zh-CN"/>
              </w:rPr>
            </w:r>
            <w:r/>
          </w:p>
        </w:tc>
        <w:tc>
          <w:tcPr>
            <w:tcW w:w="7775" w:type="dxa"/>
            <w:vAlign w:val="top"/>
            <w:textDirection w:val="lrTb"/>
            <w:noWrap w:val="false"/>
          </w:tcPr>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1.AED机身</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★1.1整机重量（机器+电池等）≤3kg，主机具备便携把手，便</w:t>
            </w:r>
            <w:r>
              <w:rPr>
                <w:rFonts w:hint="eastAsia" w:ascii="仿宋" w:hAnsi="仿宋" w:eastAsia="仿宋" w:cs="仿宋"/>
                <w:bCs/>
                <w:sz w:val="24"/>
                <w:lang w:val="en-US" w:eastAsia="zh-CN"/>
              </w:rPr>
              <w:t xml:space="preserve">于</w:t>
            </w:r>
            <w:r>
              <w:rPr>
                <w:rFonts w:hint="eastAsia" w:ascii="仿宋" w:hAnsi="仿宋" w:eastAsia="仿宋" w:cs="仿宋"/>
                <w:bCs/>
                <w:sz w:val="24"/>
              </w:rPr>
              <w:t xml:space="preserve">携带。防尘防水级别</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IP55</w:t>
            </w:r>
            <w:r>
              <w:rPr>
                <w:rFonts w:hint="eastAsia" w:ascii="仿宋" w:hAnsi="仿宋" w:eastAsia="仿宋" w:cs="仿宋"/>
                <w:bCs/>
                <w:sz w:val="24"/>
                <w:lang w:eastAsia="zh-CN"/>
              </w:rPr>
              <w:t xml:space="preserve">，</w:t>
            </w:r>
            <w:r>
              <w:rPr>
                <w:rFonts w:hint="eastAsia" w:ascii="仿宋" w:hAnsi="仿宋" w:eastAsia="仿宋" w:cs="仿宋"/>
                <w:bCs/>
                <w:sz w:val="24"/>
              </w:rPr>
              <w:t xml:space="preserve">具备抗冲击/跌落性能，裸机可承受≥1.5米跌落冲击。</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AED机身有显示屏。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1.3</w:t>
            </w:r>
            <w:r>
              <w:rPr>
                <w:rFonts w:hint="eastAsia" w:ascii="仿宋" w:hAnsi="仿宋" w:eastAsia="仿宋" w:cs="仿宋"/>
                <w:bCs/>
                <w:sz w:val="24"/>
              </w:rPr>
              <w:t xml:space="preserve">机身显示屏尺寸≥4英寸</w:t>
            </w:r>
            <w:r>
              <w:rPr>
                <w:rFonts w:hint="eastAsia" w:ascii="仿宋" w:hAnsi="仿宋" w:eastAsia="仿宋" w:cs="仿宋"/>
                <w:bCs/>
                <w:sz w:val="24"/>
                <w:lang w:eastAsia="zh-CN"/>
              </w:rPr>
              <w:t xml:space="preserve">。</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操作：有操作流程的提示，操作便捷，支持开盖开机，设备操作面板上主要功能按键数量≤3个（成人儿童模式切换键、语言切换键、放电按键均属于主要功能按键）。有音量适中的中文语音和清晰的图示等2种以上操作流程提示指导功能,符合公共领域使用要求。</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最高运行环境温度不低于50℃，最低运行温度不高于-5℃，且从室温环境下进入-20℃环境后，至少能工作60分钟。</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1.6</w:t>
            </w:r>
            <w:r>
              <w:rPr>
                <w:rFonts w:hint="eastAsia" w:ascii="仿宋" w:hAnsi="仿宋" w:eastAsia="仿宋" w:cs="仿宋"/>
                <w:bCs/>
                <w:sz w:val="24"/>
              </w:rPr>
              <w:t xml:space="preserve">设备可采用常规医用酒精及含氯消毒剂进行消毒。</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1.7</w:t>
            </w:r>
            <w:r>
              <w:rPr>
                <w:rFonts w:hint="eastAsia" w:ascii="仿宋" w:hAnsi="仿宋" w:eastAsia="仿宋" w:cs="仿宋"/>
                <w:bCs/>
                <w:sz w:val="24"/>
              </w:rPr>
              <w:t xml:space="preserve">设备能够根据环境光强度自动调节屏幕显示亮度，适应野外强光环境下使用。根据周围环境噪杂程度自动提高语音播放音量。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除颤方式：半自动，最终实施电击应由操作者操作，以避免误接触患者影响电击有效性和安全性。</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心律分析及充电：正确粘贴电极片后，能自动进行心律分析，分析心律时间及充电时间均≤10秒。</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除颤：采用双相波除颤技术，成人最大除颤能量可支持360J。充电结束后未及时除颤可内部自动放电，保证患者、施救者及周围人员的安全。具备成人及儿童自动识别或一键切换功能。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11</w:t>
            </w:r>
            <w:r>
              <w:rPr>
                <w:rFonts w:hint="eastAsia" w:ascii="仿宋" w:hAnsi="仿宋" w:eastAsia="仿宋" w:cs="仿宋"/>
                <w:bCs/>
                <w:sz w:val="24"/>
              </w:rPr>
              <w:t xml:space="preserve">安全提示：设备建议除颤时，除颤按钮有明显提示；在除颤完成或“不建议电击”</w:t>
            </w:r>
            <w:r>
              <w:rPr>
                <w:rFonts w:hint="eastAsia" w:ascii="仿宋" w:hAnsi="仿宋" w:eastAsia="仿宋" w:cs="仿宋"/>
                <w:bCs/>
                <w:sz w:val="24"/>
                <w:lang w:val="en-US" w:eastAsia="zh-CN"/>
              </w:rPr>
              <w:t xml:space="preserve">等类似</w:t>
            </w:r>
            <w:r>
              <w:rPr>
                <w:rFonts w:hint="eastAsia" w:ascii="仿宋" w:hAnsi="仿宋" w:eastAsia="仿宋" w:cs="仿宋"/>
                <w:bCs/>
                <w:sz w:val="24"/>
              </w:rPr>
              <w:t xml:space="preserve">语音提示后，有进一步操作的提示。</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数据记录：可存储抢救记录数据，包括ECG波形、抢救事件记录、放电时间、除颤电击次数、录音文件等。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1.13</w:t>
            </w:r>
            <w:r>
              <w:rPr>
                <w:rFonts w:hint="eastAsia" w:ascii="仿宋" w:hAnsi="仿宋" w:eastAsia="仿宋" w:cs="仿宋"/>
                <w:bCs/>
                <w:sz w:val="24"/>
              </w:rPr>
              <w:t xml:space="preserve">开机后连续性数据记录时间≥1小时，数据导出另行存储后可清除，保证新数据的记录。</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1.14</w:t>
            </w:r>
            <w:r>
              <w:rPr>
                <w:rFonts w:hint="eastAsia" w:ascii="仿宋" w:hAnsi="仿宋" w:eastAsia="仿宋" w:cs="仿宋"/>
                <w:bCs/>
                <w:sz w:val="24"/>
              </w:rPr>
              <w:t xml:space="preserve">开机后具备现场录音功能，可保存20分钟以上抢救现场录音。</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1.15</w:t>
            </w:r>
            <w:r>
              <w:rPr>
                <w:rFonts w:hint="eastAsia" w:ascii="仿宋" w:hAnsi="仿宋" w:eastAsia="仿宋" w:cs="仿宋"/>
                <w:bCs/>
                <w:sz w:val="24"/>
              </w:rPr>
              <w:t xml:space="preserve">主机设备支持内置4G或5G模块，具备无线数据传输功能，可实现远程定位、存储和传输自检记录、ECG波形记录、现场录音记录等，支持建立AED分布电子地图</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事件回溯：具有专业数据分析软件，对除颤事件作出完整的回顾和分析，数据信息（含救护、性能自检和心电数据）可传输或导出至电脑端，下载分析软件免费。</w:t>
            </w:r>
            <w:r>
              <w:rPr>
                <w:rFonts w:hint="eastAsia" w:ascii="仿宋" w:hAnsi="仿宋" w:eastAsia="仿宋" w:cs="仿宋"/>
                <w:bCs/>
                <w:sz w:val="24"/>
              </w:rPr>
            </w:r>
            <w:r/>
          </w:p>
          <w:p>
            <w:pPr>
              <w:pStyle w:val="899"/>
              <w:ind w:firstLine="480"/>
              <w:keepLines w:val="0"/>
              <w:keepNext w:val="0"/>
              <w:pageBreakBefore w:val="0"/>
              <w:spacing w:line="520" w:lineRule="exact"/>
              <w:rPr>
                <w:rFonts w:ascii="仿宋" w:hAnsi="仿宋" w:eastAsia="仿宋" w:cs="仿宋"/>
                <w:bCs/>
                <w:sz w:val="24"/>
                <w:lang w:val="en-US" w:eastAsia="zh-CN"/>
              </w:rPr>
              <w:outlineLvl w:val="9"/>
            </w:pPr>
            <w:r>
              <w:rPr>
                <w:rFonts w:hint="eastAsia" w:ascii="仿宋" w:hAnsi="仿宋" w:eastAsia="仿宋" w:cs="仿宋"/>
                <w:bCs/>
                <w:sz w:val="24"/>
                <w:lang w:val="en-US" w:eastAsia="zh-CN"/>
              </w:rPr>
              <w:t xml:space="preserve">1.17</w:t>
            </w:r>
            <w:r>
              <w:rPr>
                <w:rFonts w:hint="eastAsia" w:ascii="仿宋" w:hAnsi="仿宋" w:eastAsia="仿宋" w:cs="仿宋"/>
                <w:bCs/>
                <w:sz w:val="24"/>
              </w:rPr>
              <w:t xml:space="preserve">具备使用信息及ECG波形的记录储存功能，可存储不少于3000份自检报告或事件记录等，并支持数据导出。</w:t>
            </w:r>
            <w:r>
              <w:rPr>
                <w:rFonts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18</w:t>
            </w:r>
            <w:r>
              <w:rPr>
                <w:rFonts w:hint="eastAsia" w:ascii="仿宋" w:hAnsi="仿宋" w:eastAsia="仿宋" w:cs="仿宋"/>
                <w:bCs/>
                <w:sz w:val="24"/>
              </w:rPr>
              <w:t xml:space="preserve">自检：有明确的声/光状态指示设备的运行状况，在故障时发出报警提示。待机模式下自动运行每日、每周和每月自检。设备每日自动检查AED机器性能、剩余电池、电极片状态等情况，并实时记录自检结果，对于异常情况能及时报警、发送信息至维护管理平台及管理人员。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19</w:t>
            </w:r>
            <w:r>
              <w:rPr>
                <w:rFonts w:hint="eastAsia" w:ascii="仿宋" w:hAnsi="仿宋" w:eastAsia="仿宋" w:cs="仿宋"/>
                <w:bCs/>
                <w:sz w:val="24"/>
              </w:rPr>
              <w:t xml:space="preserve">抗电磁辐射：能够有效过滤电磁辐射干扰，公共场所下能正常使用。 </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2.电池：</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★2.1类型：可更换电池。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★2.2在本机支持的最高能量除颤模式下，机内电池放电总次数不少于200次。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★2.3电池低电量首次报警后，还能支持最大能量除颤次数不少于6次。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★2.4机内新电池在不进行电击的情况下连续待机时间不少于5年。</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★2.5更换提示：电池低电量或失效时具有报警功能，并同步发送报警信息至管理平台及管理人员。</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3.电极片：</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★3.1类型：提供与机器配套同一品牌的电极片，要有明显的指示粘贴部位标记，防止粘贴错误，粘贴无效时有语音提示。备用状态时电极片不可裸露，取用AED过程中不得散落。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★3.2有效期：不低于60个月（报出有效期具体参数）。备用状态时电极片已经提前与机器连接，但不影响电极片有效期。</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4.配置及相关要求：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★4.1配置清单1：除颤仪、锂电池、电极片、用户手册、快速参考指南等。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★4.2配置清单2：提供至少</w:t>
            </w:r>
            <w:r>
              <w:rPr>
                <w:rFonts w:hint="eastAsia" w:ascii="仿宋" w:hAnsi="仿宋" w:eastAsia="仿宋" w:cs="仿宋"/>
                <w:bCs/>
                <w:sz w:val="24"/>
                <w:lang w:val="en-US" w:eastAsia="zh-CN"/>
              </w:rPr>
              <w:t xml:space="preserve">20</w:t>
            </w:r>
            <w:r>
              <w:rPr>
                <w:rFonts w:hint="eastAsia" w:ascii="仿宋" w:hAnsi="仿宋" w:eastAsia="仿宋" w:cs="仿宋"/>
                <w:bCs/>
                <w:sz w:val="24"/>
              </w:rPr>
              <w:t xml:space="preserve">台同品牌同款AED教学训练机，供</w:t>
            </w:r>
            <w:r>
              <w:rPr>
                <w:rFonts w:hint="eastAsia" w:ascii="仿宋" w:hAnsi="仿宋" w:eastAsia="仿宋" w:cs="仿宋"/>
                <w:bCs/>
                <w:sz w:val="24"/>
                <w:lang w:val="en-US" w:eastAsia="zh-CN"/>
              </w:rPr>
              <w:t xml:space="preserve">人员培训</w:t>
            </w:r>
            <w:r>
              <w:rPr>
                <w:rFonts w:hint="eastAsia" w:ascii="仿宋" w:hAnsi="仿宋" w:eastAsia="仿宋" w:cs="仿宋"/>
                <w:bCs/>
                <w:sz w:val="24"/>
              </w:rPr>
              <w:t xml:space="preserve">使用。</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注：以上（1-4）项参数必须提供技术支持资料（白皮书、彩页、手册、检测报告）中任意一项。（扫描件加盖投标人电子签章，不提供作无效投标处理）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★5.相关要求：投标人承诺所投AED为最新产品，且出厂日期不得早</w:t>
            </w:r>
            <w:r>
              <w:rPr>
                <w:rFonts w:hint="eastAsia" w:ascii="仿宋" w:hAnsi="仿宋" w:eastAsia="仿宋" w:cs="仿宋"/>
                <w:bCs/>
                <w:color w:val="000000"/>
                <w:sz w:val="24"/>
              </w:rPr>
              <w:t xml:space="preserve">于2026年1月。</w:t>
            </w:r>
            <w:r>
              <w:rPr>
                <w:rFonts w:hint="eastAsia" w:ascii="仿宋" w:hAnsi="仿宋" w:eastAsia="仿宋" w:cs="仿宋"/>
                <w:bCs/>
                <w:sz w:val="24"/>
              </w:rPr>
              <w:t xml:space="preserve">（投标人提供承诺书，</w:t>
            </w:r>
            <w:r>
              <w:rPr>
                <w:rFonts w:hint="eastAsia" w:ascii="仿宋" w:hAnsi="仿宋" w:eastAsia="仿宋" w:cs="仿宋"/>
                <w:sz w:val="24"/>
              </w:rPr>
              <w:t xml:space="preserve">加盖投标人电子签章，</w:t>
            </w:r>
            <w:r>
              <w:rPr>
                <w:rFonts w:hint="eastAsia" w:ascii="仿宋" w:hAnsi="仿宋" w:eastAsia="仿宋" w:cs="仿宋"/>
                <w:bCs/>
                <w:sz w:val="24"/>
              </w:rPr>
              <w:t xml:space="preserve">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★6、投标人提供所投AED机型使用年限不少于10年的设备标识铭牌或相关对外公布文件（扫描件加盖投标人电子签章，不提供作无效投标处理）。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7.</w:t>
            </w:r>
            <w:r>
              <w:rPr>
                <w:rFonts w:ascii="FangSong" w:hAnsi="FangSong" w:eastAsia="FangSong" w:cs="FangSong"/>
                <w:color w:val="000000"/>
                <w:sz w:val="24"/>
              </w:rPr>
              <w:t xml:space="preserve">所投产品当前无被责令停产、产品召回或涉及知识产权争议等情形(须提供承诺函，加盖供应商电子签章，格式自拟)。</w:t>
            </w:r>
            <w:r>
              <w:rPr>
                <w:rFonts w:hint="eastAsia"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8、项目的整体质保期限为6年。</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二、</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能</w:t>
            </w:r>
            <w:r>
              <w:rPr>
                <w:rFonts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管</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理</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平</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台</w:t>
            </w:r>
            <w:r>
              <w:rPr>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1.导航寻找AED功能;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2.开箱取机，在智能管理平台上有信息提示，含报警功能;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3.信息反馈功能:支持对全市范围内安装的AED信息维护、性能状况实时监控;在智能管理平台上有AED状态信息显示，使用信息反馈，日常自检信息反馈，故障信息反馈，巡检信息反馈，</w:t>
            </w:r>
            <w:r>
              <w:rPr>
                <w:rFonts w:hint="eastAsia" w:ascii="仿宋" w:hAnsi="仿宋" w:eastAsia="仿宋" w:cs="仿宋"/>
                <w:bCs/>
                <w:sz w:val="24"/>
              </w:rPr>
              <w:t xml:space="preserve">无条件预留</w:t>
            </w:r>
            <w:r>
              <w:rPr>
                <w:rFonts w:hint="eastAsia" w:ascii="仿宋" w:hAnsi="仿宋" w:eastAsia="仿宋" w:cs="仿宋"/>
                <w:bCs/>
                <w:sz w:val="24"/>
                <w:lang w:val="en-US" w:eastAsia="zh-CN"/>
              </w:rPr>
              <w:t xml:space="preserve">接</w:t>
            </w:r>
            <w:r>
              <w:rPr>
                <w:rFonts w:hint="eastAsia" w:ascii="仿宋" w:hAnsi="仿宋" w:eastAsia="仿宋" w:cs="仿宋"/>
                <w:bCs/>
                <w:sz w:val="24"/>
              </w:rPr>
              <w:t xml:space="preserve">口，可接入当地政府智能网和联动120急救等平台</w:t>
            </w:r>
            <w:r>
              <w:rPr>
                <w:rFonts w:hint="eastAsia" w:ascii="仿宋" w:hAnsi="仿宋" w:eastAsia="仿宋" w:cs="仿宋"/>
                <w:bCs/>
                <w:sz w:val="24"/>
                <w:lang w:val="en-US" w:eastAsia="zh-CN"/>
              </w:rPr>
              <w:t xml:space="preserve">;</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4.投标供应商24小时实时通过平台做好监控管理，能实时将报警信息发送至相关管理人员(包括采购方)。</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cs="仿宋_GB2312"/>
                <w:sz w:val="28"/>
                <w:szCs w:val="28"/>
                <w:vertAlign w:val="baseline"/>
                <w:lang w:val="en-US" w:eastAsia="zh-CN"/>
              </w:rPr>
              <w:t xml:space="preserve">三</w:t>
            </w:r>
            <w:r>
              <w:rPr>
                <w:rFonts w:hint="eastAsia" w:ascii="仿宋_GB2312" w:hAnsi="仿宋_GB2312" w:eastAsia="仿宋_GB2312" w:cs="仿宋_GB2312"/>
                <w:sz w:val="28"/>
                <w:szCs w:val="28"/>
                <w:vertAlign w:val="baseline"/>
                <w:lang w:val="en-US" w:eastAsia="zh-CN"/>
              </w:rPr>
              <w:t xml:space="preserve">、</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立</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柜</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式</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箱</w:t>
            </w:r>
            <w:r>
              <w:rPr>
                <w:rFonts w:ascii="仿宋_GB2312" w:hAnsi="仿宋_GB2312" w:eastAsia="仿宋_GB2312" w:cs="仿宋_GB2312"/>
                <w:sz w:val="28"/>
                <w:szCs w:val="28"/>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质量形态：立柜式机箱，</w:t>
            </w:r>
            <w:r>
              <w:rPr>
                <w:rFonts w:hint="eastAsia" w:ascii="仿宋" w:hAnsi="仿宋" w:eastAsia="仿宋" w:cs="仿宋"/>
                <w:bCs/>
                <w:color w:val="000000"/>
                <w:sz w:val="24"/>
              </w:rPr>
              <w:t xml:space="preserve">材料厚度≥2mm，</w:t>
            </w:r>
            <w:r>
              <w:rPr>
                <w:rFonts w:hint="eastAsia" w:ascii="仿宋" w:hAnsi="仿宋" w:eastAsia="仿宋" w:cs="仿宋"/>
                <w:bCs/>
                <w:sz w:val="24"/>
              </w:rPr>
              <w:t xml:space="preserve">箱体高度1米4以上，可储存AED、急救包、宣传用品等，材质耐压耐腐蚀并具备防晒防水等功能（室外机箱防锈质保达5年及以上）；机箱色彩由采购人选定，并根据采购人需求印制指定标识及宣传标语。</w:t>
            </w:r>
            <w:r>
              <w:rPr>
                <w:rFonts w:hint="eastAsia" w:ascii="仿宋" w:hAnsi="仿宋" w:eastAsia="仿宋" w:cs="仿宋"/>
                <w:bCs/>
                <w:sz w:val="24"/>
              </w:rPr>
            </w:r>
            <w:r/>
          </w:p>
          <w:p>
            <w:pPr>
              <w:pStyle w:val="899"/>
              <w:numPr>
                <w:ilvl w:val="0"/>
                <w:numId w:val="0"/>
              </w:numPr>
              <w:ind w:firstLine="480"/>
              <w:jc w:val="left"/>
              <w:keepLines w:val="0"/>
              <w:keepNext w:val="0"/>
              <w:pageBreakBefore w:val="0"/>
              <w:spacing w:line="520" w:lineRule="exact"/>
              <w:rPr>
                <w:rFonts w:ascii="仿宋" w:hAnsi="仿宋" w:eastAsia="仿宋" w:cs="仿宋"/>
                <w:bCs/>
                <w:sz w:val="24"/>
              </w:rPr>
              <w:outlineLvl w:val="9"/>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取用方式：AED取用方便，满足国家卫健委发布的《公共场所</w:t>
            </w:r>
            <w:r>
              <w:rPr>
                <w:rFonts w:hint="eastAsia" w:ascii="仿宋" w:hAnsi="仿宋" w:eastAsia="仿宋" w:cs="仿宋"/>
                <w:bCs/>
                <w:sz w:val="24"/>
                <w:lang w:eastAsia="zh-CN"/>
              </w:rPr>
              <w:t xml:space="preserve">自动体外除颤仪</w:t>
            </w:r>
            <w:r>
              <w:rPr>
                <w:rFonts w:hint="eastAsia" w:ascii="仿宋" w:hAnsi="仿宋" w:eastAsia="仿宋" w:cs="仿宋"/>
                <w:bCs/>
                <w:sz w:val="24"/>
              </w:rPr>
              <w:t xml:space="preserve">配置技术指南》</w:t>
            </w:r>
            <w:r>
              <w:rPr>
                <w:rFonts w:hint="eastAsia" w:ascii="仿宋" w:hAnsi="仿宋" w:eastAsia="仿宋" w:cs="仿宋"/>
                <w:bCs/>
                <w:sz w:val="24"/>
                <w:lang w:val="en-US" w:eastAsia="zh-CN"/>
              </w:rPr>
              <w:t xml:space="preserve">要求</w:t>
            </w:r>
            <w:r>
              <w:rPr>
                <w:rFonts w:hint="eastAsia" w:ascii="仿宋" w:hAnsi="仿宋" w:eastAsia="仿宋" w:cs="仿宋"/>
                <w:bCs/>
                <w:sz w:val="24"/>
              </w:rPr>
              <w:t xml:space="preserve">，不得采用扫码开锁等方式。在管理平台地图上（PC端和手机）显示被开启箱体的位置信息及箱体状态，并自动发送开箱消息至管理平台及管理人员。</w:t>
            </w:r>
            <w:r>
              <w:rPr>
                <w:rFonts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根据采购人要求，在AED配置点位设置醒目标志。</w:t>
            </w:r>
            <w:r>
              <w:rPr>
                <w:vertAlign w:val="baseline"/>
              </w:rPr>
            </w:r>
            <w:r/>
          </w:p>
        </w:tc>
      </w:tr>
    </w:tbl>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宋体"/>
          <w:sz w:val="28"/>
          <w:szCs w:val="28"/>
        </w:rPr>
        <w:t xml:space="preserve">注:上述</w:t>
      </w:r>
      <w:r>
        <w:rPr>
          <w:rFonts w:ascii="仿宋" w:hAnsi="仿宋" w:eastAsia="仿宋" w:cs="仿宋_GB2312"/>
          <w:sz w:val="28"/>
          <w:szCs w:val="28"/>
        </w:rPr>
        <w:t xml:space="preserve">标注“★”的</w:t>
      </w:r>
      <w:r>
        <w:rPr>
          <w:rFonts w:ascii="仿宋" w:hAnsi="仿宋" w:eastAsia="仿宋" w:cs="宋体"/>
          <w:sz w:val="28"/>
          <w:szCs w:val="28"/>
        </w:rPr>
        <w:t xml:space="preserve">参数</w:t>
      </w:r>
      <w:r>
        <w:rPr>
          <w:rFonts w:ascii="仿宋" w:hAnsi="仿宋" w:eastAsia="仿宋" w:cs="仿宋_GB2312"/>
          <w:sz w:val="28"/>
          <w:szCs w:val="28"/>
        </w:rPr>
        <w:t xml:space="preserve">必须完全满足，未完全满足作无效</w:t>
      </w:r>
      <w:r>
        <w:rPr>
          <w:rFonts w:hint="eastAsia" w:ascii="仿宋" w:hAnsi="仿宋" w:eastAsia="仿宋" w:cs="仿宋_GB2312"/>
          <w:sz w:val="28"/>
          <w:szCs w:val="28"/>
        </w:rPr>
        <w:t xml:space="preserve">投标</w:t>
      </w:r>
      <w:r>
        <w:rPr>
          <w:rFonts w:ascii="仿宋" w:hAnsi="仿宋" w:eastAsia="仿宋" w:cs="仿宋_GB2312"/>
          <w:sz w:val="28"/>
          <w:szCs w:val="28"/>
        </w:rPr>
        <w:t xml:space="preserve">处理。</w:t>
      </w:r>
      <w:r>
        <w:rPr>
          <w:rFonts w:ascii="仿宋" w:hAnsi="仿宋" w:eastAsia="仿宋" w:cs="仿宋_GB2312"/>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三、</w:t>
      </w:r>
      <w:r>
        <w:rPr>
          <w:rFonts w:hint="eastAsia" w:ascii="仿宋" w:hAnsi="仿宋" w:eastAsia="仿宋" w:cs="Times New Roman"/>
          <w:bCs/>
          <w:sz w:val="28"/>
          <w:szCs w:val="28"/>
        </w:rPr>
        <w:t xml:space="preserve">质保期限</w:t>
      </w:r>
      <w:r>
        <w:rPr>
          <w:rFonts w:hint="eastAsia" w:ascii="仿宋" w:hAnsi="仿宋" w:eastAsia="仿宋" w:cs="Times New Roman"/>
          <w:bCs/>
          <w:sz w:val="28"/>
          <w:szCs w:val="28"/>
        </w:rPr>
      </w:r>
      <w:r/>
    </w:p>
    <w:p>
      <w:pPr>
        <w:pStyle w:val="920"/>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bCs/>
          <w:sz w:val="28"/>
          <w:szCs w:val="28"/>
        </w:rPr>
        <w:t xml:space="preserve">项目整体质量保证期为6年。投标人提供承诺书，加盖投标人电子签章，不提供作无效投标处理</w:t>
      </w:r>
      <w:r>
        <w:rPr>
          <w:rFonts w:hint="eastAsia" w:ascii="仿宋" w:hAnsi="仿宋" w:eastAsia="仿宋" w:cs="仿宋"/>
          <w:bCs/>
          <w:sz w:val="28"/>
          <w:szCs w:val="28"/>
          <w:lang w:eastAsia="zh-CN"/>
        </w:rPr>
        <w:t xml:space="preserve">。</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四、</w:t>
      </w:r>
      <w:r>
        <w:rPr>
          <w:rFonts w:hint="eastAsia" w:ascii="仿宋" w:hAnsi="仿宋" w:eastAsia="仿宋" w:cs="Times New Roman"/>
          <w:bCs/>
          <w:sz w:val="28"/>
          <w:szCs w:val="28"/>
        </w:rPr>
        <w:t xml:space="preserve">售后服务</w:t>
      </w:r>
      <w:r>
        <w:rPr>
          <w:rFonts w:hint="eastAsia" w:ascii="仿宋" w:hAnsi="仿宋" w:eastAsia="仿宋" w:cs="Times New Roman"/>
          <w:bCs/>
          <w:sz w:val="28"/>
          <w:szCs w:val="28"/>
          <w:lang w:val="en-US" w:eastAsia="zh-CN"/>
        </w:rPr>
        <w:t xml:space="preserve">要求</w:t>
      </w:r>
      <w:r>
        <w:rPr>
          <w:rFonts w:hint="eastAsia" w:ascii="仿宋" w:hAnsi="仿宋" w:eastAsia="仿宋" w:cs="Times New Roman"/>
          <w:bCs/>
          <w:sz w:val="28"/>
          <w:szCs w:val="28"/>
          <w:lang w:val="en-US" w:eastAsia="zh-CN"/>
        </w:rPr>
      </w:r>
      <w:r/>
    </w:p>
    <w:p>
      <w:pPr>
        <w:pStyle w:val="920"/>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（一）售后服务</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必须有严格的售后服务保障体系，能提供正常的技术支持和备件供应服务。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2、中标方在质保期内安装的任何零配件，必须是设备原制造厂商生产的，所有的替代零配件必须是新的未使用和未经修复的。</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3、电池、电极片等配件</w:t>
      </w:r>
      <w:r>
        <w:rPr>
          <w:rFonts w:hint="eastAsia" w:ascii="仿宋" w:hAnsi="仿宋" w:eastAsia="仿宋" w:cs="仿宋"/>
          <w:bCs/>
          <w:sz w:val="28"/>
          <w:szCs w:val="28"/>
          <w:lang w:val="en-US" w:eastAsia="zh-CN"/>
        </w:rPr>
        <w:t xml:space="preserve">必须</w:t>
      </w:r>
      <w:r>
        <w:rPr>
          <w:rFonts w:hint="eastAsia" w:ascii="仿宋" w:hAnsi="仿宋" w:eastAsia="仿宋" w:cs="仿宋"/>
          <w:bCs/>
          <w:sz w:val="28"/>
          <w:szCs w:val="28"/>
        </w:rPr>
        <w:t xml:space="preserve">于到期前一个月内完成配件更换。</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4、AED使用放电后的数据日志所有权为采购方所有，中标方不得私下保存、发布，需在24小时内提交至采购方，并确保数据保密。</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5、AED主机及所有设备配件如发生损坏、丢失等意外事件和正常使用情况下造成设备配件损耗的，无论何种原因，由中标供应商负责及时恢复配置原状(数量)，所发生的一切费用均由中标供应商自行承担，采购人和AED设置点单位不承担任何费用，但应积极配合事件调查。中标供应商应在售后服务方案中明确。</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（二）技术培训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1、投标方应根据采购方的要求，上门对相关人员进行产品及网络技术免费培训，并制定与投标文件相应的培训方案。培训对象、时间、地点由采购方确定。</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2、技术培训至少应包括下列内容：心肺复苏及AED的操作使用程序、简易报警信息识别与处理、复杂报警信息上报流程等。</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3、质保期内，每年每台设备按采购方要求至少安排一次人员复训。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（三）后期维护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AED成套设备及智能管理平台</w:t>
      </w:r>
      <w:r>
        <w:rPr>
          <w:rFonts w:hint="eastAsia" w:ascii="仿宋" w:hAnsi="仿宋" w:eastAsia="仿宋" w:cs="仿宋"/>
          <w:bCs/>
          <w:sz w:val="28"/>
          <w:szCs w:val="28"/>
          <w:lang w:val="en-US" w:eastAsia="zh-CN"/>
        </w:rPr>
        <w:t xml:space="preserve">至少</w:t>
      </w:r>
      <w:r>
        <w:rPr>
          <w:rFonts w:hint="eastAsia" w:ascii="仿宋" w:hAnsi="仿宋" w:eastAsia="仿宋" w:cs="仿宋"/>
          <w:bCs/>
          <w:sz w:val="28"/>
          <w:szCs w:val="28"/>
        </w:rPr>
        <w:t xml:space="preserve">免6年以上维护费(含电池、电极片、急救包内物品到期后的免费更换，智能模块、平台使用和维护费用)，每年免费设备维护和现场巡检至少1次。因投标方设计安装原因而出现故障，则质保期从故障修复之日起重新开始计算。可延长AED、机箱和智能管理平台免费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（四）其他要求</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1、中标方提供的设备，其品牌、型号和技术参数等必须符合招投标文件的相关要求和承诺事项。如有不符，采购方可无条件退货，由此所造成的损失由中标方承担。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2、中标方和供货方的名称必须一致，否则视作违约处理。</w:t>
      </w:r>
      <w:r>
        <w:rPr>
          <w:rFonts w:hint="eastAsia" w:ascii="仿宋" w:hAnsi="仿宋" w:eastAsia="仿宋" w:cs="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val="en-US" w:eastAsia="zh-CN" w:bidi="ar-SA"/>
        </w:rPr>
        <w:t xml:space="preserve">五、</w:t>
      </w:r>
      <w:r>
        <w:rPr>
          <w:rFonts w:hint="eastAsia" w:ascii="仿宋" w:hAnsi="仿宋" w:eastAsia="仿宋" w:cs="Times New Roman"/>
          <w:bCs/>
          <w:sz w:val="28"/>
          <w:szCs w:val="28"/>
          <w:lang w:eastAsia="zh-CN"/>
        </w:rPr>
        <w:t xml:space="preserve">履约验收基本要求</w:t>
      </w:r>
      <w:r>
        <w:rPr>
          <w:rFonts w:hint="eastAsia" w:ascii="仿宋" w:hAnsi="仿宋" w:eastAsia="仿宋" w:cs="Times New Roman"/>
          <w:bCs/>
          <w:sz w:val="28"/>
          <w:szCs w:val="28"/>
          <w:lang w:eastAsia="zh-CN"/>
        </w:rPr>
      </w:r>
      <w:r/>
    </w:p>
    <w:p>
      <w:pPr>
        <w:pStyle w:val="899"/>
        <w:numPr>
          <w:ilvl w:val="0"/>
          <w:numId w:val="7"/>
        </w:numPr>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配套设施</w:t>
      </w:r>
      <w:r>
        <w:rPr>
          <w:rFonts w:hint="eastAsia" w:ascii="仿宋" w:hAnsi="仿宋" w:eastAsia="仿宋" w:cs="仿宋"/>
          <w:sz w:val="28"/>
          <w:szCs w:val="28"/>
          <w:lang w:val="en-US"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每套设备配置要求:AED主机、一次性不可充电电池、一次性电极片、用户手册、快速操作手册、储存柜</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AED储存柜要求:采用</w:t>
      </w:r>
      <w:r>
        <w:rPr>
          <w:rFonts w:hint="eastAsia" w:ascii="仿宋" w:hAnsi="仿宋" w:eastAsia="仿宋" w:cs="仿宋"/>
          <w:sz w:val="28"/>
          <w:szCs w:val="28"/>
        </w:rPr>
        <w:t xml:space="preserve">立柜式</w:t>
      </w:r>
      <w:r>
        <w:rPr>
          <w:rFonts w:hint="eastAsia" w:ascii="仿宋" w:hAnsi="仿宋" w:eastAsia="仿宋" w:cs="仿宋"/>
          <w:sz w:val="28"/>
          <w:szCs w:val="28"/>
        </w:rPr>
        <w:t xml:space="preserve">，材质应满足耐压、耐腐蚀、防生锈、防尘、防晒、防水、抗干扰等性能，保证可供室外放置至少</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年，可储存AED、急救包、宣传用品等。储存柜外观应比例协调，美观大方，储存柜色彩由采购方选定，含采购方需求定制印制标识及宣传内容。机箱上印有AED操作步骤、急救流程图、注意事项、售后服务热线等</w: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需要具备</w:t>
      </w:r>
      <w:r>
        <w:rPr>
          <w:rFonts w:hint="eastAsia" w:ascii="仿宋" w:hAnsi="仿宋" w:eastAsia="仿宋" w:cs="仿宋"/>
          <w:sz w:val="28"/>
          <w:szCs w:val="28"/>
          <w:lang w:val="en-US" w:eastAsia="zh-CN"/>
        </w:rPr>
        <w:t xml:space="preserve">智能</w:t>
      </w:r>
      <w:r>
        <w:rPr>
          <w:rFonts w:hint="eastAsia" w:ascii="仿宋" w:hAnsi="仿宋" w:eastAsia="仿宋" w:cs="仿宋"/>
          <w:sz w:val="28"/>
          <w:szCs w:val="28"/>
        </w:rPr>
        <w:t xml:space="preserve">管理平台，满足</w:t>
      </w:r>
      <w:r>
        <w:rPr>
          <w:rFonts w:hint="eastAsia" w:ascii="仿宋" w:hAnsi="仿宋" w:eastAsia="仿宋" w:cs="仿宋"/>
          <w:sz w:val="28"/>
          <w:szCs w:val="28"/>
          <w:lang w:val="en-US" w:eastAsia="zh-CN"/>
        </w:rPr>
        <w:t xml:space="preserve">技术参数要求</w:t>
      </w:r>
      <w:r>
        <w:rPr>
          <w:rFonts w:hint="eastAsia" w:ascii="仿宋" w:hAnsi="仿宋" w:eastAsia="仿宋" w:cs="仿宋"/>
          <w:sz w:val="28"/>
          <w:szCs w:val="28"/>
        </w:rPr>
        <w:t xml:space="preserve">，如涉及费用由投标人承担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r>
        <w:rPr>
          <w:rFonts w:hint="eastAsia" w:ascii="仿宋" w:hAnsi="仿宋" w:eastAsia="仿宋" w:cs="仿宋"/>
          <w:sz w:val="28"/>
          <w:szCs w:val="28"/>
        </w:rPr>
      </w:r>
      <w:r/>
    </w:p>
    <w:p>
      <w:pPr>
        <w:pStyle w:val="899"/>
        <w:numPr>
          <w:ilvl w:val="0"/>
          <w:numId w:val="7"/>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安装调试要求</w:t>
      </w:r>
      <w:r>
        <w:rPr>
          <w:rFonts w:hint="eastAsia" w:ascii="仿宋" w:hAnsi="仿宋" w:eastAsia="仿宋" w:cs="仿宋"/>
          <w:sz w:val="28"/>
          <w:szCs w:val="28"/>
        </w:rPr>
      </w:r>
      <w:r/>
    </w:p>
    <w:p>
      <w:pPr>
        <w:pStyle w:val="899"/>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lang w:eastAsia="zh-CN"/>
        </w:rPr>
        <w:outlineLvl w:val="9"/>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安装调试:由投标人提供的设备，其安装、设备上电、调试(包括硬件及软件)及开通由投标人负责，产生的相关费用包含在本项目报价中、由中标人承担，采购人予以协助配合。设备安装、调测所需工具、仪表及安装材料均由投标人提供</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0"/>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采购人负责安装地点的对接，并向中标人提供安装点位信息及联系人。</w:t>
      </w:r>
      <w:r>
        <w:rPr>
          <w:rFonts w:hint="eastAsia" w:ascii="仿宋" w:hAnsi="仿宋" w:eastAsia="仿宋" w:cs="仿宋"/>
          <w:sz w:val="28"/>
          <w:szCs w:val="28"/>
        </w:rPr>
      </w:r>
      <w:r/>
    </w:p>
    <w:p>
      <w:pPr>
        <w:pStyle w:val="899"/>
        <w:numPr>
          <w:ilvl w:val="0"/>
          <w:numId w:val="0"/>
        </w:numPr>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）验收标准:应与产品原始样本技术数据及标书技术文件一致，符合国家有关安全技术规范和技术标准。</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六、</w:t>
      </w:r>
      <w:r>
        <w:rPr>
          <w:rFonts w:hint="eastAsia" w:ascii="仿宋" w:hAnsi="仿宋" w:eastAsia="仿宋" w:cs="Times New Roman"/>
          <w:bCs/>
          <w:sz w:val="28"/>
          <w:szCs w:val="28"/>
        </w:rPr>
        <w:t xml:space="preserve">商务部分</w:t>
      </w:r>
      <w:r>
        <w:rPr>
          <w:rFonts w:hint="eastAsia" w:ascii="仿宋" w:hAnsi="仿宋" w:eastAsia="仿宋" w:cs="Times New Roman"/>
          <w:bCs/>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（一）供货时间:</w:t>
      </w:r>
      <w:r>
        <w:rPr>
          <w:rFonts w:hint="eastAsia" w:ascii="仿宋" w:hAnsi="仿宋" w:eastAsia="仿宋" w:cs="仿宋"/>
          <w:bCs/>
          <w:sz w:val="28"/>
          <w:szCs w:val="28"/>
        </w:rPr>
        <w:t xml:space="preserve">采购合同签订</w:t>
      </w:r>
      <w:r>
        <w:rPr>
          <w:rFonts w:hint="eastAsia" w:ascii="仿宋" w:hAnsi="仿宋" w:eastAsia="仿宋" w:cs="仿宋"/>
          <w:bCs/>
          <w:sz w:val="28"/>
          <w:szCs w:val="28"/>
          <w:lang w:val="en-US" w:eastAsia="zh-CN"/>
        </w:rPr>
        <w:t xml:space="preserve">后</w:t>
      </w:r>
      <w:r>
        <w:rPr>
          <w:rFonts w:hint="eastAsia" w:ascii="仿宋" w:hAnsi="仿宋" w:eastAsia="仿宋" w:cs="仿宋"/>
          <w:bCs/>
          <w:sz w:val="28"/>
          <w:szCs w:val="28"/>
        </w:rPr>
        <w:t xml:space="preserve">40日内按采购方要求开始供货安装，</w:t>
      </w:r>
      <w:r>
        <w:rPr>
          <w:rFonts w:hint="eastAsia" w:ascii="仿宋" w:hAnsi="仿宋" w:eastAsia="仿宋" w:cs="仿宋"/>
          <w:bCs/>
          <w:sz w:val="28"/>
          <w:szCs w:val="28"/>
          <w:lang w:val="en-US" w:eastAsia="zh-CN"/>
        </w:rPr>
        <w:t xml:space="preserve">并于</w:t>
      </w:r>
      <w:r>
        <w:rPr>
          <w:rFonts w:hint="eastAsia" w:ascii="仿宋" w:hAnsi="仿宋" w:eastAsia="仿宋" w:cs="仿宋"/>
          <w:bCs/>
          <w:color w:val="000000"/>
          <w:sz w:val="28"/>
          <w:szCs w:val="28"/>
        </w:rPr>
        <w:t xml:space="preserve">202</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lang w:val="en-US" w:eastAsia="zh-CN"/>
        </w:rPr>
        <w:t xml:space="preserve">9</w:t>
      </w:r>
      <w:r>
        <w:rPr>
          <w:rFonts w:hint="eastAsia" w:ascii="仿宋" w:hAnsi="仿宋" w:eastAsia="仿宋" w:cs="仿宋"/>
          <w:bCs/>
          <w:sz w:val="28"/>
          <w:szCs w:val="28"/>
        </w:rPr>
        <w:t xml:space="preserve">月底前完成全部设备的安装调试。</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（二）供货地点:</w:t>
      </w:r>
      <w:r>
        <w:rPr>
          <w:rFonts w:hint="eastAsia" w:ascii="仿宋" w:hAnsi="仿宋" w:eastAsia="仿宋" w:cs="仿宋"/>
          <w:bCs/>
          <w:sz w:val="28"/>
          <w:szCs w:val="28"/>
        </w:rPr>
        <w:t xml:space="preserve">由中标方免费将全套设备运送至各指定地点并安装调试到位，AED机箱需要的电源插座及网络设施由中标方负责安装到位。安装人员应具备相应资质，安装标准须符合国家有关安全技术规范和技术标准。</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sz w:val="28"/>
          <w:szCs w:val="28"/>
        </w:rPr>
        <w:t xml:space="preserve">（三）付款方式:</w:t>
      </w:r>
      <w:r>
        <w:rPr>
          <w:rFonts w:hint="eastAsia" w:ascii="仿宋" w:hAnsi="仿宋" w:eastAsia="仿宋" w:cs="仿宋"/>
          <w:b/>
          <w:bCs/>
          <w:sz w:val="28"/>
          <w:szCs w:val="28"/>
        </w:rPr>
      </w:r>
      <w:r/>
    </w:p>
    <w:p>
      <w:pPr>
        <w:pStyle w:val="899"/>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合同签订后20日内支付合同价</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0%的预付款；全部安装调试、</w:t>
      </w:r>
      <w:r>
        <w:rPr>
          <w:rFonts w:hint="eastAsia" w:ascii="仿宋" w:hAnsi="仿宋" w:eastAsia="仿宋" w:cs="仿宋"/>
          <w:sz w:val="28"/>
          <w:szCs w:val="28"/>
          <w:lang w:val="en-US" w:eastAsia="zh-CN"/>
        </w:rPr>
        <w:t xml:space="preserve">初</w:t>
      </w:r>
      <w:r>
        <w:rPr>
          <w:rFonts w:hint="eastAsia" w:ascii="仿宋" w:hAnsi="仿宋" w:eastAsia="仿宋" w:cs="仿宋"/>
          <w:sz w:val="28"/>
          <w:szCs w:val="28"/>
        </w:rPr>
        <w:t xml:space="preserve">验合格后支付合同总金额的30%；</w:t>
      </w:r>
      <w:r>
        <w:rPr>
          <w:rFonts w:hint="eastAsia" w:ascii="仿宋" w:hAnsi="仿宋" w:eastAsia="仿宋" w:cs="仿宋"/>
          <w:sz w:val="28"/>
          <w:szCs w:val="28"/>
          <w:lang w:val="en-US" w:eastAsia="zh-CN"/>
        </w:rPr>
        <w:t xml:space="preserve">终验合格后付清剩余20%尾款。</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（四）验收标准:应与产品原始样本技术数据及标书技术文件一致，符合国家有关安全技术规范和技术标准。</w:t>
      </w:r>
      <w:r>
        <w:rPr>
          <w:rFonts w:hint="eastAsia" w:ascii="仿宋" w:hAnsi="仿宋" w:eastAsia="仿宋" w:cs="仿宋"/>
          <w:sz w:val="28"/>
          <w:szCs w:val="28"/>
        </w:rPr>
      </w:r>
      <w:r/>
    </w:p>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仿宋_GB2312"/>
          <w:sz w:val="28"/>
          <w:szCs w:val="28"/>
        </w:rPr>
      </w:r>
      <w:r/>
    </w:p>
    <w:p>
      <w:pPr>
        <w:pStyle w:val="899"/>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9"/>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0"/>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9"/>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9"/>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9"/>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9"/>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9"/>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9"/>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9"/>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0"/>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20"/>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20"/>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9"/>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0"/>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9"/>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4、根据本项目的特定资格要求，投标人还须提供下列资料: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99"/>
        <w:ind w:firstLine="0"/>
        <w:jc w:val="center"/>
        <w:keepLines w:val="0"/>
        <w:keepNext w:val="0"/>
        <w:pageBreakBefore w:val="0"/>
        <w:spacing w:line="520" w:lineRule="exact"/>
        <w:widowControl w:val="off"/>
        <w:rPr>
          <w:rFonts w:hint="eastAsia" w:ascii="仿宋" w:hAnsi="仿宋" w:eastAsia="仿宋" w:cs="Arial"/>
          <w:b/>
          <w:bCs/>
          <w:sz w:val="32"/>
        </w:rPr>
        <w:outlineLvl w:val="9"/>
      </w:pPr>
      <w:r/>
      <w:bookmarkStart w:id="37" w:name="_Toc157775454"/>
      <w:r>
        <w:rPr>
          <w:rFonts w:hint="eastAsia" w:ascii="仿宋" w:hAnsi="仿宋" w:eastAsia="仿宋" w:cs="Arial"/>
          <w:b/>
          <w:bCs/>
          <w:sz w:val="32"/>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9"/>
        <w:ind w:firstLine="0"/>
        <w:jc w:val="center"/>
        <w:keepLines w:val="0"/>
        <w:keepNext w:val="0"/>
        <w:pageBreakBefore w:val="0"/>
        <w:spacing w:line="520" w:lineRule="exact"/>
        <w:widowControl w:val="off"/>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9"/>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9"/>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9"/>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9"/>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9"/>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9"/>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9"/>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9"/>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9"/>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9"/>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9"/>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9"/>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9"/>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9"/>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9"/>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9"/>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9"/>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9"/>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9"/>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9"/>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7"/>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9"/>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end"/>
    </w:r>
    <w:r>
      <w:rPr>
        <w:rStyle w:val="939"/>
      </w:rPr>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83"/>
      <w:isLgl w:val="false"/>
      <w:suff w:val="nothing"/>
      <w:lvlText w:val="第%1章"/>
      <w:lvlJc w:val="left"/>
      <w:pPr>
        <w:pStyle w:val="899"/>
        <w:ind w:left="640" w:firstLine="0"/>
      </w:pPr>
      <w:rPr>
        <w:rFonts w:hint="eastAsia"/>
      </w:rPr>
    </w:lvl>
    <w:lvl w:ilvl="1">
      <w:start w:val="1"/>
      <w:numFmt w:val="decimal"/>
      <w:isLgl w:val="false"/>
      <w:suff w:val="nothing"/>
      <w:lvlText w:val=""/>
      <w:lvlJc w:val="left"/>
      <w:pPr>
        <w:pStyle w:val="899"/>
        <w:ind w:left="640" w:firstLine="0"/>
      </w:pPr>
      <w:rPr>
        <w:rFonts w:hint="eastAsia"/>
      </w:rPr>
    </w:lvl>
    <w:lvl w:ilvl="2">
      <w:start w:val="1"/>
      <w:numFmt w:val="decimal"/>
      <w:isLgl w:val="false"/>
      <w:suff w:val="nothing"/>
      <w:lvlText w:val=""/>
      <w:lvlJc w:val="left"/>
      <w:pPr>
        <w:pStyle w:val="899"/>
        <w:ind w:left="640" w:firstLine="0"/>
      </w:pPr>
      <w:rPr>
        <w:rFonts w:hint="eastAsia"/>
      </w:rPr>
    </w:lvl>
    <w:lvl w:ilvl="3">
      <w:start w:val="1"/>
      <w:numFmt w:val="decimal"/>
      <w:isLgl w:val="false"/>
      <w:suff w:val="nothing"/>
      <w:lvlText w:val=""/>
      <w:lvlJc w:val="left"/>
      <w:pPr>
        <w:pStyle w:val="899"/>
        <w:ind w:left="640" w:firstLine="0"/>
      </w:pPr>
      <w:rPr>
        <w:rFonts w:hint="eastAsia"/>
      </w:rPr>
    </w:lvl>
    <w:lvl w:ilvl="4">
      <w:start w:val="1"/>
      <w:numFmt w:val="decimal"/>
      <w:isLgl w:val="false"/>
      <w:suff w:val="nothing"/>
      <w:lvlText w:val=""/>
      <w:lvlJc w:val="left"/>
      <w:pPr>
        <w:pStyle w:val="899"/>
        <w:ind w:left="640" w:firstLine="0"/>
      </w:pPr>
      <w:rPr>
        <w:rFonts w:hint="eastAsia"/>
      </w:rPr>
    </w:lvl>
    <w:lvl w:ilvl="5">
      <w:start w:val="1"/>
      <w:numFmt w:val="decimal"/>
      <w:isLgl w:val="false"/>
      <w:suff w:val="nothing"/>
      <w:lvlText w:val=""/>
      <w:lvlJc w:val="left"/>
      <w:pPr>
        <w:pStyle w:val="899"/>
        <w:ind w:left="640" w:firstLine="0"/>
      </w:pPr>
      <w:rPr>
        <w:rFonts w:hint="eastAsia"/>
      </w:rPr>
    </w:lvl>
    <w:lvl w:ilvl="6">
      <w:start w:val="1"/>
      <w:numFmt w:val="decimal"/>
      <w:isLgl w:val="false"/>
      <w:suff w:val="nothing"/>
      <w:lvlText w:val=""/>
      <w:lvlJc w:val="left"/>
      <w:pPr>
        <w:pStyle w:val="899"/>
        <w:ind w:left="640" w:firstLine="0"/>
      </w:pPr>
      <w:rPr>
        <w:rFonts w:hint="eastAsia"/>
      </w:rPr>
    </w:lvl>
    <w:lvl w:ilvl="7">
      <w:start w:val="1"/>
      <w:numFmt w:val="decimal"/>
      <w:isLgl w:val="false"/>
      <w:suff w:val="nothing"/>
      <w:lvlText w:val=""/>
      <w:lvlJc w:val="left"/>
      <w:pPr>
        <w:pStyle w:val="899"/>
        <w:ind w:left="640" w:firstLine="0"/>
      </w:pPr>
      <w:rPr>
        <w:rFonts w:hint="eastAsia"/>
      </w:rPr>
    </w:lvl>
    <w:lvl w:ilvl="8">
      <w:start w:val="1"/>
      <w:numFmt w:val="decimal"/>
      <w:isLgl w:val="false"/>
      <w:suff w:val="nothing"/>
      <w:lvlText w:val=""/>
      <w:lvlJc w:val="left"/>
      <w:pPr>
        <w:pStyle w:val="899"/>
        <w:ind w:left="640" w:firstLine="0"/>
      </w:pPr>
      <w:rPr>
        <w:rFonts w:hint="eastAsia"/>
      </w:rPr>
    </w:lvl>
  </w:abstractNum>
  <w:abstractNum w:abstractNumId="5">
    <w:multiLevelType w:val="hybridMultilevel"/>
    <w:lvl w:ilvl="0">
      <w:start w:val="2"/>
      <w:numFmt w:val="decimal"/>
      <w:isLgl w:val="false"/>
      <w:suff w:val="nothing"/>
      <w:lvlText w:val="%1、"/>
      <w:lvlJc w:val="left"/>
      <w:pPr>
        <w:pStyle w:val="89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3"/>
      <w:isLgl w:val="false"/>
      <w:suff w:val="tab"/>
      <w:lvlText w:val="%1、"/>
      <w:lvlJc w:val="left"/>
      <w:pPr>
        <w:pStyle w:val="899"/>
        <w:ind w:left="420" w:hanging="420"/>
        <w:tabs>
          <w:tab w:val="num" w:pos="420" w:leader="none"/>
        </w:tabs>
      </w:pPr>
      <w:rPr>
        <w:rFonts w:hint="eastAsia"/>
        <w:b/>
        <w:i w:val="0"/>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7">
    <w:multiLevelType w:val="hybridMultilevel"/>
    <w:lvl w:ilvl="0">
      <w:start w:val="2"/>
      <w:numFmt w:val="chineseCountingThousand"/>
      <w:pStyle w:val="979"/>
      <w:isLgl w:val="false"/>
      <w:suff w:val="nothing"/>
      <w:lvlText w:val="第%1部分"/>
      <w:lvlJc w:val="center"/>
      <w:pPr>
        <w:pStyle w:val="899"/>
        <w:ind w:left="432" w:firstLine="288"/>
      </w:pPr>
      <w:rPr>
        <w:rFonts w:hint="eastAsia"/>
        <w:sz w:val="28"/>
        <w:szCs w:val="28"/>
        <w:lang w:val="en-US"/>
      </w:rPr>
    </w:lvl>
    <w:lvl w:ilvl="1">
      <w:start w:val="1"/>
      <w:numFmt w:val="chineseCountingThousand"/>
      <w:isLgl w:val="false"/>
      <w:suff w:val="nothing"/>
      <w:lvlText w:val="%2、"/>
      <w:lvlJc w:val="left"/>
      <w:pPr>
        <w:pStyle w:val="899"/>
        <w:ind w:left="360" w:firstLine="0"/>
      </w:pPr>
      <w:rPr>
        <w:rFonts w:hint="eastAsia"/>
        <w:lang w:val="en-US"/>
      </w:rPr>
    </w:lvl>
    <w:lvl w:ilvl="2">
      <w:start w:val="1"/>
      <w:numFmt w:val="chineseCountingThousand"/>
      <w:isLgl w:val="false"/>
      <w:suff w:val="nothing"/>
      <w:lvlText w:val="(%3)"/>
      <w:lvlJc w:val="left"/>
      <w:pPr>
        <w:pStyle w:val="899"/>
        <w:ind w:left="0" w:firstLine="0"/>
      </w:pPr>
      <w:rPr>
        <w:rFonts w:hint="eastAsia"/>
      </w:rPr>
    </w:lvl>
    <w:lvl w:ilvl="3">
      <w:start w:val="1"/>
      <w:numFmt w:val="decimal"/>
      <w:isLgl w:val="false"/>
      <w:suff w:val="nothing"/>
      <w:lvlText w:val="%4、"/>
      <w:lvlJc w:val="left"/>
      <w:pPr>
        <w:pStyle w:val="899"/>
        <w:ind w:left="0" w:firstLine="0"/>
      </w:pPr>
      <w:rPr>
        <w:rFonts w:hint="eastAsia"/>
      </w:rPr>
    </w:lvl>
    <w:lvl w:ilvl="4">
      <w:start w:val="1"/>
      <w:numFmt w:val="upperLetter"/>
      <w:isLgl w:val="false"/>
      <w:suff w:val="nothing"/>
      <w:lvlText w:val="%5、"/>
      <w:lvlJc w:val="left"/>
      <w:pPr>
        <w:pStyle w:val="899"/>
        <w:ind w:left="0" w:firstLine="0"/>
      </w:pPr>
      <w:rPr>
        <w:rFonts w:hint="eastAsia"/>
      </w:rPr>
    </w:lvl>
    <w:lvl w:ilvl="5">
      <w:start w:val="1"/>
      <w:numFmt w:val="decimal"/>
      <w:isLgl w:val="false"/>
      <w:suff w:val="nothing"/>
      <w:lvlText w:val=""/>
      <w:lvlJc w:val="left"/>
      <w:pPr>
        <w:pStyle w:val="899"/>
        <w:ind w:left="0" w:firstLine="0"/>
      </w:pPr>
      <w:rPr>
        <w:rFonts w:hint="eastAsia"/>
      </w:rPr>
    </w:lvl>
    <w:lvl w:ilvl="6">
      <w:start w:val="1"/>
      <w:numFmt w:val="decimal"/>
      <w:isLgl w:val="false"/>
      <w:suff w:val="nothing"/>
      <w:lvlText w:val=""/>
      <w:lvlJc w:val="left"/>
      <w:pPr>
        <w:pStyle w:val="899"/>
        <w:ind w:left="0" w:firstLine="0"/>
      </w:pPr>
      <w:rPr>
        <w:rFonts w:hint="eastAsia"/>
      </w:rPr>
    </w:lvl>
    <w:lvl w:ilvl="7">
      <w:start w:val="1"/>
      <w:numFmt w:val="decimal"/>
      <w:isLgl w:val="false"/>
      <w:suff w:val="nothing"/>
      <w:lvlText w:val=""/>
      <w:lvlJc w:val="left"/>
      <w:pPr>
        <w:pStyle w:val="899"/>
        <w:ind w:left="0" w:firstLine="0"/>
      </w:pPr>
      <w:rPr>
        <w:rFonts w:hint="eastAsia"/>
      </w:rPr>
    </w:lvl>
    <w:lvl w:ilvl="8">
      <w:start w:val="1"/>
      <w:numFmt w:val="decimal"/>
      <w:isLgl w:val="false"/>
      <w:suff w:val="nothing"/>
      <w:lvlText w:val=""/>
      <w:lvlJc w:val="left"/>
      <w:pPr>
        <w:pStyle w:val="899"/>
        <w:ind w:left="0" w:firstLine="0"/>
      </w:pPr>
      <w:rPr>
        <w:rFonts w:hint="eastAsia"/>
      </w:rPr>
    </w:lvl>
  </w:abstractNum>
  <w:abstractNum w:abstractNumId="8">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3"/>
  </w:num>
  <w:num w:numId="5">
    <w:abstractNumId w:val="5"/>
  </w:num>
  <w:num w:numId="6">
    <w:abstractNumId w:val="8"/>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899"/>
    <w:uiPriority w:val="9"/>
    <w:qFormat/>
    <w:pPr>
      <w:keepLines/>
      <w:keepNext/>
      <w:spacing w:before="340" w:after="330" w:line="578" w:lineRule="auto"/>
      <w:outlineLvl w:val="0"/>
    </w:pPr>
    <w:rPr>
      <w:b/>
      <w:bCs/>
      <w:sz w:val="44"/>
      <w:szCs w:val="44"/>
    </w:rPr>
  </w:style>
  <w:style w:type="paragraph" w:styleId="901">
    <w:name w:val="标题 2"/>
    <w:basedOn w:val="899"/>
    <w:next w:val="907"/>
    <w:link w:val="899"/>
    <w:uiPriority w:val="9"/>
    <w:qFormat/>
    <w:pPr>
      <w:keepLines/>
      <w:keepNext/>
      <w:spacing w:before="260" w:after="260" w:line="413" w:lineRule="auto"/>
      <w:outlineLvl w:val="1"/>
    </w:pPr>
    <w:rPr>
      <w:rFonts w:ascii="Arial" w:hAnsi="Arial" w:eastAsia="黑体"/>
      <w:b/>
      <w:sz w:val="32"/>
      <w:szCs w:val="20"/>
    </w:rPr>
  </w:style>
  <w:style w:type="paragraph" w:styleId="902">
    <w:name w:val="标题 3"/>
    <w:basedOn w:val="899"/>
    <w:next w:val="899"/>
    <w:link w:val="899"/>
    <w:uiPriority w:val="9"/>
    <w:qFormat/>
    <w:pPr>
      <w:keepLines/>
      <w:keepNext/>
      <w:spacing w:before="260" w:after="260" w:line="413" w:lineRule="auto"/>
      <w:outlineLvl w:val="2"/>
    </w:pPr>
    <w:rPr>
      <w:rFonts w:ascii="Arial" w:hAnsi="Arial"/>
      <w:b/>
      <w:sz w:val="32"/>
      <w:szCs w:val="20"/>
    </w:rPr>
  </w:style>
  <w:style w:type="paragraph" w:styleId="903">
    <w:name w:val="标题 4"/>
    <w:basedOn w:val="899"/>
    <w:next w:val="899"/>
    <w:link w:val="909"/>
    <w:uiPriority w:val="9"/>
    <w:qFormat/>
    <w:pPr>
      <w:keepLines/>
      <w:keepNext/>
      <w:spacing w:before="280" w:after="290" w:line="376" w:lineRule="auto"/>
      <w:outlineLvl w:val="3"/>
    </w:pPr>
    <w:rPr>
      <w:rFonts w:ascii="Cambria" w:hAnsi="Cambria"/>
      <w:b/>
      <w:bCs/>
      <w:sz w:val="28"/>
      <w:szCs w:val="28"/>
    </w:rPr>
  </w:style>
  <w:style w:type="paragraph" w:styleId="904">
    <w:name w:val="标题 5"/>
    <w:basedOn w:val="899"/>
    <w:next w:val="899"/>
    <w:link w:val="910"/>
    <w:uiPriority w:val="9"/>
    <w:qFormat/>
    <w:pPr>
      <w:keepLines/>
      <w:keepNext/>
      <w:spacing w:before="280" w:after="290" w:line="376" w:lineRule="auto"/>
      <w:outlineLvl w:val="4"/>
    </w:pPr>
    <w:rPr>
      <w:b/>
      <w:bCs/>
      <w:sz w:val="28"/>
      <w:szCs w:val="28"/>
    </w:rPr>
  </w:style>
  <w:style w:type="character" w:styleId="905">
    <w:name w:val="默认段落字体"/>
    <w:next w:val="905"/>
    <w:link w:val="899"/>
    <w:semiHidden/>
  </w:style>
  <w:style w:type="table" w:styleId="906">
    <w:name w:val="普通表格"/>
    <w:next w:val="906"/>
    <w:link w:val="89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7">
    <w:name w:val="正文缩进"/>
    <w:basedOn w:val="899"/>
    <w:next w:val="907"/>
    <w:link w:val="908"/>
    <w:pPr>
      <w:ind w:firstLine="420"/>
    </w:pPr>
    <w:rPr>
      <w:szCs w:val="20"/>
    </w:rPr>
  </w:style>
  <w:style w:type="character" w:styleId="908">
    <w:name w:val="正文缩进 Char"/>
    <w:next w:val="908"/>
    <w:link w:val="907"/>
    <w:rPr>
      <w:sz w:val="21"/>
    </w:rPr>
  </w:style>
  <w:style w:type="character" w:styleId="909">
    <w:name w:val="标题 4 Char"/>
    <w:next w:val="909"/>
    <w:link w:val="903"/>
    <w:uiPriority w:val="9"/>
    <w:rPr>
      <w:rFonts w:ascii="Cambria" w:hAnsi="Cambria"/>
      <w:b/>
      <w:bCs/>
      <w:sz w:val="28"/>
      <w:szCs w:val="28"/>
    </w:rPr>
  </w:style>
  <w:style w:type="character" w:styleId="910">
    <w:name w:val="标题 5 Char"/>
    <w:next w:val="910"/>
    <w:link w:val="904"/>
    <w:uiPriority w:val="9"/>
    <w:rPr>
      <w:b/>
      <w:bCs/>
      <w:sz w:val="28"/>
      <w:szCs w:val="28"/>
    </w:rPr>
  </w:style>
  <w:style w:type="paragraph" w:styleId="911">
    <w:name w:val="题注"/>
    <w:basedOn w:val="899"/>
    <w:next w:val="899"/>
    <w:link w:val="899"/>
    <w:uiPriority w:val="35"/>
    <w:qFormat/>
    <w:pPr>
      <w:jc w:val="center"/>
      <w:spacing w:before="156" w:after="156" w:line="360" w:lineRule="auto"/>
    </w:pPr>
    <w:rPr>
      <w:rFonts w:ascii="Arial" w:hAnsi="Arial" w:cs="Arial"/>
      <w:sz w:val="24"/>
      <w:szCs w:val="20"/>
    </w:rPr>
  </w:style>
  <w:style w:type="paragraph" w:styleId="912">
    <w:name w:val="文档结构图"/>
    <w:basedOn w:val="899"/>
    <w:next w:val="912"/>
    <w:link w:val="899"/>
    <w:semiHidden/>
    <w:pPr>
      <w:shd w:val="clear" w:color="auto" w:fill="000080"/>
    </w:pPr>
  </w:style>
  <w:style w:type="paragraph" w:styleId="913">
    <w:name w:val="批注文字"/>
    <w:basedOn w:val="899"/>
    <w:next w:val="913"/>
    <w:link w:val="914"/>
    <w:uiPriority w:val="99"/>
    <w:unhideWhenUsed/>
    <w:pPr>
      <w:jc w:val="left"/>
    </w:pPr>
  </w:style>
  <w:style w:type="character" w:styleId="914">
    <w:name w:val="批注文字 Char"/>
    <w:next w:val="914"/>
    <w:link w:val="913"/>
    <w:uiPriority w:val="99"/>
    <w:rPr>
      <w:sz w:val="21"/>
      <w:szCs w:val="24"/>
    </w:rPr>
  </w:style>
  <w:style w:type="paragraph" w:styleId="915">
    <w:name w:val="正文文本 3"/>
    <w:basedOn w:val="899"/>
    <w:next w:val="915"/>
    <w:link w:val="899"/>
    <w:rPr>
      <w:rFonts w:ascii="楷体_GB2312" w:hAnsi="Arial" w:eastAsia="楷体_GB2312" w:cs="Arial"/>
      <w:b/>
      <w:bCs/>
      <w:color w:val="000000"/>
      <w:sz w:val="24"/>
    </w:rPr>
  </w:style>
  <w:style w:type="paragraph" w:styleId="916">
    <w:name w:val="正文文本"/>
    <w:basedOn w:val="899"/>
    <w:next w:val="916"/>
    <w:link w:val="89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name w:val="正文文本缩进"/>
    <w:basedOn w:val="899"/>
    <w:next w:val="917"/>
    <w:link w:val="899"/>
    <w:pPr>
      <w:ind w:firstLine="630"/>
    </w:pPr>
    <w:rPr>
      <w:rFonts w:ascii="楷体_GB2312" w:eastAsia="楷体_GB2312"/>
      <w:sz w:val="32"/>
      <w:szCs w:val="20"/>
    </w:rPr>
  </w:style>
  <w:style w:type="paragraph" w:styleId="918">
    <w:name w:val="文本块"/>
    <w:basedOn w:val="899"/>
    <w:next w:val="918"/>
    <w:link w:val="899"/>
    <w:pPr>
      <w:ind w:left="420" w:right="33"/>
      <w:jc w:val="left"/>
    </w:pPr>
    <w:rPr>
      <w:sz w:val="24"/>
      <w:szCs w:val="20"/>
    </w:rPr>
  </w:style>
  <w:style w:type="paragraph" w:styleId="919">
    <w:name w:val="目录 3"/>
    <w:basedOn w:val="899"/>
    <w:next w:val="899"/>
    <w:link w:val="899"/>
    <w:semiHidden/>
    <w:pPr>
      <w:ind w:left="840"/>
      <w:spacing w:line="300" w:lineRule="auto"/>
      <w:tabs>
        <w:tab w:val="right" w:pos="9344" w:leader="dot"/>
      </w:tabs>
    </w:pPr>
    <w:rPr>
      <w:rFonts w:ascii="Arial" w:hAnsi="Arial" w:cs="Arial"/>
      <w:szCs w:val="21"/>
    </w:rPr>
  </w:style>
  <w:style w:type="paragraph" w:styleId="920">
    <w:name w:val="纯文本"/>
    <w:basedOn w:val="899"/>
    <w:next w:val="920"/>
    <w:link w:val="921"/>
    <w:rPr>
      <w:rFonts w:ascii="宋体" w:hAnsi="Courier New"/>
      <w:szCs w:val="20"/>
    </w:rPr>
  </w:style>
  <w:style w:type="character" w:styleId="921">
    <w:name w:val="纯文本 Char"/>
    <w:next w:val="921"/>
    <w:link w:val="920"/>
    <w:rPr>
      <w:rFonts w:ascii="宋体" w:hAnsi="Courier New" w:eastAsia="宋体"/>
      <w:sz w:val="21"/>
      <w:lang w:val="en-US" w:eastAsia="zh-CN" w:bidi="ar-SA"/>
    </w:rPr>
  </w:style>
  <w:style w:type="paragraph" w:styleId="922">
    <w:name w:val="正文文本缩进 2"/>
    <w:basedOn w:val="899"/>
    <w:next w:val="922"/>
    <w:link w:val="899"/>
    <w:pPr>
      <w:ind w:left="420"/>
      <w:spacing w:after="120" w:line="480" w:lineRule="auto"/>
    </w:pPr>
  </w:style>
  <w:style w:type="paragraph" w:styleId="923">
    <w:name w:val="批注框文本"/>
    <w:basedOn w:val="899"/>
    <w:next w:val="923"/>
    <w:link w:val="924"/>
    <w:rPr>
      <w:sz w:val="18"/>
      <w:szCs w:val="18"/>
    </w:rPr>
  </w:style>
  <w:style w:type="character" w:styleId="924">
    <w:name w:val="批注框文本 Char"/>
    <w:next w:val="924"/>
    <w:link w:val="923"/>
    <w:rPr>
      <w:sz w:val="18"/>
      <w:szCs w:val="18"/>
    </w:rPr>
  </w:style>
  <w:style w:type="paragraph" w:styleId="925">
    <w:name w:val="页脚"/>
    <w:basedOn w:val="899"/>
    <w:next w:val="925"/>
    <w:link w:val="926"/>
    <w:pPr>
      <w:jc w:val="left"/>
      <w:tabs>
        <w:tab w:val="center" w:pos="4153" w:leader="none"/>
        <w:tab w:val="right" w:pos="8306" w:leader="none"/>
      </w:tabs>
    </w:pPr>
    <w:rPr>
      <w:sz w:val="18"/>
      <w:szCs w:val="18"/>
    </w:rPr>
  </w:style>
  <w:style w:type="character" w:styleId="926">
    <w:name w:val="页脚 Char"/>
    <w:next w:val="926"/>
    <w:link w:val="925"/>
    <w:rPr>
      <w:sz w:val="18"/>
      <w:szCs w:val="18"/>
    </w:rPr>
  </w:style>
  <w:style w:type="paragraph" w:styleId="927">
    <w:name w:val="页眉"/>
    <w:basedOn w:val="899"/>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sz w:val="18"/>
      <w:szCs w:val="18"/>
    </w:rPr>
  </w:style>
  <w:style w:type="paragraph" w:styleId="929">
    <w:name w:val="目录 1"/>
    <w:basedOn w:val="899"/>
    <w:next w:val="899"/>
    <w:link w:val="899"/>
    <w:semiHidden/>
  </w:style>
  <w:style w:type="paragraph" w:styleId="930">
    <w:name w:val="正文文本缩进 3"/>
    <w:basedOn w:val="899"/>
    <w:next w:val="930"/>
    <w:link w:val="899"/>
    <w:uiPriority w:val="99"/>
    <w:pPr>
      <w:ind w:firstLine="420"/>
    </w:pPr>
    <w:rPr>
      <w:rFonts w:eastAsia="楷体_GB2312"/>
    </w:rPr>
  </w:style>
  <w:style w:type="paragraph" w:styleId="931">
    <w:name w:val="目录 2"/>
    <w:basedOn w:val="899"/>
    <w:next w:val="899"/>
    <w:link w:val="899"/>
    <w:semiHidden/>
    <w:pPr>
      <w:ind w:left="420"/>
    </w:pPr>
    <w:rPr>
      <w:szCs w:val="20"/>
    </w:rPr>
  </w:style>
  <w:style w:type="paragraph" w:styleId="932">
    <w:name w:val="正文文本 2"/>
    <w:basedOn w:val="899"/>
    <w:next w:val="932"/>
    <w:link w:val="933"/>
    <w:pPr>
      <w:spacing w:line="440" w:lineRule="exact"/>
    </w:pPr>
    <w:rPr>
      <w:rFonts w:ascii="楷体_GB2312" w:eastAsia="楷体_GB2312"/>
      <w:sz w:val="28"/>
    </w:rPr>
  </w:style>
  <w:style w:type="character" w:styleId="933">
    <w:name w:val="正文文本 2 Char"/>
    <w:next w:val="933"/>
    <w:link w:val="932"/>
    <w:rPr>
      <w:rFonts w:ascii="楷体_GB2312" w:eastAsia="楷体_GB2312"/>
      <w:sz w:val="28"/>
      <w:szCs w:val="24"/>
    </w:rPr>
  </w:style>
  <w:style w:type="paragraph" w:styleId="934">
    <w:name w:val="批注主题"/>
    <w:basedOn w:val="913"/>
    <w:next w:val="913"/>
    <w:link w:val="935"/>
    <w:rPr>
      <w:b/>
      <w:bCs/>
    </w:rPr>
  </w:style>
  <w:style w:type="character" w:styleId="935">
    <w:name w:val="批注主题 Char"/>
    <w:next w:val="935"/>
    <w:link w:val="934"/>
    <w:rPr>
      <w:b/>
      <w:bCs/>
      <w:sz w:val="21"/>
      <w:szCs w:val="24"/>
    </w:rPr>
  </w:style>
  <w:style w:type="paragraph" w:styleId="936">
    <w:name w:val="正文首行缩进 2"/>
    <w:basedOn w:val="917"/>
    <w:next w:val="936"/>
    <w:link w:val="899"/>
    <w:pPr>
      <w:ind w:left="420" w:firstLine="420"/>
      <w:spacing w:after="120"/>
      <w:widowControl/>
    </w:pPr>
    <w:rPr>
      <w:rFonts w:ascii="仿宋_GB2312" w:eastAsia="仿宋_GB2312"/>
      <w:color w:val="ff6600"/>
      <w:sz w:val="21"/>
    </w:rPr>
  </w:style>
  <w:style w:type="table" w:styleId="937">
    <w:name w:val="网格型"/>
    <w:basedOn w:val="906"/>
    <w:next w:val="937"/>
    <w:link w:val="89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8">
    <w:name w:val="要点"/>
    <w:next w:val="938"/>
    <w:link w:val="899"/>
    <w:qFormat/>
    <w:rPr>
      <w:b w:val="0"/>
      <w:i w:val="0"/>
    </w:rPr>
  </w:style>
  <w:style w:type="character" w:styleId="939">
    <w:name w:val="页码"/>
    <w:next w:val="939"/>
    <w:link w:val="899"/>
  </w:style>
  <w:style w:type="character" w:styleId="940">
    <w:name w:val="已访问的超链接"/>
    <w:next w:val="940"/>
    <w:link w:val="899"/>
    <w:rPr>
      <w:color w:val="800080"/>
      <w:u w:val="none"/>
    </w:rPr>
  </w:style>
  <w:style w:type="character" w:styleId="941">
    <w:name w:val="强调"/>
    <w:next w:val="941"/>
    <w:link w:val="899"/>
    <w:qFormat/>
    <w:rPr>
      <w:b w:val="0"/>
      <w:i w:val="0"/>
    </w:rPr>
  </w:style>
  <w:style w:type="character" w:styleId="942">
    <w:name w:val="HTML 定义"/>
    <w:next w:val="942"/>
    <w:link w:val="899"/>
    <w:rPr>
      <w:b w:val="0"/>
      <w:i w:val="0"/>
    </w:rPr>
  </w:style>
  <w:style w:type="character" w:styleId="943">
    <w:name w:val="HTML 打字机"/>
    <w:next w:val="943"/>
    <w:link w:val="899"/>
    <w:rPr>
      <w:rFonts w:ascii="monospace" w:hAnsi="monospace" w:eastAsia="monospace" w:cs="monospace"/>
      <w:sz w:val="20"/>
    </w:rPr>
  </w:style>
  <w:style w:type="character" w:styleId="944">
    <w:name w:val="HTML 缩写"/>
    <w:next w:val="944"/>
    <w:link w:val="899"/>
  </w:style>
  <w:style w:type="character" w:styleId="945">
    <w:name w:val="HTML 变量"/>
    <w:next w:val="945"/>
    <w:link w:val="899"/>
    <w:rPr>
      <w:b w:val="0"/>
      <w:i w:val="0"/>
    </w:rPr>
  </w:style>
  <w:style w:type="character" w:styleId="946">
    <w:name w:val="超链接"/>
    <w:next w:val="946"/>
    <w:link w:val="899"/>
    <w:rPr>
      <w:color w:val="0000ff"/>
      <w:u w:val="none"/>
    </w:rPr>
  </w:style>
  <w:style w:type="character" w:styleId="947">
    <w:name w:val="HTML 代码"/>
    <w:next w:val="947"/>
    <w:link w:val="899"/>
    <w:rPr>
      <w:rFonts w:ascii="monospace" w:hAnsi="monospace" w:eastAsia="monospace" w:cs="monospace"/>
      <w:b w:val="0"/>
      <w:i w:val="0"/>
      <w:sz w:val="20"/>
    </w:rPr>
  </w:style>
  <w:style w:type="character" w:styleId="948">
    <w:name w:val="批注引用"/>
    <w:next w:val="948"/>
    <w:link w:val="899"/>
    <w:rPr>
      <w:sz w:val="21"/>
      <w:szCs w:val="21"/>
    </w:rPr>
  </w:style>
  <w:style w:type="character" w:styleId="949">
    <w:name w:val="HTML 引文"/>
    <w:next w:val="949"/>
    <w:link w:val="899"/>
    <w:rPr>
      <w:b w:val="0"/>
      <w:i w:val="0"/>
    </w:rPr>
  </w:style>
  <w:style w:type="character" w:styleId="950">
    <w:name w:val="HTML 键盘"/>
    <w:next w:val="950"/>
    <w:link w:val="899"/>
    <w:rPr>
      <w:rFonts w:ascii="monospace" w:hAnsi="monospace" w:eastAsia="monospace" w:cs="monospace"/>
      <w:sz w:val="20"/>
    </w:rPr>
  </w:style>
  <w:style w:type="character" w:styleId="951">
    <w:name w:val="HTML 样本"/>
    <w:next w:val="951"/>
    <w:link w:val="899"/>
    <w:rPr>
      <w:rFonts w:ascii="monospace" w:hAnsi="monospace" w:eastAsia="monospace" w:cs="monospace"/>
    </w:rPr>
  </w:style>
  <w:style w:type="paragraph" w:styleId="952">
    <w:name w:val="正文文本11"/>
    <w:basedOn w:val="899"/>
    <w:next w:val="899"/>
    <w:link w:val="89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3">
    <w:name w:val="Font Style30"/>
    <w:next w:val="953"/>
    <w:link w:val="899"/>
    <w:rPr>
      <w:rFonts w:ascii="宋体" w:eastAsia="宋体" w:cs="宋体"/>
      <w:sz w:val="14"/>
      <w:szCs w:val="14"/>
    </w:rPr>
  </w:style>
  <w:style w:type="character" w:styleId="954">
    <w:name w:val="glyphicon"/>
    <w:next w:val="954"/>
    <w:link w:val="899"/>
  </w:style>
  <w:style w:type="character" w:styleId="955">
    <w:name w:val="Font Style36"/>
    <w:next w:val="955"/>
    <w:link w:val="899"/>
    <w:rPr>
      <w:rFonts w:ascii="宋体" w:eastAsia="宋体" w:cs="宋体"/>
      <w:sz w:val="16"/>
      <w:szCs w:val="16"/>
    </w:rPr>
  </w:style>
  <w:style w:type="character" w:styleId="956">
    <w:name w:val="hour_am"/>
    <w:next w:val="956"/>
    <w:link w:val="899"/>
  </w:style>
  <w:style w:type="character" w:styleId="957">
    <w:name w:val="old"/>
    <w:next w:val="957"/>
    <w:link w:val="899"/>
    <w:rPr>
      <w:color w:val="999999"/>
    </w:rPr>
  </w:style>
  <w:style w:type="character" w:styleId="958">
    <w:name w:val="标题 2 Char,节 Char,Heading 2 Hidden Char,Heading 2 CCBS Char,H2 Char,sect 1.2 Char,H21 Char,sect 1.21 Char,H22 Char,sect 1.22 Char,H211 Char,sect 1.211 Char,H23 Char,sect 1.23 Char,H212 Char,sect 1.212 Char,2nd level Char,h2 Char,2 Char,Header 2 Char"/>
    <w:next w:val="958"/>
    <w:link w:val="899"/>
    <w:rPr>
      <w:rFonts w:ascii="Arial" w:hAnsi="Arial" w:eastAsia="黑体"/>
      <w:b/>
      <w:sz w:val="32"/>
      <w:lang w:val="en-US" w:eastAsia="zh-CN"/>
    </w:rPr>
  </w:style>
  <w:style w:type="character" w:styleId="959">
    <w:name w:val="hover"/>
    <w:next w:val="959"/>
    <w:link w:val="899"/>
    <w:rPr>
      <w:shd w:val="clear" w:color="auto" w:fill="eeeeee"/>
    </w:rPr>
  </w:style>
  <w:style w:type="character" w:styleId="960">
    <w:name w:val="hour_pm"/>
    <w:next w:val="960"/>
    <w:link w:val="899"/>
  </w:style>
  <w:style w:type="character" w:styleId="961">
    <w:name w:val="Font Style28"/>
    <w:next w:val="961"/>
    <w:link w:val="899"/>
    <w:rPr>
      <w:rFonts w:ascii="Constantia" w:hAnsi="Constantia" w:cs="Constantia"/>
      <w:sz w:val="28"/>
      <w:szCs w:val="28"/>
    </w:rPr>
  </w:style>
  <w:style w:type="character" w:styleId="962">
    <w:name w:val="Font Style29"/>
    <w:next w:val="962"/>
    <w:link w:val="899"/>
    <w:rPr>
      <w:rFonts w:ascii="Arial" w:hAnsi="Arial" w:cs="Arial"/>
      <w:sz w:val="14"/>
      <w:szCs w:val="14"/>
    </w:rPr>
  </w:style>
  <w:style w:type="character" w:styleId="963">
    <w:name w:val="Font Style37"/>
    <w:next w:val="963"/>
    <w:link w:val="899"/>
    <w:rPr>
      <w:rFonts w:ascii="Arial" w:hAnsi="Arial" w:cs="Arial"/>
      <w:sz w:val="16"/>
      <w:szCs w:val="16"/>
    </w:rPr>
  </w:style>
  <w:style w:type="character" w:styleId="964">
    <w:name w:val="Plain Text Char"/>
    <w:next w:val="964"/>
    <w:link w:val="899"/>
    <w:rPr>
      <w:rFonts w:ascii="宋体" w:hAnsi="Courier New" w:eastAsia="宋体"/>
      <w:sz w:val="21"/>
      <w:lang w:val="en-US" w:eastAsia="zh-CN" w:bidi="ar-SA"/>
    </w:rPr>
  </w:style>
  <w:style w:type="paragraph" w:styleId="965">
    <w:name w:val="Default"/>
    <w:next w:val="965"/>
    <w:link w:val="899"/>
    <w:pPr>
      <w:widowControl w:val="off"/>
    </w:pPr>
    <w:rPr>
      <w:rFonts w:ascii="仿宋" w:eastAsia="仿宋" w:cs="仿宋"/>
      <w:color w:val="000000"/>
      <w:sz w:val="24"/>
      <w:szCs w:val="24"/>
      <w:lang w:val="en-US" w:eastAsia="zh-CN" w:bidi="ar-SA"/>
    </w:rPr>
  </w:style>
  <w:style w:type="paragraph" w:styleId="966">
    <w:name w:val="默认段落字体 Para Char Char Char Char Char Char Char Char Char1 Char Char Char Char Char Char Char"/>
    <w:basedOn w:val="912"/>
    <w:next w:val="966"/>
    <w:link w:val="899"/>
    <w:rPr>
      <w:rFonts w:ascii="Tahoma" w:hAnsi="Tahoma"/>
      <w:sz w:val="24"/>
    </w:rPr>
  </w:style>
  <w:style w:type="paragraph" w:styleId="967">
    <w:name w:val="Style9"/>
    <w:basedOn w:val="899"/>
    <w:next w:val="967"/>
    <w:link w:val="899"/>
    <w:pPr>
      <w:jc w:val="left"/>
    </w:pPr>
    <w:rPr>
      <w:rFonts w:ascii="宋体"/>
      <w:sz w:val="24"/>
    </w:rPr>
  </w:style>
  <w:style w:type="paragraph" w:styleId="968">
    <w:name w:val="Char"/>
    <w:basedOn w:val="899"/>
    <w:next w:val="968"/>
    <w:link w:val="899"/>
    <w:pPr>
      <w:tabs>
        <w:tab w:val="left" w:pos="360" w:leader="none"/>
      </w:tabs>
    </w:pPr>
    <w:rPr>
      <w:sz w:val="24"/>
    </w:rPr>
  </w:style>
  <w:style w:type="paragraph" w:styleId="969">
    <w:name w:val=" Char Char Char1 Char Char Char Char"/>
    <w:basedOn w:val="899"/>
    <w:next w:val="969"/>
    <w:link w:val="899"/>
    <w:pPr>
      <w:jc w:val="left"/>
      <w:spacing w:after="160" w:line="240" w:lineRule="exact"/>
      <w:widowControl/>
    </w:pPr>
    <w:rPr>
      <w:rFonts w:ascii="宋体" w:hAnsi="宋体"/>
      <w:b/>
      <w:sz w:val="28"/>
      <w:szCs w:val="28"/>
    </w:rPr>
  </w:style>
  <w:style w:type="paragraph" w:styleId="970">
    <w:name w:val="Style10"/>
    <w:basedOn w:val="899"/>
    <w:next w:val="970"/>
    <w:link w:val="899"/>
    <w:pPr>
      <w:jc w:val="left"/>
    </w:pPr>
    <w:rPr>
      <w:rFonts w:ascii="宋体"/>
      <w:sz w:val="24"/>
    </w:rPr>
  </w:style>
  <w:style w:type="paragraph" w:styleId="971">
    <w:name w:val="首行缩进"/>
    <w:basedOn w:val="899"/>
    <w:next w:val="971"/>
    <w:link w:val="899"/>
    <w:qFormat/>
    <w:pPr>
      <w:ind w:firstLine="420"/>
      <w:spacing w:line="360" w:lineRule="auto"/>
    </w:pPr>
    <w:rPr>
      <w:sz w:val="20"/>
    </w:rPr>
  </w:style>
  <w:style w:type="paragraph" w:styleId="972">
    <w:name w:val="普通正文"/>
    <w:basedOn w:val="899"/>
    <w:next w:val="972"/>
    <w:link w:val="899"/>
    <w:pPr>
      <w:ind w:firstLine="480"/>
      <w:jc w:val="left"/>
      <w:spacing w:before="120" w:after="120" w:line="360" w:lineRule="auto"/>
    </w:pPr>
    <w:rPr>
      <w:rFonts w:ascii="Arial" w:hAnsi="Arial"/>
      <w:sz w:val="24"/>
    </w:rPr>
  </w:style>
  <w:style w:type="paragraph" w:styleId="973">
    <w:name w:val="要点标题"/>
    <w:basedOn w:val="899"/>
    <w:next w:val="973"/>
    <w:link w:val="899"/>
    <w:pPr>
      <w:numPr>
        <w:ilvl w:val="0"/>
        <w:numId w:val="1"/>
      </w:numPr>
      <w:jc w:val="left"/>
      <w:tabs>
        <w:tab w:val="left" w:pos="420" w:leader="none"/>
      </w:tabs>
    </w:pPr>
    <w:rPr>
      <w:rFonts w:ascii="宋体" w:hAnsi="宋体"/>
      <w:b/>
      <w:sz w:val="24"/>
    </w:rPr>
  </w:style>
  <w:style w:type="paragraph" w:styleId="974">
    <w:name w:val="文档正文"/>
    <w:basedOn w:val="899"/>
    <w:next w:val="974"/>
    <w:link w:val="899"/>
    <w:pPr>
      <w:ind w:firstLine="567"/>
      <w:spacing w:line="480" w:lineRule="atLeast"/>
    </w:pPr>
    <w:rPr>
      <w:rFonts w:ascii="仿宋_GB2312"/>
      <w:szCs w:val="20"/>
    </w:rPr>
  </w:style>
  <w:style w:type="paragraph" w:styleId="975">
    <w:name w:val="Char Char Char Char"/>
    <w:basedOn w:val="912"/>
    <w:next w:val="975"/>
    <w:link w:val="899"/>
    <w:pPr>
      <w:spacing w:line="360" w:lineRule="auto"/>
    </w:pPr>
    <w:rPr>
      <w:rFonts w:ascii="Tahoma" w:hAnsi="Tahoma"/>
      <w:sz w:val="24"/>
    </w:rPr>
  </w:style>
  <w:style w:type="paragraph" w:styleId="976">
    <w:name w:val=" Char"/>
    <w:basedOn w:val="899"/>
    <w:next w:val="976"/>
    <w:link w:val="899"/>
    <w:pPr>
      <w:ind w:left="420" w:hanging="420"/>
      <w:jc w:val="left"/>
      <w:tabs>
        <w:tab w:val="left" w:pos="420" w:leader="none"/>
      </w:tabs>
    </w:pPr>
    <w:rPr>
      <w:szCs w:val="20"/>
    </w:rPr>
  </w:style>
  <w:style w:type="paragraph" w:styleId="977">
    <w:name w:val="正文（无缩进）"/>
    <w:basedOn w:val="899"/>
    <w:next w:val="977"/>
    <w:link w:val="899"/>
    <w:qFormat/>
    <w:pPr>
      <w:spacing w:line="360" w:lineRule="auto"/>
    </w:pPr>
    <w:rPr>
      <w:rFonts w:ascii="Calibri" w:hAnsi="Calibri"/>
      <w:sz w:val="24"/>
      <w:szCs w:val="21"/>
    </w:rPr>
  </w:style>
  <w:style w:type="paragraph" w:styleId="978">
    <w:name w:val="Style11"/>
    <w:basedOn w:val="899"/>
    <w:next w:val="978"/>
    <w:link w:val="899"/>
    <w:pPr>
      <w:jc w:val="left"/>
      <w:spacing w:line="446" w:lineRule="exact"/>
    </w:pPr>
    <w:rPr>
      <w:rFonts w:ascii="宋体"/>
      <w:sz w:val="24"/>
    </w:rPr>
  </w:style>
  <w:style w:type="paragraph" w:styleId="979">
    <w:name w:val="样式1"/>
    <w:basedOn w:val="899"/>
    <w:next w:val="979"/>
    <w:link w:val="899"/>
    <w:pPr>
      <w:numPr>
        <w:ilvl w:val="0"/>
        <w:numId w:val="2"/>
      </w:numPr>
      <w:tabs>
        <w:tab w:val="left" w:pos="1110" w:leader="none"/>
      </w:tabs>
    </w:pPr>
    <w:rPr>
      <w:rFonts w:ascii="宋体" w:hAnsi="宋体"/>
      <w:szCs w:val="21"/>
    </w:rPr>
  </w:style>
  <w:style w:type="paragraph" w:styleId="980">
    <w:name w:val="_Style 56"/>
    <w:basedOn w:val="912"/>
    <w:next w:val="980"/>
    <w:link w:val="899"/>
    <w:pPr>
      <w:spacing w:line="436" w:lineRule="exact"/>
    </w:pPr>
    <w:rPr>
      <w:szCs w:val="20"/>
    </w:rPr>
  </w:style>
  <w:style w:type="paragraph" w:styleId="981">
    <w:name w:val="Char Char1 Char Char Char Char Char Char"/>
    <w:basedOn w:val="899"/>
    <w:next w:val="981"/>
    <w:link w:val="899"/>
    <w:pPr>
      <w:jc w:val="center"/>
      <w:widowControl/>
    </w:pPr>
    <w:rPr>
      <w:rFonts w:ascii="宋体" w:hAnsi="宋体"/>
      <w:b/>
      <w:sz w:val="24"/>
      <w:lang w:eastAsia="en-US"/>
    </w:rPr>
  </w:style>
  <w:style w:type="paragraph" w:styleId="982">
    <w:name w:val="Char1"/>
    <w:basedOn w:val="899"/>
    <w:next w:val="982"/>
    <w:link w:val="899"/>
    <w:pPr>
      <w:ind w:left="840" w:hanging="420"/>
      <w:tabs>
        <w:tab w:val="left" w:pos="840" w:leader="none"/>
      </w:tabs>
    </w:pPr>
    <w:rPr>
      <w:sz w:val="24"/>
    </w:rPr>
  </w:style>
  <w:style w:type="paragraph" w:styleId="983">
    <w:name w:val="我的样式"/>
    <w:basedOn w:val="900"/>
    <w:next w:val="899"/>
    <w:link w:val="899"/>
    <w:pPr>
      <w:numPr>
        <w:ilvl w:val="0"/>
        <w:numId w:val="3"/>
      </w:numPr>
      <w:spacing w:line="360" w:lineRule="auto"/>
    </w:pPr>
    <w:rPr>
      <w:rFonts w:ascii="仿宋_GB2312" w:eastAsia="仿宋_GB2312"/>
      <w:sz w:val="32"/>
      <w:szCs w:val="30"/>
    </w:rPr>
  </w:style>
  <w:style w:type="paragraph" w:styleId="984">
    <w:name w:val="表格正文"/>
    <w:next w:val="984"/>
    <w:link w:val="899"/>
    <w:pPr>
      <w:spacing w:line="0" w:lineRule="atLeast"/>
    </w:pPr>
    <w:rPr>
      <w:sz w:val="24"/>
      <w:szCs w:val="24"/>
      <w:lang w:val="en-US" w:eastAsia="zh-CN" w:bidi="he-IL"/>
    </w:rPr>
  </w:style>
  <w:style w:type="paragraph" w:styleId="985">
    <w:name w:val=" Char Char Char Char Char Char Char Char Char Char Char Char Char"/>
    <w:basedOn w:val="899"/>
    <w:next w:val="985"/>
    <w:link w:val="899"/>
    <w:pPr>
      <w:jc w:val="left"/>
      <w:spacing w:after="160" w:line="240" w:lineRule="exact"/>
      <w:widowControl/>
    </w:pPr>
    <w:rPr>
      <w:rFonts w:ascii="Verdana" w:hAnsi="Verdana"/>
      <w:sz w:val="20"/>
      <w:szCs w:val="20"/>
      <w:lang w:eastAsia="en-US"/>
    </w:rPr>
  </w:style>
  <w:style w:type="paragraph" w:styleId="986">
    <w:name w:val="标题1"/>
    <w:basedOn w:val="900"/>
    <w:next w:val="899"/>
    <w:link w:val="899"/>
    <w:pPr>
      <w:numPr>
        <w:ilvl w:val="0"/>
        <w:numId w:val="2"/>
      </w:numPr>
      <w:jc w:val="left"/>
      <w:spacing w:line="578" w:lineRule="atLeast"/>
    </w:pPr>
  </w:style>
  <w:style w:type="paragraph" w:styleId="987">
    <w:name w:val="正文（缩进） Char1"/>
    <w:basedOn w:val="899"/>
    <w:next w:val="987"/>
    <w:link w:val="899"/>
    <w:pPr>
      <w:ind w:firstLine="480"/>
      <w:spacing w:before="156" w:after="156" w:line="360" w:lineRule="auto"/>
    </w:pPr>
    <w:rPr>
      <w:sz w:val="24"/>
    </w:rPr>
  </w:style>
  <w:style w:type="paragraph" w:styleId="988">
    <w:name w:val="修订"/>
    <w:next w:val="988"/>
    <w:link w:val="899"/>
    <w:uiPriority w:val="99"/>
    <w:semiHidden/>
    <w:rPr>
      <w:sz w:val="21"/>
      <w:szCs w:val="24"/>
      <w:lang w:val="en-US" w:eastAsia="zh-CN" w:bidi="ar-SA"/>
    </w:rPr>
  </w:style>
  <w:style w:type="paragraph" w:styleId="989">
    <w:name w:val="Style12"/>
    <w:basedOn w:val="899"/>
    <w:next w:val="989"/>
    <w:link w:val="899"/>
    <w:pPr>
      <w:jc w:val="left"/>
    </w:pPr>
    <w:rPr>
      <w:rFonts w:ascii="宋体"/>
      <w:sz w:val="24"/>
    </w:rPr>
  </w:style>
  <w:style w:type="paragraph" w:styleId="990">
    <w:name w:val="Table Paragraph"/>
    <w:basedOn w:val="899"/>
    <w:next w:val="990"/>
    <w:link w:val="899"/>
    <w:uiPriority w:val="1"/>
    <w:qFormat/>
    <w:rPr>
      <w:rFonts w:ascii="宋体" w:hAnsi="宋体" w:eastAsia="宋体" w:cs="宋体"/>
      <w:lang w:val="en-US" w:eastAsia="zh-CN" w:bidi="ar-SA"/>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10</cp:revision>
  <dcterms:created xsi:type="dcterms:W3CDTF">2024-01-08T08:47:00Z</dcterms:created>
  <dcterms:modified xsi:type="dcterms:W3CDTF">2026-07-06T08:58:48Z</dcterms:modified>
</cp:coreProperties>
</file>