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ascii="宋体" w:hAnsi="宋体" w:cs="宋体"/>
          <w:color w:val="auto"/>
          <w:sz w:val="76"/>
          <w:szCs w:val="76"/>
          <w:highlight w:val="none"/>
        </w:rPr>
      </w:pPr>
      <w:r>
        <w:rPr>
          <w:rFonts w:ascii="宋体" w:hAnsi="宋体" w:cs="宋体"/>
          <w:color w:val="auto"/>
          <w:sz w:val="76"/>
          <w:szCs w:val="76"/>
          <w:highlight w:val="none"/>
        </w:rPr>
      </w:r>
      <w:r/>
    </w:p>
    <w:p>
      <w:pPr>
        <w:jc w:val="center"/>
        <w:spacing w:line="360" w:lineRule="auto"/>
        <w:tabs>
          <w:tab w:val="left" w:pos="390" w:leader="none"/>
          <w:tab w:val="center" w:pos="4404" w:leader="none"/>
        </w:tabs>
        <w:rPr>
          <w:rFonts w:ascii="宋体" w:hAnsi="宋体" w:cs="宋体"/>
          <w:b/>
          <w:bCs/>
          <w:color w:val="auto"/>
          <w:sz w:val="76"/>
          <w:szCs w:val="76"/>
          <w:highlight w:val="none"/>
        </w:rPr>
      </w:pPr>
      <w:r>
        <w:rPr>
          <w:rFonts w:hint="eastAsia" w:ascii="宋体" w:hAnsi="宋体" w:cs="宋体"/>
          <w:b/>
          <w:bCs/>
          <w:color w:val="auto"/>
          <w:sz w:val="76"/>
          <w:szCs w:val="76"/>
          <w:highlight w:val="none"/>
        </w:rPr>
        <w:t xml:space="preserve">公开招标文件</w:t>
      </w:r>
      <w:r/>
    </w:p>
    <w:p>
      <w:pPr>
        <w:jc w:val="right"/>
        <w:spacing w:line="360" w:lineRule="auto"/>
        <w:rPr>
          <w:rFonts w:ascii="宋体" w:hAnsi="宋体" w:cs="宋体"/>
          <w:b/>
          <w:bCs/>
          <w:color w:val="auto"/>
          <w:sz w:val="32"/>
          <w:highlight w:val="none"/>
        </w:rPr>
      </w:pPr>
      <w:r>
        <w:rPr>
          <w:rFonts w:ascii="宋体" w:hAnsi="宋体" w:cs="宋体"/>
          <w:b/>
          <w:bCs/>
          <w:color w:val="auto"/>
          <w:sz w:val="32"/>
          <w:highlight w:val="none"/>
        </w:rPr>
      </w:r>
      <w:r/>
    </w:p>
    <w:p>
      <w:pPr>
        <w:spacing w:line="360" w:lineRule="auto"/>
        <w:rPr>
          <w:rFonts w:ascii="宋体" w:hAnsi="宋体" w:cs="宋体"/>
          <w:b/>
          <w:bCs/>
          <w:color w:val="auto"/>
          <w:sz w:val="44"/>
          <w:highlight w:val="none"/>
        </w:rPr>
      </w:pPr>
      <w:r>
        <w:rPr>
          <w:rFonts w:ascii="宋体" w:hAnsi="宋体" w:cs="宋体"/>
          <w:b/>
          <w:bCs/>
          <w:color w:val="auto"/>
          <w:sz w:val="44"/>
          <w:highlight w:val="none"/>
        </w:rPr>
      </w:r>
      <w:r/>
    </w:p>
    <w:tbl>
      <w:tblPr>
        <w:tblStyle w:val="679"/>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textDirection w:val="lrTb"/>
            <w:noWrap/>
          </w:tcPr>
          <w:p>
            <w:pPr>
              <w:ind w:firstLine="883"/>
              <w:spacing w:line="360" w:lineRule="auto"/>
              <w:rPr>
                <w:rFonts w:ascii="宋体" w:hAnsi="宋体" w:cs="宋体"/>
                <w:b/>
                <w:bCs/>
                <w:color w:val="auto"/>
                <w:sz w:val="44"/>
                <w:highlight w:val="none"/>
              </w:rPr>
            </w:pPr>
            <w:r>
              <w:rPr>
                <w:rFonts w:hint="eastAsia" w:ascii="宋体" w:hAnsi="宋体" w:cs="宋体"/>
                <w:b/>
                <w:bCs/>
                <w:color w:val="auto"/>
                <w:sz w:val="44"/>
                <w:highlight w:val="none"/>
              </w:rPr>
              <w:t xml:space="preserve">项目编号：JSZC-320192-JHRA-G2026-0020</w:t>
            </w:r>
            <w:r>
              <w:rPr>
                <w:rFonts w:hint="eastAsia" w:ascii="宋体" w:hAnsi="宋体" w:cs="宋体"/>
                <w:b/>
                <w:bCs/>
                <w:color w:val="auto"/>
                <w:sz w:val="44"/>
                <w:highlight w:val="none"/>
              </w:rPr>
              <w:tab/>
            </w:r>
            <w:r/>
          </w:p>
          <w:p>
            <w:pPr>
              <w:ind w:left="3087" w:hanging="2209"/>
              <w:spacing w:line="288" w:lineRule="auto"/>
              <w:widowControl/>
              <w:rPr>
                <w:rFonts w:ascii="宋体" w:hAnsi="宋体" w:cs="宋体"/>
                <w:b/>
                <w:bCs/>
                <w:color w:val="auto"/>
                <w:sz w:val="44"/>
                <w:highlight w:val="none"/>
                <w:lang w:val="zh-CN"/>
              </w:rPr>
            </w:pPr>
            <w:r>
              <w:rPr>
                <w:rFonts w:hint="eastAsia" w:ascii="宋体" w:hAnsi="宋体" w:cs="宋体"/>
                <w:b/>
                <w:bCs/>
                <w:color w:val="auto"/>
                <w:sz w:val="44"/>
                <w:highlight w:val="none"/>
              </w:rPr>
              <w:t xml:space="preserve">项目名称：</w:t>
            </w:r>
            <w:r>
              <w:rPr>
                <w:rFonts w:hint="eastAsia" w:ascii="宋体" w:hAnsi="宋体" w:cs="宋体"/>
                <w:b/>
                <w:bCs/>
                <w:color w:val="auto"/>
                <w:sz w:val="44"/>
                <w:highlight w:val="none"/>
                <w:lang w:val="zh-CN"/>
              </w:rPr>
              <w:t xml:space="preserve">南京师范大学附属中学江北新区学校新建工程项目体育装备采购</w:t>
            </w:r>
            <w:r/>
          </w:p>
          <w:p>
            <w:pPr>
              <w:pStyle w:val="680"/>
              <w:ind w:firstLine="640"/>
              <w:rPr>
                <w:rFonts w:ascii="宋体" w:hAnsi="宋体" w:eastAsia="宋体" w:cs="宋体"/>
                <w:color w:val="auto"/>
                <w:highlight w:val="none"/>
              </w:rPr>
            </w:pPr>
            <w:r>
              <w:rPr>
                <w:rFonts w:ascii="宋体" w:hAnsi="宋体" w:eastAsia="宋体" w:cs="宋体"/>
                <w:color w:val="auto"/>
                <w:highlight w:val="none"/>
              </w:rPr>
            </w:r>
            <w:r/>
          </w:p>
          <w:p>
            <w:pPr>
              <w:ind w:left="3087" w:hanging="2209"/>
              <w:spacing w:line="360" w:lineRule="auto"/>
              <w:rPr>
                <w:rFonts w:ascii="宋体" w:hAnsi="宋体" w:cs="宋体"/>
                <w:b/>
                <w:bCs/>
                <w:color w:val="auto"/>
                <w:sz w:val="44"/>
                <w:szCs w:val="44"/>
                <w:highlight w:val="none"/>
                <w:lang w:val="zh-CN"/>
              </w:rPr>
            </w:pPr>
            <w:r>
              <w:rPr>
                <w:rFonts w:ascii="宋体" w:hAnsi="宋体" w:cs="宋体"/>
                <w:b/>
                <w:bCs/>
                <w:color w:val="auto"/>
                <w:sz w:val="44"/>
                <w:szCs w:val="44"/>
                <w:highlight w:val="none"/>
                <w:lang w:val="zh-CN"/>
              </w:rPr>
            </w:r>
            <w:r/>
          </w:p>
        </w:tc>
      </w:tr>
    </w:tbl>
    <w:p>
      <w:pPr>
        <w:spacing w:line="360" w:lineRule="auto"/>
        <w:rPr>
          <w:rFonts w:ascii="宋体" w:hAnsi="宋体" w:cs="宋体"/>
          <w:b/>
          <w:bCs/>
          <w:color w:val="auto"/>
          <w:sz w:val="44"/>
          <w:highlight w:val="none"/>
        </w:rPr>
      </w:pPr>
      <w:r>
        <w:rPr>
          <w:rFonts w:ascii="宋体" w:hAnsi="宋体" w:cs="宋体"/>
          <w:b/>
          <w:bCs/>
          <w:color w:val="auto"/>
          <w:sz w:val="44"/>
          <w:highlight w:val="none"/>
        </w:rPr>
      </w:r>
      <w:r/>
    </w:p>
    <w:p>
      <w:pPr>
        <w:pStyle w:val="680"/>
        <w:rPr>
          <w:rFonts w:ascii="宋体" w:hAnsi="宋体" w:eastAsia="宋体" w:cs="宋体"/>
          <w:b/>
          <w:bCs/>
          <w:color w:val="auto"/>
          <w:sz w:val="44"/>
          <w:highlight w:val="none"/>
        </w:rPr>
      </w:pPr>
      <w:r>
        <w:rPr>
          <w:rFonts w:ascii="宋体" w:hAnsi="宋体" w:eastAsia="宋体" w:cs="宋体"/>
          <w:b/>
          <w:bCs/>
          <w:color w:val="auto"/>
          <w:sz w:val="44"/>
          <w:highlight w:val="none"/>
        </w:rPr>
      </w:r>
      <w:r/>
    </w:p>
    <w:p>
      <w:pPr>
        <w:rPr>
          <w:rFonts w:ascii="宋体" w:hAnsi="宋体" w:cs="宋体"/>
          <w:b/>
          <w:bCs/>
          <w:color w:val="auto"/>
          <w:sz w:val="44"/>
          <w:highlight w:val="none"/>
        </w:rPr>
      </w:pPr>
      <w:r>
        <w:rPr>
          <w:rFonts w:ascii="宋体" w:hAnsi="宋体" w:cs="宋体"/>
          <w:b/>
          <w:bCs/>
          <w:color w:val="auto"/>
          <w:sz w:val="44"/>
          <w:highlight w:val="none"/>
        </w:rPr>
      </w:r>
      <w:r/>
    </w:p>
    <w:p>
      <w:pPr>
        <w:pStyle w:val="680"/>
        <w:rPr>
          <w:rFonts w:ascii="宋体" w:hAnsi="宋体" w:eastAsia="宋体" w:cs="宋体"/>
          <w:b/>
          <w:bCs/>
          <w:color w:val="auto"/>
          <w:sz w:val="44"/>
          <w:highlight w:val="none"/>
        </w:rPr>
      </w:pPr>
      <w:r>
        <w:rPr>
          <w:rFonts w:ascii="宋体" w:hAnsi="宋体" w:eastAsia="宋体" w:cs="宋体"/>
          <w:b/>
          <w:bCs/>
          <w:color w:val="auto"/>
          <w:sz w:val="44"/>
          <w:highlight w:val="none"/>
        </w:rPr>
      </w:r>
      <w:r/>
    </w:p>
    <w:p>
      <w:pPr>
        <w:pStyle w:val="680"/>
        <w:rPr>
          <w:color w:val="auto"/>
          <w:highlight w:val="none"/>
        </w:rPr>
      </w:pPr>
      <w:r>
        <w:rPr>
          <w:color w:val="auto"/>
          <w:highlight w:val="none"/>
        </w:rPr>
      </w:r>
      <w:r/>
    </w:p>
    <w:p>
      <w:pPr>
        <w:spacing w:line="360" w:lineRule="auto"/>
        <w:rPr>
          <w:rFonts w:ascii="宋体" w:hAnsi="宋体" w:cs="宋体"/>
          <w:b/>
          <w:bCs/>
          <w:color w:val="auto"/>
          <w:sz w:val="32"/>
          <w:highlight w:val="none"/>
        </w:rPr>
      </w:pPr>
      <w:r>
        <w:rPr>
          <w:rFonts w:ascii="宋体" w:hAnsi="宋体" w:cs="宋体"/>
          <w:b/>
          <w:bCs/>
          <w:color w:val="auto"/>
          <w:sz w:val="32"/>
          <w:highlight w:val="none"/>
        </w:rPr>
      </w:r>
      <w:r/>
    </w:p>
    <w:p>
      <w:pPr>
        <w:ind w:left="879"/>
        <w:jc w:val="left"/>
        <w:spacing w:line="288" w:lineRule="auto"/>
        <w:widowControl/>
        <w:rPr>
          <w:rFonts w:ascii="宋体" w:hAnsi="宋体" w:cs="宋体"/>
          <w:b/>
          <w:bCs/>
          <w:color w:val="auto"/>
          <w:sz w:val="36"/>
          <w:szCs w:val="16"/>
          <w:highlight w:val="none"/>
          <w:lang w:val="zh-CN"/>
        </w:rPr>
      </w:pPr>
      <w:r>
        <w:rPr>
          <w:rFonts w:hint="eastAsia" w:ascii="宋体" w:hAnsi="宋体" w:cs="宋体"/>
          <w:b/>
          <w:bCs/>
          <w:color w:val="auto"/>
          <w:sz w:val="36"/>
          <w:szCs w:val="16"/>
          <w:highlight w:val="none"/>
          <w:lang w:val="zh-CN"/>
        </w:rPr>
        <w:t xml:space="preserve">采购人：</w:t>
      </w:r>
      <w:bookmarkStart w:id="0" w:name="OLE_LINK28"/>
      <w:r/>
      <w:bookmarkStart w:id="1" w:name="OLE_LINK29"/>
      <w:r>
        <w:rPr>
          <w:rFonts w:hint="eastAsia" w:ascii="宋体" w:hAnsi="宋体" w:cs="宋体"/>
          <w:b/>
          <w:bCs/>
          <w:color w:val="auto"/>
          <w:sz w:val="36"/>
          <w:szCs w:val="16"/>
          <w:highlight w:val="none"/>
          <w:lang w:val="zh-CN"/>
        </w:rPr>
        <w:t xml:space="preserve">南京江北新区管理委员会教育局</w:t>
      </w:r>
      <w:bookmarkEnd w:id="0"/>
      <w:r/>
      <w:bookmarkEnd w:id="1"/>
      <w:r/>
      <w:r/>
    </w:p>
    <w:p>
      <w:pPr>
        <w:ind w:left="879"/>
        <w:jc w:val="left"/>
        <w:spacing w:line="288" w:lineRule="auto"/>
        <w:widowControl/>
        <w:rPr>
          <w:rFonts w:ascii="宋体" w:hAnsi="宋体" w:cs="宋体"/>
          <w:b/>
          <w:bCs/>
          <w:color w:val="auto"/>
          <w:sz w:val="36"/>
          <w:szCs w:val="16"/>
          <w:highlight w:val="none"/>
          <w:lang w:val="zh-CN"/>
        </w:rPr>
      </w:pPr>
      <w:r>
        <w:rPr>
          <w:rFonts w:hint="eastAsia" w:ascii="宋体" w:hAnsi="宋体" w:cs="宋体"/>
          <w:b/>
          <w:bCs/>
          <w:color w:val="auto"/>
          <w:sz w:val="36"/>
          <w:szCs w:val="16"/>
          <w:highlight w:val="none"/>
          <w:lang w:val="zh-CN"/>
        </w:rPr>
        <w:t xml:space="preserve">采购代理机构：捷宏润安工程顾问（江苏）有限公司</w:t>
      </w:r>
      <w:r/>
    </w:p>
    <w:p>
      <w:pPr>
        <w:ind w:left="879"/>
        <w:jc w:val="left"/>
        <w:spacing w:line="288" w:lineRule="auto"/>
        <w:widowControl/>
        <w:rPr>
          <w:rFonts w:ascii="宋体" w:hAnsi="宋体" w:cs="宋体"/>
          <w:b/>
          <w:bCs/>
          <w:color w:val="auto"/>
          <w:sz w:val="36"/>
          <w:szCs w:val="16"/>
          <w:highlight w:val="none"/>
          <w:lang w:val="zh-CN"/>
        </w:rPr>
      </w:pPr>
      <w:r>
        <w:rPr>
          <w:rFonts w:hint="eastAsia" w:ascii="宋体" w:hAnsi="宋体" w:cs="宋体"/>
          <w:b/>
          <w:bCs/>
          <w:color w:val="auto"/>
          <w:sz w:val="36"/>
          <w:szCs w:val="16"/>
          <w:highlight w:val="none"/>
          <w:lang w:val="zh-CN"/>
        </w:rPr>
        <w:t xml:space="preserve">日期：二〇二六年六月</w:t>
      </w:r>
      <w:r/>
    </w:p>
    <w:p>
      <w:pPr>
        <w:jc w:val="center"/>
        <w:rPr>
          <w:b/>
          <w:bCs/>
          <w:color w:val="auto"/>
          <w:sz w:val="48"/>
          <w:szCs w:val="48"/>
          <w:highlight w:val="none"/>
        </w:rPr>
      </w:pPr>
      <w:r>
        <w:rPr>
          <w:rFonts w:ascii="宋体" w:hAnsi="宋体"/>
          <w:color w:val="auto"/>
          <w:highlight w:val="none"/>
        </w:rPr>
        <w:br w:type="page" w:clear="all"/>
      </w:r>
      <w:r>
        <w:rPr>
          <w:rFonts w:ascii="宋体" w:hAnsi="宋体"/>
          <w:b/>
          <w:bCs/>
          <w:color w:val="auto"/>
          <w:sz w:val="48"/>
          <w:szCs w:val="48"/>
          <w:highlight w:val="none"/>
        </w:rPr>
        <w:t xml:space="preserve">目录</w:t>
      </w:r>
      <w:r/>
    </w:p>
    <w:p>
      <w:pPr>
        <w:pStyle w:val="711"/>
        <w:spacing w:before="0" w:after="0" w:line="360" w:lineRule="auto"/>
        <w:tabs>
          <w:tab w:val="right" w:pos="9514" w:leader="dot"/>
        </w:tabs>
        <w:rPr>
          <w:rFonts w:ascii="宋体" w:hAnsi="宋体"/>
          <w:caps w:val="0"/>
          <w:color w:val="auto"/>
          <w:sz w:val="24"/>
          <w:szCs w:val="24"/>
          <w:highlight w:val="none"/>
        </w:rPr>
      </w:pPr>
      <w:r>
        <w:rPr>
          <w:rFonts w:hint="eastAsia" w:ascii="宋体" w:hAnsi="宋体" w:cs="宋体"/>
          <w:b w:val="0"/>
          <w:bCs/>
          <w:color w:val="auto"/>
          <w:spacing w:val="-10"/>
          <w:sz w:val="24"/>
          <w:szCs w:val="24"/>
          <w:highlight w:val="none"/>
        </w:rPr>
        <w:fldChar w:fldCharType="begin"/>
      </w:r>
      <w:r>
        <w:rPr>
          <w:rFonts w:hint="eastAsia" w:ascii="宋体" w:hAnsi="宋体" w:cs="宋体"/>
          <w:b w:val="0"/>
          <w:bCs/>
          <w:color w:val="auto"/>
          <w:spacing w:val="-10"/>
          <w:sz w:val="24"/>
          <w:szCs w:val="24"/>
          <w:highlight w:val="none"/>
        </w:rPr>
        <w:instrText xml:space="preserve">TOC \o "1-3" \h \u </w:instrText>
      </w:r>
      <w:r>
        <w:rPr>
          <w:rFonts w:hint="eastAsia" w:ascii="宋体" w:hAnsi="宋体" w:cs="宋体"/>
          <w:b w:val="0"/>
          <w:bCs/>
          <w:color w:val="auto"/>
          <w:spacing w:val="-10"/>
          <w:sz w:val="24"/>
          <w:szCs w:val="24"/>
          <w:highlight w:val="none"/>
        </w:rPr>
        <w:fldChar w:fldCharType="separate"/>
      </w:r>
      <w:r>
        <w:rPr>
          <w:color w:val="auto"/>
          <w:highlight w:val="none"/>
        </w:rPr>
        <w:fldChar w:fldCharType="begin"/>
      </w:r>
      <w:r>
        <w:rPr>
          <w:color w:val="auto"/>
          <w:highlight w:val="none"/>
        </w:rPr>
        <w:instrText xml:space="preserve"> HYPERLINK \l "_Toc228350056" </w:instrText>
      </w:r>
      <w:r>
        <w:rPr>
          <w:color w:val="auto"/>
          <w:highlight w:val="none"/>
        </w:rPr>
        <w:fldChar w:fldCharType="separate"/>
      </w:r>
      <w:r>
        <w:rPr>
          <w:rStyle w:val="742"/>
          <w:rFonts w:hint="eastAsia" w:ascii="宋体" w:hAnsi="宋体" w:cs="宋体"/>
          <w:bCs/>
          <w:color w:val="auto"/>
          <w:spacing w:val="-10"/>
          <w:sz w:val="24"/>
          <w:szCs w:val="24"/>
          <w:highlight w:val="none"/>
        </w:rPr>
        <w:t xml:space="preserve">第一章投标邀请</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_Toc228350056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4</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"_Toc228350057" </w:instrText>
      </w:r>
      <w:r>
        <w:rPr>
          <w:color w:val="auto"/>
          <w:highlight w:val="none"/>
        </w:rPr>
        <w:fldChar w:fldCharType="separate"/>
      </w:r>
      <w:r>
        <w:rPr>
          <w:rStyle w:val="742"/>
          <w:rFonts w:hint="eastAsia" w:ascii="宋体" w:hAnsi="宋体" w:cs="宋体"/>
          <w:bCs/>
          <w:color w:val="auto"/>
          <w:sz w:val="24"/>
          <w:szCs w:val="24"/>
          <w:highlight w:val="none"/>
        </w:rPr>
        <w:t xml:space="preserve">一、项目基本情况：</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4</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"_Toc228350058" </w:instrText>
      </w:r>
      <w:r>
        <w:rPr>
          <w:color w:val="auto"/>
          <w:highlight w:val="none"/>
        </w:rPr>
        <w:fldChar w:fldCharType="separate"/>
      </w:r>
      <w:r>
        <w:rPr>
          <w:rStyle w:val="742"/>
          <w:rFonts w:hint="eastAsia" w:ascii="宋体" w:hAnsi="宋体" w:cs="宋体"/>
          <w:bCs/>
          <w:color w:val="auto"/>
          <w:sz w:val="24"/>
          <w:szCs w:val="24"/>
          <w:highlight w:val="none"/>
        </w:rPr>
        <w:t xml:space="preserve">二、申请人的资格要求：</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4</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"_Toc228350059" </w:instrText>
      </w:r>
      <w:r>
        <w:rPr>
          <w:color w:val="auto"/>
          <w:highlight w:val="none"/>
        </w:rPr>
        <w:fldChar w:fldCharType="separate"/>
      </w:r>
      <w:r>
        <w:rPr>
          <w:rStyle w:val="742"/>
          <w:rFonts w:hint="eastAsia" w:ascii="宋体" w:hAnsi="宋体" w:cs="宋体"/>
          <w:bCs/>
          <w:color w:val="auto"/>
          <w:sz w:val="24"/>
          <w:szCs w:val="24"/>
          <w:highlight w:val="none"/>
        </w:rPr>
        <w:t xml:space="preserve">三、获取招标文件</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"_Toc228350060" </w:instrText>
      </w:r>
      <w:r>
        <w:rPr>
          <w:color w:val="auto"/>
          <w:highlight w:val="none"/>
        </w:rPr>
        <w:fldChar w:fldCharType="separate"/>
      </w:r>
      <w:r>
        <w:rPr>
          <w:rStyle w:val="742"/>
          <w:rFonts w:hint="eastAsia" w:ascii="宋体" w:hAnsi="宋体" w:cs="宋体"/>
          <w:bCs/>
          <w:color w:val="auto"/>
          <w:sz w:val="24"/>
          <w:szCs w:val="24"/>
          <w:highlight w:val="none"/>
        </w:rPr>
        <w:t xml:space="preserve">四、提交投标文件开始时间、开标时间</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"_Toc228350061" </w:instrText>
      </w:r>
      <w:r>
        <w:rPr>
          <w:color w:val="auto"/>
          <w:highlight w:val="none"/>
        </w:rPr>
        <w:fldChar w:fldCharType="separate"/>
      </w:r>
      <w:r>
        <w:rPr>
          <w:rStyle w:val="742"/>
          <w:rFonts w:hint="eastAsia" w:ascii="宋体" w:hAnsi="宋体" w:cs="宋体"/>
          <w:bCs/>
          <w:color w:val="auto"/>
          <w:sz w:val="24"/>
          <w:szCs w:val="24"/>
          <w:highlight w:val="none"/>
        </w:rPr>
        <w:t xml:space="preserve">五、开启</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_Toc228350061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"_Toc228350062" </w:instrText>
      </w:r>
      <w:r>
        <w:rPr>
          <w:color w:val="auto"/>
          <w:highlight w:val="none"/>
        </w:rPr>
        <w:fldChar w:fldCharType="separate"/>
      </w:r>
      <w:r>
        <w:rPr>
          <w:rStyle w:val="742"/>
          <w:rFonts w:hint="eastAsia" w:ascii="宋体" w:hAnsi="宋体" w:cs="宋体"/>
          <w:bCs/>
          <w:color w:val="auto"/>
          <w:sz w:val="24"/>
          <w:szCs w:val="24"/>
          <w:highlight w:val="none"/>
        </w:rPr>
        <w:t xml:space="preserve">六、公告期限</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_Toc228350062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"_Toc228350063" </w:instrText>
      </w:r>
      <w:r>
        <w:rPr>
          <w:color w:val="auto"/>
          <w:highlight w:val="none"/>
        </w:rPr>
        <w:fldChar w:fldCharType="separate"/>
      </w:r>
      <w:r>
        <w:rPr>
          <w:rStyle w:val="742"/>
          <w:rFonts w:hint="eastAsia" w:ascii="宋体" w:hAnsi="宋体" w:cs="宋体"/>
          <w:bCs/>
          <w:color w:val="auto"/>
          <w:sz w:val="24"/>
          <w:szCs w:val="24"/>
          <w:highlight w:val="none"/>
        </w:rPr>
        <w:t xml:space="preserve">七、其他补充事宜</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_Toc228350063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11"/>
        <w:spacing w:before="0" w:after="0" w:line="360" w:lineRule="auto"/>
        <w:tabs>
          <w:tab w:val="right" w:pos="9514" w:leader="dot"/>
        </w:tabs>
        <w:rPr>
          <w:rFonts w:ascii="宋体" w:hAnsi="宋体"/>
          <w:caps w:val="0"/>
          <w:color w:val="auto"/>
          <w:sz w:val="24"/>
          <w:szCs w:val="24"/>
          <w:highlight w:val="none"/>
        </w:rPr>
      </w:pPr>
      <w:r>
        <w:rPr>
          <w:color w:val="auto"/>
          <w:highlight w:val="none"/>
        </w:rPr>
        <w:fldChar w:fldCharType="begin"/>
      </w:r>
      <w:r>
        <w:rPr>
          <w:color w:val="auto"/>
          <w:highlight w:val="none"/>
        </w:rPr>
        <w:instrText xml:space="preserve"> HYPERLINK \l "_Toc228350064" </w:instrText>
      </w:r>
      <w:r>
        <w:rPr>
          <w:color w:val="auto"/>
          <w:highlight w:val="none"/>
        </w:rPr>
        <w:fldChar w:fldCharType="separate"/>
      </w:r>
      <w:r>
        <w:rPr>
          <w:rStyle w:val="742"/>
          <w:rFonts w:hint="eastAsia" w:ascii="宋体" w:hAnsi="宋体" w:cs="宋体"/>
          <w:bCs/>
          <w:color w:val="auto"/>
          <w:spacing w:val="-10"/>
          <w:sz w:val="24"/>
          <w:szCs w:val="24"/>
          <w:highlight w:val="none"/>
        </w:rPr>
        <w:t xml:space="preserve">第二章供应商须知</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_Toc228350064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"_Toc228350065" </w:instrText>
      </w:r>
      <w:r>
        <w:rPr>
          <w:color w:val="auto"/>
          <w:highlight w:val="none"/>
        </w:rPr>
        <w:fldChar w:fldCharType="separate"/>
      </w:r>
      <w:r>
        <w:rPr>
          <w:rStyle w:val="742"/>
          <w:rFonts w:hint="eastAsia" w:ascii="宋体" w:hAnsi="宋体" w:cs="宋体"/>
          <w:bCs/>
          <w:color w:val="auto"/>
          <w:sz w:val="24"/>
          <w:szCs w:val="24"/>
          <w:highlight w:val="none"/>
        </w:rPr>
        <w:t xml:space="preserve">一、总则</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_Toc228350065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"_Toc228350066" </w:instrText>
      </w:r>
      <w:r>
        <w:rPr>
          <w:color w:val="auto"/>
          <w:highlight w:val="none"/>
        </w:rPr>
        <w:fldChar w:fldCharType="separate"/>
      </w:r>
      <w:r>
        <w:rPr>
          <w:rStyle w:val="742"/>
          <w:rFonts w:hint="eastAsia" w:ascii="宋体" w:hAnsi="宋体" w:cs="宋体"/>
          <w:bCs/>
          <w:color w:val="auto"/>
          <w:sz w:val="24"/>
          <w:szCs w:val="24"/>
          <w:highlight w:val="none"/>
        </w:rPr>
        <w:t xml:space="preserve">二、招标文件</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_Toc228350066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11</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"_Toc228350067" </w:instrText>
      </w:r>
      <w:r>
        <w:rPr>
          <w:color w:val="auto"/>
          <w:highlight w:val="none"/>
        </w:rPr>
        <w:fldChar w:fldCharType="separate"/>
      </w:r>
      <w:r>
        <w:rPr>
          <w:rStyle w:val="742"/>
          <w:rFonts w:hint="eastAsia" w:ascii="宋体" w:hAnsi="宋体" w:cs="宋体"/>
          <w:bCs/>
          <w:color w:val="auto"/>
          <w:sz w:val="24"/>
          <w:szCs w:val="24"/>
          <w:highlight w:val="none"/>
        </w:rPr>
        <w:t xml:space="preserve">三、投标</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11</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"_Toc228350068" </w:instrText>
      </w:r>
      <w:r>
        <w:rPr>
          <w:color w:val="auto"/>
          <w:highlight w:val="none"/>
        </w:rPr>
        <w:fldChar w:fldCharType="separate"/>
      </w:r>
      <w:r>
        <w:rPr>
          <w:rStyle w:val="742"/>
          <w:rFonts w:hint="eastAsia" w:ascii="宋体" w:hAnsi="宋体" w:cs="宋体"/>
          <w:bCs/>
          <w:color w:val="auto"/>
          <w:sz w:val="24"/>
          <w:szCs w:val="24"/>
          <w:highlight w:val="none"/>
        </w:rPr>
        <w:t xml:space="preserve">四、开标、评标与确定中标供应商</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15</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"_Toc228350069" </w:instrText>
      </w:r>
      <w:r>
        <w:rPr>
          <w:color w:val="auto"/>
          <w:highlight w:val="none"/>
        </w:rPr>
        <w:fldChar w:fldCharType="separate"/>
      </w:r>
      <w:r>
        <w:rPr>
          <w:rStyle w:val="742"/>
          <w:rFonts w:hint="eastAsia" w:ascii="宋体" w:hAnsi="宋体" w:cs="宋体"/>
          <w:bCs/>
          <w:color w:val="auto"/>
          <w:sz w:val="24"/>
          <w:szCs w:val="24"/>
          <w:highlight w:val="none"/>
        </w:rPr>
        <w:t xml:space="preserve">五、签订合同</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20</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"_Toc228350070" </w:instrText>
      </w:r>
      <w:r>
        <w:rPr>
          <w:color w:val="auto"/>
          <w:highlight w:val="none"/>
        </w:rPr>
        <w:fldChar w:fldCharType="separate"/>
      </w:r>
      <w:r>
        <w:rPr>
          <w:rStyle w:val="742"/>
          <w:rFonts w:hint="eastAsia" w:ascii="宋体" w:hAnsi="宋体" w:cs="宋体"/>
          <w:bCs/>
          <w:color w:val="auto"/>
          <w:sz w:val="24"/>
          <w:szCs w:val="24"/>
          <w:highlight w:val="none"/>
        </w:rPr>
        <w:t xml:space="preserve">六、质疑和投诉</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21</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11"/>
        <w:spacing w:before="0" w:after="0" w:line="360" w:lineRule="auto"/>
        <w:tabs>
          <w:tab w:val="right" w:pos="9514" w:leader="dot"/>
        </w:tabs>
        <w:rPr>
          <w:rFonts w:ascii="宋体" w:hAnsi="宋体"/>
          <w:caps w:val="0"/>
          <w:color w:val="auto"/>
          <w:sz w:val="24"/>
          <w:szCs w:val="24"/>
          <w:highlight w:val="none"/>
        </w:rPr>
      </w:pPr>
      <w:r>
        <w:rPr>
          <w:color w:val="auto"/>
          <w:highlight w:val="none"/>
        </w:rPr>
        <w:fldChar w:fldCharType="begin"/>
      </w:r>
      <w:r>
        <w:rPr>
          <w:color w:val="auto"/>
          <w:highlight w:val="none"/>
        </w:rPr>
        <w:instrText xml:space="preserve"> HYPERLINK \l "_Toc228350071" </w:instrText>
      </w:r>
      <w:r>
        <w:rPr>
          <w:color w:val="auto"/>
          <w:highlight w:val="none"/>
        </w:rPr>
        <w:fldChar w:fldCharType="separate"/>
      </w:r>
      <w:r>
        <w:rPr>
          <w:rStyle w:val="742"/>
          <w:rFonts w:hint="eastAsia" w:ascii="宋体" w:hAnsi="宋体" w:cs="宋体"/>
          <w:bCs/>
          <w:color w:val="auto"/>
          <w:spacing w:val="-10"/>
          <w:sz w:val="24"/>
          <w:szCs w:val="24"/>
          <w:highlight w:val="none"/>
          <w:lang w:val="zh-CN"/>
        </w:rPr>
        <w:t xml:space="preserve">第三章评标方法和标准</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_Toc228350071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23</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"_Toc228350072" </w:instrText>
      </w:r>
      <w:r>
        <w:rPr>
          <w:color w:val="auto"/>
          <w:highlight w:val="none"/>
        </w:rPr>
        <w:fldChar w:fldCharType="separate"/>
      </w:r>
      <w:r>
        <w:rPr>
          <w:rStyle w:val="742"/>
          <w:rFonts w:hint="eastAsia" w:ascii="宋体" w:hAnsi="宋体" w:cs="宋体"/>
          <w:bCs/>
          <w:color w:val="auto"/>
          <w:sz w:val="24"/>
          <w:szCs w:val="24"/>
          <w:highlight w:val="none"/>
          <w:lang w:val="zh-CN"/>
        </w:rPr>
        <w:t xml:space="preserve">一、采用综合评分法</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_Toc228350072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23</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"_Toc228350073" </w:instrText>
      </w:r>
      <w:r>
        <w:rPr>
          <w:color w:val="auto"/>
          <w:highlight w:val="none"/>
        </w:rPr>
        <w:fldChar w:fldCharType="separate"/>
      </w:r>
      <w:r>
        <w:rPr>
          <w:rStyle w:val="742"/>
          <w:rFonts w:hint="eastAsia" w:ascii="宋体" w:hAnsi="宋体" w:cs="宋体"/>
          <w:bCs/>
          <w:color w:val="auto"/>
          <w:sz w:val="24"/>
          <w:szCs w:val="24"/>
          <w:highlight w:val="none"/>
          <w:lang w:val="zh-CN"/>
        </w:rPr>
        <w:t xml:space="preserve">二、综合评分法评审评分细则</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_Toc228350073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23</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11"/>
        <w:spacing w:before="0" w:after="0" w:line="360" w:lineRule="auto"/>
        <w:tabs>
          <w:tab w:val="right" w:pos="9514" w:leader="dot"/>
        </w:tabs>
        <w:rPr>
          <w:rFonts w:ascii="宋体" w:hAnsi="宋体"/>
          <w:caps w:val="0"/>
          <w:color w:val="auto"/>
          <w:sz w:val="24"/>
          <w:szCs w:val="24"/>
          <w:highlight w:val="none"/>
        </w:rPr>
      </w:pPr>
      <w:r>
        <w:rPr>
          <w:color w:val="auto"/>
          <w:highlight w:val="none"/>
        </w:rPr>
        <w:fldChar w:fldCharType="begin"/>
      </w:r>
      <w:r>
        <w:rPr>
          <w:color w:val="auto"/>
          <w:highlight w:val="none"/>
        </w:rPr>
        <w:instrText xml:space="preserve"> HYPERLINK \l "_Toc228350074" </w:instrText>
      </w:r>
      <w:r>
        <w:rPr>
          <w:color w:val="auto"/>
          <w:highlight w:val="none"/>
        </w:rPr>
        <w:fldChar w:fldCharType="separate"/>
      </w:r>
      <w:r>
        <w:rPr>
          <w:rStyle w:val="742"/>
          <w:rFonts w:hint="eastAsia" w:ascii="宋体" w:hAnsi="宋体" w:cs="宋体"/>
          <w:bCs/>
          <w:color w:val="auto"/>
          <w:spacing w:val="-10"/>
          <w:sz w:val="24"/>
          <w:szCs w:val="24"/>
          <w:highlight w:val="none"/>
          <w:lang w:val="zh-CN"/>
        </w:rPr>
        <w:t xml:space="preserve">第四章采购需求</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_Toc228350074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29</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11"/>
        <w:spacing w:before="0" w:after="0" w:line="360" w:lineRule="auto"/>
        <w:tabs>
          <w:tab w:val="right" w:pos="9514" w:leader="dot"/>
        </w:tabs>
        <w:rPr>
          <w:rFonts w:ascii="宋体" w:hAnsi="宋体"/>
          <w:caps w:val="0"/>
          <w:color w:val="auto"/>
          <w:sz w:val="24"/>
          <w:szCs w:val="24"/>
          <w:highlight w:val="none"/>
        </w:rPr>
      </w:pPr>
      <w:r>
        <w:rPr>
          <w:color w:val="auto"/>
          <w:highlight w:val="none"/>
        </w:rPr>
        <w:fldChar w:fldCharType="begin"/>
      </w:r>
      <w:r>
        <w:rPr>
          <w:color w:val="auto"/>
          <w:highlight w:val="none"/>
        </w:rPr>
        <w:instrText xml:space="preserve"> HYPERLINK \l "_Toc228350075" </w:instrText>
      </w:r>
      <w:r>
        <w:rPr>
          <w:color w:val="auto"/>
          <w:highlight w:val="none"/>
        </w:rPr>
        <w:fldChar w:fldCharType="separate"/>
      </w:r>
      <w:r>
        <w:rPr>
          <w:rStyle w:val="742"/>
          <w:rFonts w:hint="eastAsia" w:ascii="宋体" w:hAnsi="宋体" w:cs="宋体"/>
          <w:bCs/>
          <w:color w:val="auto"/>
          <w:spacing w:val="-10"/>
          <w:sz w:val="24"/>
          <w:szCs w:val="24"/>
          <w:highlight w:val="none"/>
          <w:lang w:val="zh-CN"/>
        </w:rPr>
        <w:t xml:space="preserve">第五章合同主要条款及格式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_Toc228350075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66</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11"/>
        <w:spacing w:before="0" w:after="0" w:line="360" w:lineRule="auto"/>
        <w:tabs>
          <w:tab w:val="right" w:pos="9514" w:leader="dot"/>
        </w:tabs>
        <w:rPr>
          <w:rFonts w:ascii="宋体" w:hAnsi="宋体"/>
          <w:b w:val="0"/>
          <w:caps w:val="0"/>
          <w:color w:val="auto"/>
          <w:sz w:val="24"/>
          <w:szCs w:val="24"/>
          <w:highlight w:val="none"/>
        </w:rPr>
      </w:pPr>
      <w:r>
        <w:rPr>
          <w:color w:val="auto"/>
          <w:highlight w:val="none"/>
        </w:rPr>
        <w:fldChar w:fldCharType="begin"/>
      </w:r>
      <w:r>
        <w:rPr>
          <w:color w:val="auto"/>
          <w:highlight w:val="none"/>
        </w:rPr>
        <w:instrText xml:space="preserve"> HYPERLINK \l "_Toc228350076" </w:instrText>
      </w:r>
      <w:r>
        <w:rPr>
          <w:color w:val="auto"/>
          <w:highlight w:val="none"/>
        </w:rPr>
        <w:fldChar w:fldCharType="separate"/>
      </w:r>
      <w:r>
        <w:rPr>
          <w:rStyle w:val="742"/>
          <w:rFonts w:hint="eastAsia" w:ascii="宋体" w:hAnsi="宋体" w:cs="宋体"/>
          <w:bCs/>
          <w:color w:val="auto"/>
          <w:sz w:val="24"/>
          <w:szCs w:val="24"/>
          <w:highlight w:val="none"/>
          <w:lang w:val="zh-CN"/>
        </w:rPr>
        <w:t xml:space="preserve">第六章</w:t>
      </w:r>
      <w:r>
        <w:rPr>
          <w:rStyle w:val="742"/>
          <w:rFonts w:hint="eastAsia" w:ascii="宋体" w:hAnsi="宋体" w:cs="宋体"/>
          <w:bCs/>
          <w:color w:val="auto"/>
          <w:sz w:val="24"/>
          <w:szCs w:val="24"/>
          <w:highlight w:val="none"/>
        </w:rPr>
        <w:t xml:space="preserve">投标文件</w:t>
      </w:r>
      <w:r>
        <w:rPr>
          <w:rStyle w:val="742"/>
          <w:rFonts w:hint="eastAsia" w:ascii="宋体" w:hAnsi="宋体" w:cs="宋体"/>
          <w:bCs/>
          <w:color w:val="auto"/>
          <w:sz w:val="24"/>
          <w:szCs w:val="24"/>
          <w:highlight w:val="none"/>
          <w:lang w:val="zh-CN"/>
        </w:rPr>
        <w:t xml:space="preserve">格式及附件</w:t>
      </w:r>
      <w:r>
        <w:rPr>
          <w:rFonts w:ascii="宋体" w:hAnsi="宋体"/>
          <w:b w:val="0"/>
          <w:color w:val="auto"/>
          <w:sz w:val="24"/>
          <w:szCs w:val="24"/>
          <w:highlight w:val="none"/>
        </w:rPr>
        <w:tab/>
      </w:r>
      <w:r>
        <w:rPr>
          <w:rFonts w:ascii="宋体" w:hAnsi="宋体"/>
          <w:b w:val="0"/>
          <w:color w:val="auto"/>
          <w:sz w:val="24"/>
          <w:szCs w:val="24"/>
          <w:highlight w:val="none"/>
        </w:rPr>
        <w:fldChar w:fldCharType="begin"/>
      </w:r>
      <w:r>
        <w:rPr>
          <w:rFonts w:ascii="宋体" w:hAnsi="宋体"/>
          <w:b w:val="0"/>
          <w:color w:val="auto"/>
          <w:sz w:val="24"/>
          <w:szCs w:val="24"/>
          <w:highlight w:val="none"/>
        </w:rPr>
        <w:instrText xml:space="preserve"> PAGEREF _Toc228350076 \h </w:instrText>
      </w:r>
      <w:r>
        <w:rPr>
          <w:rFonts w:ascii="宋体" w:hAnsi="宋体"/>
          <w:b w:val="0"/>
          <w:color w:val="auto"/>
          <w:sz w:val="24"/>
          <w:szCs w:val="24"/>
          <w:highlight w:val="none"/>
        </w:rPr>
        <w:fldChar w:fldCharType="separate"/>
      </w:r>
      <w:r>
        <w:rPr>
          <w:rFonts w:ascii="宋体" w:hAnsi="宋体"/>
          <w:b w:val="0"/>
          <w:color w:val="auto"/>
          <w:sz w:val="24"/>
          <w:szCs w:val="24"/>
          <w:highlight w:val="none"/>
        </w:rPr>
        <w:t xml:space="preserve">77</w:t>
      </w:r>
      <w:r>
        <w:rPr>
          <w:rFonts w:ascii="宋体" w:hAnsi="宋体"/>
          <w:b w:val="0"/>
          <w:color w:val="auto"/>
          <w:sz w:val="24"/>
          <w:szCs w:val="24"/>
          <w:highlight w:val="none"/>
        </w:rPr>
        <w:fldChar w:fldCharType="end"/>
      </w:r>
      <w:r>
        <w:rPr>
          <w:rFonts w:ascii="宋体" w:hAnsi="宋体"/>
          <w:b w:val="0"/>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"_Toc228350077"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附件一、投标申请及声明格式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78</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"_Toc228350078"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附件二、法定代表人授权书格式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80</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"_Toc228350079"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附件三、开标一览表格式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81</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"_Toc228350080"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附件五、技术条款偏离表格式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84</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"_Toc228350081"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附件六、商务条款偏离表格式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_Toc228350081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85</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"_Toc228350082"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附件七、核心产品品牌一览表（实质性格式）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_Toc228350082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86</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"_Toc228350083"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附件八、供应商类似业绩表</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_Toc228350083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87</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"_Toc228350084"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附件九、服务方案</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_Toc228350084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88</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"_Toc228350085"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附件十、资格证明文件</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_Toc228350085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89</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"_Toc228350086"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附件十一、政府采购政策</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_Toc228350086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91</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"_Toc228350087"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附件十二、南京市政府采购供应商信用记录表暨信用承诺书</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94</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"_Toc228350088"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附件十三、供应商资格承诺声明函</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95</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"_Toc228350089"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附件十四、联合体协议</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98</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pStyle w:val="723"/>
        <w:ind w:left="0"/>
        <w:spacing w:line="360" w:lineRule="auto"/>
        <w:tabs>
          <w:tab w:val="right" w:pos="9514" w:leader="dot"/>
        </w:tabs>
        <w:rPr>
          <w:rFonts w:ascii="宋体" w:hAnsi="宋体"/>
          <w:smallCaps w:val="0"/>
          <w:color w:val="auto"/>
          <w:sz w:val="24"/>
          <w:szCs w:val="24"/>
          <w:highlight w:val="none"/>
        </w:rPr>
      </w:pPr>
      <w:r>
        <w:rPr>
          <w:color w:val="auto"/>
          <w:highlight w:val="none"/>
        </w:rPr>
        <w:fldChar w:fldCharType="begin"/>
      </w:r>
      <w:r>
        <w:rPr>
          <w:color w:val="auto"/>
          <w:highlight w:val="none"/>
        </w:rPr>
        <w:instrText xml:space="preserve"> HYPERLINK \l "_Toc228350090" </w:instrText>
      </w:r>
      <w:r>
        <w:rPr>
          <w:color w:val="auto"/>
          <w:highlight w:val="none"/>
        </w:rPr>
        <w:fldChar w:fldCharType="separate"/>
      </w:r>
      <w:r>
        <w:rPr>
          <w:rStyle w:val="742"/>
          <w:rFonts w:hint="eastAsia" w:ascii="宋体" w:hAnsi="宋体" w:cs="宋体"/>
          <w:color w:val="auto"/>
          <w:sz w:val="24"/>
          <w:szCs w:val="24"/>
          <w:highlight w:val="none"/>
          <w:lang w:val="zh-CN"/>
        </w:rPr>
        <w:t xml:space="preserve">附件十五、关于符合本国产品标准的声明函</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_Toc228350090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99</w:t>
      </w:r>
      <w:r>
        <w:rPr>
          <w:rFonts w:ascii="宋体" w:hAnsi="宋体"/>
          <w:color w:val="auto"/>
          <w:sz w:val="24"/>
          <w:szCs w:val="24"/>
          <w:highlight w:val="none"/>
        </w:rPr>
        <w:fldChar w:fldCharType="end"/>
      </w:r>
      <w:r>
        <w:rPr>
          <w:rFonts w:ascii="宋体" w:hAnsi="宋体"/>
          <w:color w:val="auto"/>
          <w:sz w:val="24"/>
          <w:szCs w:val="24"/>
          <w:highlight w:val="none"/>
        </w:rPr>
        <w:fldChar w:fldCharType="end"/>
      </w:r>
      <w:r/>
    </w:p>
    <w:p>
      <w:pPr>
        <w:jc w:val="left"/>
        <w:spacing w:line="360" w:lineRule="auto"/>
        <w:rPr>
          <w:rFonts w:ascii="宋体" w:hAnsi="宋体" w:cs="宋体"/>
          <w:bCs/>
          <w:color w:val="auto"/>
          <w:spacing w:val="-10"/>
          <w:sz w:val="24"/>
          <w:szCs w:val="24"/>
          <w:highlight w:val="none"/>
        </w:rPr>
      </w:pPr>
      <w:r>
        <w:rPr>
          <w:rFonts w:hint="eastAsia" w:ascii="宋体" w:hAnsi="宋体" w:cs="宋体"/>
          <w:bCs/>
          <w:color w:val="auto"/>
          <w:spacing w:val="-10"/>
          <w:sz w:val="24"/>
          <w:szCs w:val="24"/>
          <w:highlight w:val="none"/>
        </w:rPr>
        <w:fldChar w:fldCharType="end"/>
      </w:r>
      <w:r/>
    </w:p>
    <w:p>
      <w:pPr>
        <w:jc w:val="center"/>
        <w:spacing w:line="360" w:lineRule="auto"/>
        <w:rPr>
          <w:rFonts w:ascii="宋体" w:hAnsi="宋体" w:cs="宋体"/>
          <w:bCs/>
          <w:color w:val="auto"/>
          <w:spacing w:val="-10"/>
          <w:szCs w:val="36"/>
          <w:highlight w:val="none"/>
        </w:rPr>
      </w:pPr>
      <w:r>
        <w:rPr>
          <w:rFonts w:ascii="宋体" w:hAnsi="宋体" w:cs="宋体"/>
          <w:bCs/>
          <w:color w:val="auto"/>
          <w:spacing w:val="-10"/>
          <w:szCs w:val="36"/>
          <w:highlight w:val="none"/>
        </w:rPr>
      </w:r>
      <w:r/>
    </w:p>
    <w:p>
      <w:pPr>
        <w:jc w:val="center"/>
        <w:spacing w:line="360" w:lineRule="auto"/>
        <w:rPr>
          <w:rFonts w:ascii="宋体" w:hAnsi="宋体" w:cs="宋体"/>
          <w:b/>
          <w:bCs/>
          <w:color w:val="auto"/>
          <w:spacing w:val="-10"/>
          <w:sz w:val="36"/>
          <w:szCs w:val="36"/>
          <w:highlight w:val="none"/>
        </w:rPr>
      </w:pPr>
      <w:r>
        <w:rPr>
          <w:rFonts w:ascii="宋体" w:hAnsi="宋体" w:cs="宋体"/>
          <w:b/>
          <w:bCs/>
          <w:color w:val="auto"/>
          <w:spacing w:val="-10"/>
          <w:sz w:val="36"/>
          <w:szCs w:val="36"/>
          <w:highlight w:val="none"/>
        </w:rPr>
      </w:r>
      <w:r/>
    </w:p>
    <w:p>
      <w:pPr>
        <w:jc w:val="center"/>
        <w:spacing w:line="360" w:lineRule="auto"/>
        <w:rPr>
          <w:rFonts w:ascii="宋体" w:hAnsi="宋体" w:cs="宋体"/>
          <w:b/>
          <w:bCs/>
          <w:color w:val="auto"/>
          <w:spacing w:val="-10"/>
          <w:sz w:val="36"/>
          <w:szCs w:val="36"/>
          <w:highlight w:val="none"/>
        </w:rPr>
      </w:pPr>
      <w:r>
        <w:rPr>
          <w:rFonts w:ascii="宋体" w:hAnsi="宋体" w:cs="宋体"/>
          <w:b/>
          <w:bCs/>
          <w:color w:val="auto"/>
          <w:spacing w:val="-10"/>
          <w:sz w:val="36"/>
          <w:szCs w:val="36"/>
          <w:highlight w:val="none"/>
        </w:rPr>
      </w:r>
      <w:r/>
    </w:p>
    <w:p>
      <w:pPr>
        <w:jc w:val="center"/>
        <w:spacing w:line="360" w:lineRule="auto"/>
        <w:rPr>
          <w:rFonts w:ascii="宋体" w:hAnsi="宋体" w:cs="宋体"/>
          <w:b/>
          <w:bCs/>
          <w:color w:val="auto"/>
          <w:spacing w:val="-10"/>
          <w:sz w:val="36"/>
          <w:szCs w:val="36"/>
          <w:highlight w:val="none"/>
        </w:rPr>
      </w:pPr>
      <w:r>
        <w:rPr>
          <w:rFonts w:ascii="宋体" w:hAnsi="宋体" w:cs="宋体"/>
          <w:b/>
          <w:bCs/>
          <w:color w:val="auto"/>
          <w:spacing w:val="-10"/>
          <w:sz w:val="36"/>
          <w:szCs w:val="36"/>
          <w:highlight w:val="none"/>
        </w:rPr>
      </w:r>
      <w:r/>
    </w:p>
    <w:p>
      <w:pPr>
        <w:jc w:val="center"/>
        <w:spacing w:line="360" w:lineRule="auto"/>
        <w:rPr>
          <w:rFonts w:ascii="宋体" w:hAnsi="宋体" w:cs="宋体"/>
          <w:b/>
          <w:bCs/>
          <w:color w:val="auto"/>
          <w:sz w:val="36"/>
          <w:szCs w:val="36"/>
          <w:highlight w:val="none"/>
          <w:lang w:val="zh-CN"/>
        </w:rPr>
        <w:outlineLvl w:val="0"/>
      </w:pPr>
      <w:r>
        <w:rPr>
          <w:rFonts w:ascii="宋体" w:hAnsi="宋体" w:cs="宋体"/>
          <w:b/>
          <w:bCs/>
          <w:color w:val="auto"/>
          <w:spacing w:val="-10"/>
          <w:sz w:val="36"/>
          <w:szCs w:val="36"/>
          <w:highlight w:val="none"/>
        </w:rPr>
        <w:br w:type="page" w:clear="all"/>
      </w:r>
      <w:bookmarkStart w:id="2" w:name="_Toc228350056"/>
      <w:r>
        <w:rPr>
          <w:rFonts w:hint="eastAsia" w:ascii="宋体" w:hAnsi="宋体" w:cs="宋体"/>
          <w:b/>
          <w:bCs/>
          <w:color w:val="auto"/>
          <w:spacing w:val="-10"/>
          <w:sz w:val="36"/>
          <w:szCs w:val="36"/>
          <w:highlight w:val="none"/>
        </w:rPr>
        <w:t xml:space="preserve">第一章  投标邀请</w:t>
      </w:r>
      <w:bookmarkEnd w:id="2"/>
      <w:r/>
      <w:r/>
    </w:p>
    <w:p>
      <w:pPr>
        <w:ind w:firstLine="482"/>
        <w:spacing w:line="360"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捷宏润安工程顾问（江苏）有限公司</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代理机构名称，</w:t>
      </w:r>
      <w:r>
        <w:rPr>
          <w:rFonts w:hint="eastAsia" w:ascii="宋体" w:hAnsi="宋体" w:cs="宋体"/>
          <w:bCs/>
          <w:color w:val="auto"/>
          <w:sz w:val="24"/>
          <w:szCs w:val="24"/>
          <w:highlight w:val="none"/>
          <w:lang w:val="zh-CN"/>
        </w:rPr>
        <w:t xml:space="preserve">以下简称“代理机构”）受</w:t>
      </w:r>
      <w:r>
        <w:rPr>
          <w:rFonts w:hint="eastAsia" w:ascii="宋体" w:hAnsi="宋体" w:cs="宋体"/>
          <w:b/>
          <w:color w:val="auto"/>
          <w:sz w:val="24"/>
          <w:szCs w:val="24"/>
          <w:highlight w:val="none"/>
        </w:rPr>
        <w:t xml:space="preserve">南京江北新区管理委员会教育局</w:t>
      </w:r>
      <w:r>
        <w:rPr>
          <w:rFonts w:hint="eastAsia" w:ascii="宋体" w:hAnsi="宋体" w:cs="宋体"/>
          <w:bCs/>
          <w:color w:val="auto"/>
          <w:sz w:val="24"/>
          <w:szCs w:val="24"/>
          <w:highlight w:val="none"/>
          <w:lang w:val="zh-CN"/>
        </w:rPr>
        <w:t xml:space="preserve">（采购单位名称，以下简称“采购人”）委托，就</w:t>
      </w:r>
      <w:r>
        <w:rPr>
          <w:rFonts w:hint="eastAsia" w:ascii="宋体" w:hAnsi="宋体" w:cs="宋体"/>
          <w:b/>
          <w:color w:val="auto"/>
          <w:sz w:val="24"/>
          <w:szCs w:val="24"/>
          <w:highlight w:val="none"/>
        </w:rPr>
        <w:t xml:space="preserve">南京师范大学附属中学江北新区学校新建工程项目体育装备采购</w:t>
      </w:r>
      <w:r>
        <w:rPr>
          <w:rFonts w:hint="eastAsia" w:ascii="宋体" w:hAnsi="宋体" w:cs="宋体"/>
          <w:bCs/>
          <w:color w:val="auto"/>
          <w:sz w:val="24"/>
          <w:szCs w:val="24"/>
          <w:highlight w:val="none"/>
        </w:rPr>
        <w:t xml:space="preserve">（项目名称）进行公开招标，</w:t>
      </w:r>
      <w:r>
        <w:rPr>
          <w:rFonts w:hint="eastAsia" w:ascii="宋体" w:hAnsi="宋体" w:cs="宋体"/>
          <w:bCs/>
          <w:color w:val="auto"/>
          <w:sz w:val="24"/>
          <w:szCs w:val="24"/>
          <w:highlight w:val="none"/>
          <w:lang w:val="zh-CN"/>
        </w:rPr>
        <w:t xml:space="preserve">兹邀请符合资格条件的供应商投标。</w:t>
      </w:r>
      <w:r/>
    </w:p>
    <w:p>
      <w:pPr>
        <w:ind w:firstLine="482"/>
        <w:jc w:val="left"/>
        <w:spacing w:before="120" w:line="360" w:lineRule="auto"/>
        <w:shd w:val="clear" w:color="auto" w:fill="ffffff"/>
        <w:widowControl/>
        <w:rPr>
          <w:rFonts w:ascii="宋体" w:hAnsi="宋体" w:cs="宋体"/>
          <w:color w:val="auto"/>
          <w:sz w:val="24"/>
          <w:szCs w:val="24"/>
          <w:highlight w:val="none"/>
        </w:rPr>
        <w:outlineLvl w:val="1"/>
      </w:pPr>
      <w:r/>
      <w:bookmarkStart w:id="3" w:name="_Toc228350057"/>
      <w:r>
        <w:rPr>
          <w:rFonts w:hint="eastAsia" w:ascii="宋体" w:hAnsi="宋体" w:cs="宋体"/>
          <w:b/>
          <w:bCs/>
          <w:color w:val="auto"/>
          <w:sz w:val="24"/>
          <w:szCs w:val="24"/>
          <w:highlight w:val="none"/>
        </w:rPr>
        <w:t xml:space="preserve">一、项目基本情况：</w:t>
      </w:r>
      <w:bookmarkEnd w:id="3"/>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1、项目编号：JSZC-320192-JHRA-G2026-0020</w:t>
      </w:r>
      <w:r>
        <w:rPr>
          <w:rFonts w:hint="eastAsia" w:ascii="宋体" w:hAnsi="宋体" w:cs="宋体"/>
          <w:bCs/>
          <w:color w:val="auto"/>
          <w:sz w:val="24"/>
          <w:szCs w:val="24"/>
          <w:highlight w:val="none"/>
          <w:lang w:val="zh-CN"/>
        </w:rPr>
        <w:tab/>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2、项目名称：南京师范大学附属中学江北新区学校新建工程项目体育装备采购</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3、采购需求：</w:t>
      </w:r>
      <w:r>
        <w:rPr>
          <w:rFonts w:hint="eastAsia" w:ascii="宋体" w:hAnsi="宋体" w:cs="宋体"/>
          <w:bCs/>
          <w:color w:val="auto"/>
          <w:sz w:val="24"/>
          <w:szCs w:val="24"/>
          <w:highlight w:val="none"/>
        </w:rPr>
        <w:t xml:space="preserve">南京师范大学附属中学江北新区学校新建工程项目体育装备采购</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详见采购文件。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4、采购方式：公开招标</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采购预算：</w:t>
      </w:r>
      <w:r>
        <w:rPr>
          <w:rFonts w:ascii="宋体" w:hAnsi="宋体" w:cs="宋体"/>
          <w:bCs/>
          <w:color w:val="auto"/>
          <w:sz w:val="24"/>
          <w:szCs w:val="24"/>
          <w:highlight w:val="none"/>
        </w:rPr>
        <w:t xml:space="preserve">107.7571</w:t>
      </w:r>
      <w:r>
        <w:rPr>
          <w:rFonts w:hint="eastAsia" w:ascii="宋体" w:hAnsi="宋体" w:cs="宋体"/>
          <w:bCs/>
          <w:color w:val="auto"/>
          <w:sz w:val="24"/>
          <w:szCs w:val="24"/>
          <w:highlight w:val="none"/>
        </w:rPr>
        <w:t xml:space="preserve">万元</w:t>
      </w:r>
      <w:r/>
    </w:p>
    <w:p>
      <w:pPr>
        <w:ind w:firstLine="480"/>
        <w:spacing w:line="360" w:lineRule="auto"/>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6、最高限价：107.5588万元</w:t>
      </w:r>
      <w:r>
        <w:rPr>
          <w:rFonts w:hint="eastAsia" w:ascii="宋体" w:hAnsi="宋体" w:cs="宋体"/>
          <w:bCs/>
          <w:color w:val="auto"/>
          <w:sz w:val="24"/>
          <w:szCs w:val="24"/>
          <w:highlight w:val="none"/>
        </w:rPr>
        <w:t xml:space="preserve">（超过最高限价的投标报价将被作为无效标处理）</w:t>
      </w:r>
      <w:r/>
    </w:p>
    <w:p>
      <w:pPr>
        <w:ind w:firstLine="480"/>
        <w:spacing w:line="360" w:lineRule="auto"/>
        <w:rPr>
          <w:color w:val="auto"/>
          <w:highlight w:val="none"/>
        </w:rPr>
      </w:pPr>
      <w:r>
        <w:rPr>
          <w:rFonts w:hint="eastAsia" w:ascii="宋体" w:hAnsi="宋体" w:cs="宋体"/>
          <w:bCs/>
          <w:color w:val="auto"/>
          <w:sz w:val="24"/>
          <w:szCs w:val="24"/>
          <w:highlight w:val="none"/>
          <w:lang w:val="zh-CN"/>
        </w:rPr>
        <w:t xml:space="preserve">7、合同履行期限：</w:t>
      </w:r>
      <w:r>
        <w:rPr>
          <w:rFonts w:hint="eastAsia" w:ascii="宋体" w:hAnsi="宋体" w:cs="宋体"/>
          <w:bCs/>
          <w:color w:val="auto"/>
          <w:sz w:val="24"/>
          <w:szCs w:val="24"/>
          <w:highlight w:val="none"/>
        </w:rPr>
        <w:t xml:space="preserve">收到采购人指令后30个日历天内安装调试完毕，并投入正常使用。</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8、</w:t>
      </w:r>
      <w:r>
        <w:rPr>
          <w:rFonts w:hint="eastAsia" w:ascii="宋体" w:hAnsi="宋体" w:cs="宋体"/>
          <w:bCs/>
          <w:color w:val="auto"/>
          <w:sz w:val="24"/>
          <w:szCs w:val="24"/>
          <w:highlight w:val="none"/>
          <w:lang w:val="zh-CN"/>
        </w:rPr>
        <w:t xml:space="preserve">本项目不接受联合体。</w:t>
      </w:r>
      <w:r/>
    </w:p>
    <w:p>
      <w:pPr>
        <w:ind w:firstLine="482"/>
        <w:jc w:val="left"/>
        <w:spacing w:before="120" w:line="360" w:lineRule="auto"/>
        <w:shd w:val="clear" w:color="auto" w:fill="ffffff"/>
        <w:widowControl/>
        <w:rPr>
          <w:rFonts w:ascii="宋体" w:hAnsi="宋体" w:cs="宋体"/>
          <w:b/>
          <w:bCs/>
          <w:color w:val="auto"/>
          <w:sz w:val="24"/>
          <w:szCs w:val="24"/>
          <w:highlight w:val="none"/>
        </w:rPr>
        <w:outlineLvl w:val="1"/>
      </w:pPr>
      <w:r/>
      <w:bookmarkStart w:id="4" w:name="_Toc35393799"/>
      <w:r/>
      <w:bookmarkStart w:id="5" w:name="_Toc228350058"/>
      <w:r/>
      <w:bookmarkStart w:id="6" w:name="_Toc35393630"/>
      <w:r/>
      <w:bookmarkStart w:id="7" w:name="_Toc28359013"/>
      <w:r/>
      <w:bookmarkStart w:id="8" w:name="_Toc28359090"/>
      <w:r>
        <w:rPr>
          <w:rFonts w:hint="eastAsia" w:ascii="宋体" w:hAnsi="宋体" w:cs="宋体"/>
          <w:b/>
          <w:bCs/>
          <w:color w:val="auto"/>
          <w:sz w:val="24"/>
          <w:szCs w:val="24"/>
          <w:highlight w:val="none"/>
        </w:rPr>
        <w:t xml:space="preserve">二、申请人的资格要求：</w:t>
      </w:r>
      <w:bookmarkEnd w:id="4"/>
      <w:r/>
      <w:bookmarkEnd w:id="5"/>
      <w:r/>
      <w:bookmarkEnd w:id="6"/>
      <w:r/>
      <w:bookmarkEnd w:id="7"/>
      <w:r/>
      <w:bookmarkEnd w:id="8"/>
      <w:r>
        <w:t xml:space="preserve"> </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zh-CN"/>
        </w:rPr>
        <w:t xml:space="preserve">、满足《中华人民共和国政府采购法》第二十二条规定。</w:t>
      </w:r>
      <w:r/>
    </w:p>
    <w:p>
      <w:pPr>
        <w:ind w:firstLine="480"/>
        <w:jc w:val="left"/>
        <w:spacing w:line="360" w:lineRule="auto"/>
        <w:widowControl/>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（1）具有独立承担民事责任的能力（提供法人或者其他组织的营业执照等证明文件，自然人的身份证明）。</w:t>
      </w:r>
      <w:r/>
    </w:p>
    <w:p>
      <w:pPr>
        <w:ind w:firstLine="480"/>
        <w:jc w:val="left"/>
        <w:spacing w:line="360" w:lineRule="auto"/>
        <w:widowControl/>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（2）具有良好的商业信誉和健全的财务会计制度（提供2025年经审计的财务报告或2025年财务报表，或投标文件提交截止时间前六个月内银行出具的资信证明，成立不满一年无需提供）。</w:t>
      </w:r>
      <w:r/>
    </w:p>
    <w:p>
      <w:pPr>
        <w:ind w:firstLine="480"/>
        <w:jc w:val="left"/>
        <w:spacing w:line="360" w:lineRule="auto"/>
        <w:widowControl/>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（3）具有履行合同所必需的设备和专业技术能力（供应商根据履行采购项目合同需要，提供履行合同所必需的设备和专业技术能力的证明材料）。</w:t>
      </w:r>
      <w:r/>
    </w:p>
    <w:p>
      <w:pPr>
        <w:ind w:firstLine="480"/>
        <w:jc w:val="left"/>
        <w:spacing w:line="360" w:lineRule="auto"/>
        <w:widowControl/>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p>
      <w:pPr>
        <w:ind w:firstLine="480"/>
        <w:jc w:val="left"/>
        <w:spacing w:line="360" w:lineRule="auto"/>
        <w:widowControl/>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p>
    <w:p>
      <w:pPr>
        <w:ind w:firstLine="482"/>
        <w:jc w:val="left"/>
        <w:spacing w:line="360" w:lineRule="auto"/>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2、落实政府采购政策需满足的资格要求：</w:t>
      </w:r>
      <w:bookmarkStart w:id="9" w:name="OLE_LINK2"/>
      <w:r>
        <w:rPr>
          <w:rFonts w:hint="eastAsia" w:ascii="宋体" w:hAnsi="宋体" w:cs="宋体"/>
          <w:bCs/>
          <w:color w:val="auto"/>
          <w:spacing w:val="8"/>
          <w:sz w:val="24"/>
          <w:szCs w:val="24"/>
          <w:highlight w:val="none"/>
        </w:rPr>
        <w:t xml:space="preserve">本项目为非预留份额的采购项目或采购包，执行价格扣除优惠政策，具体详见招标文件第三章评标标准。</w:t>
      </w:r>
      <w:bookmarkEnd w:id="9"/>
      <w:r/>
      <w:r/>
    </w:p>
    <w:p>
      <w:pPr>
        <w:pStyle w:val="1084"/>
        <w:ind w:firstLine="482"/>
        <w:spacing w:line="360" w:lineRule="auto"/>
        <w:rPr>
          <w:rFonts w:hAnsi="宋体"/>
          <w:b/>
          <w:bCs/>
          <w:color w:val="auto"/>
          <w:highlight w:val="none"/>
        </w:rPr>
      </w:pPr>
      <w:r>
        <w:rPr>
          <w:rFonts w:hint="eastAsia" w:hAnsi="宋体"/>
          <w:b/>
          <w:bCs/>
          <w:color w:val="auto"/>
          <w:highlight w:val="none"/>
        </w:rPr>
        <w:t xml:space="preserve">3、</w:t>
      </w:r>
      <w:r>
        <w:rPr>
          <w:rFonts w:hint="eastAsia" w:hAnsi="宋体"/>
          <w:b/>
          <w:bCs/>
          <w:color w:val="auto"/>
          <w:highlight w:val="none"/>
          <w:lang w:val="zh-CN"/>
        </w:rPr>
        <w:t xml:space="preserve">本项目的特定资格：</w:t>
      </w:r>
      <w:r>
        <w:rPr>
          <w:rFonts w:hint="eastAsia" w:hAnsi="宋体"/>
          <w:b/>
          <w:bCs/>
          <w:color w:val="auto"/>
          <w:highlight w:val="none"/>
        </w:rPr>
        <w:t xml:space="preserve">无</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4、拒绝下述供应商参加本次采购活动：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（2）为采购项目提供整体设计、规范编制或者项目管理、监理、检测等服务的供应商，不得再参加该采购项目的其他采购活动。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（3）拒绝列入失信被执行人、重大税收违法案件当事人名单、政府采购严重违法失信行为记录名单中的供应商参与本项目的采购活动。</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5、是否接受进口产品：否。</w:t>
      </w:r>
      <w:r/>
    </w:p>
    <w:p>
      <w:pPr>
        <w:ind w:firstLine="482"/>
        <w:jc w:val="left"/>
        <w:spacing w:before="120" w:line="360" w:lineRule="auto"/>
        <w:shd w:val="clear" w:color="auto" w:fill="ffffff"/>
        <w:widowControl/>
        <w:rPr>
          <w:rFonts w:ascii="宋体" w:hAnsi="宋体" w:cs="宋体"/>
          <w:b/>
          <w:bCs/>
          <w:color w:val="auto"/>
          <w:sz w:val="24"/>
          <w:szCs w:val="24"/>
          <w:highlight w:val="none"/>
        </w:rPr>
        <w:outlineLvl w:val="1"/>
      </w:pPr>
      <w:r/>
      <w:bookmarkStart w:id="10" w:name="_Toc228350059"/>
      <w:r>
        <w:rPr>
          <w:rFonts w:hint="eastAsia" w:ascii="宋体" w:hAnsi="宋体" w:cs="宋体"/>
          <w:b/>
          <w:bCs/>
          <w:color w:val="auto"/>
          <w:sz w:val="24"/>
          <w:szCs w:val="24"/>
          <w:highlight w:val="none"/>
        </w:rPr>
        <w:t xml:space="preserve">三、获取招标文件</w:t>
      </w:r>
      <w:bookmarkEnd w:id="10"/>
      <w:r/>
      <w:r/>
    </w:p>
    <w:p>
      <w:pPr>
        <w:ind w:firstLine="426"/>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时间：自</w:t>
      </w:r>
      <w:r>
        <w:rPr>
          <w:rFonts w:hint="eastAsia" w:ascii="宋体" w:hAnsi="宋体" w:cs="宋体"/>
          <w:color w:val="auto"/>
          <w:sz w:val="24"/>
          <w:szCs w:val="24"/>
          <w:highlight w:val="none"/>
        </w:rPr>
        <w:t xml:space="preserve">招标文件</w:t>
      </w:r>
      <w:r>
        <w:rPr>
          <w:rFonts w:hint="eastAsia" w:ascii="宋体" w:hAnsi="宋体" w:cs="宋体"/>
          <w:color w:val="auto"/>
          <w:sz w:val="24"/>
          <w:szCs w:val="24"/>
          <w:highlight w:val="none"/>
          <w:lang w:val="zh-CN"/>
        </w:rPr>
        <w:t xml:space="preserve">公告发布之日起5个工作日。</w:t>
      </w:r>
      <w:r/>
    </w:p>
    <w:p>
      <w:pPr>
        <w:ind w:firstLine="426"/>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地点：江苏政府采购网</w:t>
      </w:r>
      <w:r/>
    </w:p>
    <w:p>
      <w:pPr>
        <w:ind w:firstLine="426"/>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获取方式：网上下载</w:t>
      </w:r>
      <w:r/>
    </w:p>
    <w:p>
      <w:pPr>
        <w:ind w:firstLine="426"/>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售价：0.00元</w:t>
      </w:r>
      <w:r/>
    </w:p>
    <w:p>
      <w:pPr>
        <w:ind w:firstLine="426"/>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jc w:val="left"/>
        <w:spacing w:before="120" w:line="360" w:lineRule="auto"/>
        <w:shd w:val="clear" w:color="auto" w:fill="ffffff"/>
        <w:widowControl/>
        <w:rPr>
          <w:rFonts w:ascii="宋体" w:hAnsi="宋体" w:cs="宋体"/>
          <w:b/>
          <w:bCs/>
          <w:color w:val="auto"/>
          <w:sz w:val="24"/>
          <w:szCs w:val="24"/>
          <w:highlight w:val="none"/>
        </w:rPr>
        <w:outlineLvl w:val="1"/>
      </w:pPr>
      <w:r/>
      <w:bookmarkStart w:id="11" w:name="_Toc228350060"/>
      <w:r>
        <w:rPr>
          <w:rFonts w:hint="eastAsia" w:ascii="宋体" w:hAnsi="宋体" w:cs="宋体"/>
          <w:b/>
          <w:bCs/>
          <w:color w:val="auto"/>
          <w:sz w:val="24"/>
          <w:szCs w:val="24"/>
          <w:highlight w:val="none"/>
        </w:rPr>
        <w:t xml:space="preserve">四、提交投标文件开始时间、开标时间</w:t>
      </w:r>
      <w:bookmarkEnd w:id="11"/>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提交投标文件开始时间：</w:t>
      </w:r>
      <w:r>
        <w:rPr>
          <w:rFonts w:hint="eastAsia" w:ascii="宋体" w:hAnsi="宋体" w:cs="宋体"/>
          <w:b/>
          <w:color w:val="auto"/>
          <w:sz w:val="24"/>
          <w:szCs w:val="24"/>
          <w:highlight w:val="none"/>
        </w:rPr>
        <w:t xml:space="preserve">2026年7月</w:t>
      </w:r>
      <w:r>
        <w:rPr>
          <w:rFonts w:hint="eastAsia" w:ascii="宋体" w:hAnsi="宋体" w:cs="宋体"/>
          <w:b/>
          <w:color w:val="auto"/>
          <w:sz w:val="24"/>
          <w:szCs w:val="24"/>
          <w:highlight w:val="none"/>
          <w:lang w:val="en-US" w:eastAsia="zh-CN"/>
        </w:rPr>
        <w:t xml:space="preserve">22</w:t>
      </w:r>
      <w:r>
        <w:rPr>
          <w:rFonts w:hint="eastAsia" w:ascii="宋体" w:hAnsi="宋体" w:cs="宋体"/>
          <w:b/>
          <w:color w:val="auto"/>
          <w:sz w:val="24"/>
          <w:szCs w:val="24"/>
          <w:highlight w:val="none"/>
        </w:rPr>
        <w:t xml:space="preserve">日8时30分（北京时间）</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提交投标文件截止时间及开标时间：</w:t>
      </w:r>
      <w:r>
        <w:rPr>
          <w:rFonts w:hint="eastAsia" w:ascii="宋体" w:hAnsi="宋体" w:cs="宋体"/>
          <w:b/>
          <w:color w:val="auto"/>
          <w:sz w:val="24"/>
          <w:szCs w:val="24"/>
          <w:highlight w:val="none"/>
        </w:rPr>
        <w:t xml:space="preserve">2026年7月</w:t>
      </w:r>
      <w:r>
        <w:rPr>
          <w:rFonts w:hint="eastAsia" w:ascii="宋体" w:hAnsi="宋体" w:cs="宋体"/>
          <w:b/>
          <w:color w:val="auto"/>
          <w:sz w:val="24"/>
          <w:szCs w:val="24"/>
          <w:highlight w:val="none"/>
          <w:lang w:val="en-US" w:eastAsia="zh-CN"/>
        </w:rPr>
        <w:t xml:space="preserve">22</w:t>
      </w:r>
      <w:r>
        <w:rPr>
          <w:rFonts w:hint="eastAsia" w:ascii="宋体" w:hAnsi="宋体" w:cs="宋体"/>
          <w:b/>
          <w:color w:val="auto"/>
          <w:sz w:val="24"/>
          <w:szCs w:val="24"/>
          <w:highlight w:val="none"/>
        </w:rPr>
        <w:t xml:space="preserve">日9时00分（北京时间）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递交</w:t>
      </w:r>
      <w:r>
        <w:rPr>
          <w:rFonts w:hint="eastAsia" w:ascii="宋体" w:hAnsi="宋体" w:cs="宋体"/>
          <w:bCs/>
          <w:color w:val="auto"/>
          <w:sz w:val="24"/>
          <w:szCs w:val="24"/>
          <w:highlight w:val="none"/>
        </w:rPr>
        <w:t xml:space="preserve">投标文件</w:t>
      </w:r>
      <w:r>
        <w:rPr>
          <w:rFonts w:hint="eastAsia" w:ascii="宋体" w:hAnsi="宋体" w:cs="宋体"/>
          <w:bCs/>
          <w:color w:val="auto"/>
          <w:sz w:val="24"/>
          <w:szCs w:val="24"/>
          <w:highlight w:val="none"/>
          <w:lang w:val="zh-CN"/>
        </w:rPr>
        <w:t xml:space="preserve">、开标地点：</w:t>
      </w:r>
      <w:r>
        <w:rPr>
          <w:rFonts w:hint="eastAsia" w:ascii="宋体" w:hAnsi="宋体" w:cs="宋体"/>
          <w:color w:val="auto"/>
          <w:sz w:val="24"/>
          <w:szCs w:val="24"/>
          <w:highlight w:val="none"/>
        </w:rPr>
        <w:t xml:space="preserve">江苏省政府采购管理交易系统（苏采云）</w:t>
      </w:r>
      <w:r/>
    </w:p>
    <w:p>
      <w:pPr>
        <w:ind w:firstLine="482"/>
        <w:jc w:val="left"/>
        <w:spacing w:before="120" w:line="360" w:lineRule="auto"/>
        <w:shd w:val="clear" w:color="auto" w:fill="ffffff"/>
        <w:widowControl/>
        <w:rPr>
          <w:rFonts w:ascii="宋体" w:hAnsi="宋体" w:cs="宋体"/>
          <w:b/>
          <w:bCs/>
          <w:color w:val="auto"/>
          <w:sz w:val="24"/>
          <w:szCs w:val="24"/>
          <w:highlight w:val="none"/>
        </w:rPr>
        <w:outlineLvl w:val="1"/>
      </w:pPr>
      <w:r/>
      <w:bookmarkStart w:id="12" w:name="_Toc228350061"/>
      <w:r>
        <w:rPr>
          <w:rFonts w:hint="eastAsia" w:ascii="宋体" w:hAnsi="宋体" w:cs="宋体"/>
          <w:b/>
          <w:bCs/>
          <w:color w:val="auto"/>
          <w:sz w:val="24"/>
          <w:szCs w:val="24"/>
          <w:highlight w:val="none"/>
        </w:rPr>
        <w:t xml:space="preserve">五、开启</w:t>
      </w:r>
      <w:bookmarkEnd w:id="12"/>
      <w:r/>
      <w:r/>
    </w:p>
    <w:p>
      <w:pPr>
        <w:ind w:firstLine="420"/>
        <w:spacing w:line="360" w:lineRule="auto"/>
        <w:rPr>
          <w:rFonts w:ascii="宋体" w:hAnsi="宋体" w:cs="宋体"/>
          <w:color w:val="auto"/>
          <w:spacing w:val="8"/>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b/>
          <w:color w:val="auto"/>
          <w:sz w:val="24"/>
          <w:szCs w:val="24"/>
          <w:highlight w:val="none"/>
        </w:rPr>
        <w:t xml:space="preserve">2026年7月</w:t>
      </w:r>
      <w:r>
        <w:rPr>
          <w:rFonts w:hint="eastAsia" w:ascii="宋体" w:hAnsi="宋体" w:cs="宋体"/>
          <w:b/>
          <w:color w:val="auto"/>
          <w:sz w:val="24"/>
          <w:szCs w:val="24"/>
          <w:highlight w:val="none"/>
          <w:lang w:val="en-US" w:eastAsia="zh-CN"/>
        </w:rPr>
        <w:t xml:space="preserve">22</w:t>
      </w:r>
      <w:bookmarkStart w:id="180" w:name="_GoBack"/>
      <w:r/>
      <w:bookmarkEnd w:id="180"/>
      <w:r>
        <w:rPr>
          <w:rFonts w:hint="eastAsia" w:ascii="宋体" w:hAnsi="宋体" w:cs="宋体"/>
          <w:b/>
          <w:color w:val="auto"/>
          <w:sz w:val="24"/>
          <w:szCs w:val="24"/>
          <w:highlight w:val="none"/>
        </w:rPr>
        <w:t xml:space="preserve">日9时00分（北京时间）</w:t>
      </w:r>
      <w:r/>
    </w:p>
    <w:p>
      <w:pPr>
        <w:ind w:firstLine="420"/>
        <w:spacing w:line="360" w:lineRule="auto"/>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地点：</w:t>
      </w:r>
      <w:r>
        <w:rPr>
          <w:rFonts w:hint="eastAsia" w:ascii="宋体" w:hAnsi="宋体" w:cs="宋体"/>
          <w:color w:val="auto"/>
          <w:sz w:val="24"/>
          <w:szCs w:val="24"/>
          <w:highlight w:val="none"/>
        </w:rPr>
        <w:t xml:space="preserve">“苏采云”网上开标大厅</w:t>
      </w:r>
      <w:r/>
    </w:p>
    <w:p>
      <w:pPr>
        <w:ind w:firstLine="482"/>
        <w:jc w:val="left"/>
        <w:spacing w:before="120" w:line="360" w:lineRule="auto"/>
        <w:shd w:val="clear" w:color="auto" w:fill="ffffff"/>
        <w:widowControl/>
        <w:rPr>
          <w:rFonts w:ascii="宋体" w:hAnsi="宋体" w:cs="宋体"/>
          <w:b/>
          <w:bCs/>
          <w:color w:val="auto"/>
          <w:sz w:val="24"/>
          <w:szCs w:val="24"/>
          <w:highlight w:val="none"/>
        </w:rPr>
        <w:outlineLvl w:val="1"/>
      </w:pPr>
      <w:r/>
      <w:bookmarkStart w:id="13" w:name="_Toc228350062"/>
      <w:r>
        <w:rPr>
          <w:rFonts w:hint="eastAsia" w:ascii="宋体" w:hAnsi="宋体" w:cs="宋体"/>
          <w:b/>
          <w:bCs/>
          <w:color w:val="auto"/>
          <w:sz w:val="24"/>
          <w:szCs w:val="24"/>
          <w:highlight w:val="none"/>
        </w:rPr>
        <w:t xml:space="preserve">六、公告期限</w:t>
      </w:r>
      <w:bookmarkEnd w:id="13"/>
      <w:r/>
      <w:r/>
    </w:p>
    <w:p>
      <w:pPr>
        <w:ind w:firstLine="480"/>
        <w:spacing w:line="360" w:lineRule="auto"/>
        <w:rPr>
          <w:rFonts w:ascii="宋体" w:hAnsi="宋体" w:cs="宋体"/>
          <w:b/>
          <w:color w:val="auto"/>
          <w:sz w:val="24"/>
          <w:szCs w:val="24"/>
          <w:highlight w:val="none"/>
        </w:rPr>
      </w:pPr>
      <w:r>
        <w:rPr>
          <w:rFonts w:hint="eastAsia" w:ascii="宋体" w:hAnsi="宋体" w:cs="宋体"/>
          <w:bCs/>
          <w:color w:val="auto"/>
          <w:sz w:val="24"/>
          <w:szCs w:val="24"/>
          <w:highlight w:val="none"/>
        </w:rPr>
        <w:t xml:space="preserve">自本公告在法定媒体发布之日起五个工作日</w:t>
      </w:r>
      <w:r/>
    </w:p>
    <w:p>
      <w:pPr>
        <w:ind w:firstLine="482"/>
        <w:jc w:val="left"/>
        <w:spacing w:before="120" w:line="360" w:lineRule="auto"/>
        <w:shd w:val="clear" w:color="auto" w:fill="ffffff"/>
        <w:widowControl/>
        <w:rPr>
          <w:rFonts w:ascii="宋体" w:hAnsi="宋体" w:cs="宋体"/>
          <w:b/>
          <w:bCs/>
          <w:color w:val="auto"/>
          <w:sz w:val="24"/>
          <w:szCs w:val="24"/>
          <w:highlight w:val="none"/>
        </w:rPr>
        <w:outlineLvl w:val="1"/>
      </w:pPr>
      <w:r/>
      <w:bookmarkStart w:id="14" w:name="_Toc228350063"/>
      <w:r>
        <w:rPr>
          <w:rFonts w:hint="eastAsia" w:ascii="宋体" w:hAnsi="宋体" w:cs="宋体"/>
          <w:b/>
          <w:bCs/>
          <w:color w:val="auto"/>
          <w:sz w:val="24"/>
          <w:szCs w:val="24"/>
          <w:highlight w:val="none"/>
        </w:rPr>
        <w:t xml:space="preserve">七、其他补充事宜</w:t>
      </w:r>
      <w:bookmarkEnd w:id="14"/>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1．是否接受进口产品：不接受。</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2．集中考察现场及答疑时间、地点：采购人不统一组织现场踏勘。</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3．政府采购信用承诺</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（1）符合国家相关规定的财务状况报告；</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（2）依法缴纳税收的证明材料；</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（3）依法缴纳社会保障资金的证明材料；</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（4）具备履行政府采购合同所必需的设备和专业技术能力的证明材料；</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（5）参加政府采购活动前三年内在经营活动中没有重大违法记录的证明材料；</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供应商涉及以下情形的，不适用信用承诺：</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（1）供应商被列入严重失信主体名单；</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（2）被相关监管部门作出行政处罚且尚在处罚有效期内；</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（3）其他法律、行政法规规定的不适用信用承诺的情形。</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供应商对信用承诺内容的真实性、合法性、有效性负责。如作出虚假信用承诺，视同为“提供虚假材料谋取中标、成交”的违法行为。</w:t>
      </w:r>
      <w:r/>
    </w:p>
    <w:p>
      <w:pPr>
        <w:numPr>
          <w:ilvl w:val="0"/>
          <w:numId w:val="6"/>
        </w:num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numPr>
          <w:ilvl w:val="0"/>
          <w:numId w:val="6"/>
        </w:num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本项目采购公告在江苏政府采购网、南京公共采购信息网发布。有关本次采购的事项若存在变动或修改，敬请及时关注在“江苏政府采购网”发布的更正公告。</w:t>
      </w:r>
      <w:r/>
    </w:p>
    <w:p>
      <w:pPr>
        <w:numPr>
          <w:ilvl w:val="0"/>
          <w:numId w:val="6"/>
        </w:numPr>
        <w:ind w:firstLine="482"/>
        <w:spacing w:line="360" w:lineRule="auto"/>
        <w:shd w:val="clear" w:color="auto" w:fill="ffffff"/>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八、对本次招标提出询问，请按以下方式联系</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名称：南京江北新区管理委员会教育局</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地址：南京市浦口区行知路8号</w:t>
      </w:r>
      <w:r/>
    </w:p>
    <w:p>
      <w:pPr>
        <w:ind w:firstLine="480"/>
        <w:spacing w:line="360" w:lineRule="auto"/>
        <w:shd w:val="clear" w:color="auto" w:fill="ffffff"/>
        <w:widowControl/>
        <w:rPr>
          <w:rFonts w:ascii="宋体" w:hAnsi="宋体" w:cs="宋体"/>
          <w:color w:val="auto"/>
          <w:sz w:val="24"/>
          <w:szCs w:val="24"/>
          <w:highlight w:val="none"/>
        </w:rPr>
      </w:pPr>
      <w:r/>
      <w:bookmarkStart w:id="15" w:name="OLE_LINK33"/>
      <w:r/>
      <w:bookmarkStart w:id="16" w:name="OLE_LINK14"/>
      <w:r/>
      <w:bookmarkStart w:id="17" w:name="OLE_LINK17"/>
      <w:r>
        <w:rPr>
          <w:rFonts w:hint="eastAsia" w:ascii="宋体" w:hAnsi="宋体" w:cs="宋体"/>
          <w:color w:val="auto"/>
          <w:sz w:val="24"/>
          <w:szCs w:val="24"/>
          <w:highlight w:val="none"/>
        </w:rPr>
        <w:t xml:space="preserve">联系人：奚老师</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bookmarkEnd w:id="15"/>
      <w:r/>
      <w:bookmarkEnd w:id="16"/>
      <w:r/>
      <w:bookmarkEnd w:id="17"/>
      <w:r>
        <w:rPr>
          <w:rFonts w:hint="eastAsia" w:ascii="宋体" w:hAnsi="宋体" w:cs="宋体"/>
          <w:color w:val="auto"/>
          <w:sz w:val="24"/>
          <w:szCs w:val="24"/>
          <w:highlight w:val="none"/>
        </w:rPr>
        <w:t xml:space="preserve">025-58111956</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名称：捷宏润安工程顾问（江苏）有限公司</w:t>
      </w:r>
      <w:r/>
    </w:p>
    <w:p>
      <w:pPr>
        <w:ind w:firstLine="480"/>
        <w:spacing w:line="360" w:lineRule="auto"/>
        <w:shd w:val="clear" w:color="auto" w:fill="ffffff"/>
        <w:widowControl/>
        <w:rPr>
          <w:rFonts w:ascii="宋体" w:hAnsi="宋体" w:cs="宋体"/>
          <w:color w:val="auto"/>
          <w:sz w:val="24"/>
          <w:szCs w:val="24"/>
          <w:highlight w:val="none"/>
        </w:rPr>
      </w:pPr>
      <w:r/>
      <w:bookmarkStart w:id="18" w:name="OLE_LINK20"/>
      <w:r>
        <w:rPr>
          <w:rFonts w:hint="eastAsia" w:ascii="宋体" w:hAnsi="宋体" w:cs="宋体"/>
          <w:color w:val="auto"/>
          <w:sz w:val="24"/>
          <w:szCs w:val="24"/>
          <w:highlight w:val="none"/>
        </w:rPr>
        <w:t xml:space="preserve">地址：</w:t>
      </w:r>
      <w:bookmarkStart w:id="19" w:name="OLE_LINK19"/>
      <w:r/>
      <w:bookmarkStart w:id="20" w:name="OLE_LINK18"/>
      <w:r>
        <w:rPr>
          <w:rFonts w:hint="eastAsia" w:ascii="宋体" w:hAnsi="宋体" w:cs="宋体"/>
          <w:color w:val="auto"/>
          <w:sz w:val="24"/>
          <w:szCs w:val="24"/>
          <w:highlight w:val="none"/>
        </w:rPr>
        <w:t xml:space="preserve">南京市玄武区板仓街9号B7栋三楼</w:t>
      </w:r>
      <w:bookmarkEnd w:id="19"/>
      <w:r/>
      <w:bookmarkEnd w:id="20"/>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联系人：费星宇</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联系方式：15951749695</w:t>
      </w:r>
      <w:bookmarkEnd w:id="18"/>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项目联系人：费星宇</w:t>
      </w:r>
      <w:r/>
    </w:p>
    <w:p>
      <w:pPr>
        <w:ind w:firstLine="480"/>
        <w:jc w:val="left"/>
        <w:shd w:val="clear" w:color="auto" w:fill="ffffff"/>
        <w:widowControl/>
        <w:rPr>
          <w:rFonts w:ascii="宋体" w:hAnsi="宋体" w:cs="宋体"/>
          <w:b/>
          <w:bCs/>
          <w:color w:val="auto"/>
          <w:spacing w:val="-10"/>
          <w:sz w:val="10"/>
          <w:szCs w:val="10"/>
          <w:highlight w:val="none"/>
        </w:rPr>
      </w:pPr>
      <w:r>
        <w:rPr>
          <w:rFonts w:hint="eastAsia" w:ascii="宋体" w:hAnsi="宋体" w:cs="宋体"/>
          <w:color w:val="auto"/>
          <w:sz w:val="24"/>
          <w:szCs w:val="24"/>
          <w:highlight w:val="none"/>
        </w:rPr>
        <w:t xml:space="preserve">电话：15951749695</w:t>
      </w:r>
      <w:r>
        <w:rPr>
          <w:rFonts w:ascii="宋体" w:hAnsi="宋体" w:cs="宋体"/>
          <w:b/>
          <w:bCs/>
          <w:color w:val="auto"/>
          <w:spacing w:val="-10"/>
          <w:sz w:val="36"/>
          <w:szCs w:val="36"/>
          <w:highlight w:val="none"/>
        </w:rPr>
        <w:br w:type="page" w:clear="all"/>
      </w:r>
      <w:bookmarkStart w:id="21" w:name="_Toc228350064"/>
      <w:r/>
      <w:r/>
    </w:p>
    <w:p>
      <w:pPr>
        <w:ind w:firstLine="683"/>
        <w:jc w:val="center"/>
        <w:spacing w:line="360" w:lineRule="auto"/>
        <w:shd w:val="clear" w:color="auto" w:fill="ffffff"/>
        <w:widowControl/>
        <w:rPr>
          <w:rFonts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t xml:space="preserve">第二章  供应商须知</w:t>
      </w:r>
      <w:bookmarkEnd w:id="21"/>
      <w:r/>
      <w:r/>
    </w:p>
    <w:p>
      <w:pPr>
        <w:ind w:firstLine="482"/>
        <w:jc w:val="left"/>
        <w:spacing w:before="120" w:line="360" w:lineRule="auto"/>
        <w:shd w:val="clear" w:color="auto" w:fill="ffffff"/>
        <w:widowControl/>
        <w:rPr>
          <w:rFonts w:ascii="宋体" w:hAnsi="宋体" w:cs="宋体"/>
          <w:b/>
          <w:bCs/>
          <w:color w:val="auto"/>
          <w:sz w:val="24"/>
          <w:szCs w:val="24"/>
          <w:highlight w:val="none"/>
        </w:rPr>
        <w:outlineLvl w:val="1"/>
      </w:pPr>
      <w:r/>
      <w:bookmarkStart w:id="22" w:name="_Toc228350065"/>
      <w:r/>
      <w:bookmarkStart w:id="23" w:name="_Hlk156125564"/>
      <w:r>
        <w:rPr>
          <w:rFonts w:hint="eastAsia" w:ascii="宋体" w:hAnsi="宋体" w:cs="宋体"/>
          <w:b/>
          <w:bCs/>
          <w:color w:val="auto"/>
          <w:sz w:val="24"/>
          <w:szCs w:val="24"/>
          <w:highlight w:val="none"/>
        </w:rPr>
        <w:t xml:space="preserve">一、总则</w:t>
      </w:r>
      <w:bookmarkEnd w:id="22"/>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1.适用法律</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1.1《中华人民共和国政府采购法》《中华人民共和国政府采购法实施条例》《政府采购货物和服务招标投标管理办法》等法律、法规、规章和规定。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2.定义</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“供应商”“投标人”是指参加投标竞争，并符合招标文件规定资格条件的法人、其他组织或者自然人。</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3.政策功能</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3.1促进中小企业发展。在政府采购活动中，供应商提供的货物、工程或者服务符合下列情形的，享受中小企业扶持政策：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82"/>
        <w:jc w:val="left"/>
        <w:spacing w:line="360" w:lineRule="auto"/>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特别说明：</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中小企业供应商参加政府采购活动，应当出具《中小企业声明函》，否则不享受相关中小企业扶持政策。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3.3促进残疾人就业。残疾人福利性单位提供的产品和服务，在评标时将按照财库〔2017〕141号获得优势，参加投标的残疾人福利性单位，应当提供《残疾人福利性单位声明函》（格式见附件）。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3.5采购的产品属于政府强制采购节能产品的，供应商应当选择依据国家标准中二级能效（水效）指标认证的节能产品投标，并提供有效的节能产品认证证书扫描件。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3.6采购的产品属于环境标志产品的,供应商应当选择依据相关标准的最新版本认证的环境标志产品投标,并提供有效的环境标志产品认证证书扫描件。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3.7绿色包装规定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（2）本项目中涉及涂料、胶黏剂、油墨、清洗剂等挥发性有机物产品的，属于强制性标准的，供应商应当提供符合国家和江苏省相关VOCs含量限制标准的产品。</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3.8实施本国产品标准及相关政策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3.8.2本国产品应当符合以下条件：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在中国境内生产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（2）在中国境内生产的组件成本占比达到规定比例</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（3）特定产品的关键组件、关键工序符合相关要求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3.8.3本国产品标准的适用范围</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3.8.4对本国产品的支持政策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本项目如既有本国产品又有非本国产品参与竞争，依法对本国产品给予价格评审优惠，具体详见第三章。</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3.8.5政策执行要求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2"/>
        <w:jc w:val="left"/>
        <w:spacing w:before="120" w:line="360" w:lineRule="auto"/>
        <w:shd w:val="clear" w:color="auto" w:fill="ffffff"/>
        <w:widowControl/>
        <w:rPr>
          <w:rFonts w:ascii="宋体" w:hAnsi="宋体" w:cs="宋体"/>
          <w:b/>
          <w:bCs/>
          <w:color w:val="auto"/>
          <w:sz w:val="24"/>
          <w:szCs w:val="24"/>
          <w:highlight w:val="none"/>
        </w:rPr>
        <w:outlineLvl w:val="1"/>
      </w:pPr>
      <w:r/>
      <w:bookmarkStart w:id="24" w:name="_Toc228350066"/>
      <w:r>
        <w:rPr>
          <w:rFonts w:hint="eastAsia" w:ascii="宋体" w:hAnsi="宋体" w:cs="宋体"/>
          <w:b/>
          <w:bCs/>
          <w:color w:val="auto"/>
          <w:sz w:val="24"/>
          <w:szCs w:val="24"/>
          <w:highlight w:val="none"/>
        </w:rPr>
        <w:t xml:space="preserve">二、招标文件</w:t>
      </w:r>
      <w:bookmarkEnd w:id="24"/>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4.招标文件组成</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4.1招标文件由投标邀请、供应商须知、评标办法、采购需求、合同条款、附件等组成。</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4.2招标的最小单位是包。招标服务数量及技术要求中未分包的，供应商对要求提供的服务不得部分投标；招标服务数量及技术要求中已经分包的，应当以包为单位投标。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5.招标文件的澄清修改</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5.1</w:t>
      </w:r>
      <w:r>
        <w:rPr>
          <w:rFonts w:hint="eastAsia" w:ascii="宋体" w:hAnsi="宋体" w:cs="宋体"/>
          <w:bCs/>
          <w:color w:val="auto"/>
          <w:sz w:val="24"/>
          <w:szCs w:val="24"/>
          <w:highlight w:val="none"/>
          <w:lang w:val="zh-CN"/>
        </w:rPr>
        <w:t xml:space="preserve">代理机构</w:t>
      </w:r>
      <w:r>
        <w:rPr>
          <w:rFonts w:hint="eastAsia" w:ascii="宋体" w:hAnsi="宋体" w:cs="宋体"/>
          <w:color w:val="auto"/>
          <w:sz w:val="24"/>
          <w:szCs w:val="24"/>
          <w:highlight w:val="none"/>
        </w:rPr>
        <w:t xml:space="preserve">对已发出的招标文件进行必要澄清或者修改的，将在招标文件要求提交投标文件截止时间十五日前，在原招标公告媒体发布更正公告，该澄清或者修改的内容为招标文件的组成部分。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5.2</w:t>
      </w:r>
      <w:r>
        <w:rPr>
          <w:rFonts w:hint="eastAsia" w:ascii="宋体" w:hAnsi="宋体" w:cs="宋体"/>
          <w:bCs/>
          <w:color w:val="auto"/>
          <w:sz w:val="24"/>
          <w:szCs w:val="24"/>
          <w:highlight w:val="none"/>
          <w:lang w:val="zh-CN"/>
        </w:rPr>
        <w:t xml:space="preserve">代理机构</w:t>
      </w:r>
      <w:r>
        <w:rPr>
          <w:rFonts w:hint="eastAsia" w:ascii="宋体" w:hAnsi="宋体" w:cs="宋体"/>
          <w:color w:val="auto"/>
          <w:sz w:val="24"/>
          <w:szCs w:val="24"/>
          <w:highlight w:val="none"/>
        </w:rPr>
        <w:t xml:space="preserve">在招标文件要求提交投标文件截止时间前，有权决定延长投标截止时间和开标时间，并在原采购信息发布媒体上发布变更公告。</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5.3供应商应在投标截止时间前关注原采购信息发布媒体有关本招标项目有无变更公告。</w:t>
      </w:r>
      <w:r/>
    </w:p>
    <w:p>
      <w:pPr>
        <w:ind w:firstLine="482"/>
        <w:jc w:val="left"/>
        <w:spacing w:before="120" w:line="360" w:lineRule="auto"/>
        <w:shd w:val="clear" w:color="auto" w:fill="ffffff"/>
        <w:widowControl/>
        <w:rPr>
          <w:rFonts w:ascii="宋体" w:hAnsi="宋体" w:cs="宋体"/>
          <w:b/>
          <w:bCs/>
          <w:color w:val="auto"/>
          <w:sz w:val="24"/>
          <w:szCs w:val="24"/>
          <w:highlight w:val="none"/>
        </w:rPr>
        <w:outlineLvl w:val="1"/>
      </w:pPr>
      <w:r/>
      <w:bookmarkStart w:id="25" w:name="_Toc228350067"/>
      <w:r>
        <w:rPr>
          <w:rFonts w:hint="eastAsia" w:ascii="宋体" w:hAnsi="宋体" w:cs="宋体"/>
          <w:b/>
          <w:bCs/>
          <w:color w:val="auto"/>
          <w:sz w:val="24"/>
          <w:szCs w:val="24"/>
          <w:highlight w:val="none"/>
        </w:rPr>
        <w:t xml:space="preserve">三、投标</w:t>
      </w:r>
      <w:bookmarkEnd w:id="25"/>
      <w:r/>
      <w:r/>
    </w:p>
    <w:p>
      <w:pPr>
        <w:ind w:firstLine="482"/>
        <w:jc w:val="left"/>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6</w:t>
      </w:r>
      <w:r>
        <w:rPr>
          <w:rFonts w:hint="eastAsia" w:ascii="宋体" w:hAnsi="宋体" w:cs="宋体"/>
          <w:b/>
          <w:bCs/>
          <w:color w:val="auto"/>
          <w:sz w:val="24"/>
          <w:szCs w:val="24"/>
          <w:highlight w:val="none"/>
          <w:lang w:val="zh-CN"/>
        </w:rPr>
        <w:t xml:space="preserve">.</w:t>
      </w:r>
      <w:r>
        <w:rPr>
          <w:rFonts w:hint="eastAsia" w:ascii="宋体" w:hAnsi="宋体" w:cs="宋体"/>
          <w:b/>
          <w:color w:val="auto"/>
          <w:sz w:val="24"/>
          <w:szCs w:val="24"/>
          <w:highlight w:val="none"/>
          <w:lang w:val="zh-CN"/>
        </w:rPr>
        <w:t xml:space="preserve">投标</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6.1供应商应由其法定代表人或法定代表人授权委托人在规定的投标时间内，按时递交投标文件。</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供应商应当对招标文件提出的要求和条件作出实质性响应，</w:t>
      </w:r>
      <w:r>
        <w:rPr>
          <w:rFonts w:hint="eastAsia" w:ascii="宋体" w:hAnsi="宋体" w:cs="宋体"/>
          <w:bCs/>
          <w:color w:val="auto"/>
          <w:sz w:val="24"/>
          <w:szCs w:val="24"/>
          <w:highlight w:val="none"/>
        </w:rPr>
        <w:t xml:space="preserve">并在投标文件中逐条应答。</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zh-CN"/>
        </w:rPr>
        <w:t xml:space="preserve">供应商应当提供的资格证明文件（如资质证书、资格证书）、技术资料（如白皮书、彩页、手册、检测报告等）。</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zh-CN"/>
        </w:rPr>
        <w:t xml:space="preserve">供应商应逐一说明投标产品品牌、型号、产地、性能参数。</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投标产品属于国家认定的节能产品、环保产品、信息安全产品，应附认证证书扫描件。</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6供应商符合《政府采购促进中小企业发展管理办法》（财库【2020】46号）规定的，应按要求在投标文件中填写《中小企业声明函》，否则不享受相应政策。</w:t>
      </w:r>
      <w:r/>
    </w:p>
    <w:p>
      <w:pPr>
        <w:ind w:firstLine="480"/>
        <w:jc w:val="left"/>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7</w:t>
      </w:r>
      <w:r>
        <w:rPr>
          <w:rFonts w:hint="eastAsia" w:ascii="宋体" w:hAnsi="宋体" w:cs="宋体"/>
          <w:bCs/>
          <w:color w:val="auto"/>
          <w:sz w:val="24"/>
          <w:szCs w:val="24"/>
          <w:highlight w:val="none"/>
          <w:lang w:val="zh-CN"/>
        </w:rPr>
        <w:t xml:space="preserve">供应商拟在中标后将中标项目的非主体、非关键性工作交由他人完成的，应当在投标文件中载明。</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7.投标文件的语言、计量单位、货币、技术标准和编制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7.2供应商所使用的计量单位应为国家法定计量单位。</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7.3供应商应用人民币报价。</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7.4供应商所使用的技术标准应遵循国家最新标准及规范。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8.联合投标和分包</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8.1采购项目如接受联合体投标的，两个以上的自然人、法人或者其他组织可以组成一个联合体，以一个供应商的身份共同参加投标。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8.2鼓励大中型企业和其他自然人、法人或者其他组织与小型、微型企业组成联合体共同参加非专门面向中小企业的政府采购活动，并按规定享受价格扣除。</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8.4政府采购合同分包履行的，中标供应商就采购项目和分包项目向采购人负责，分包项目供应商就分包项目承担责任，中标供应商与分包供应商之间应该签订分包意向协议。</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8.5享受中小企业扶持政策获得政府采购合同的，小微企业不得将合同分包给大中型企业，中型企业不得将合同分包给大型企业。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9.投标费用</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9.1供应商应承担所有与准备和参加投标有关的费用，无论采购结果如何，代理机构和采购人在任何情况下均无义务和责任承担这些费用。</w:t>
      </w:r>
      <w:r/>
    </w:p>
    <w:p>
      <w:pPr>
        <w:ind w:firstLine="482"/>
        <w:jc w:val="left"/>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rPr>
        <w:t xml:space="preserve">9.2</w:t>
      </w:r>
      <w:bookmarkStart w:id="26" w:name="OLE_LINK13"/>
      <w:r>
        <w:rPr>
          <w:rFonts w:hint="eastAsia" w:ascii="宋体" w:hAnsi="宋体" w:cs="宋体"/>
          <w:b/>
          <w:bCs/>
          <w:color w:val="auto"/>
          <w:sz w:val="24"/>
          <w:szCs w:val="24"/>
          <w:highlight w:val="none"/>
        </w:rPr>
        <w:t xml:space="preserve">本项目</w:t>
      </w:r>
      <w:r>
        <w:rPr>
          <w:rFonts w:hint="eastAsia" w:ascii="宋体" w:hAnsi="宋体" w:cs="宋体"/>
          <w:b/>
          <w:color w:val="auto"/>
          <w:sz w:val="24"/>
          <w:szCs w:val="24"/>
          <w:highlight w:val="none"/>
        </w:rPr>
        <w:t xml:space="preserve">招标代理费</w:t>
      </w:r>
      <w:r>
        <w:rPr>
          <w:rFonts w:hint="eastAsia" w:ascii="宋体" w:hAnsi="宋体" w:cs="宋体"/>
          <w:b/>
          <w:bCs/>
          <w:color w:val="auto"/>
          <w:sz w:val="24"/>
          <w:szCs w:val="24"/>
          <w:highlight w:val="none"/>
        </w:rPr>
        <w:t xml:space="preserve">由中标供应商在领取中标通知书时支付，请充分考虑在投标报价中。招标代理服务费按国家发展改革委【2002】1980号文的收费标准的50%计取；无论是否将该费用在报价中列明，均视为已含在总价中。</w:t>
      </w:r>
      <w:bookmarkEnd w:id="26"/>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10.投标文件组成</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投标文件由商务部分、技术部分、价格部分，以及其他部分组成。</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11.投标文件的商务部分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商务部分是证明供应商有资格参加投标和中标后有能力履行合同的文件，这些文件应能满足招标的要求，包括但不限于下列文件，其中加“★”项目不得有缺失或无效：</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（1）★投标函（投标申请及声明，格式见附件）；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（2）★法定代表人授权委托书（格式见附件）及委托代理人的身份证扫描件；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（3）★第一章投标邀请第二条规定的资格证明材料；</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（4）★《南京市政府采购供应商信用记录表暨信用承诺书》；</w:t>
      </w:r>
      <w:r/>
    </w:p>
    <w:p>
      <w:pPr>
        <w:ind w:firstLine="480"/>
        <w:jc w:val="left"/>
        <w:spacing w:line="360" w:lineRule="auto"/>
        <w:widowControl/>
        <w:rPr>
          <w:color w:val="auto"/>
          <w:highlight w:val="none"/>
        </w:rPr>
      </w:pPr>
      <w:r>
        <w:rPr>
          <w:rFonts w:hint="eastAsia" w:ascii="宋体" w:hAnsi="宋体" w:cs="宋体"/>
          <w:color w:val="auto"/>
          <w:sz w:val="24"/>
          <w:szCs w:val="24"/>
          <w:highlight w:val="none"/>
        </w:rPr>
        <w:t xml:space="preserve">（5）★《关于符合本国产品标准的声明函》</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（6）供应商认为需要提供的其他资格证明文件和商务资料。</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12.投标文件的技术部分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12.1技术部分是证明供应商提供的产品和服务是合格的、并符合招标文件要求的证明文件，以及对投标报价表中的服务的详细说明，这些文件可以是文字资料、图纸和数据等。</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12.2若技术性能无特殊说明，则按国家有关部门最新颁布的标准及规范为准。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12.3提供的技术如与招标文件要求有不符之处，应说明其差别之所在并逐条说明。</w:t>
      </w:r>
      <w:r>
        <w:rPr>
          <w:rFonts w:hint="eastAsia" w:ascii="宋体" w:hAnsi="宋体" w:cs="宋体"/>
          <w:b/>
          <w:color w:val="auto"/>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auto"/>
          <w:sz w:val="24"/>
          <w:szCs w:val="24"/>
          <w:highlight w:val="none"/>
          <w:lang w:val="zh-CN"/>
        </w:rPr>
        <w:t xml:space="preserve">。</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color w:val="auto"/>
          <w:sz w:val="24"/>
          <w:szCs w:val="24"/>
          <w:highlight w:val="none"/>
        </w:rPr>
        <w:t xml:space="preserve">12.4</w:t>
      </w:r>
      <w:r>
        <w:rPr>
          <w:rFonts w:hint="eastAsia" w:ascii="宋体" w:hAnsi="宋体" w:cs="宋体"/>
          <w:bCs/>
          <w:color w:val="auto"/>
          <w:sz w:val="24"/>
          <w:szCs w:val="24"/>
          <w:highlight w:val="none"/>
          <w:lang w:val="zh-CN"/>
        </w:rPr>
        <w:t xml:space="preserve">投标文件应按照招标文件要求技术资料、文件和有关证明，</w:t>
      </w:r>
      <w:r>
        <w:rPr>
          <w:rFonts w:hint="eastAsia" w:ascii="宋体" w:hAnsi="宋体" w:cs="宋体"/>
          <w:color w:val="auto"/>
          <w:sz w:val="24"/>
          <w:szCs w:val="24"/>
          <w:highlight w:val="none"/>
          <w:lang w:val="zh-CN"/>
        </w:rPr>
        <w:t xml:space="preserve">包括但不限于下列文件，其中加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项目不得有缺失或无效：</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（1）★服务方案（格式自拟）；</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（2）★《技术条款偏离表》；</w:t>
      </w:r>
      <w:r/>
    </w:p>
    <w:p>
      <w:pPr>
        <w:pStyle w:val="732"/>
        <w:ind w:firstLine="480"/>
        <w:jc w:val="left"/>
        <w:spacing w:after="0"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）★《供货一览表》；</w:t>
      </w:r>
      <w:r/>
    </w:p>
    <w:p>
      <w:pPr>
        <w:pStyle w:val="732"/>
        <w:ind w:firstLine="480"/>
        <w:jc w:val="left"/>
        <w:spacing w:after="0"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）★货物质量保证承诺书；</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）验收标准；</w:t>
      </w:r>
      <w:r/>
    </w:p>
    <w:p>
      <w:pPr>
        <w:ind w:firstLine="480"/>
        <w:jc w:val="left"/>
        <w:spacing w:line="360" w:lineRule="auto"/>
        <w:rPr>
          <w:rFonts w:ascii="宋体" w:hAnsi="宋体" w:cs="宋体"/>
          <w:b/>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）供应商认为需要提供的其他技术资料。</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13.投标文件的价格部分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13.1供应商应对清单中的产品和服务分别报价，每一项产品和服务仅接受一个价格。</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13.2报价应包含货物设计、制造、包装、仓储、</w:t>
      </w:r>
      <w:bookmarkStart w:id="27" w:name="OLE_LINK8"/>
      <w:r/>
      <w:bookmarkStart w:id="28" w:name="OLE_LINK1"/>
      <w:r>
        <w:rPr>
          <w:rFonts w:hint="eastAsia" w:ascii="宋体" w:hAnsi="宋体" w:cs="宋体"/>
          <w:color w:val="auto"/>
          <w:sz w:val="24"/>
          <w:szCs w:val="24"/>
          <w:highlight w:val="none"/>
        </w:rPr>
        <w:t xml:space="preserve">运输装</w:t>
      </w:r>
      <w:bookmarkEnd w:id="27"/>
      <w:r/>
      <w:bookmarkEnd w:id="28"/>
      <w:r>
        <w:rPr>
          <w:rFonts w:hint="eastAsia" w:ascii="宋体" w:hAnsi="宋体" w:cs="宋体"/>
          <w:color w:val="auto"/>
          <w:sz w:val="24"/>
          <w:szCs w:val="24"/>
          <w:highlight w:val="none"/>
        </w:rPr>
        <w:t xml:space="preserve">卸、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13.3供应商的任何错漏、优惠、竞争性报价不得作为减轻责任、减少服务、增加收费、降低质量的理由。</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14.投标文件的其他部分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供应商编制投标文件需要提供的其他相关文件。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15.投标保证金</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本项目不收取保证金。</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16.投标有效期</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16.1自开标之日起九十日内投标有效。</w:t>
      </w:r>
      <w:r/>
    </w:p>
    <w:p>
      <w:pPr>
        <w:ind w:firstLine="480"/>
        <w:jc w:val="left"/>
        <w:spacing w:line="360" w:lineRule="auto"/>
        <w:rPr>
          <w:rFonts w:ascii="宋体" w:hAnsi="宋体" w:cs="宋体"/>
          <w:b/>
          <w:bCs/>
          <w:color w:val="auto"/>
          <w:sz w:val="24"/>
          <w:szCs w:val="24"/>
          <w:highlight w:val="none"/>
          <w:lang w:val="zh-CN"/>
        </w:rPr>
      </w:pPr>
      <w:r>
        <w:rPr>
          <w:rFonts w:hint="eastAsia" w:ascii="宋体" w:hAnsi="宋体" w:cs="宋体"/>
          <w:color w:val="auto"/>
          <w:sz w:val="24"/>
          <w:szCs w:val="24"/>
          <w:highlight w:val="none"/>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7</w:t>
      </w:r>
      <w:r>
        <w:rPr>
          <w:rFonts w:hint="eastAsia" w:ascii="宋体" w:hAnsi="宋体" w:cs="宋体"/>
          <w:b/>
          <w:bCs/>
          <w:color w:val="auto"/>
          <w:sz w:val="24"/>
          <w:szCs w:val="24"/>
          <w:highlight w:val="none"/>
          <w:lang w:val="zh-CN"/>
        </w:rPr>
        <w:t xml:space="preserve">、投标文件的递交</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.1供应商应当按照《操作手册》规定，在</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公告规定的提交</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文件截止时间前制作并上传电子</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应充分考虑网络环境、网络带宽等因素可能对投标产生的影响，如因供应商自身原因造成的电子投标文件上传不成功的，按照本招标文件第二章第21.2.2.4条规定做无效响应处理。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.3采购代理机构可以按照规定，通过修改</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文件酌情延长提交</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文件截止日期，在此情况下，</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的所有权利和义务均以延长后新的截止日期为准。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文件应加盖投标供应商公章。</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文件中注明须签字的地方应由</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的法定代表人或委托代理人签字，如为委托代理人签字的应附“法定代表人授权委托书”。</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18</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文件的拒收</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18.1</w:t>
      </w:r>
      <w:r>
        <w:rPr>
          <w:rFonts w:hint="eastAsia" w:ascii="宋体" w:hAnsi="宋体" w:cs="宋体"/>
          <w:color w:val="auto"/>
          <w:sz w:val="24"/>
          <w:szCs w:val="24"/>
          <w:highlight w:val="none"/>
          <w:lang w:val="zh-CN"/>
        </w:rPr>
        <w:t xml:space="preserve">采购代理机构拒绝接收提交投标文件截止时间后上传的任何电子投标文件。</w:t>
      </w:r>
      <w:r/>
    </w:p>
    <w:p>
      <w:pPr>
        <w:ind w:firstLine="482"/>
        <w:jc w:val="left"/>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9</w:t>
      </w:r>
      <w:r>
        <w:rPr>
          <w:rFonts w:hint="eastAsia" w:ascii="宋体" w:hAnsi="宋体" w:cs="宋体"/>
          <w:b/>
          <w:bCs/>
          <w:color w:val="auto"/>
          <w:sz w:val="24"/>
          <w:szCs w:val="24"/>
          <w:highlight w:val="none"/>
          <w:lang w:val="zh-CN"/>
        </w:rPr>
        <w:t xml:space="preserve">.投标文件的修改和撤回</w:t>
      </w:r>
      <w:r/>
    </w:p>
    <w:p>
      <w:pPr>
        <w:ind w:firstLine="482"/>
        <w:jc w:val="left"/>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9</w:t>
      </w:r>
      <w:r>
        <w:rPr>
          <w:rFonts w:hint="eastAsia" w:ascii="宋体" w:hAnsi="宋体" w:cs="宋体"/>
          <w:b/>
          <w:bCs/>
          <w:color w:val="auto"/>
          <w:sz w:val="24"/>
          <w:szCs w:val="24"/>
          <w:highlight w:val="none"/>
          <w:lang w:val="zh-CN"/>
        </w:rPr>
        <w:t xml:space="preserve">.1投标文件的撤回</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（1）投标人可在提交投标文件截止时间前撤回其电子投标文件，具体操作方法见《操作手册》。</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（2）投标人撤回电子投标文件，则认为其不再参与本项目投标活动。</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.2投标文件的修改</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（1）投标人可在提交投标文件截止时间前对其电子投标文件进行修改，具体操作方法见《操作手册》。</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（2）提交投标文件截止时间之后，投标人不得对其电子投标文件作任何修改。</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.3在提交投标文件截止时间至招标文件中规定的投标有效期满之间的这段时间内，投标人不得撤回其投标文件。</w:t>
      </w:r>
      <w:r/>
    </w:p>
    <w:p>
      <w:pPr>
        <w:ind w:firstLine="482"/>
        <w:jc w:val="left"/>
        <w:spacing w:before="120" w:line="360" w:lineRule="auto"/>
        <w:shd w:val="clear" w:color="auto" w:fill="ffffff"/>
        <w:widowControl/>
        <w:rPr>
          <w:rFonts w:ascii="宋体" w:hAnsi="宋体" w:cs="宋体"/>
          <w:b/>
          <w:bCs/>
          <w:color w:val="auto"/>
          <w:sz w:val="24"/>
          <w:szCs w:val="24"/>
          <w:highlight w:val="none"/>
        </w:rPr>
        <w:outlineLvl w:val="1"/>
      </w:pPr>
      <w:r/>
      <w:bookmarkStart w:id="29" w:name="_Toc228350068"/>
      <w:r>
        <w:rPr>
          <w:rFonts w:hint="eastAsia" w:ascii="宋体" w:hAnsi="宋体" w:cs="宋体"/>
          <w:b/>
          <w:bCs/>
          <w:color w:val="auto"/>
          <w:sz w:val="24"/>
          <w:szCs w:val="24"/>
          <w:highlight w:val="none"/>
        </w:rPr>
        <w:t xml:space="preserve">四、开标、评标与确定中标供应商</w:t>
      </w:r>
      <w:bookmarkEnd w:id="29"/>
      <w:r/>
      <w:r/>
    </w:p>
    <w:p>
      <w:pPr>
        <w:ind w:firstLine="482"/>
        <w:jc w:val="left"/>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20</w:t>
      </w:r>
      <w:r>
        <w:rPr>
          <w:rFonts w:hint="eastAsia" w:ascii="宋体" w:hAnsi="宋体" w:cs="宋体"/>
          <w:b/>
          <w:bCs/>
          <w:color w:val="auto"/>
          <w:sz w:val="24"/>
          <w:szCs w:val="24"/>
          <w:highlight w:val="none"/>
          <w:lang w:val="zh-CN"/>
        </w:rPr>
        <w:t xml:space="preserve">.开标</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.2投标人在开标过程中涉及到的投标文件解密、开标结果确认等工作，应按照《操作手册》规定执行。</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.3投标人如果对开标过程和开标结果有疑义，应当根据《操作手册》规定提出，苏采云系统中《开标一览表》公布后5分钟内未提出的，视同认可开标结果。</w:t>
      </w:r>
      <w:r/>
    </w:p>
    <w:p>
      <w:pPr>
        <w:ind w:firstLine="482"/>
        <w:jc w:val="left"/>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21.评标</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21.1评标组织</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21.1.1评标工作由代理机构组织，具体评标事务由依法组建的评标委员会负责，并独立履行下列职责：</w:t>
      </w:r>
      <w:r/>
    </w:p>
    <w:p>
      <w:pPr>
        <w:numPr>
          <w:ilvl w:val="0"/>
          <w:numId w:val="7"/>
        </w:num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审查、评价投标文件是否符合招标文件的商务、技术等实质性要求；</w:t>
      </w:r>
      <w:r/>
    </w:p>
    <w:p>
      <w:pPr>
        <w:numPr>
          <w:ilvl w:val="0"/>
          <w:numId w:val="7"/>
        </w:num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要求投标人对投标文件有关事项作出澄清或者说明；</w:t>
      </w:r>
      <w:r/>
    </w:p>
    <w:p>
      <w:pPr>
        <w:numPr>
          <w:ilvl w:val="0"/>
          <w:numId w:val="7"/>
        </w:num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对投标文件进行比较和评价；</w:t>
      </w:r>
      <w:r/>
    </w:p>
    <w:p>
      <w:pPr>
        <w:numPr>
          <w:ilvl w:val="0"/>
          <w:numId w:val="7"/>
        </w:num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推荐中标候选人或根据采购人委托直接确定中标供应商；</w:t>
      </w:r>
      <w:r/>
    </w:p>
    <w:p>
      <w:pPr>
        <w:numPr>
          <w:ilvl w:val="0"/>
          <w:numId w:val="7"/>
        </w:num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向采购人、财政部门报告评标中发现的违法行为。</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21.2评标程序</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21.2.1投标文件的资格审查</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21.2.1.1采购人代表依法对投标人的资格进行审查。</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21.2.1.2采购人代表依据法律法规和招标文件的规定，对投标文件中的资格证明文件、《南京市政府采购供应商信用记录表》等进行审查，以确定投标供应商是否具备投标资格。</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21.2.1.4投标文件有下列情况之一的，在资格性审查时按照无效投标处理</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（1）不具备招标文件规定资格条件的；</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21.2.2投标文件的符合性审查</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21.2.2.2实质性要求是指本招标文件中带“★”的商务和技术要求。</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21.2.2.3如果投标文件实质上没有响应招标文件的要求，评标委员会将予以拒绝，投标人不得通过修改或撤销不合要求的偏离而使其投标成为实质性响应的投标。</w:t>
      </w:r>
      <w:r/>
    </w:p>
    <w:p>
      <w:pPr>
        <w:ind w:firstLine="482"/>
        <w:jc w:val="left"/>
        <w:spacing w:line="360" w:lineRule="auto"/>
        <w:rPr>
          <w:rFonts w:ascii="宋体" w:hAnsi="宋体" w:cs="宋体"/>
          <w:color w:val="auto"/>
          <w:sz w:val="24"/>
          <w:szCs w:val="24"/>
          <w:highlight w:val="none"/>
          <w:lang w:val="zh-CN"/>
        </w:rPr>
      </w:pPr>
      <w:r>
        <w:rPr>
          <w:rFonts w:hint="eastAsia" w:ascii="宋体" w:hAnsi="宋体" w:cs="宋体"/>
          <w:b/>
          <w:bCs/>
          <w:color w:val="auto"/>
          <w:sz w:val="24"/>
          <w:szCs w:val="24"/>
          <w:highlight w:val="none"/>
          <w:lang w:val="zh-CN"/>
        </w:rPr>
        <w:t xml:space="preserve">21.2.2.4投标文件有下列情况之一的，在符合性审查时按照无效投标处理：</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（1）没有按照招标文件要求盖章或签字的；</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（2）投标总价超出采购项目预算或者最高限价的；</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（3）不同供应商的投标文件由同一单位或者个人编制；</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（4）不同供应商委托同一单位或者个人办理投标事宜；</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（5）不同供应商的投标文件载明的项目管理成员为同一人；</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（6）不同供应商的投标文件异常一致或者投标报价呈规律性差异；</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）不同供应商的负责人为同一人或者存在控股、管理关系的；</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（8）</w:t>
      </w:r>
      <w:r>
        <w:rPr>
          <w:rFonts w:hint="eastAsia" w:ascii="宋体" w:hAnsi="宋体" w:cs="宋体"/>
          <w:color w:val="auto"/>
          <w:sz w:val="24"/>
          <w:szCs w:val="24"/>
          <w:highlight w:val="none"/>
        </w:rPr>
        <w:t xml:space="preserve">属于投标邀请中第</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条第</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款拒绝参加本次采购活动供应商的</w:t>
      </w:r>
      <w:r>
        <w:rPr>
          <w:rFonts w:hint="eastAsia" w:ascii="宋体" w:hAnsi="宋体" w:cs="宋体"/>
          <w:color w:val="auto"/>
          <w:sz w:val="24"/>
          <w:szCs w:val="24"/>
          <w:highlight w:val="none"/>
          <w:lang w:val="zh-CN"/>
        </w:rPr>
        <w:t xml:space="preserve">；</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val="zh-CN"/>
        </w:rPr>
        <w:t xml:space="preserve">）投标文件含有采购人不能接受的附加条件的；</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21.2.2.5有下列情形之一的予以废标：</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（1）符合资格条件的供应商或者对招标文件作实质性响应的供应商不足三家的；</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（2）出现影响采购公正的违法、违规行为的；</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（3）供应商的报价均超过了采购预算或最高限价，采购人不能支付的；</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（4）因重大变故，采购任务取消的；</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（5）招标文件存在歧义、重大缺陷，或者招标文件内容违反国家有关强制性规定的。</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（6）预留份额的采购项目或采购包，通过发布公告方式邀请供应商后，符合资格条件的中小企业数量不足3家的。</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）因苏采云系统故障造成开标不成功。</w:t>
      </w:r>
      <w:r/>
    </w:p>
    <w:p>
      <w:pPr>
        <w:ind w:firstLine="480"/>
        <w:spacing w:line="360" w:lineRule="auto"/>
        <w:rPr>
          <w:rFonts w:ascii="宋体" w:hAnsi="宋体" w:cs="宋体"/>
          <w:color w:val="auto"/>
          <w:sz w:val="24"/>
          <w:szCs w:val="24"/>
          <w:highlight w:val="none"/>
        </w:rPr>
      </w:pPr>
      <w:r/>
      <w:bookmarkStart w:id="30" w:name="OLE_LINK44"/>
      <w:r>
        <w:rPr>
          <w:rFonts w:hint="eastAsia" w:ascii="宋体" w:hAnsi="宋体" w:cs="宋体"/>
          <w:color w:val="auto"/>
          <w:sz w:val="24"/>
          <w:szCs w:val="24"/>
          <w:highlight w:val="none"/>
        </w:rPr>
        <w:t xml:space="preserve">21.2.2.6根据财政部《关于推动解决政府采购异常低价问题的通知》(财库【2026】2号)要求，评审过程中出现下列情形之一的，评审委员会应当启动异常低价投标(响应)审查程序: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（3）投标(响应)报价低于采购项目最高限价45%的，即投标(响应)报价＜采购项目最高限价×45%；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具体要求按《关于推动解决政府采购异常低价问题的通知》(财库【2026】2号)执行。</w:t>
      </w:r>
      <w:bookmarkEnd w:id="30"/>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未通过资格审查或符合性审查的投标人，采购代理机构将通过苏采云系统告知其具体原因，评标结束后不再接受有关询问。</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如出现投标截止时间后参加的投标人或者对招标文件作出实质性响应的各包投标人不足三家的情况，按政府采购相关规定执行。</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澄清有关问题。</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）评标期间，评标委员会对投标文件中含义不明确、同类问题表述不一致或者有明显文字和计算错误的内容，有权要求投标人作出必要的澄清、说明或者补正。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投标人的澄清、说明或者补正不得超出投标文件的范围或者改变投标文件的实质性内容。</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评标委员会并非对每个投标人都做澄清要求。</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）接到评标委员会澄清、说明和补正要求的，投标人如未按规定作出澄清、说明和补正，其风险由投标人自行承担。</w:t>
      </w:r>
      <w:r/>
    </w:p>
    <w:p>
      <w:pPr>
        <w:ind w:firstLine="482"/>
        <w:jc w:val="left"/>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21.2.</w:t>
      </w: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投标文件报价出现前后不一致的，除招标文件另有规定外，按照下列规定修正：</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（1）投标文件中开标一览表内容与投标文件中相应内容不一致的，以开标一览表为准；</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（2）大写金额和小写金额不一致的，以大写金额为准；</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（3）单价金额小数点或者百分比有明显错位的，以开标一览表的总价为准，并修改单价；</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（4）总价金额与按单价汇总金额不一致的，以单价金额计算结果为准。</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同时出现两种以上不一致的，按照前款规定的顺序修正。</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21.2.5比较与评价。</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按照招标文件中规定的评标方法和标准，对资格性检查和符合性检查合格的投标文件进行商务和技术评估，综合比较与评价。</w:t>
      </w:r>
      <w:r/>
    </w:p>
    <w:p>
      <w:pPr>
        <w:ind w:firstLine="482"/>
        <w:jc w:val="left"/>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w:t>
      </w:r>
      <w:r>
        <w:rPr>
          <w:rFonts w:hint="eastAsia" w:ascii="宋体" w:hAnsi="宋体" w:cs="宋体"/>
          <w:b/>
          <w:bCs/>
          <w:color w:val="auto"/>
          <w:sz w:val="24"/>
          <w:szCs w:val="24"/>
          <w:highlight w:val="none"/>
        </w:rPr>
        <w:t xml:space="preserve">1.2.6</w:t>
      </w:r>
      <w:r>
        <w:rPr>
          <w:rFonts w:hint="eastAsia" w:ascii="宋体" w:hAnsi="宋体" w:cs="宋体"/>
          <w:b/>
          <w:bCs/>
          <w:color w:val="auto"/>
          <w:sz w:val="24"/>
          <w:szCs w:val="24"/>
          <w:highlight w:val="none"/>
          <w:lang w:val="zh-CN"/>
        </w:rPr>
        <w:t xml:space="preserve">投标人在开、评标全过程中应保持通讯畅通，及时登录苏采云系统查阅、答复相关信息，并安排专人与采购代理机构及评标委员会联系。</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21.3评标方法和标准</w:t>
      </w:r>
      <w:r/>
    </w:p>
    <w:p>
      <w:pPr>
        <w:ind w:firstLine="482"/>
        <w:jc w:val="left"/>
        <w:spacing w:line="360" w:lineRule="auto"/>
        <w:rPr>
          <w:rFonts w:ascii="宋体" w:hAnsi="宋体" w:cs="宋体"/>
          <w:b/>
          <w:color w:val="auto"/>
          <w:sz w:val="24"/>
          <w:szCs w:val="24"/>
          <w:highlight w:val="none"/>
          <w:lang w:val="zh-CN"/>
        </w:rPr>
      </w:pPr>
      <w:r>
        <w:rPr>
          <w:rFonts w:hint="eastAsia" w:ascii="宋体" w:hAnsi="宋体" w:cs="宋体"/>
          <w:b/>
          <w:bCs/>
          <w:color w:val="auto"/>
          <w:sz w:val="24"/>
          <w:szCs w:val="24"/>
          <w:highlight w:val="none"/>
          <w:lang w:val="zh-CN"/>
        </w:rPr>
        <w:t xml:space="preserve">21.3.2</w:t>
      </w:r>
      <w:r>
        <w:rPr>
          <w:rFonts w:hint="eastAsia" w:ascii="宋体" w:hAnsi="宋体" w:cs="宋体"/>
          <w:b/>
          <w:bCs/>
          <w:color w:val="auto"/>
          <w:sz w:val="24"/>
          <w:szCs w:val="24"/>
          <w:highlight w:val="none"/>
        </w:rPr>
        <w:t xml:space="preserve">本次采购采用综合评分法，评标方法和标准，详见本招标文件第三章。</w:t>
      </w:r>
      <w:r>
        <w:rPr>
          <w:rFonts w:hint="eastAsia" w:ascii="宋体" w:hAnsi="宋体" w:cs="宋体"/>
          <w:color w:val="auto"/>
          <w:sz w:val="24"/>
          <w:szCs w:val="24"/>
          <w:highlight w:val="none"/>
        </w:rPr>
        <w:t xml:space="preserve">综合评分法，是指投标文件满足招标文件全部实质性要求，且按照评审因素的量化指标评审得分最高的投标人为中标候选人的评标方法。</w:t>
      </w:r>
      <w:r/>
    </w:p>
    <w:p>
      <w:pPr>
        <w:ind w:firstLine="482"/>
        <w:jc w:val="left"/>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22.确定中标供应商</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1" w:name="_Hlk44576646"/>
      <w:r>
        <w:rPr>
          <w:rFonts w:hint="eastAsia" w:ascii="宋体" w:hAnsi="宋体" w:cs="宋体"/>
          <w:color w:val="auto"/>
          <w:sz w:val="24"/>
          <w:szCs w:val="24"/>
          <w:highlight w:val="none"/>
        </w:rPr>
        <w:t xml:space="preserve">投标文件满足招标文件全部实质性要求，</w:t>
      </w:r>
      <w:bookmarkEnd w:id="31"/>
      <w:r/>
      <w:bookmarkStart w:id="32" w:name="_Hlk128053036"/>
      <w:r>
        <w:rPr>
          <w:rFonts w:hint="eastAsia" w:ascii="宋体" w:hAnsi="宋体" w:cs="宋体"/>
          <w:color w:val="auto"/>
          <w:sz w:val="24"/>
          <w:szCs w:val="24"/>
          <w:highlight w:val="none"/>
        </w:rPr>
        <w:t xml:space="preserve">且按照评审因素的量化指标评审得分，经采购人授权，评标委员会确定中标人。</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22.2中标人确定后，采购代理机构在</w:t>
      </w:r>
      <w:r>
        <w:rPr>
          <w:rFonts w:hint="eastAsia" w:ascii="宋体" w:hAnsi="宋体" w:cs="宋体"/>
          <w:color w:val="auto"/>
          <w:sz w:val="24"/>
          <w:szCs w:val="24"/>
          <w:highlight w:val="none"/>
          <w:lang w:val="zh-CN"/>
        </w:rPr>
        <w:t xml:space="preserve">“江苏政府采购网”发布</w:t>
      </w:r>
      <w:r>
        <w:rPr>
          <w:rFonts w:hint="eastAsia" w:ascii="宋体" w:hAnsi="宋体" w:cs="宋体"/>
          <w:color w:val="auto"/>
          <w:sz w:val="24"/>
          <w:szCs w:val="24"/>
          <w:highlight w:val="none"/>
        </w:rPr>
        <w:t xml:space="preserve">中标公告，公告期限为1个工作日。</w:t>
      </w:r>
      <w:bookmarkEnd w:id="32"/>
      <w:r/>
      <w:r/>
    </w:p>
    <w:p>
      <w:pPr>
        <w:ind w:firstLine="482"/>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23.中标通知书</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23.l中标结果确定后，采购代理机构将向中标人发出中标通知书。中标人可在中标结果公告届满之日起三十日内,登录苏采云系统下载。</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23.2中标通知书是合同的一个组成部分，对采购人和中标人均具有法律效力。中标通知书发出后，采购人改变中标结果或者中标人放弃中标项目的，应当依法承担法律责任。</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23.3中标人在领取中标通知书时，需向采购代理机构提供纸质版投标文件一式叁份（盖章版本），投标文件提倡按照A4幅面打印或复印并进行装订（采用胶装形式递交）。</w:t>
      </w:r>
      <w:r/>
    </w:p>
    <w:p>
      <w:pPr>
        <w:ind w:firstLine="482"/>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24.评标过程的保密性</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24.1采购人和采购代理机构将采取必要措施，保证评标在严格保密的情况下进行。</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24.2任何单位和个人不得非法干预、影响评标办法的确定，以及评标过程和结果。</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24.3凡是与审查、澄清、评价和比较投标的有关资料等，均不向投标人及与评标无关的其他人员透露。</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24.4采购代理机构和评标委员会不向未中标的投标人解释未中标原因，也不公布评标过程中的相关细节。</w:t>
      </w:r>
      <w:r/>
    </w:p>
    <w:p>
      <w:pPr>
        <w:ind w:firstLine="482"/>
        <w:jc w:val="left"/>
        <w:spacing w:before="120" w:line="360" w:lineRule="auto"/>
        <w:shd w:val="clear" w:color="auto" w:fill="ffffff"/>
        <w:widowControl/>
        <w:rPr>
          <w:rFonts w:ascii="宋体" w:hAnsi="宋体" w:cs="宋体"/>
          <w:b/>
          <w:bCs/>
          <w:color w:val="auto"/>
          <w:sz w:val="24"/>
          <w:szCs w:val="24"/>
          <w:highlight w:val="none"/>
        </w:rPr>
        <w:outlineLvl w:val="1"/>
      </w:pPr>
      <w:r/>
      <w:bookmarkStart w:id="33" w:name="_Hlk176188663"/>
      <w:r/>
      <w:bookmarkStart w:id="34" w:name="_Toc228350069"/>
      <w:r>
        <w:rPr>
          <w:rFonts w:hint="eastAsia" w:ascii="宋体" w:hAnsi="宋体" w:cs="宋体"/>
          <w:b/>
          <w:bCs/>
          <w:color w:val="auto"/>
          <w:sz w:val="24"/>
          <w:szCs w:val="24"/>
          <w:highlight w:val="none"/>
        </w:rPr>
        <w:t xml:space="preserve">五、签订合同</w:t>
      </w:r>
      <w:bookmarkEnd w:id="33"/>
      <w:r/>
      <w:bookmarkEnd w:id="34"/>
      <w:r/>
      <w:r/>
    </w:p>
    <w:p>
      <w:pPr>
        <w:ind w:firstLine="482"/>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25.签订合同</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25.2采购人不得向中标人提出任何不合理的要求作为签订合同的条件。</w:t>
      </w:r>
      <w:r/>
    </w:p>
    <w:p>
      <w:pPr>
        <w:ind w:firstLine="480"/>
        <w:jc w:val="left"/>
        <w:spacing w:line="360" w:lineRule="auto"/>
        <w:shd w:val="clear" w:color="auto" w:fill="ffffff"/>
        <w:widowControl/>
        <w:rPr>
          <w:rFonts w:ascii="宋体" w:hAnsi="宋体" w:cs="宋体"/>
          <w:color w:val="auto"/>
          <w:sz w:val="24"/>
          <w:szCs w:val="24"/>
          <w:highlight w:val="none"/>
        </w:rPr>
      </w:pPr>
      <w:r/>
      <w:bookmarkStart w:id="35" w:name="_Hlk128053131"/>
      <w:r>
        <w:rPr>
          <w:rFonts w:hint="eastAsia" w:ascii="宋体" w:hAnsi="宋体" w:cs="宋体"/>
          <w:color w:val="auto"/>
          <w:sz w:val="24"/>
          <w:szCs w:val="24"/>
          <w:highlight w:val="none"/>
        </w:rPr>
        <w:t xml:space="preserve">25.3</w:t>
      </w:r>
      <w:bookmarkStart w:id="36" w:name="_Hlk134712780"/>
      <w:r>
        <w:rPr>
          <w:rFonts w:hint="eastAsia" w:ascii="宋体" w:hAnsi="宋体" w:cs="宋体"/>
          <w:color w:val="auto"/>
          <w:sz w:val="24"/>
          <w:szCs w:val="24"/>
          <w:highlight w:val="none"/>
        </w:rPr>
        <w:t xml:space="preserve">中标人拒绝与采购人签订合同的，采购人可以按照评标报告推荐的中标候选人名单排序，确定下一候选人为中标人，也可以重新开展政府采购活动。</w:t>
      </w:r>
      <w:bookmarkEnd w:id="35"/>
      <w:r/>
      <w:bookmarkEnd w:id="36"/>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25.4政府采购合同履行中，采购人需追加与合同标的相同的</w:t>
      </w:r>
      <w:bookmarkStart w:id="37" w:name="_Hlk176352307"/>
      <w:r>
        <w:rPr>
          <w:rFonts w:hint="eastAsia" w:ascii="宋体" w:hAnsi="宋体" w:cs="宋体"/>
          <w:color w:val="auto"/>
          <w:sz w:val="24"/>
          <w:szCs w:val="24"/>
          <w:highlight w:val="none"/>
        </w:rPr>
        <w:t xml:space="preserve">服务（包含与服务相关的货物）</w:t>
      </w:r>
      <w:bookmarkEnd w:id="37"/>
      <w:r>
        <w:rPr>
          <w:rFonts w:hint="eastAsia" w:ascii="宋体" w:hAnsi="宋体" w:cs="宋体"/>
          <w:color w:val="auto"/>
          <w:sz w:val="24"/>
          <w:szCs w:val="24"/>
          <w:highlight w:val="none"/>
        </w:rPr>
        <w:t xml:space="preserve">，在不改变合同其他条款的前提下，可以与中标人协商签订补充合同，但所有补充合同的采购金额不得超过原合同采购金额的百分之十。</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25.5招标文件、中标人的投标文件及招标过程中有关澄清、承诺文件均作为合同附件。</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25.6采购人与中标人应当根据合同的约定依法履行合同义务。</w:t>
      </w:r>
      <w:r/>
    </w:p>
    <w:p>
      <w:pPr>
        <w:ind w:firstLine="482"/>
        <w:jc w:val="left"/>
        <w:spacing w:before="120" w:line="360" w:lineRule="auto"/>
        <w:shd w:val="clear" w:color="auto" w:fill="ffffff"/>
        <w:widowControl/>
        <w:rPr>
          <w:rFonts w:ascii="宋体" w:hAnsi="宋体" w:cs="宋体"/>
          <w:b/>
          <w:bCs/>
          <w:color w:val="auto"/>
          <w:sz w:val="24"/>
          <w:szCs w:val="24"/>
          <w:highlight w:val="none"/>
        </w:rPr>
        <w:outlineLvl w:val="1"/>
      </w:pPr>
      <w:r/>
      <w:bookmarkStart w:id="38" w:name="_Toc228350070"/>
      <w:r>
        <w:rPr>
          <w:rFonts w:hint="eastAsia" w:ascii="宋体" w:hAnsi="宋体" w:cs="宋体"/>
          <w:b/>
          <w:bCs/>
          <w:color w:val="auto"/>
          <w:sz w:val="24"/>
          <w:szCs w:val="24"/>
          <w:highlight w:val="none"/>
        </w:rPr>
        <w:t xml:space="preserve">六、质疑和投诉</w:t>
      </w:r>
      <w:bookmarkEnd w:id="38"/>
      <w:r/>
      <w:r/>
    </w:p>
    <w:p>
      <w:pPr>
        <w:ind w:firstLine="482"/>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26.质疑</w:t>
      </w:r>
      <w:r/>
    </w:p>
    <w:p>
      <w:pPr>
        <w:ind w:firstLine="480"/>
        <w:jc w:val="left"/>
        <w:spacing w:line="360" w:lineRule="auto"/>
        <w:shd w:val="clear" w:color="auto" w:fill="ffffff"/>
        <w:widowControl/>
        <w:rPr>
          <w:rFonts w:ascii="宋体" w:hAnsi="宋体" w:cs="宋体"/>
          <w:color w:val="auto"/>
          <w:sz w:val="24"/>
          <w:szCs w:val="24"/>
          <w:highlight w:val="none"/>
        </w:rPr>
      </w:pPr>
      <w:r/>
      <w:bookmarkStart w:id="39" w:name="_Hlk135041925"/>
      <w:r>
        <w:rPr>
          <w:rFonts w:hint="eastAsia" w:ascii="宋体" w:hAnsi="宋体" w:cs="宋体"/>
          <w:color w:val="auto"/>
          <w:sz w:val="24"/>
          <w:szCs w:val="24"/>
          <w:highlight w:val="none"/>
        </w:rPr>
        <w:t xml:space="preserve">26.1投标人对采购活动事项有疑问的，可以向采购代理机构提出询问，采购代理机构将依法作出答复，但答复的内容不涉及商业秘密。</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26.2提出质疑的投标人应当是参与所质疑项目采购活动的投标人。潜在投标人已依法获取其可质疑的招标文件的，可以对该文件提出质疑。</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以联合体形式参加政府采购活动的，其质疑应当由组成联合体的所有投标人共同提出，联合体各方均须按要求加盖公章。</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投标人必须在法定质疑期内一次性提出针对同一采购程序环节的质疑。</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26.4投标人提出质疑应当按照《政府采购质疑和投诉办法》的规定提交质疑函和必要的证明材料。质疑函应当包括下列内容：</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（1）投标人的姓名或者名称、地址、邮编、联系人及联系电话；</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（3）具体、明确的质疑事项和与质疑事项相关的请求（具体条款）；</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（4）事实依据（具体条款）；</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（5）必要的法律依据（具体条款）；</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26.5质疑函应当现场提交至采购代理机构联系人处，提交时应出示有效身份证明。未按上述要求提交质疑函的，质疑不予受理。</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26.7采购代理机构在收到投标人的书面质疑后将及时组织调查核实，在</w:t>
      </w:r>
      <w:r>
        <w:rPr>
          <w:rFonts w:hint="eastAsia" w:ascii="宋体" w:hAnsi="宋体" w:cs="宋体"/>
          <w:b/>
          <w:bCs/>
          <w:color w:val="auto"/>
          <w:sz w:val="24"/>
          <w:szCs w:val="24"/>
          <w:highlight w:val="none"/>
        </w:rPr>
        <w:t xml:space="preserve">七个工作日内</w:t>
      </w:r>
      <w:r>
        <w:rPr>
          <w:rFonts w:hint="eastAsia" w:ascii="宋体" w:hAnsi="宋体" w:cs="宋体"/>
          <w:color w:val="auto"/>
          <w:sz w:val="24"/>
          <w:szCs w:val="24"/>
          <w:highlight w:val="none"/>
        </w:rPr>
        <w:t xml:space="preserve">作出答复，并以书面或在网站公告形式通知质疑投标人和其他有关投标人，答复的内容不涉及商业秘密。</w:t>
      </w:r>
      <w:bookmarkEnd w:id="39"/>
      <w:r/>
      <w:r/>
    </w:p>
    <w:p>
      <w:pPr>
        <w:ind w:firstLine="482"/>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27.投诉</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27.2投标人投诉应当有明确的请求和必要的证明材料。投标人投诉的事项不得超出已质疑事项的范围。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27.4投诉人在全国范围12个月内3次以上投诉查无实据的，由财政部门列入不良行为记录名单。</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27.5投诉人有下列行为之一的，属于虚假、恶意投诉，由财政部门列入不良行为记录名单，禁止其1至3年内参加政府采购活动：</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（1）捏造事实；</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（2）提供虚假材料；</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ind w:firstLine="683"/>
        <w:jc w:val="center"/>
        <w:spacing w:line="360" w:lineRule="auto"/>
        <w:rPr>
          <w:rFonts w:ascii="宋体" w:hAnsi="宋体" w:cs="宋体"/>
          <w:b/>
          <w:bCs/>
          <w:color w:val="auto"/>
          <w:spacing w:val="-10"/>
          <w:sz w:val="36"/>
          <w:szCs w:val="36"/>
          <w:highlight w:val="none"/>
          <w:lang w:val="zh-CN"/>
        </w:rPr>
      </w:pPr>
      <w:r>
        <w:rPr>
          <w:rFonts w:hint="eastAsia" w:ascii="宋体" w:hAnsi="宋体" w:cs="宋体"/>
          <w:b/>
          <w:bCs/>
          <w:color w:val="auto"/>
          <w:spacing w:val="-10"/>
          <w:sz w:val="36"/>
          <w:szCs w:val="36"/>
          <w:highlight w:val="none"/>
          <w:lang w:val="zh-CN"/>
        </w:rPr>
        <w:br w:type="page" w:clear="all"/>
      </w:r>
      <w:bookmarkStart w:id="40" w:name="_Toc228350071"/>
      <w:r>
        <w:rPr>
          <w:rFonts w:hint="eastAsia" w:ascii="宋体" w:hAnsi="宋体" w:cs="宋体"/>
          <w:b/>
          <w:bCs/>
          <w:color w:val="auto"/>
          <w:spacing w:val="-10"/>
          <w:sz w:val="36"/>
          <w:szCs w:val="36"/>
          <w:highlight w:val="none"/>
          <w:lang w:val="zh-CN"/>
        </w:rPr>
        <w:t xml:space="preserve">第三章评标方法和标准</w:t>
      </w:r>
      <w:bookmarkEnd w:id="40"/>
      <w:r/>
      <w:r/>
    </w:p>
    <w:p>
      <w:pPr>
        <w:jc w:val="left"/>
        <w:spacing w:line="360" w:lineRule="auto"/>
        <w:rPr>
          <w:rFonts w:ascii="宋体" w:hAnsi="宋体" w:cs="宋体"/>
          <w:b/>
          <w:bCs/>
          <w:color w:val="auto"/>
          <w:sz w:val="24"/>
          <w:szCs w:val="24"/>
          <w:highlight w:val="none"/>
          <w:lang w:val="zh-CN"/>
        </w:rPr>
        <w:outlineLvl w:val="1"/>
      </w:pPr>
      <w:r/>
      <w:bookmarkStart w:id="41" w:name="_Toc228350072"/>
      <w:r>
        <w:rPr>
          <w:rFonts w:hint="eastAsia" w:ascii="宋体" w:hAnsi="宋体" w:cs="宋体"/>
          <w:b/>
          <w:bCs/>
          <w:color w:val="auto"/>
          <w:sz w:val="24"/>
          <w:szCs w:val="24"/>
          <w:highlight w:val="none"/>
          <w:lang w:val="zh-CN"/>
        </w:rPr>
        <w:t xml:space="preserve">一、采用综合评分法</w:t>
      </w:r>
      <w:bookmarkEnd w:id="41"/>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jc w:val="left"/>
        <w:spacing w:line="360" w:lineRule="auto"/>
        <w:rPr>
          <w:rFonts w:ascii="宋体" w:hAnsi="宋体" w:cs="宋体"/>
          <w:b/>
          <w:bCs/>
          <w:color w:val="auto"/>
          <w:sz w:val="24"/>
          <w:szCs w:val="24"/>
          <w:highlight w:val="none"/>
          <w:lang w:val="zh-CN"/>
        </w:rPr>
        <w:outlineLvl w:val="1"/>
      </w:pPr>
      <w:r/>
      <w:bookmarkStart w:id="42" w:name="_Toc228350073"/>
      <w:r>
        <w:rPr>
          <w:rFonts w:hint="eastAsia" w:ascii="宋体" w:hAnsi="宋体" w:cs="宋体"/>
          <w:b/>
          <w:bCs/>
          <w:color w:val="auto"/>
          <w:sz w:val="24"/>
          <w:szCs w:val="24"/>
          <w:highlight w:val="none"/>
          <w:lang w:val="zh-CN"/>
        </w:rPr>
        <w:t xml:space="preserve">二、综合评分法评审评分细则</w:t>
      </w:r>
      <w:bookmarkEnd w:id="42"/>
      <w:r/>
      <w:r/>
    </w:p>
    <w:p>
      <w:pPr>
        <w:pStyle w:val="801"/>
        <w:rPr>
          <w:rFonts w:cs="宋体"/>
          <w:color w:val="auto"/>
          <w:szCs w:val="21"/>
          <w:highlight w:val="none"/>
        </w:rPr>
      </w:pPr>
      <w:r/>
      <w:bookmarkStart w:id="43" w:name="OLE_LINK3"/>
      <w:r/>
      <w:bookmarkStart w:id="44" w:name="OLE_LINK4"/>
      <w:r/>
      <w:bookmarkStart w:id="45" w:name="OLE_LINK6"/>
      <w:r/>
      <w:bookmarkStart w:id="46" w:name="OLE_LINK7"/>
      <w:r/>
      <w:r/>
    </w:p>
    <w:tbl>
      <w:tblPr>
        <w:tblStyle w:val="679"/>
        <w:tblW w:w="98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7"/>
        <w:gridCol w:w="6238"/>
        <w:gridCol w:w="709"/>
        <w:gridCol w:w="993"/>
      </w:tblGrid>
      <w:tr>
        <w:trPr>
          <w:jc w:val="center"/>
          <w:trHeight w:val="454"/>
          <w:tblHeader/>
        </w:trPr>
        <w:tc>
          <w:tcPr>
            <w:tcW w:w="623" w:type="dxa"/>
            <w:textDirection w:val="lrTb"/>
            <w:noWrap/>
          </w:tcPr>
          <w:p>
            <w:pPr>
              <w:jc w:val="center"/>
              <w:spacing w:before="122" w:line="288" w:lineRule="auto"/>
              <w:rPr>
                <w:rFonts w:ascii="宋体" w:hAnsi="宋体" w:cs="宋体"/>
                <w:b/>
                <w:bCs/>
                <w:color w:val="auto"/>
                <w:spacing w:val="-3"/>
                <w:szCs w:val="21"/>
                <w:highlight w:val="none"/>
              </w:rPr>
            </w:pPr>
            <w:r/>
            <w:bookmarkStart w:id="47" w:name="OLE_LINK11"/>
            <w:r/>
            <w:bookmarkStart w:id="48" w:name="OLE_LINK12"/>
            <w:r>
              <w:rPr>
                <w:rFonts w:hint="eastAsia" w:ascii="宋体" w:hAnsi="宋体" w:cs="宋体"/>
                <w:b/>
                <w:bCs/>
                <w:color w:val="auto"/>
                <w:spacing w:val="-3"/>
                <w:szCs w:val="21"/>
                <w:highlight w:val="none"/>
              </w:rPr>
              <w:t xml:space="preserve">序号</w:t>
            </w:r>
            <w:r/>
          </w:p>
        </w:tc>
        <w:tc>
          <w:tcPr>
            <w:tcW w:w="1277" w:type="dxa"/>
            <w:textDirection w:val="lrTb"/>
            <w:noWrap/>
          </w:tcPr>
          <w:p>
            <w:pPr>
              <w:jc w:val="center"/>
              <w:spacing w:before="122" w:line="288" w:lineRule="auto"/>
              <w:rPr>
                <w:rFonts w:ascii="宋体" w:hAnsi="宋体" w:cs="宋体"/>
                <w:b/>
                <w:bCs/>
                <w:color w:val="auto"/>
                <w:spacing w:val="-3"/>
                <w:szCs w:val="21"/>
                <w:highlight w:val="none"/>
              </w:rPr>
            </w:pPr>
            <w:r>
              <w:rPr>
                <w:rFonts w:hint="eastAsia" w:ascii="宋体" w:hAnsi="宋体" w:cs="宋体"/>
                <w:b/>
                <w:bCs/>
                <w:color w:val="auto"/>
                <w:spacing w:val="-3"/>
                <w:szCs w:val="21"/>
                <w:highlight w:val="none"/>
              </w:rPr>
              <w:t xml:space="preserve">评审因素</w:t>
            </w:r>
            <w:r/>
          </w:p>
        </w:tc>
        <w:tc>
          <w:tcPr>
            <w:tcW w:w="6238" w:type="dxa"/>
            <w:textDirection w:val="lrTb"/>
            <w:noWrap/>
          </w:tcPr>
          <w:p>
            <w:pPr>
              <w:jc w:val="center"/>
              <w:spacing w:before="122" w:line="288" w:lineRule="auto"/>
              <w:rPr>
                <w:rFonts w:ascii="宋体" w:hAnsi="宋体" w:cs="宋体"/>
                <w:b/>
                <w:bCs/>
                <w:color w:val="auto"/>
                <w:spacing w:val="-3"/>
                <w:szCs w:val="21"/>
                <w:highlight w:val="none"/>
              </w:rPr>
            </w:pPr>
            <w:r>
              <w:rPr>
                <w:rFonts w:hint="eastAsia" w:ascii="宋体" w:hAnsi="宋体" w:cs="宋体"/>
                <w:b/>
                <w:bCs/>
                <w:color w:val="auto"/>
                <w:spacing w:val="-3"/>
                <w:szCs w:val="21"/>
                <w:highlight w:val="none"/>
              </w:rPr>
              <w:t xml:space="preserve">评审细则</w:t>
            </w:r>
            <w:r/>
          </w:p>
        </w:tc>
        <w:tc>
          <w:tcPr>
            <w:tcW w:w="709" w:type="dxa"/>
            <w:textDirection w:val="lrTb"/>
            <w:noWrap/>
          </w:tcPr>
          <w:p>
            <w:pPr>
              <w:jc w:val="center"/>
              <w:spacing w:before="122" w:line="288" w:lineRule="auto"/>
              <w:rPr>
                <w:rFonts w:ascii="宋体" w:hAnsi="宋体" w:cs="宋体"/>
                <w:b/>
                <w:bCs/>
                <w:color w:val="auto"/>
                <w:spacing w:val="-3"/>
                <w:szCs w:val="21"/>
                <w:highlight w:val="none"/>
              </w:rPr>
            </w:pPr>
            <w:r>
              <w:rPr>
                <w:rFonts w:hint="eastAsia" w:ascii="宋体" w:hAnsi="宋体" w:cs="宋体"/>
                <w:b/>
                <w:bCs/>
                <w:color w:val="auto"/>
                <w:spacing w:val="-3"/>
                <w:szCs w:val="21"/>
                <w:highlight w:val="none"/>
              </w:rPr>
              <w:t xml:space="preserve">分值</w:t>
            </w:r>
            <w:r/>
          </w:p>
        </w:tc>
        <w:tc>
          <w:tcPr>
            <w:tcW w:w="993" w:type="dxa"/>
            <w:textDirection w:val="lrTb"/>
            <w:noWrap/>
          </w:tcPr>
          <w:p>
            <w:pPr>
              <w:jc w:val="center"/>
              <w:spacing w:before="122" w:line="288" w:lineRule="auto"/>
              <w:rPr>
                <w:rFonts w:ascii="宋体" w:hAnsi="宋体" w:cs="宋体"/>
                <w:b/>
                <w:bCs/>
                <w:color w:val="auto"/>
                <w:spacing w:val="-3"/>
                <w:szCs w:val="21"/>
                <w:highlight w:val="none"/>
              </w:rPr>
            </w:pPr>
            <w:r>
              <w:rPr>
                <w:rFonts w:hint="eastAsia" w:ascii="宋体" w:hAnsi="宋体" w:cs="宋体"/>
                <w:b/>
                <w:bCs/>
                <w:color w:val="auto"/>
                <w:spacing w:val="-3"/>
                <w:szCs w:val="21"/>
                <w:highlight w:val="none"/>
              </w:rPr>
              <w:t xml:space="preserve">类型</w:t>
            </w:r>
            <w:r/>
          </w:p>
        </w:tc>
      </w:tr>
      <w:tr>
        <w:trPr>
          <w:jc w:val="center"/>
          <w:trHeight w:val="460"/>
        </w:trPr>
        <w:tc>
          <w:tcPr>
            <w:gridSpan w:val="5"/>
            <w:tcW w:w="9840" w:type="dxa"/>
            <w:textDirection w:val="lrTb"/>
            <w:noWrap/>
          </w:tcPr>
          <w:p>
            <w:pPr>
              <w:ind w:left="114"/>
              <w:spacing w:before="122"/>
              <w:rPr>
                <w:rFonts w:ascii="宋体" w:hAnsi="宋体" w:cs="宋体"/>
                <w:color w:val="auto"/>
                <w:highlight w:val="none"/>
              </w:rPr>
            </w:pPr>
            <w:r>
              <w:rPr>
                <w:rFonts w:hint="eastAsia" w:ascii="宋体" w:hAnsi="宋体" w:cs="宋体"/>
                <w:b/>
                <w:bCs/>
                <w:color w:val="auto"/>
                <w:spacing w:val="-3"/>
                <w:highlight w:val="none"/>
              </w:rPr>
              <w:t xml:space="preserve">1.价</w:t>
            </w:r>
            <w:r>
              <w:rPr>
                <w:rFonts w:hint="eastAsia" w:ascii="宋体" w:hAnsi="宋体" w:cs="宋体"/>
                <w:b/>
                <w:bCs/>
                <w:color w:val="auto"/>
                <w:spacing w:val="-2"/>
                <w:highlight w:val="none"/>
              </w:rPr>
              <w:t xml:space="preserve">格</w:t>
            </w:r>
            <w:r/>
          </w:p>
        </w:tc>
      </w:tr>
      <w:tr>
        <w:trPr>
          <w:jc w:val="center"/>
          <w:trHeight w:val="1030"/>
        </w:trPr>
        <w:tc>
          <w:tcPr>
            <w:tcW w:w="623" w:type="dxa"/>
            <w:vAlign w:val="center"/>
            <w:textDirection w:val="lrTb"/>
            <w:noWrap/>
          </w:tcPr>
          <w:p>
            <w:pPr>
              <w:jc w:val="center"/>
              <w:spacing w:before="68"/>
              <w:rPr>
                <w:rFonts w:ascii="宋体" w:hAnsi="宋体" w:cs="宋体"/>
                <w:color w:val="auto"/>
                <w:highlight w:val="none"/>
              </w:rPr>
            </w:pPr>
            <w:r>
              <w:rPr>
                <w:rFonts w:hint="eastAsia" w:ascii="宋体" w:hAnsi="宋体" w:cs="宋体"/>
                <w:color w:val="auto"/>
                <w:spacing w:val="-6"/>
                <w:highlight w:val="none"/>
              </w:rPr>
              <w:t xml:space="preserve">1</w:t>
            </w:r>
            <w:r>
              <w:rPr>
                <w:rFonts w:hint="eastAsia" w:ascii="宋体" w:hAnsi="宋体" w:cs="宋体"/>
                <w:color w:val="auto"/>
                <w:spacing w:val="-5"/>
                <w:highlight w:val="none"/>
              </w:rPr>
              <w:t xml:space="preserve">.1</w:t>
            </w:r>
            <w:r/>
          </w:p>
        </w:tc>
        <w:tc>
          <w:tcPr>
            <w:tcW w:w="1277" w:type="dxa"/>
            <w:vAlign w:val="center"/>
            <w:textDirection w:val="lrTb"/>
            <w:noWrap/>
          </w:tcPr>
          <w:p>
            <w:pPr>
              <w:jc w:val="left"/>
              <w:spacing w:before="68"/>
              <w:rPr>
                <w:rFonts w:ascii="宋体" w:hAnsi="宋体" w:cs="宋体"/>
                <w:color w:val="auto"/>
                <w:highlight w:val="none"/>
              </w:rPr>
            </w:pPr>
            <w:r>
              <w:rPr>
                <w:rFonts w:hint="eastAsia" w:ascii="宋体" w:hAnsi="宋体" w:cs="宋体"/>
                <w:color w:val="auto"/>
                <w:spacing w:val="-2"/>
                <w:highlight w:val="none"/>
              </w:rPr>
              <w:t xml:space="preserve">价格分</w:t>
            </w:r>
            <w:r/>
          </w:p>
        </w:tc>
        <w:tc>
          <w:tcPr>
            <w:tcW w:w="6238" w:type="dxa"/>
            <w:vAlign w:val="center"/>
            <w:textDirection w:val="lrTb"/>
            <w:noWrap/>
          </w:tcPr>
          <w:p>
            <w:pPr>
              <w:ind w:firstLine="212"/>
              <w:jc w:val="left"/>
              <w:spacing w:line="360" w:lineRule="auto"/>
              <w:rPr>
                <w:rFonts w:ascii="宋体" w:hAnsi="宋体" w:cs="宋体"/>
                <w:color w:val="auto"/>
                <w:highlight w:val="none"/>
              </w:rPr>
            </w:pPr>
            <w:r>
              <w:rPr>
                <w:rFonts w:hint="eastAsia" w:ascii="宋体" w:hAnsi="宋体" w:cs="宋体"/>
                <w:color w:val="auto"/>
                <w:spacing w:val="1"/>
                <w:highlight w:val="none"/>
              </w:rPr>
              <w:t xml:space="preserve">采用低价优先</w:t>
            </w:r>
            <w:r>
              <w:rPr>
                <w:rFonts w:hint="eastAsia" w:ascii="宋体" w:hAnsi="宋体" w:cs="宋体"/>
                <w:color w:val="auto"/>
                <w:highlight w:val="none"/>
              </w:rPr>
              <w:t xml:space="preserve">法计算，即满足招标文件要求且投标价格最低的投标</w:t>
            </w:r>
            <w:r>
              <w:rPr>
                <w:rFonts w:hint="eastAsia" w:ascii="宋体" w:hAnsi="宋体" w:cs="宋体"/>
                <w:color w:val="auto"/>
                <w:spacing w:val="1"/>
                <w:highlight w:val="none"/>
              </w:rPr>
              <w:t xml:space="preserve">报价为评标基准</w:t>
            </w:r>
            <w:r>
              <w:rPr>
                <w:rFonts w:hint="eastAsia" w:ascii="宋体" w:hAnsi="宋体" w:cs="宋体"/>
                <w:color w:val="auto"/>
                <w:highlight w:val="none"/>
              </w:rPr>
              <w:t xml:space="preserve">价，其价格分为满分。其他投标人的价格分统一按</w:t>
            </w:r>
            <w:r>
              <w:rPr>
                <w:rFonts w:hint="eastAsia" w:ascii="宋体" w:hAnsi="宋体" w:cs="宋体"/>
                <w:color w:val="auto"/>
                <w:spacing w:val="-1"/>
                <w:highlight w:val="none"/>
              </w:rPr>
              <w:t xml:space="preserve">照下列公</w:t>
            </w:r>
            <w:r>
              <w:rPr>
                <w:rFonts w:hint="eastAsia" w:ascii="宋体" w:hAnsi="宋体" w:cs="宋体"/>
                <w:color w:val="auto"/>
                <w:highlight w:val="none"/>
              </w:rPr>
              <w:t xml:space="preserve">式计算：投标报价得分=(评标基准价/投标报价)×价格分值（小数点保留两位）</w:t>
            </w:r>
            <w:r/>
          </w:p>
        </w:tc>
        <w:tc>
          <w:tcPr>
            <w:tcW w:w="709" w:type="dxa"/>
            <w:vAlign w:val="center"/>
            <w:textDirection w:val="lrTb"/>
            <w:noWrap/>
          </w:tcPr>
          <w:p>
            <w:pPr>
              <w:jc w:val="center"/>
              <w:spacing w:before="68"/>
              <w:rPr>
                <w:rFonts w:ascii="宋体" w:hAnsi="宋体" w:cs="宋体"/>
                <w:color w:val="auto"/>
                <w:highlight w:val="none"/>
              </w:rPr>
            </w:pPr>
            <w:r>
              <w:rPr>
                <w:rFonts w:hint="eastAsia" w:ascii="宋体" w:hAnsi="宋体" w:cs="宋体"/>
                <w:color w:val="auto"/>
                <w:highlight w:val="none"/>
              </w:rPr>
              <w:t xml:space="preserve">30</w:t>
            </w:r>
            <w:r/>
          </w:p>
        </w:tc>
        <w:tc>
          <w:tcPr>
            <w:tcW w:w="993" w:type="dxa"/>
            <w:vAlign w:val="center"/>
            <w:textDirection w:val="lrTb"/>
            <w:noWrap/>
          </w:tcPr>
          <w:p>
            <w:pPr>
              <w:jc w:val="center"/>
              <w:spacing w:before="68"/>
              <w:rPr>
                <w:rFonts w:ascii="宋体" w:hAnsi="宋体" w:cs="宋体"/>
                <w:color w:val="auto"/>
                <w:highlight w:val="none"/>
              </w:rPr>
            </w:pPr>
            <w:r>
              <w:rPr>
                <w:rFonts w:hint="eastAsia" w:ascii="宋体" w:hAnsi="宋体" w:cs="宋体"/>
                <w:color w:val="auto"/>
                <w:highlight w:val="none"/>
              </w:rPr>
              <w:t xml:space="preserve">价格分</w:t>
            </w:r>
            <w:r/>
          </w:p>
        </w:tc>
      </w:tr>
      <w:tr>
        <w:trPr>
          <w:jc w:val="center"/>
          <w:trHeight w:val="460"/>
        </w:trPr>
        <w:tc>
          <w:tcPr>
            <w:gridSpan w:val="5"/>
            <w:tcW w:w="9840" w:type="dxa"/>
            <w:textDirection w:val="lrTb"/>
            <w:noWrap/>
          </w:tcPr>
          <w:p>
            <w:pPr>
              <w:ind w:left="114"/>
              <w:spacing w:before="123"/>
              <w:rPr>
                <w:rFonts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891"/>
        </w:trPr>
        <w:tc>
          <w:tcPr>
            <w:tcW w:w="623" w:type="dxa"/>
            <w:vAlign w:val="center"/>
            <w:textDirection w:val="lrTb"/>
            <w:noWrap/>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2.1</w:t>
            </w:r>
            <w:r/>
          </w:p>
        </w:tc>
        <w:tc>
          <w:tcPr>
            <w:tcW w:w="1277" w:type="dxa"/>
            <w:vAlign w:val="center"/>
            <w:textDirection w:val="lrTb"/>
            <w:noWrap/>
          </w:tcPr>
          <w:p>
            <w:pPr>
              <w:jc w:val="left"/>
              <w:spacing w:before="68"/>
              <w:rPr>
                <w:rFonts w:ascii="宋体" w:hAnsi="宋体" w:cs="宋体"/>
                <w:color w:val="auto"/>
                <w:spacing w:val="-2"/>
                <w:highlight w:val="none"/>
              </w:rPr>
            </w:pPr>
            <w:r>
              <w:rPr>
                <w:rFonts w:hint="eastAsia" w:ascii="宋体" w:hAnsi="宋体" w:cs="宋体"/>
                <w:color w:val="auto"/>
                <w:spacing w:val="-2"/>
                <w:highlight w:val="none"/>
              </w:rPr>
              <w:t xml:space="preserve">产品技术参数</w:t>
            </w:r>
            <w:r/>
          </w:p>
        </w:tc>
        <w:tc>
          <w:tcPr>
            <w:tcW w:w="6238" w:type="dxa"/>
            <w:vAlign w:val="center"/>
            <w:textDirection w:val="lrTb"/>
            <w:noWrap/>
          </w:tcPr>
          <w:p>
            <w:pPr>
              <w:ind w:firstLine="210"/>
              <w:jc w:val="left"/>
              <w:spacing w:line="360" w:lineRule="auto"/>
              <w:rPr>
                <w:rFonts w:ascii="宋体" w:hAnsi="宋体" w:cs="宋体"/>
                <w:color w:val="auto"/>
                <w:spacing w:val="1"/>
                <w:highlight w:val="none"/>
              </w:rPr>
            </w:pPr>
            <w:r>
              <w:rPr>
                <w:rFonts w:hint="eastAsia" w:ascii="宋体" w:hAnsi="宋体" w:cs="宋体"/>
                <w:color w:val="auto"/>
                <w:highlight w:val="none"/>
              </w:rPr>
              <w:t xml:space="preserve">产品技术参数全部满足招标要求的得满分35分；打★指标为必须满足项，如有负偏离将作为无效投标；打▲指标为重要指标，有一项负偏离扣1分；其余指标，有一项负偏离扣0.5分；以上扣完为止。</w:t>
            </w:r>
            <w:r/>
          </w:p>
        </w:tc>
        <w:tc>
          <w:tcPr>
            <w:tcW w:w="709" w:type="dxa"/>
            <w:vAlign w:val="center"/>
            <w:textDirection w:val="lrTb"/>
            <w:noWrap/>
          </w:tcPr>
          <w:p>
            <w:pPr>
              <w:jc w:val="center"/>
              <w:spacing w:before="68"/>
              <w:rPr>
                <w:rFonts w:ascii="宋体" w:hAnsi="宋体" w:cs="宋体"/>
                <w:color w:val="auto"/>
                <w:highlight w:val="none"/>
              </w:rPr>
            </w:pPr>
            <w:r>
              <w:rPr>
                <w:rFonts w:hint="eastAsia" w:ascii="宋体" w:hAnsi="宋体" w:cs="宋体"/>
                <w:color w:val="auto"/>
                <w:highlight w:val="none"/>
              </w:rPr>
              <w:t xml:space="preserve">35</w:t>
            </w:r>
            <w:r/>
          </w:p>
        </w:tc>
        <w:tc>
          <w:tcPr>
            <w:tcW w:w="993" w:type="dxa"/>
            <w:vAlign w:val="center"/>
            <w:textDirection w:val="lrTb"/>
            <w:noWrap/>
          </w:tcPr>
          <w:p>
            <w:pPr>
              <w:jc w:val="center"/>
              <w:spacing w:before="68"/>
              <w:rPr>
                <w:rFonts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891"/>
        </w:trPr>
        <w:tc>
          <w:tcPr>
            <w:tcW w:w="623" w:type="dxa"/>
            <w:vAlign w:val="center"/>
            <w:textDirection w:val="lrTb"/>
            <w:noWrap/>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2.2</w:t>
            </w:r>
            <w:r/>
          </w:p>
        </w:tc>
        <w:tc>
          <w:tcPr>
            <w:tcW w:w="1277" w:type="dxa"/>
            <w:vAlign w:val="center"/>
            <w:textDirection w:val="lrTb"/>
            <w:noWrap/>
          </w:tcPr>
          <w:p>
            <w:pPr>
              <w:jc w:val="center"/>
              <w:spacing w:before="68"/>
              <w:rPr>
                <w:rFonts w:ascii="宋体" w:hAnsi="宋体" w:cs="宋体"/>
                <w:color w:val="auto"/>
                <w:szCs w:val="22"/>
                <w:highlight w:val="none"/>
              </w:rPr>
            </w:pPr>
            <w:r>
              <w:rPr>
                <w:rFonts w:hint="eastAsia" w:ascii="宋体" w:hAnsi="宋体" w:cs="宋体"/>
                <w:color w:val="auto"/>
                <w:spacing w:val="-2"/>
                <w:highlight w:val="none"/>
              </w:rPr>
              <w:t xml:space="preserve">检测</w:t>
            </w:r>
            <w:r>
              <w:rPr>
                <w:rFonts w:hint="eastAsia" w:ascii="宋体" w:hAnsi="宋体" w:cs="宋体"/>
                <w:color w:val="auto"/>
                <w:szCs w:val="22"/>
                <w:highlight w:val="none"/>
              </w:rPr>
              <w:t xml:space="preserve">报告</w:t>
            </w:r>
            <w:r/>
          </w:p>
        </w:tc>
        <w:tc>
          <w:tcPr>
            <w:tcW w:w="6238" w:type="dxa"/>
            <w:textDirection w:val="lrTb"/>
            <w:noWrap/>
          </w:tcPr>
          <w:p>
            <w:pPr>
              <w:ind w:firstLine="210"/>
              <w:jc w:val="left"/>
              <w:spacing w:line="360" w:lineRule="auto"/>
              <w:rPr>
                <w:rFonts w:ascii="宋体" w:hAnsi="宋体" w:cs="宋体"/>
                <w:color w:val="auto"/>
                <w:szCs w:val="22"/>
                <w:highlight w:val="none"/>
              </w:rPr>
            </w:pPr>
            <w:r>
              <w:rPr>
                <w:rFonts w:hint="eastAsia" w:ascii="宋体" w:hAnsi="宋体" w:cs="宋体"/>
                <w:color w:val="auto"/>
                <w:szCs w:val="21"/>
                <w:highlight w:val="none"/>
              </w:rPr>
              <w:t xml:space="preserve">投标人</w:t>
            </w:r>
            <w:r>
              <w:rPr>
                <w:rFonts w:hint="eastAsia" w:ascii="宋体" w:hAnsi="宋体" w:cs="宋体"/>
                <w:color w:val="auto"/>
                <w:highlight w:val="none"/>
              </w:rPr>
              <w:t xml:space="preserve">所投更衣柜材料</w:t>
            </w:r>
            <w:r>
              <w:rPr>
                <w:rFonts w:hint="eastAsia" w:ascii="宋体" w:hAnsi="宋体" w:cs="宋体"/>
                <w:color w:val="auto"/>
                <w:szCs w:val="21"/>
                <w:highlight w:val="none"/>
              </w:rPr>
              <w:t xml:space="preserve">刨</w:t>
            </w:r>
            <w:r>
              <w:rPr>
                <w:rFonts w:hint="eastAsia" w:ascii="宋体" w:hAnsi="宋体" w:cs="宋体"/>
                <w:color w:val="auto"/>
                <w:szCs w:val="22"/>
                <w:highlight w:val="none"/>
              </w:rPr>
              <w:t xml:space="preserve">花板（</w:t>
            </w:r>
            <w:bookmarkStart w:id="49" w:name="OLE_LINK63"/>
            <w:r/>
            <w:bookmarkStart w:id="50" w:name="OLE_LINK66"/>
            <w:r/>
            <w:bookmarkStart w:id="51" w:name="OLE_LINK60"/>
            <w:r/>
            <w:bookmarkStart w:id="52" w:name="OLE_LINK57"/>
            <w:r>
              <w:rPr>
                <w:rFonts w:hint="eastAsia" w:ascii="宋体" w:hAnsi="宋体" w:cs="宋体"/>
                <w:color w:val="auto"/>
                <w:szCs w:val="22"/>
                <w:highlight w:val="none"/>
              </w:rPr>
              <w:t xml:space="preserve">三聚氰胺饰面人造板</w:t>
            </w:r>
            <w:bookmarkEnd w:id="49"/>
            <w:r/>
            <w:bookmarkEnd w:id="50"/>
            <w:r>
              <w:rPr>
                <w:rFonts w:hint="eastAsia" w:ascii="宋体" w:hAnsi="宋体" w:cs="宋体"/>
                <w:color w:val="auto"/>
                <w:szCs w:val="22"/>
                <w:highlight w:val="none"/>
              </w:rPr>
              <w:t xml:space="preserve">或</w:t>
            </w:r>
            <w:r>
              <w:rPr>
                <w:rFonts w:ascii="Arial" w:hAnsi="Arial" w:cs="Arial"/>
                <w:color w:val="auto"/>
                <w:highlight w:val="none"/>
                <w:shd w:val="clear" w:color="auto" w:fill="ffffff"/>
              </w:rPr>
              <w:t xml:space="preserve">浸渍胶膜纸饰面</w:t>
            </w:r>
            <w:bookmarkEnd w:id="51"/>
            <w:r/>
            <w:bookmarkEnd w:id="52"/>
            <w:r>
              <w:rPr>
                <w:rFonts w:hint="eastAsia" w:ascii="宋体" w:hAnsi="宋体" w:cs="宋体"/>
                <w:color w:val="auto"/>
                <w:szCs w:val="22"/>
                <w:highlight w:val="none"/>
              </w:rPr>
              <w:t xml:space="preserve">）：</w:t>
            </w:r>
            <w:r/>
          </w:p>
          <w:p>
            <w:pPr>
              <w:ind w:firstLine="210"/>
              <w:jc w:val="left"/>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1.检验检测依据至少符合</w:t>
            </w:r>
            <w:bookmarkStart w:id="53" w:name="OLE_LINK68"/>
            <w:r/>
            <w:bookmarkStart w:id="54" w:name="OLE_LINK69"/>
            <w:r>
              <w:rPr>
                <w:rFonts w:hint="eastAsia" w:ascii="宋体" w:hAnsi="宋体" w:cs="宋体"/>
                <w:color w:val="auto"/>
                <w:szCs w:val="22"/>
                <w:highlight w:val="none"/>
              </w:rPr>
              <w:t xml:space="preserve">GB/T15102-2017</w:t>
            </w:r>
            <w:bookmarkEnd w:id="53"/>
            <w:r/>
            <w:bookmarkEnd w:id="54"/>
            <w:r>
              <w:rPr>
                <w:rFonts w:hint="eastAsia" w:ascii="宋体" w:hAnsi="宋体" w:cs="宋体"/>
                <w:color w:val="auto"/>
                <w:szCs w:val="22"/>
                <w:highlight w:val="none"/>
              </w:rPr>
              <w:t xml:space="preserve">《浸渍胶膜纸饰面纤维板和刨花板》、</w:t>
            </w:r>
            <w:bookmarkStart w:id="55" w:name="OLE_LINK71"/>
            <w:r/>
            <w:bookmarkStart w:id="56" w:name="OLE_LINK70"/>
            <w:r>
              <w:rPr>
                <w:rFonts w:hint="eastAsia" w:ascii="宋体" w:hAnsi="宋体" w:cs="宋体"/>
                <w:color w:val="auto"/>
                <w:szCs w:val="22"/>
                <w:highlight w:val="none"/>
              </w:rPr>
              <w:t xml:space="preserve">HJ571-2010</w:t>
            </w:r>
            <w:bookmarkEnd w:id="55"/>
            <w:r/>
            <w:bookmarkEnd w:id="56"/>
            <w:r>
              <w:rPr>
                <w:rFonts w:hint="eastAsia" w:ascii="宋体" w:hAnsi="宋体" w:cs="宋体"/>
                <w:color w:val="auto"/>
                <w:szCs w:val="22"/>
                <w:highlight w:val="none"/>
              </w:rPr>
              <w:t xml:space="preserve">《环境标志产品技术要求人造板及其制品》、</w:t>
            </w:r>
            <w:bookmarkStart w:id="57" w:name="OLE_LINK75"/>
            <w:r/>
            <w:bookmarkStart w:id="58" w:name="OLE_LINK74"/>
            <w:r>
              <w:rPr>
                <w:rFonts w:hint="eastAsia" w:ascii="宋体" w:hAnsi="宋体" w:cs="宋体"/>
                <w:color w:val="auto"/>
                <w:szCs w:val="22"/>
                <w:highlight w:val="none"/>
              </w:rPr>
              <w:t xml:space="preserve">GB/T39600-2021</w:t>
            </w:r>
            <w:bookmarkEnd w:id="57"/>
            <w:r/>
            <w:bookmarkEnd w:id="58"/>
            <w:r>
              <w:rPr>
                <w:rFonts w:hint="eastAsia" w:ascii="宋体" w:hAnsi="宋体" w:cs="宋体"/>
                <w:color w:val="auto"/>
                <w:szCs w:val="22"/>
                <w:highlight w:val="none"/>
              </w:rPr>
              <w:t xml:space="preserve">《人造板及其制品甲醛释放量分级》、</w:t>
            </w:r>
            <w:bookmarkStart w:id="59" w:name="OLE_LINK76"/>
            <w:r/>
            <w:bookmarkStart w:id="60" w:name="OLE_LINK77"/>
            <w:r>
              <w:rPr>
                <w:rFonts w:hint="eastAsia" w:ascii="宋体" w:hAnsi="宋体" w:cs="宋体"/>
                <w:color w:val="auto"/>
                <w:szCs w:val="22"/>
                <w:highlight w:val="none"/>
              </w:rPr>
              <w:t xml:space="preserve">GB/T35601-2024</w:t>
            </w:r>
            <w:bookmarkEnd w:id="59"/>
            <w:r/>
            <w:bookmarkEnd w:id="60"/>
            <w:r>
              <w:rPr>
                <w:rFonts w:hint="eastAsia" w:ascii="宋体" w:hAnsi="宋体" w:cs="宋体"/>
                <w:color w:val="auto"/>
                <w:szCs w:val="22"/>
                <w:highlight w:val="none"/>
              </w:rPr>
              <w:t xml:space="preserve">《绿色产品评价人造板和木质地板》、</w:t>
            </w:r>
            <w:bookmarkStart w:id="61" w:name="OLE_LINK81"/>
            <w:r/>
            <w:bookmarkStart w:id="62" w:name="OLE_LINK80"/>
            <w:r>
              <w:rPr>
                <w:rFonts w:hint="eastAsia" w:ascii="宋体" w:hAnsi="宋体" w:cs="宋体"/>
                <w:color w:val="auto"/>
                <w:szCs w:val="22"/>
                <w:highlight w:val="none"/>
              </w:rPr>
              <w:t xml:space="preserve">GB/T36022-2018</w:t>
            </w:r>
            <w:bookmarkEnd w:id="61"/>
            <w:r/>
            <w:bookmarkEnd w:id="62"/>
            <w:r>
              <w:rPr>
                <w:rFonts w:hint="eastAsia" w:ascii="宋体" w:hAnsi="宋体" w:cs="宋体"/>
                <w:color w:val="auto"/>
                <w:szCs w:val="22"/>
                <w:highlight w:val="none"/>
              </w:rPr>
              <w:t xml:space="preserve">《木家具中氨释放量试验方法》、LY/T1985-2011《防腐木材和人造板中五氯苯酚含量的测定方法》</w:t>
            </w:r>
            <w:bookmarkStart w:id="63" w:name="OLE_LINK83"/>
            <w:r/>
            <w:bookmarkStart w:id="64" w:name="OLE_LINK82"/>
            <w:r>
              <w:rPr>
                <w:rFonts w:hint="eastAsia" w:ascii="宋体" w:hAnsi="宋体" w:cs="宋体"/>
                <w:color w:val="auto"/>
                <w:szCs w:val="22"/>
                <w:highlight w:val="none"/>
              </w:rPr>
              <w:t xml:space="preserve">QB/T4371-2012</w:t>
            </w:r>
            <w:bookmarkEnd w:id="63"/>
            <w:r/>
            <w:bookmarkEnd w:id="64"/>
            <w:r>
              <w:rPr>
                <w:rFonts w:hint="eastAsia" w:ascii="宋体" w:hAnsi="宋体" w:cs="宋体"/>
                <w:color w:val="auto"/>
                <w:szCs w:val="22"/>
                <w:highlight w:val="none"/>
              </w:rPr>
              <w:t xml:space="preserve">《家具抗菌性能的评价》、</w:t>
            </w:r>
            <w:bookmarkStart w:id="65" w:name="OLE_LINK85"/>
            <w:r/>
            <w:bookmarkStart w:id="66" w:name="OLE_LINK84"/>
            <w:r>
              <w:rPr>
                <w:rFonts w:hint="eastAsia" w:ascii="宋体" w:hAnsi="宋体" w:cs="宋体"/>
                <w:color w:val="auto"/>
                <w:szCs w:val="22"/>
                <w:highlight w:val="none"/>
              </w:rPr>
              <w:t xml:space="preserve">LY/T2230-2013</w:t>
            </w:r>
            <w:bookmarkEnd w:id="65"/>
            <w:r/>
            <w:bookmarkEnd w:id="66"/>
            <w:r>
              <w:rPr>
                <w:rFonts w:hint="eastAsia" w:ascii="宋体" w:hAnsi="宋体" w:cs="宋体"/>
                <w:color w:val="auto"/>
                <w:szCs w:val="22"/>
                <w:highlight w:val="none"/>
              </w:rPr>
              <w:t xml:space="preserve">《人造板防霉性能评价》；</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2"/>
                <w:highlight w:val="none"/>
              </w:rPr>
              <w:t xml:space="preserve">2.检验至少包含：</w:t>
            </w:r>
            <w:bookmarkStart w:id="67" w:name="OLE_LINK16"/>
            <w:r/>
            <w:bookmarkStart w:id="68" w:name="OLE_LINK15"/>
            <w:r>
              <w:rPr>
                <w:rFonts w:hint="eastAsia" w:ascii="宋体" w:hAnsi="宋体" w:cs="宋体"/>
                <w:color w:val="auto"/>
                <w:szCs w:val="22"/>
                <w:highlight w:val="none"/>
              </w:rPr>
              <w:t xml:space="preserve">表面耐磨（磨耗值）≤30mg/100r、表面耐香烟灼烧≥4级、表面耐干热≥4级</w:t>
            </w:r>
            <w:r>
              <w:rPr>
                <w:rFonts w:hint="eastAsia" w:ascii="宋体" w:hAnsi="宋体" w:cs="宋体"/>
                <w:color w:val="auto"/>
                <w:szCs w:val="21"/>
                <w:highlight w:val="none"/>
              </w:rPr>
              <w:t xml:space="preserve">、表面耐污染腐蚀（图案纹）≥5级、表面耐龟裂≥4级、表面耐水蒸气≥4级、2h吸水厚度膨胀率≤2%、表面胶合强度≥0.8MPa、浸渍剥离无剥离、静曲强度≥25MPa、弹性模量≥2500MPa、气味达到0级（无气味）、甲醛释放量≤0.025㎎/m³、总醛酮化合物未检出、五氯苯酚未检出、氨释放量未检出、燃烧性能B1级、挥发性有机化合物（苯、甲苯、二甲苯、TVOC）均未检出、家具涂层可迁移元素未检出、抗菌性能（金黄色葡萄球菌、大肠杆菌、肺炎链球菌）≥99%、耐霉菌性能（黑曲霉、出芽短梗霉、变幻青霉）达到0级。</w:t>
            </w:r>
            <w:bookmarkEnd w:id="67"/>
            <w:r/>
            <w:bookmarkEnd w:id="68"/>
            <w:r/>
            <w:r/>
          </w:p>
          <w:p>
            <w:pPr>
              <w:ind w:firstLine="210"/>
              <w:jc w:val="left"/>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提供具有CMA标识检测报告，完全符合要求得2分，未提供或内容不全不得分。</w:t>
            </w:r>
            <w:r/>
          </w:p>
          <w:p>
            <w:pPr>
              <w:ind w:firstLine="211"/>
              <w:jc w:val="left"/>
              <w:spacing w:line="360" w:lineRule="auto"/>
              <w:rPr>
                <w:b/>
                <w:color w:val="auto"/>
                <w:highlight w:val="none"/>
              </w:rPr>
            </w:pPr>
            <w:r>
              <w:rPr>
                <w:rFonts w:hint="eastAsia" w:ascii="宋体" w:hAnsi="宋体" w:cs="宋体"/>
                <w:b/>
                <w:color w:val="auto"/>
                <w:szCs w:val="22"/>
                <w:highlight w:val="none"/>
              </w:rPr>
              <w:t xml:space="preserve">注：为方便评委评审，功能参数可用箭头、标红或下划线等进行明显标注。</w:t>
            </w:r>
            <w:r/>
          </w:p>
        </w:tc>
        <w:tc>
          <w:tcPr>
            <w:tcW w:w="709" w:type="dxa"/>
            <w:vAlign w:val="center"/>
            <w:textDirection w:val="lrTb"/>
            <w:noWrap/>
          </w:tcPr>
          <w:p>
            <w:pPr>
              <w:jc w:val="center"/>
              <w:spacing w:before="68" w:line="264"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993" w:type="dxa"/>
            <w:vAlign w:val="center"/>
            <w:textDirection w:val="lrTb"/>
            <w:noWrap/>
          </w:tcPr>
          <w:p>
            <w:pPr>
              <w:jc w:val="center"/>
              <w:spacing w:before="68"/>
              <w:rPr>
                <w:rFonts w:ascii="宋体" w:hAnsi="宋体" w:cs="宋体"/>
                <w:color w:val="auto"/>
                <w:spacing w:val="-6"/>
                <w:szCs w:val="21"/>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891"/>
        </w:trPr>
        <w:tc>
          <w:tcPr>
            <w:tcW w:w="623" w:type="dxa"/>
            <w:vAlign w:val="center"/>
            <w:textDirection w:val="lrTb"/>
            <w:noWrap/>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2.3</w:t>
            </w:r>
            <w:r/>
          </w:p>
        </w:tc>
        <w:tc>
          <w:tcPr>
            <w:tcW w:w="127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学校</w:t>
            </w:r>
            <w:r>
              <w:rPr>
                <w:rFonts w:hint="eastAsia" w:ascii="宋体" w:hAnsi="宋体" w:cs="宋体"/>
                <w:color w:val="auto"/>
                <w:highlight w:val="none"/>
              </w:rPr>
              <w:t xml:space="preserve">智慧</w:t>
            </w:r>
            <w:r>
              <w:rPr>
                <w:rFonts w:hint="eastAsia" w:ascii="宋体" w:hAnsi="宋体" w:cs="宋体"/>
                <w:color w:val="auto"/>
                <w:szCs w:val="21"/>
                <w:highlight w:val="none"/>
              </w:rPr>
              <w:t xml:space="preserve">体育综合管理平台视频演示</w:t>
            </w:r>
            <w:r/>
          </w:p>
        </w:tc>
        <w:tc>
          <w:tcPr>
            <w:tcW w:w="6238" w:type="dxa"/>
            <w:textDirection w:val="lrTb"/>
            <w:noWrap/>
          </w:tcPr>
          <w:p>
            <w:pPr>
              <w:ind w:firstLine="211"/>
              <w:jc w:val="left"/>
              <w:spacing w:line="360" w:lineRule="auto"/>
              <w:rPr>
                <w:rFonts w:ascii="宋体" w:hAnsi="宋体" w:cs="宋体"/>
                <w:color w:val="auto"/>
                <w:szCs w:val="21"/>
                <w:highlight w:val="none"/>
              </w:rPr>
            </w:pPr>
            <w:r/>
            <w:bookmarkStart w:id="69" w:name="OLE_LINK94"/>
            <w:r/>
            <w:bookmarkStart w:id="70" w:name="OLE_LINK93"/>
            <w:r/>
            <w:bookmarkStart w:id="71" w:name="OLE_LINK51"/>
            <w:r>
              <w:rPr>
                <w:rFonts w:hint="eastAsia" w:ascii="宋体" w:hAnsi="宋体" w:cs="宋体"/>
                <w:b/>
                <w:color w:val="auto"/>
                <w:szCs w:val="21"/>
                <w:highlight w:val="none"/>
              </w:rPr>
              <w:t xml:space="preserve">1、随堂测验：</w:t>
            </w:r>
            <w:r>
              <w:rPr>
                <w:rFonts w:hint="eastAsia" w:ascii="宋体" w:hAnsi="宋体" w:cs="宋体"/>
                <w:color w:val="auto"/>
                <w:szCs w:val="21"/>
                <w:highlight w:val="none"/>
              </w:rPr>
              <w:t xml:space="preserve">可查询、查看随堂测验相关的成绩信息，可查看测验的基础信息，包括运动项目、运动设备、班级、测验时间、参与人数、未参与人数、最佳成绩、最低成绩、平均成绩、状态等，以及每个学生测评的详细成绩信息和成绩详情。</w:t>
            </w:r>
            <w:r/>
          </w:p>
          <w:p>
            <w:pPr>
              <w:ind w:firstLine="210"/>
              <w:jc w:val="left"/>
              <w:spacing w:line="360" w:lineRule="auto"/>
              <w:rPr>
                <w:color w:val="auto"/>
                <w:szCs w:val="21"/>
                <w:highlight w:val="none"/>
              </w:rPr>
            </w:pPr>
            <w:r/>
            <w:bookmarkStart w:id="72" w:name="OLE_LINK109"/>
            <w:r/>
            <w:bookmarkStart w:id="73" w:name="OLE_LINK56"/>
            <w:r/>
            <w:bookmarkStart w:id="74" w:name="OLE_LINK55"/>
            <w:r>
              <w:rPr>
                <w:rFonts w:hint="eastAsia" w:cs="Arial" w:asciiTheme="minorEastAsia" w:hAnsiTheme="minorEastAsia"/>
                <w:b/>
                <w:color w:val="auto"/>
                <w:szCs w:val="21"/>
                <w:highlight w:val="none"/>
              </w:rPr>
              <w:t xml:space="preserve">（1）同时满足以下全部条件：5分</w:t>
            </w:r>
            <w:r/>
          </w:p>
          <w:p>
            <w:pPr>
              <w:ind w:firstLine="420"/>
              <w:jc w:val="left"/>
              <w:spacing w:line="360" w:lineRule="auto"/>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1）功能展</w:t>
            </w:r>
            <w:r>
              <w:rPr>
                <w:rFonts w:hint="eastAsia" w:cs="宋体" w:asciiTheme="minorEastAsia" w:hAnsiTheme="minorEastAsia" w:eastAsiaTheme="minorEastAsia"/>
                <w:color w:val="auto"/>
                <w:szCs w:val="21"/>
                <w:highlight w:val="none"/>
              </w:rPr>
              <w:t xml:space="preserve">示完整，功能操作无报错、无卡顿、无异常退出；2）流程演示清晰、演示流程逻辑连贯，页面切换自然，交互反馈及时可见；3）内容全面详实的得5分；</w:t>
            </w:r>
            <w:r/>
          </w:p>
          <w:p>
            <w:pPr>
              <w:ind w:firstLine="210"/>
              <w:spacing w:line="360" w:lineRule="auto"/>
              <w:rPr>
                <w:rFonts w:cs="Arial" w:asciiTheme="minorEastAsia" w:hAnsiTheme="minorEastAsia"/>
                <w:b/>
                <w:color w:val="auto"/>
                <w:szCs w:val="21"/>
                <w:highlight w:val="none"/>
              </w:rPr>
            </w:pPr>
            <w:r>
              <w:rPr>
                <w:rFonts w:hint="eastAsia" w:cs="Arial" w:asciiTheme="minorEastAsia" w:hAnsiTheme="minorEastAsia"/>
                <w:b/>
                <w:color w:val="auto"/>
                <w:szCs w:val="21"/>
                <w:highlight w:val="none"/>
              </w:rPr>
              <w:t xml:space="preserve">（2）同时满足以下全部条件：3分</w:t>
            </w:r>
            <w:r/>
          </w:p>
          <w:p>
            <w:pPr>
              <w:ind w:firstLine="420"/>
              <w:jc w:val="left"/>
              <w:spacing w:line="360" w:lineRule="auto"/>
              <w:rPr>
                <w:rFonts w:ascii="宋体" w:hAnsi="宋体" w:cs="宋体"/>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功能展示较完整</w:t>
            </w:r>
            <w:r>
              <w:rPr>
                <w:rFonts w:hint="eastAsia" w:asciiTheme="minorEastAsia" w:hAnsiTheme="minorEastAsia" w:eastAsiaTheme="minorEastAsia"/>
                <w:color w:val="auto"/>
                <w:szCs w:val="21"/>
                <w:highlight w:val="none"/>
              </w:rPr>
              <w:t xml:space="preserve">，功能基本可用，无明显功能性错误；</w:t>
            </w: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流程演示较清楚</w:t>
            </w:r>
            <w:r>
              <w:rPr>
                <w:rFonts w:hint="eastAsia" w:asciiTheme="minorEastAsia" w:hAnsiTheme="minorEastAsia" w:eastAsiaTheme="minorEastAsia"/>
                <w:color w:val="auto"/>
                <w:szCs w:val="21"/>
                <w:highlight w:val="none"/>
              </w:rPr>
              <w:t xml:space="preserve">，</w:t>
            </w:r>
            <w:r>
              <w:rPr>
                <w:rFonts w:hint="eastAsia" w:ascii="宋体" w:hAnsi="宋体" w:cs="宋体"/>
                <w:color w:val="auto"/>
                <w:szCs w:val="21"/>
                <w:highlight w:val="none"/>
              </w:rPr>
              <w:t xml:space="preserve">演示流程基本连贯，页面切换基本顺畅；</w:t>
            </w:r>
            <w:r>
              <w:rPr>
                <w:rFonts w:ascii="宋体" w:hAnsi="宋体" w:cs="宋体"/>
                <w:color w:val="auto"/>
                <w:szCs w:val="21"/>
                <w:highlight w:val="none"/>
              </w:rPr>
              <w:t xml:space="preserve">3</w:t>
            </w:r>
            <w:r>
              <w:rPr>
                <w:rFonts w:hint="eastAsia" w:ascii="宋体" w:hAnsi="宋体" w:cs="宋体"/>
                <w:color w:val="auto"/>
                <w:szCs w:val="21"/>
                <w:highlight w:val="none"/>
              </w:rPr>
              <w:t xml:space="preserve">）内容较全面。</w:t>
            </w:r>
            <w:r/>
          </w:p>
          <w:p>
            <w:pPr>
              <w:ind w:firstLine="210"/>
              <w:spacing w:line="360" w:lineRule="auto"/>
              <w:rPr>
                <w:rFonts w:eastAsiaTheme="minorEastAsia"/>
                <w:color w:val="auto"/>
                <w:highlight w:val="none"/>
              </w:rPr>
            </w:pPr>
            <w:r>
              <w:rPr>
                <w:rFonts w:hint="eastAsia" w:cs="Arial" w:asciiTheme="minorEastAsia" w:hAnsiTheme="minorEastAsia"/>
                <w:b/>
                <w:color w:val="auto"/>
                <w:szCs w:val="21"/>
                <w:highlight w:val="none"/>
              </w:rPr>
              <w:t xml:space="preserve">（3）</w:t>
            </w:r>
            <w:r>
              <w:rPr>
                <w:rFonts w:cs="Arial" w:asciiTheme="minorEastAsia" w:hAnsiTheme="minorEastAsia"/>
                <w:b/>
                <w:color w:val="auto"/>
                <w:szCs w:val="21"/>
                <w:highlight w:val="none"/>
              </w:rPr>
              <w:t xml:space="preserve">存在以下任一情形：</w:t>
            </w:r>
            <w:r>
              <w:rPr>
                <w:rFonts w:hint="eastAsia" w:cs="Arial" w:asciiTheme="minorEastAsia" w:hAnsiTheme="minorEastAsia"/>
                <w:b/>
                <w:color w:val="auto"/>
                <w:szCs w:val="21"/>
                <w:highlight w:val="none"/>
              </w:rPr>
              <w:t xml:space="preserve">1分</w:t>
            </w:r>
            <w:r/>
          </w:p>
          <w:p>
            <w:pPr>
              <w:ind w:firstLine="420"/>
              <w:jc w:val="left"/>
              <w:spacing w:line="360" w:lineRule="auto"/>
              <w:rPr>
                <w:rFonts w:eastAsiaTheme="minorEastAsia"/>
                <w:color w:val="auto"/>
                <w:highlight w:val="none"/>
              </w:rPr>
            </w:pPr>
            <w:r>
              <w:rPr>
                <w:rFonts w:hint="eastAsia" w:asciiTheme="minorEastAsia" w:hAnsiTheme="minorEastAsia" w:eastAsiaTheme="minorEastAsia"/>
                <w:color w:val="auto"/>
                <w:szCs w:val="21"/>
                <w:highlight w:val="none"/>
              </w:rPr>
              <w:t xml:space="preserve">1）功能展示不完整，仅演示部分功能，流程演示不清晰；2）操作跳跃、节奏过快、关键功能点无法辨识；3）内容覆盖不全面；4）演示过程存在明显卡顿、报错或功能异常，但核心功能尚可辨</w:t>
            </w:r>
            <w:r>
              <w:rPr>
                <w:rFonts w:hint="eastAsia" w:ascii="宋体" w:hAnsi="宋体" w:cs="宋体"/>
                <w:color w:val="auto"/>
                <w:szCs w:val="21"/>
                <w:highlight w:val="none"/>
              </w:rPr>
              <w:t xml:space="preserve">认</w:t>
            </w:r>
            <w:r/>
          </w:p>
          <w:p>
            <w:pPr>
              <w:ind w:firstLine="422"/>
              <w:jc w:val="left"/>
              <w:spacing w:line="360" w:lineRule="auto"/>
              <w:rPr>
                <w:rFonts w:asciiTheme="minorEastAsia" w:hAnsiTheme="minorEastAsia" w:eastAsiaTheme="minorEastAsia"/>
                <w:color w:val="auto"/>
                <w:szCs w:val="21"/>
                <w:highlight w:val="none"/>
              </w:rPr>
            </w:pPr>
            <w:r>
              <w:rPr>
                <w:rFonts w:hint="eastAsia" w:cs="Arial" w:asciiTheme="minorEastAsia" w:hAnsiTheme="minorEastAsia"/>
                <w:b/>
                <w:color w:val="auto"/>
                <w:szCs w:val="21"/>
                <w:highlight w:val="none"/>
              </w:rPr>
              <w:t xml:space="preserve">（4）</w:t>
            </w:r>
            <w:r>
              <w:rPr>
                <w:rFonts w:cs="Arial" w:asciiTheme="minorEastAsia" w:hAnsiTheme="minorEastAsia"/>
                <w:b/>
                <w:color w:val="auto"/>
                <w:szCs w:val="21"/>
                <w:highlight w:val="none"/>
              </w:rPr>
              <w:t xml:space="preserve">存在以下任一</w:t>
            </w:r>
            <w:r>
              <w:rPr>
                <w:rFonts w:cs="Arial" w:asciiTheme="minorEastAsia" w:hAnsiTheme="minorEastAsia"/>
                <w:color w:val="auto"/>
                <w:szCs w:val="21"/>
                <w:highlight w:val="none"/>
              </w:rPr>
              <w:t xml:space="preserve">情形：</w:t>
            </w:r>
            <w:r>
              <w:rPr>
                <w:rFonts w:hint="eastAsia" w:ascii="宋体" w:hAnsi="宋体" w:cs="宋体"/>
                <w:color w:val="auto"/>
                <w:szCs w:val="21"/>
                <w:highlight w:val="none"/>
              </w:rPr>
              <w:t xml:space="preserve">得0分</w:t>
            </w:r>
            <w:r/>
          </w:p>
          <w:p>
            <w:pPr>
              <w:ind w:firstLine="420"/>
              <w:jc w:val="left"/>
              <w:spacing w:line="360" w:lineRule="auto"/>
              <w:rPr>
                <w:rFonts w:ascii="宋体" w:hAnsi="宋体" w:cs="宋体"/>
                <w:color w:val="auto"/>
                <w:szCs w:val="21"/>
                <w:highlight w:val="none"/>
              </w:rPr>
            </w:pPr>
            <w:r>
              <w:rPr>
                <w:rFonts w:hint="eastAsia" w:asciiTheme="minorEastAsia" w:hAnsiTheme="minorEastAsia" w:eastAsiaTheme="minorEastAsia"/>
                <w:color w:val="auto"/>
                <w:szCs w:val="21"/>
                <w:highlight w:val="none"/>
              </w:rPr>
              <w:t xml:space="preserve">1）未提供随堂测验功能的视频演示内容；2）视频无法正常播放或画面模糊，无法辨识功能内容；3）演示内容与随堂测验功能无关；4）功能完全不可用，存在严重错误</w:t>
            </w:r>
            <w:r>
              <w:rPr>
                <w:rFonts w:hint="eastAsia" w:ascii="宋体" w:hAnsi="宋体" w:cs="宋体"/>
                <w:color w:val="auto"/>
                <w:szCs w:val="21"/>
                <w:highlight w:val="none"/>
              </w:rPr>
              <w:t xml:space="preserve">。</w:t>
            </w:r>
            <w:bookmarkEnd w:id="69"/>
            <w:r/>
            <w:bookmarkEnd w:id="70"/>
            <w:r/>
            <w:bookmarkEnd w:id="72"/>
            <w:r/>
            <w:bookmarkEnd w:id="73"/>
            <w:r/>
            <w:bookmarkEnd w:id="74"/>
            <w:r/>
            <w:r/>
          </w:p>
          <w:p>
            <w:pPr>
              <w:ind w:firstLine="211"/>
              <w:jc w:val="left"/>
              <w:spacing w:line="360" w:lineRule="auto"/>
              <w:rPr>
                <w:rFonts w:ascii="宋体" w:hAnsi="宋体" w:cs="宋体"/>
                <w:color w:val="auto"/>
                <w:szCs w:val="21"/>
                <w:highlight w:val="none"/>
              </w:rPr>
            </w:pPr>
            <w:r/>
            <w:bookmarkStart w:id="75" w:name="OLE_LINK107"/>
            <w:r/>
            <w:bookmarkStart w:id="76" w:name="OLE_LINK106"/>
            <w:r>
              <w:rPr>
                <w:rFonts w:hint="eastAsia" w:ascii="宋体" w:hAnsi="宋体" w:cs="宋体"/>
                <w:b/>
                <w:color w:val="auto"/>
                <w:szCs w:val="21"/>
                <w:highlight w:val="none"/>
              </w:rPr>
              <w:t xml:space="preserve">2、</w:t>
            </w:r>
            <w:bookmarkStart w:id="77" w:name="OLE_LINK110"/>
            <w:r/>
            <w:bookmarkStart w:id="78" w:name="OLE_LINK111"/>
            <w:r>
              <w:rPr>
                <w:rFonts w:hint="eastAsia" w:ascii="宋体" w:hAnsi="宋体" w:cs="宋体"/>
                <w:b/>
                <w:color w:val="auto"/>
                <w:szCs w:val="21"/>
                <w:highlight w:val="none"/>
              </w:rPr>
              <w:t xml:space="preserve">驾驶舱</w:t>
            </w:r>
            <w:bookmarkEnd w:id="77"/>
            <w:r/>
            <w:bookmarkEnd w:id="78"/>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主要展示体育运动的总览，支持按学期、年级、运动项目、运动模式等进行组合筛选，主要包括运动项目数、运动项目数、今日运动人数、本月运动人数、总运动时长、总运动人次等；统计操场上各运动项目今日和本月运动量；统计全部运动项目的运动时长或次数随时间变化的趋势；各项目根据运动时长或次数占比；各运动项目最优/平均成绩雷达图；学生或班级各运动项目成绩排行榜；阳光跑总里程、人均里程、人均配速；学生或班级按时长/次数运动量排行；以及最近运动实况。</w:t>
            </w:r>
            <w:bookmarkEnd w:id="75"/>
            <w:r/>
            <w:bookmarkEnd w:id="76"/>
            <w:r/>
            <w:r/>
          </w:p>
          <w:p>
            <w:pPr>
              <w:ind w:firstLine="210"/>
              <w:jc w:val="left"/>
              <w:spacing w:line="360" w:lineRule="auto"/>
              <w:rPr>
                <w:color w:val="auto"/>
                <w:szCs w:val="21"/>
                <w:highlight w:val="none"/>
              </w:rPr>
            </w:pPr>
            <w:r>
              <w:rPr>
                <w:rFonts w:hint="eastAsia" w:cs="Arial" w:asciiTheme="minorEastAsia" w:hAnsiTheme="minorEastAsia"/>
                <w:b/>
                <w:color w:val="auto"/>
                <w:szCs w:val="21"/>
                <w:highlight w:val="none"/>
              </w:rPr>
              <w:t xml:space="preserve">（1）同时满足以下全部条件：5分</w:t>
            </w:r>
            <w:r/>
          </w:p>
          <w:p>
            <w:pPr>
              <w:ind w:firstLine="420"/>
              <w:jc w:val="left"/>
              <w:spacing w:line="360" w:lineRule="auto"/>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1）功能展</w:t>
            </w:r>
            <w:r>
              <w:rPr>
                <w:rFonts w:hint="eastAsia" w:cs="宋体" w:asciiTheme="minorEastAsia" w:hAnsiTheme="minorEastAsia" w:eastAsiaTheme="minorEastAsia"/>
                <w:color w:val="auto"/>
                <w:szCs w:val="21"/>
                <w:highlight w:val="none"/>
              </w:rPr>
              <w:t xml:space="preserve">示完整，功能操作无报错、无卡顿、无异常退出；2）流程演示清晰、演示流程逻辑连贯，页面切换自然，交互反馈及时可见；3）内容全面详实的得5分；</w:t>
            </w:r>
            <w:r/>
          </w:p>
          <w:p>
            <w:pPr>
              <w:ind w:firstLine="210"/>
              <w:spacing w:line="360" w:lineRule="auto"/>
              <w:rPr>
                <w:rFonts w:cs="Arial" w:asciiTheme="minorEastAsia" w:hAnsiTheme="minorEastAsia"/>
                <w:b/>
                <w:color w:val="auto"/>
                <w:szCs w:val="21"/>
                <w:highlight w:val="none"/>
              </w:rPr>
            </w:pPr>
            <w:r>
              <w:rPr>
                <w:rFonts w:hint="eastAsia" w:cs="Arial" w:asciiTheme="minorEastAsia" w:hAnsiTheme="minorEastAsia"/>
                <w:b/>
                <w:color w:val="auto"/>
                <w:szCs w:val="21"/>
                <w:highlight w:val="none"/>
              </w:rPr>
              <w:t xml:space="preserve">（2）同时满足以下全部条件：3分</w:t>
            </w:r>
            <w:r/>
          </w:p>
          <w:p>
            <w:pPr>
              <w:ind w:firstLine="420"/>
              <w:jc w:val="left"/>
              <w:spacing w:line="360" w:lineRule="auto"/>
              <w:rPr>
                <w:rFonts w:ascii="宋体" w:hAnsi="宋体" w:cs="宋体"/>
                <w:color w:val="auto"/>
                <w:szCs w:val="21"/>
                <w:highlight w:val="none"/>
              </w:rPr>
            </w:pPr>
            <w:r>
              <w:rPr>
                <w:rFonts w:hint="eastAsia" w:asciiTheme="minorEastAsia" w:hAnsiTheme="minorEastAsia" w:eastAsiaTheme="minorEastAsia"/>
                <w:color w:val="auto"/>
                <w:szCs w:val="21"/>
                <w:highlight w:val="none"/>
              </w:rPr>
              <w:t xml:space="preserve">1）功能展示较完整，功能基本可用，无明显功能性错误；2）流程演示较清楚，</w:t>
            </w:r>
            <w:r>
              <w:rPr>
                <w:rFonts w:hint="eastAsia" w:ascii="宋体" w:hAnsi="宋体" w:cs="宋体"/>
                <w:color w:val="auto"/>
                <w:szCs w:val="21"/>
                <w:highlight w:val="none"/>
              </w:rPr>
              <w:t xml:space="preserve">演示流程基本连贯，页面切换基本顺畅；3）内容较全面。</w:t>
            </w:r>
            <w:r/>
          </w:p>
          <w:p>
            <w:pPr>
              <w:ind w:firstLine="210"/>
              <w:spacing w:line="360" w:lineRule="auto"/>
              <w:rPr>
                <w:rFonts w:eastAsiaTheme="minorEastAsia"/>
                <w:color w:val="auto"/>
                <w:highlight w:val="none"/>
              </w:rPr>
            </w:pPr>
            <w:r>
              <w:rPr>
                <w:rFonts w:hint="eastAsia" w:cs="Arial" w:asciiTheme="minorEastAsia" w:hAnsiTheme="minorEastAsia"/>
                <w:b/>
                <w:color w:val="auto"/>
                <w:szCs w:val="21"/>
                <w:highlight w:val="none"/>
              </w:rPr>
              <w:t xml:space="preserve">（3）</w:t>
            </w:r>
            <w:bookmarkStart w:id="79" w:name="OLE_LINK52"/>
            <w:r/>
            <w:bookmarkStart w:id="80" w:name="OLE_LINK47"/>
            <w:r>
              <w:rPr>
                <w:rFonts w:hint="eastAsia" w:cs="Arial" w:asciiTheme="minorEastAsia" w:hAnsiTheme="minorEastAsia"/>
                <w:b/>
                <w:color w:val="auto"/>
                <w:szCs w:val="21"/>
                <w:highlight w:val="none"/>
              </w:rPr>
              <w:t xml:space="preserve">存在以下任一情形：</w:t>
            </w:r>
            <w:bookmarkEnd w:id="79"/>
            <w:r/>
            <w:bookmarkEnd w:id="80"/>
            <w:r>
              <w:rPr>
                <w:rFonts w:hint="eastAsia" w:cs="Arial" w:asciiTheme="minorEastAsia" w:hAnsiTheme="minorEastAsia"/>
                <w:b/>
                <w:color w:val="auto"/>
                <w:szCs w:val="21"/>
                <w:highlight w:val="none"/>
              </w:rPr>
              <w:t xml:space="preserve">1分</w:t>
            </w:r>
            <w:r/>
          </w:p>
          <w:p>
            <w:pPr>
              <w:ind w:firstLine="420"/>
              <w:jc w:val="left"/>
              <w:spacing w:line="360" w:lineRule="auto"/>
              <w:rPr>
                <w:rFonts w:eastAsiaTheme="minorEastAsia"/>
                <w:color w:val="auto"/>
                <w:highlight w:val="none"/>
              </w:rPr>
            </w:pPr>
            <w:r>
              <w:rPr>
                <w:rFonts w:hint="eastAsia" w:asciiTheme="minorEastAsia" w:hAnsiTheme="minorEastAsia" w:eastAsiaTheme="minorEastAsia"/>
                <w:color w:val="auto"/>
                <w:szCs w:val="21"/>
                <w:highlight w:val="none"/>
              </w:rPr>
              <w:t xml:space="preserve">1）功能展示不完整，仅演示部分功能，流程演示不清晰；2）操作跳跃、节奏过快、关键功能点无法辨识；3）内容覆盖不全面；4）演示过程存在明显卡顿、报错或功能异常，但核心功能尚可辨</w:t>
            </w:r>
            <w:r>
              <w:rPr>
                <w:rFonts w:hint="eastAsia" w:ascii="宋体" w:hAnsi="宋体" w:cs="宋体"/>
                <w:color w:val="auto"/>
                <w:szCs w:val="21"/>
                <w:highlight w:val="none"/>
              </w:rPr>
              <w:t xml:space="preserve">认</w:t>
            </w:r>
            <w:r/>
          </w:p>
          <w:p>
            <w:pPr>
              <w:ind w:firstLine="210"/>
              <w:spacing w:line="360" w:lineRule="auto"/>
              <w:rPr>
                <w:rFonts w:asciiTheme="minorEastAsia" w:hAnsiTheme="minorEastAsia" w:eastAsiaTheme="minorEastAsia"/>
                <w:color w:val="auto"/>
                <w:szCs w:val="21"/>
                <w:highlight w:val="none"/>
              </w:rPr>
            </w:pPr>
            <w:r>
              <w:rPr>
                <w:rFonts w:hint="eastAsia" w:cs="Arial" w:asciiTheme="minorEastAsia" w:hAnsiTheme="minorEastAsia"/>
                <w:b/>
                <w:color w:val="auto"/>
                <w:szCs w:val="21"/>
                <w:highlight w:val="none"/>
              </w:rPr>
              <w:t xml:space="preserve">（4）</w:t>
            </w:r>
            <w:bookmarkStart w:id="81" w:name="OLE_LINK98"/>
            <w:r/>
            <w:bookmarkStart w:id="82" w:name="OLE_LINK62"/>
            <w:r/>
            <w:bookmarkStart w:id="83" w:name="OLE_LINK54"/>
            <w:r/>
            <w:bookmarkStart w:id="84" w:name="OLE_LINK61"/>
            <w:r>
              <w:rPr>
                <w:rFonts w:hint="eastAsia" w:cs="Arial" w:asciiTheme="minorEastAsia" w:hAnsiTheme="minorEastAsia"/>
                <w:b/>
                <w:color w:val="auto"/>
                <w:szCs w:val="21"/>
                <w:highlight w:val="none"/>
              </w:rPr>
              <w:t xml:space="preserve">存在以下任一情形：</w:t>
            </w:r>
            <w:bookmarkEnd w:id="81"/>
            <w:r/>
            <w:bookmarkEnd w:id="82"/>
            <w:r/>
            <w:bookmarkEnd w:id="83"/>
            <w:r/>
            <w:bookmarkEnd w:id="84"/>
            <w:r>
              <w:rPr>
                <w:rFonts w:hint="eastAsia" w:cs="Arial" w:asciiTheme="minorEastAsia" w:hAnsiTheme="minorEastAsia"/>
                <w:b/>
                <w:color w:val="auto"/>
                <w:szCs w:val="21"/>
                <w:highlight w:val="none"/>
              </w:rPr>
              <w:t xml:space="preserve">得0分</w:t>
            </w:r>
            <w:r/>
          </w:p>
          <w:p>
            <w:pPr>
              <w:ind w:firstLine="420"/>
              <w:jc w:val="left"/>
              <w:spacing w:line="360" w:lineRule="auto"/>
              <w:rPr>
                <w:color w:val="auto"/>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未提供驾驶舱功能的视频演示内容</w:t>
            </w:r>
            <w:r>
              <w:rPr>
                <w:rFonts w:hint="eastAsia" w:asciiTheme="minorEastAsia" w:hAnsiTheme="minorEastAsia" w:eastAsiaTheme="minorEastAsia"/>
                <w:color w:val="auto"/>
                <w:szCs w:val="21"/>
                <w:highlight w:val="none"/>
              </w:rPr>
              <w:t xml:space="preserve">；2）视频无法正常播放或画面模糊，无法辨识功能内容；3）演示内容与驾驶舱功能无关；4）</w:t>
            </w:r>
            <w:r>
              <w:rPr>
                <w:rFonts w:hint="eastAsia" w:ascii="宋体" w:hAnsi="宋体" w:cs="宋体"/>
                <w:color w:val="auto"/>
                <w:szCs w:val="21"/>
                <w:highlight w:val="none"/>
              </w:rPr>
              <w:t xml:space="preserve">驾驶舱页面空白或数据完全无法加载，功能完全不可</w:t>
            </w:r>
            <w:r>
              <w:rPr>
                <w:rFonts w:asciiTheme="minorEastAsia" w:hAnsiTheme="minorEastAsia" w:eastAsiaTheme="minorEastAsia"/>
                <w:color w:val="auto"/>
                <w:szCs w:val="21"/>
                <w:highlight w:val="none"/>
              </w:rPr>
              <w:t xml:space="preserve">用</w:t>
            </w:r>
            <w:bookmarkEnd w:id="71"/>
            <w:r>
              <w:rPr>
                <w:rFonts w:hint="eastAsia" w:asciiTheme="minorEastAsia" w:hAnsiTheme="minorEastAsia" w:eastAsiaTheme="minorEastAsia"/>
                <w:color w:val="auto"/>
                <w:szCs w:val="21"/>
                <w:highlight w:val="none"/>
              </w:rPr>
              <w:t xml:space="preserve">。</w:t>
            </w:r>
            <w:r/>
          </w:p>
        </w:tc>
        <w:tc>
          <w:tcPr>
            <w:tcW w:w="709" w:type="dxa"/>
            <w:vAlign w:val="center"/>
            <w:textDirection w:val="lrTb"/>
            <w:noWrap/>
          </w:tcPr>
          <w:p>
            <w:pPr>
              <w:jc w:val="center"/>
              <w:spacing w:before="68" w:line="264"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993" w:type="dxa"/>
            <w:vAlign w:val="center"/>
            <w:textDirection w:val="lrTb"/>
            <w:noWrap/>
          </w:tcPr>
          <w:p>
            <w:pPr>
              <w:jc w:val="center"/>
              <w:spacing w:before="68"/>
              <w:rPr>
                <w:rFonts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472"/>
        </w:trPr>
        <w:tc>
          <w:tcPr>
            <w:gridSpan w:val="5"/>
            <w:tcW w:w="9840" w:type="dxa"/>
            <w:vAlign w:val="center"/>
            <w:textDirection w:val="lrTb"/>
            <w:noWrap/>
          </w:tcPr>
          <w:p>
            <w:pPr>
              <w:spacing w:before="68"/>
              <w:rPr>
                <w:rFonts w:ascii="宋体" w:hAnsi="宋体" w:cs="宋体"/>
                <w:color w:val="auto"/>
                <w:highlight w:val="none"/>
              </w:rPr>
            </w:pPr>
            <w:r>
              <w:rPr>
                <w:rFonts w:hint="eastAsia" w:ascii="宋体" w:hAnsi="宋体" w:cs="宋体"/>
                <w:b/>
                <w:bCs/>
                <w:color w:val="auto"/>
                <w:spacing w:val="-3"/>
                <w:highlight w:val="none"/>
              </w:rPr>
              <w:t xml:space="preserve">3.服务</w:t>
            </w:r>
            <w:r/>
          </w:p>
        </w:tc>
      </w:tr>
      <w:tr>
        <w:trPr>
          <w:jc w:val="center"/>
          <w:trHeight w:val="90"/>
        </w:trPr>
        <w:tc>
          <w:tcPr>
            <w:tcW w:w="623" w:type="dxa"/>
            <w:vAlign w:val="center"/>
            <w:textDirection w:val="lrTb"/>
            <w:noWrap/>
          </w:tcPr>
          <w:p>
            <w:pPr>
              <w:jc w:val="center"/>
              <w:spacing w:before="68"/>
              <w:rPr>
                <w:rFonts w:ascii="宋体" w:hAnsi="宋体" w:cs="宋体"/>
                <w:color w:val="auto"/>
                <w:spacing w:val="-2"/>
                <w:szCs w:val="21"/>
                <w:highlight w:val="none"/>
              </w:rPr>
            </w:pPr>
            <w:r>
              <w:rPr>
                <w:rFonts w:hint="eastAsia" w:ascii="宋体" w:hAnsi="宋体" w:cs="宋体"/>
                <w:color w:val="auto"/>
                <w:spacing w:val="-2"/>
                <w:szCs w:val="21"/>
                <w:highlight w:val="none"/>
              </w:rPr>
              <w:t xml:space="preserve">3.1</w:t>
            </w:r>
            <w:r/>
          </w:p>
        </w:tc>
        <w:tc>
          <w:tcPr>
            <w:tcW w:w="1277" w:type="dxa"/>
            <w:vAlign w:val="center"/>
            <w:textDirection w:val="lrTb"/>
            <w:noWrap/>
          </w:tcPr>
          <w:p>
            <w:pPr>
              <w:jc w:val="left"/>
              <w:spacing w:before="68"/>
              <w:rPr>
                <w:rFonts w:ascii="宋体" w:hAnsi="宋体" w:cs="宋体"/>
                <w:color w:val="auto"/>
                <w:szCs w:val="21"/>
                <w:highlight w:val="none"/>
              </w:rPr>
            </w:pPr>
            <w:r>
              <w:rPr>
                <w:rFonts w:hint="eastAsia" w:ascii="宋体" w:hAnsi="宋体" w:cs="宋体"/>
                <w:color w:val="auto"/>
                <w:szCs w:val="21"/>
                <w:highlight w:val="none"/>
              </w:rPr>
              <w:t xml:space="preserve">技术保障措施</w:t>
            </w:r>
            <w:r/>
          </w:p>
        </w:tc>
        <w:tc>
          <w:tcPr>
            <w:tcW w:w="6238" w:type="dxa"/>
            <w:vAlign w:val="center"/>
            <w:textDirection w:val="lrTb"/>
            <w:noWrap/>
          </w:tcPr>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在投标文件中投标人需提供以下技术保障措施，包括（1）安装调试方案；（2）质量控制措施；（3）供货进度安排。</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评审委员会根据各供应商的具体响应内容进行评审：</w:t>
            </w:r>
            <w:r/>
          </w:p>
          <w:p>
            <w:pPr>
              <w:ind w:firstLine="422"/>
              <w:jc w:val="left"/>
              <w:spacing w:line="360" w:lineRule="auto"/>
              <w:widowControl/>
              <w:rPr>
                <w:rFonts w:cs="Arial" w:asciiTheme="minorEastAsia" w:hAnsiTheme="minorEastAsia"/>
                <w:b/>
                <w:color w:val="auto"/>
                <w:szCs w:val="21"/>
                <w:highlight w:val="none"/>
              </w:rPr>
            </w:pPr>
            <w:r/>
            <w:bookmarkStart w:id="85" w:name="OLE_LINK103"/>
            <w:r/>
            <w:bookmarkStart w:id="86" w:name="OLE_LINK100"/>
            <w:r/>
            <w:bookmarkStart w:id="87" w:name="OLE_LINK99"/>
            <w:r/>
            <w:bookmarkStart w:id="88" w:name="OLE_LINK41"/>
            <w:r>
              <w:rPr>
                <w:rFonts w:hint="eastAsia" w:cs="Arial" w:asciiTheme="minorEastAsia" w:hAnsiTheme="minorEastAsia"/>
                <w:b/>
                <w:color w:val="auto"/>
                <w:szCs w:val="21"/>
                <w:highlight w:val="none"/>
              </w:rPr>
              <w:t xml:space="preserve">1.同时满足以下要求：4分</w:t>
            </w:r>
            <w:bookmarkEnd w:id="85"/>
            <w:r/>
            <w:bookmarkEnd w:id="86"/>
            <w:r/>
            <w:bookmarkEnd w:id="87"/>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（1）针对性：方案完全贴合本项目体育装备清单、校园场地现场条件、新建校区施工时序、智慧操场设备配套需求，列明本项目专属实施细节，无通用模板套话；</w:t>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（2）内容完整性：覆盖全流程关键节点，要素齐全：</w:t>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1）安装调试方案：含进场条件、设备堆放、吊装/组装流程、布线规范、智慧设备联调步骤、校内验收对接、试运行测试流程、故障预排查流程；</w:t>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2）质量控制措施：含原材料进厂检验、出厂质检、到货开箱验收、现场安装旁站管控、分阶段检测、成品保护、不合格品处置流程、CMA检测资料配套管控机制；</w:t>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3）供货进度安排：含分批次供货清单、各品类到货时间节点、仓储转运计划、与土建/装饰施工交叉配合计划、延期应急预案、供货滞后补救保障措施；</w:t>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（3）实操落地性：明确配套人员配置、专用工具、检测仪器、工期缓冲预留、现场管理责任人，措施具备可落地执行、可现场核验，有明确管控表单、台账、验收记录模板支撑。</w:t>
            </w:r>
            <w:r/>
          </w:p>
          <w:p>
            <w:pPr>
              <w:ind w:firstLine="422"/>
              <w:jc w:val="left"/>
              <w:spacing w:line="360" w:lineRule="auto"/>
              <w:widowControl/>
              <w:rPr>
                <w:rFonts w:cs="Arial" w:asciiTheme="minorEastAsia" w:hAnsiTheme="minorEastAsia"/>
                <w:b/>
                <w:color w:val="auto"/>
                <w:szCs w:val="21"/>
                <w:highlight w:val="none"/>
              </w:rPr>
            </w:pPr>
            <w:r>
              <w:rPr>
                <w:rFonts w:hint="eastAsia" w:cs="Arial" w:asciiTheme="minorEastAsia" w:hAnsiTheme="minorEastAsia"/>
                <w:b/>
                <w:color w:val="auto"/>
                <w:szCs w:val="21"/>
                <w:highlight w:val="none"/>
              </w:rPr>
              <w:t xml:space="preserve">2.</w:t>
            </w:r>
            <w:bookmarkStart w:id="89" w:name="OLE_LINK97"/>
            <w:r/>
            <w:bookmarkStart w:id="90" w:name="OLE_LINK96"/>
            <w:r>
              <w:rPr>
                <w:rFonts w:hint="eastAsia" w:cs="Arial" w:asciiTheme="minorEastAsia" w:hAnsiTheme="minorEastAsia"/>
                <w:b/>
                <w:color w:val="auto"/>
                <w:szCs w:val="21"/>
                <w:highlight w:val="none"/>
              </w:rPr>
              <w:t xml:space="preserve">同时满足以下要求：</w:t>
            </w:r>
            <w:bookmarkEnd w:id="89"/>
            <w:r/>
            <w:bookmarkEnd w:id="90"/>
            <w:r>
              <w:rPr>
                <w:rFonts w:hint="eastAsia" w:cs="Arial" w:asciiTheme="minorEastAsia" w:hAnsiTheme="minorEastAsia"/>
                <w:b/>
                <w:color w:val="auto"/>
                <w:szCs w:val="21"/>
                <w:highlight w:val="none"/>
              </w:rPr>
              <w:t xml:space="preserve">2分</w:t>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（1）针对性：方案贴合校园体育装备通用需求，包含本项目基础实施要点，但缺少针对江北新区新建校区场地、智慧体育设备专属细化内容，少量通用模板内容；</w:t>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（2）内容完整性：覆盖各方案核心流程，关键环节无缺失，但细节表述简略，缺少部分配套管控表单、人员分工明细；</w:t>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（3）实操落地性：列明基础实施步骤与管控措施，具备基本可操作性，但未设置工期缓冲、现场应急处置、成品保护等配套保障机制。</w:t>
            </w:r>
            <w:r/>
          </w:p>
          <w:p>
            <w:pPr>
              <w:ind w:firstLine="422"/>
              <w:jc w:val="left"/>
              <w:spacing w:line="360" w:lineRule="auto"/>
              <w:widowControl/>
              <w:rPr>
                <w:rFonts w:cs="Arial" w:asciiTheme="minorEastAsia" w:hAnsiTheme="minorEastAsia"/>
                <w:b/>
                <w:color w:val="auto"/>
                <w:szCs w:val="21"/>
                <w:highlight w:val="none"/>
              </w:rPr>
            </w:pPr>
            <w:r>
              <w:rPr>
                <w:rFonts w:hint="eastAsia" w:cs="Arial" w:asciiTheme="minorEastAsia" w:hAnsiTheme="minorEastAsia"/>
                <w:b/>
                <w:color w:val="auto"/>
                <w:szCs w:val="21"/>
                <w:highlight w:val="none"/>
              </w:rPr>
              <w:t xml:space="preserve">3.</w:t>
            </w:r>
            <w:bookmarkStart w:id="91" w:name="OLE_LINK79"/>
            <w:r/>
            <w:bookmarkStart w:id="92" w:name="OLE_LINK78"/>
            <w:r/>
            <w:bookmarkStart w:id="93" w:name="OLE_LINK95"/>
            <w:r/>
            <w:bookmarkStart w:id="94" w:name="OLE_LINK67"/>
            <w:r>
              <w:rPr>
                <w:rFonts w:hint="eastAsia" w:cs="Arial" w:asciiTheme="minorEastAsia" w:hAnsiTheme="minorEastAsia"/>
                <w:b/>
                <w:color w:val="auto"/>
                <w:szCs w:val="21"/>
                <w:highlight w:val="none"/>
              </w:rPr>
              <w:t xml:space="preserve">存在以下任一情形：</w:t>
            </w:r>
            <w:bookmarkEnd w:id="91"/>
            <w:r/>
            <w:bookmarkEnd w:id="92"/>
            <w:r/>
            <w:bookmarkEnd w:id="93"/>
            <w:r/>
            <w:bookmarkEnd w:id="94"/>
            <w:r>
              <w:rPr>
                <w:rFonts w:hint="eastAsia" w:cs="Arial" w:asciiTheme="minorEastAsia" w:hAnsiTheme="minorEastAsia"/>
                <w:b/>
                <w:color w:val="auto"/>
                <w:szCs w:val="21"/>
                <w:highlight w:val="none"/>
              </w:rPr>
              <w:t xml:space="preserve">1分</w:t>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（1）针对性：仅提供通用标准化方案，未结合本项目体育装备、校园施工场景编制，大量通用模板文字；</w:t>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（2）内容完整性：仅简单罗列基础流程，缺失多个关键实施节点、管控手段；</w:t>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（3）实操落地性：仅文字简述流程，无人员、工具、应急、验收配套措施，落地支撑材料缺失。</w:t>
            </w:r>
            <w:r/>
          </w:p>
          <w:p>
            <w:pPr>
              <w:ind w:firstLine="422"/>
              <w:jc w:val="left"/>
              <w:spacing w:line="360" w:lineRule="auto"/>
              <w:widowControl/>
              <w:rPr>
                <w:rFonts w:cs="Arial" w:asciiTheme="minorEastAsia" w:hAnsiTheme="minorEastAsia"/>
                <w:b/>
                <w:color w:val="auto"/>
                <w:szCs w:val="21"/>
                <w:highlight w:val="none"/>
              </w:rPr>
            </w:pPr>
            <w:r>
              <w:rPr>
                <w:rFonts w:hint="eastAsia" w:cs="Arial" w:asciiTheme="minorEastAsia" w:hAnsiTheme="minorEastAsia"/>
                <w:b/>
                <w:color w:val="auto"/>
                <w:szCs w:val="21"/>
                <w:highlight w:val="none"/>
              </w:rPr>
              <w:t xml:space="preserve">4.</w:t>
            </w:r>
            <w:bookmarkStart w:id="95" w:name="OLE_LINK39"/>
            <w:r/>
            <w:bookmarkStart w:id="96" w:name="OLE_LINK40"/>
            <w:r>
              <w:rPr>
                <w:rFonts w:hint="eastAsia" w:cs="Arial" w:asciiTheme="minorEastAsia" w:hAnsiTheme="minorEastAsia"/>
                <w:b/>
                <w:color w:val="auto"/>
                <w:szCs w:val="21"/>
                <w:highlight w:val="none"/>
              </w:rPr>
              <w:t xml:space="preserve">存在以下任一情形：0分</w:t>
            </w:r>
            <w:bookmarkEnd w:id="95"/>
            <w:r/>
            <w:bookmarkEnd w:id="96"/>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（1）未提供本项完整专项方案；</w:t>
            </w:r>
            <w:r/>
          </w:p>
          <w:p>
            <w:pPr>
              <w:ind w:firstLine="420"/>
              <w:jc w:val="left"/>
              <w:spacing w:line="360" w:lineRule="auto"/>
              <w:widowControl/>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（2）方案内容空白、仅复制招标文件原文，无任何投标人自主响应内容；</w:t>
            </w:r>
            <w:r/>
          </w:p>
          <w:p>
            <w:pPr>
              <w:ind w:firstLine="420"/>
              <w:jc w:val="left"/>
              <w:spacing w:line="360" w:lineRule="auto"/>
              <w:widowControl/>
              <w:rPr>
                <w:rFonts w:ascii="宋体" w:hAnsi="宋体" w:cs="宋体"/>
                <w:color w:val="auto"/>
                <w:szCs w:val="21"/>
                <w:highlight w:val="none"/>
              </w:rPr>
            </w:pPr>
            <w:r>
              <w:rPr>
                <w:rFonts w:hint="eastAsia" w:cs="Arial" w:asciiTheme="minorEastAsia" w:hAnsiTheme="minorEastAsia"/>
                <w:color w:val="auto"/>
                <w:szCs w:val="21"/>
                <w:highlight w:val="none"/>
              </w:rPr>
              <w:t xml:space="preserve">（3）方案内容与本项目体育装备采购无关，完全不具备实施参考价值。</w:t>
            </w:r>
            <w:bookmarkEnd w:id="88"/>
            <w:r/>
            <w:r/>
          </w:p>
        </w:tc>
        <w:tc>
          <w:tcPr>
            <w:tcW w:w="709" w:type="dxa"/>
            <w:vAlign w:val="center"/>
            <w:textDirection w:val="lrTb"/>
            <w:noWrap/>
          </w:tcPr>
          <w:p>
            <w:pPr>
              <w:jc w:val="center"/>
              <w:spacing w:before="68" w:line="264" w:lineRule="auto"/>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993" w:type="dxa"/>
            <w:vAlign w:val="center"/>
            <w:textDirection w:val="lrTb"/>
            <w:noWrap/>
          </w:tcPr>
          <w:p>
            <w:pPr>
              <w:jc w:val="center"/>
              <w:spacing w:before="68"/>
              <w:rPr>
                <w:rFonts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90"/>
        </w:trPr>
        <w:tc>
          <w:tcPr>
            <w:tcW w:w="623" w:type="dxa"/>
            <w:vAlign w:val="center"/>
            <w:textDirection w:val="lrTb"/>
            <w:noWrap/>
          </w:tcPr>
          <w:p>
            <w:pPr>
              <w:jc w:val="center"/>
              <w:spacing w:before="68"/>
              <w:rPr>
                <w:rFonts w:ascii="宋体" w:hAnsi="宋体" w:cs="宋体"/>
                <w:color w:val="auto"/>
                <w:spacing w:val="-2"/>
                <w:szCs w:val="21"/>
                <w:highlight w:val="none"/>
              </w:rPr>
            </w:pPr>
            <w:r>
              <w:rPr>
                <w:rFonts w:hint="eastAsia" w:ascii="宋体" w:hAnsi="宋体" w:cs="宋体"/>
                <w:color w:val="auto"/>
                <w:spacing w:val="-2"/>
                <w:szCs w:val="21"/>
                <w:highlight w:val="none"/>
              </w:rPr>
              <w:t xml:space="preserve">3.2</w:t>
            </w:r>
            <w:r/>
          </w:p>
        </w:tc>
        <w:tc>
          <w:tcPr>
            <w:tcW w:w="1277" w:type="dxa"/>
            <w:vAlign w:val="center"/>
            <w:textDirection w:val="lrTb"/>
            <w:noWrap/>
          </w:tcPr>
          <w:p>
            <w:pPr>
              <w:jc w:val="left"/>
              <w:spacing w:line="288" w:lineRule="auto"/>
              <w:rPr>
                <w:rFonts w:ascii="宋体" w:hAnsi="宋体" w:cs="宋体"/>
                <w:color w:val="auto"/>
                <w:spacing w:val="-2"/>
                <w:szCs w:val="21"/>
                <w:highlight w:val="none"/>
              </w:rPr>
            </w:pPr>
            <w:r>
              <w:rPr>
                <w:rFonts w:hint="eastAsia" w:ascii="宋体" w:hAnsi="宋体" w:cs="宋体"/>
                <w:color w:val="auto"/>
                <w:spacing w:val="-2"/>
                <w:szCs w:val="21"/>
                <w:highlight w:val="none"/>
              </w:rPr>
              <w:t xml:space="preserve">售后服务方案</w:t>
            </w:r>
            <w:r/>
          </w:p>
        </w:tc>
        <w:tc>
          <w:tcPr>
            <w:tcW w:w="6238" w:type="dxa"/>
            <w:textDirection w:val="lrTb"/>
            <w:noWrap/>
          </w:tcPr>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评委根据投标人提供的售后服务方案（如服务体系、服务内容、故障解决方案、专业技术人员保障等）评分：</w:t>
            </w:r>
            <w:r/>
          </w:p>
          <w:p>
            <w:pPr>
              <w:ind w:firstLine="422"/>
              <w:jc w:val="left"/>
              <w:spacing w:line="360" w:lineRule="auto"/>
              <w:widowControl/>
              <w:rPr>
                <w:rFonts w:cs="Arial" w:asciiTheme="minorEastAsia" w:hAnsiTheme="minorEastAsia"/>
                <w:b/>
                <w:color w:val="auto"/>
                <w:szCs w:val="21"/>
                <w:highlight w:val="none"/>
              </w:rPr>
            </w:pPr>
            <w:r/>
            <w:bookmarkStart w:id="97" w:name="OLE_LINK48"/>
            <w:r/>
            <w:bookmarkStart w:id="98" w:name="OLE_LINK49"/>
            <w:r/>
            <w:bookmarkStart w:id="99" w:name="OLE_LINK46"/>
            <w:r/>
            <w:bookmarkStart w:id="100" w:name="OLE_LINK45"/>
            <w:r>
              <w:rPr>
                <w:rFonts w:hint="eastAsia" w:cs="Arial" w:asciiTheme="minorEastAsia" w:hAnsiTheme="minorEastAsia"/>
                <w:b/>
                <w:color w:val="auto"/>
                <w:szCs w:val="21"/>
                <w:highlight w:val="none"/>
              </w:rPr>
              <w:t xml:space="preserve">1.同时满足以下要求：</w:t>
            </w:r>
            <w:r>
              <w:rPr>
                <w:rFonts w:cs="Arial" w:asciiTheme="minorEastAsia" w:hAnsiTheme="minorEastAsia"/>
                <w:b/>
                <w:color w:val="auto"/>
                <w:szCs w:val="21"/>
                <w:highlight w:val="none"/>
              </w:rPr>
              <w:t xml:space="preserve">5分</w:t>
            </w:r>
            <w:bookmarkEnd w:id="97"/>
            <w:r/>
            <w:bookmarkEnd w:id="98"/>
            <w:r/>
            <w:r/>
          </w:p>
          <w:p>
            <w:pPr>
              <w:ind w:firstLine="420"/>
              <w:jc w:val="left"/>
              <w:spacing w:line="360" w:lineRule="auto"/>
              <w:widowControl/>
              <w:rPr>
                <w:rFonts w:cs="Arial" w:asciiTheme="minorEastAsia" w:hAnsiTheme="minorEastAsia"/>
                <w:color w:val="auto"/>
                <w:szCs w:val="21"/>
                <w:highlight w:val="none"/>
              </w:rPr>
            </w:pPr>
            <w:r>
              <w:rPr>
                <w:rFonts w:hint="eastAsia" w:asciiTheme="minorEastAsia" w:hAnsiTheme="minorEastAsia"/>
                <w:color w:val="auto"/>
                <w:szCs w:val="21"/>
                <w:highlight w:val="none"/>
              </w:rPr>
              <w:t xml:space="preserve">（1）</w:t>
            </w:r>
            <w:r>
              <w:rPr>
                <w:rFonts w:asciiTheme="minorEastAsia" w:hAnsiTheme="minorEastAsia"/>
                <w:color w:val="auto"/>
                <w:szCs w:val="21"/>
                <w:highlight w:val="none"/>
              </w:rPr>
              <w:t xml:space="preserve">服务体系</w:t>
            </w:r>
            <w:r>
              <w:rPr>
                <w:rFonts w:cs="Arial" w:asciiTheme="minorEastAsia" w:hAnsiTheme="minorEastAsia"/>
                <w:color w:val="auto"/>
                <w:szCs w:val="21"/>
                <w:highlight w:val="none"/>
              </w:rPr>
              <w:t xml:space="preserve">：具备全国/本地专属体育智慧设备运维服务网点，明确网点地址、常驻运维班组；建立分级售后管控机制（总部调度—区域驻场—现场抢修三级架构），配套完整售后台账、报修工单、回访闭环管理制度，附服务组织架构图、网点证明材料；</w:t>
            </w:r>
            <w:r/>
          </w:p>
          <w:p>
            <w:pPr>
              <w:ind w:firstLine="420"/>
              <w:jc w:val="left"/>
              <w:spacing w:line="360" w:lineRule="auto"/>
              <w:widowControl/>
              <w:rPr>
                <w:rFonts w:cs="Arial" w:asciiTheme="minorEastAsia" w:hAnsiTheme="minorEastAsia"/>
                <w:color w:val="auto"/>
                <w:szCs w:val="21"/>
                <w:highlight w:val="none"/>
              </w:rPr>
            </w:pPr>
            <w:r>
              <w:rPr>
                <w:rFonts w:hint="eastAsia" w:asciiTheme="minorEastAsia" w:hAnsiTheme="minorEastAsia"/>
                <w:color w:val="auto"/>
                <w:szCs w:val="21"/>
                <w:highlight w:val="none"/>
              </w:rPr>
              <w:t xml:space="preserve">（2）</w:t>
            </w:r>
            <w:r>
              <w:rPr>
                <w:rFonts w:asciiTheme="minorEastAsia" w:hAnsiTheme="minorEastAsia"/>
                <w:color w:val="auto"/>
                <w:szCs w:val="21"/>
                <w:highlight w:val="none"/>
              </w:rPr>
              <w:t xml:space="preserve">服务响应时效</w:t>
            </w:r>
            <w:r>
              <w:rPr>
                <w:rFonts w:cs="Arial" w:asciiTheme="minorEastAsia" w:hAnsiTheme="minorEastAsia"/>
                <w:color w:val="auto"/>
                <w:szCs w:val="21"/>
                <w:highlight w:val="none"/>
              </w:rPr>
              <w:t xml:space="preserve">：书面明确故障分级响应标准：一般故障2小时远程处置</w:t>
            </w:r>
            <w:r>
              <w:rPr>
                <w:rFonts w:hint="eastAsia" w:cs="Arial" w:asciiTheme="minorEastAsia" w:hAnsiTheme="minorEastAsia"/>
                <w:color w:val="auto"/>
                <w:szCs w:val="21"/>
                <w:highlight w:val="none"/>
              </w:rPr>
              <w:t xml:space="preserve">（或到现场），</w:t>
            </w:r>
            <w:r>
              <w:rPr>
                <w:rFonts w:cs="Arial" w:asciiTheme="minorEastAsia" w:hAnsiTheme="minorEastAsia"/>
                <w:color w:val="auto"/>
                <w:szCs w:val="21"/>
                <w:highlight w:val="none"/>
              </w:rPr>
              <w:t xml:space="preserve">重大设备故障1小时内到场；提供7×24小时专属报修热线、专属对接人，承诺驻场技术人员长期驻校值守保障；</w:t>
            </w:r>
            <w:r/>
          </w:p>
          <w:p>
            <w:pPr>
              <w:ind w:firstLine="420"/>
              <w:jc w:val="left"/>
              <w:spacing w:line="360" w:lineRule="auto"/>
              <w:widowControl/>
              <w:rPr>
                <w:rFonts w:cs="Arial" w:asciiTheme="minorEastAsia" w:hAnsiTheme="minorEastAsia"/>
                <w:color w:val="auto"/>
                <w:szCs w:val="21"/>
                <w:highlight w:val="none"/>
              </w:rPr>
            </w:pPr>
            <w:r>
              <w:rPr>
                <w:rFonts w:hint="eastAsia" w:asciiTheme="minorEastAsia" w:hAnsiTheme="minorEastAsia"/>
                <w:color w:val="auto"/>
                <w:szCs w:val="21"/>
                <w:highlight w:val="none"/>
              </w:rPr>
              <w:t xml:space="preserve">（3）</w:t>
            </w:r>
            <w:r>
              <w:rPr>
                <w:rFonts w:asciiTheme="minorEastAsia" w:hAnsiTheme="minorEastAsia"/>
                <w:color w:val="auto"/>
                <w:szCs w:val="21"/>
                <w:highlight w:val="none"/>
              </w:rPr>
              <w:t xml:space="preserve">故障解决方案</w:t>
            </w:r>
            <w:r>
              <w:rPr>
                <w:rFonts w:cs="Arial" w:asciiTheme="minorEastAsia" w:hAnsiTheme="minorEastAsia"/>
                <w:color w:val="auto"/>
                <w:szCs w:val="21"/>
                <w:highlight w:val="none"/>
              </w:rPr>
              <w:t xml:space="preserve">：区分篮球架、标志器材、智慧操场算力主机、体育管理平台等本项目全部设备分类制定故障排查、维修、更换流程；明确备件储备清单（本地仓储备用主机、篮板、传感器、配件等），列明备件库存数量、存放地点；针对断电、系统宕机、器材破损、数据丢失等突发紧急场景制定完整处置流程、数据备份恢复方案、临时替代保障措施；</w:t>
            </w:r>
            <w:r/>
          </w:p>
          <w:p>
            <w:pPr>
              <w:ind w:firstLine="420"/>
              <w:jc w:val="left"/>
              <w:spacing w:line="360" w:lineRule="auto"/>
              <w:widowControl/>
              <w:rPr>
                <w:rFonts w:cs="Arial" w:asciiTheme="minorEastAsia" w:hAnsiTheme="minorEastAsia"/>
                <w:color w:val="auto"/>
                <w:szCs w:val="21"/>
                <w:highlight w:val="none"/>
              </w:rPr>
            </w:pPr>
            <w:r>
              <w:rPr>
                <w:rFonts w:hint="eastAsia" w:asciiTheme="minorEastAsia" w:hAnsiTheme="minorEastAsia"/>
                <w:color w:val="auto"/>
                <w:szCs w:val="21"/>
                <w:highlight w:val="none"/>
              </w:rPr>
              <w:t xml:space="preserve">（4）</w:t>
            </w:r>
            <w:r>
              <w:rPr>
                <w:rFonts w:asciiTheme="minorEastAsia" w:hAnsiTheme="minorEastAsia"/>
                <w:color w:val="auto"/>
                <w:szCs w:val="21"/>
                <w:highlight w:val="none"/>
              </w:rPr>
              <w:t xml:space="preserve">专业技术人员保障</w:t>
            </w:r>
            <w:r>
              <w:rPr>
                <w:rFonts w:cs="Arial" w:asciiTheme="minorEastAsia" w:hAnsiTheme="minorEastAsia"/>
                <w:color w:val="auto"/>
                <w:szCs w:val="21"/>
                <w:highlight w:val="none"/>
              </w:rPr>
              <w:t xml:space="preserve">：列明专职售后技术团队人员清单、对应岗位证书（智能设备运维、机械安装、网络安全等），提供社保证明/劳务协议佐证；明确项目专属售后负责人，配备固定驻场工程师，列明人员轮班、节假日值守、故障抢修人员调配机制。</w:t>
            </w:r>
            <w:r/>
          </w:p>
          <w:p>
            <w:pPr>
              <w:ind w:firstLine="422"/>
              <w:jc w:val="left"/>
              <w:spacing w:line="360" w:lineRule="auto"/>
              <w:widowControl/>
              <w:rPr>
                <w:rFonts w:cs="Arial" w:asciiTheme="minorEastAsia" w:hAnsiTheme="minorEastAsia"/>
                <w:b/>
                <w:color w:val="auto"/>
                <w:szCs w:val="21"/>
                <w:highlight w:val="none"/>
              </w:rPr>
            </w:pPr>
            <w:r/>
            <w:bookmarkStart w:id="101" w:name="OLE_LINK50"/>
            <w:r>
              <w:rPr>
                <w:rFonts w:hint="eastAsia" w:cs="Arial" w:asciiTheme="minorEastAsia" w:hAnsiTheme="minorEastAsia"/>
                <w:b/>
                <w:color w:val="auto"/>
                <w:szCs w:val="21"/>
                <w:highlight w:val="none"/>
              </w:rPr>
              <w:t xml:space="preserve">2.同时满足以下要求：3分</w:t>
            </w:r>
            <w:bookmarkEnd w:id="101"/>
            <w:r/>
            <w:r/>
          </w:p>
          <w:p>
            <w:pPr>
              <w:ind w:firstLine="420"/>
              <w:jc w:val="left"/>
              <w:spacing w:line="360" w:lineRule="auto"/>
              <w:widowControl/>
              <w:rPr>
                <w:rFonts w:cs="Arial" w:asciiTheme="minorEastAsia" w:hAnsiTheme="minorEastAsia"/>
                <w:color w:val="auto"/>
                <w:szCs w:val="21"/>
                <w:highlight w:val="none"/>
              </w:rPr>
            </w:pPr>
            <w:r>
              <w:rPr>
                <w:rFonts w:hint="eastAsia" w:asciiTheme="minorEastAsia" w:hAnsiTheme="minorEastAsia"/>
                <w:color w:val="auto"/>
                <w:szCs w:val="21"/>
                <w:highlight w:val="none"/>
              </w:rPr>
              <w:t xml:space="preserve">（1）</w:t>
            </w:r>
            <w:r>
              <w:rPr>
                <w:rFonts w:asciiTheme="minorEastAsia" w:hAnsiTheme="minorEastAsia"/>
                <w:color w:val="auto"/>
                <w:szCs w:val="21"/>
                <w:highlight w:val="none"/>
              </w:rPr>
              <w:t xml:space="preserve">服务体系</w:t>
            </w:r>
            <w:r>
              <w:rPr>
                <w:rFonts w:cs="Arial" w:asciiTheme="minorEastAsia" w:hAnsiTheme="minorEastAsia"/>
                <w:color w:val="auto"/>
                <w:szCs w:val="21"/>
                <w:highlight w:val="none"/>
              </w:rPr>
              <w:t xml:space="preserve">：具备固定售后运维部门，有标准化售后流程，但无本地实体服务网点，仅依托总部统一调度；仅提供简单服务流程文字说明，无组织架构、工单管理闭环制度；</w:t>
            </w:r>
            <w:r/>
          </w:p>
          <w:p>
            <w:pPr>
              <w:ind w:firstLine="420"/>
              <w:jc w:val="left"/>
              <w:spacing w:line="360" w:lineRule="auto"/>
              <w:widowControl/>
              <w:rPr>
                <w:rFonts w:cs="Arial" w:asciiTheme="minorEastAsia" w:hAnsiTheme="minorEastAsia"/>
                <w:color w:val="auto"/>
                <w:szCs w:val="21"/>
                <w:highlight w:val="none"/>
              </w:rPr>
            </w:pPr>
            <w:r>
              <w:rPr>
                <w:rFonts w:hint="eastAsia" w:asciiTheme="minorEastAsia" w:hAnsiTheme="minorEastAsia"/>
                <w:color w:val="auto"/>
                <w:szCs w:val="21"/>
                <w:highlight w:val="none"/>
              </w:rPr>
              <w:t xml:space="preserve">（2）</w:t>
            </w:r>
            <w:r>
              <w:rPr>
                <w:rFonts w:asciiTheme="minorEastAsia" w:hAnsiTheme="minorEastAsia"/>
                <w:color w:val="auto"/>
                <w:szCs w:val="21"/>
                <w:highlight w:val="none"/>
              </w:rPr>
              <w:t xml:space="preserve">服务响应时效</w:t>
            </w:r>
            <w:r>
              <w:rPr>
                <w:rFonts w:cs="Arial" w:asciiTheme="minorEastAsia" w:hAnsiTheme="minorEastAsia"/>
                <w:color w:val="auto"/>
                <w:szCs w:val="21"/>
                <w:highlight w:val="none"/>
              </w:rPr>
              <w:t xml:space="preserve">：书面承诺7×24小时报修通道，一般故障远程响应2小时，重大故障</w:t>
            </w:r>
            <w:r>
              <w:rPr>
                <w:rFonts w:hint="eastAsia" w:cs="Arial" w:asciiTheme="minorEastAsia" w:hAnsiTheme="minorEastAsia"/>
                <w:color w:val="auto"/>
                <w:szCs w:val="21"/>
                <w:highlight w:val="none"/>
              </w:rPr>
              <w:t xml:space="preserve">2</w:t>
            </w:r>
            <w:r>
              <w:rPr>
                <w:rFonts w:cs="Arial" w:asciiTheme="minorEastAsia" w:hAnsiTheme="minorEastAsia"/>
                <w:color w:val="auto"/>
                <w:szCs w:val="21"/>
                <w:highlight w:val="none"/>
              </w:rPr>
              <w:t xml:space="preserve">小时内抵达现场，无驻场值守承诺，响应时效标准中等；</w:t>
            </w:r>
            <w:r/>
          </w:p>
          <w:p>
            <w:pPr>
              <w:ind w:firstLine="420"/>
              <w:jc w:val="left"/>
              <w:spacing w:line="360" w:lineRule="auto"/>
              <w:widowControl/>
              <w:rPr>
                <w:rFonts w:cs="Arial" w:asciiTheme="minorEastAsia" w:hAnsiTheme="minorEastAsia"/>
                <w:color w:val="auto"/>
                <w:szCs w:val="21"/>
                <w:highlight w:val="none"/>
              </w:rPr>
            </w:pPr>
            <w:r>
              <w:rPr>
                <w:rFonts w:hint="eastAsia" w:asciiTheme="minorEastAsia" w:hAnsiTheme="minorEastAsia"/>
                <w:color w:val="auto"/>
                <w:szCs w:val="21"/>
                <w:highlight w:val="none"/>
              </w:rPr>
              <w:t xml:space="preserve">（3）</w:t>
            </w:r>
            <w:r>
              <w:rPr>
                <w:rFonts w:asciiTheme="minorEastAsia" w:hAnsiTheme="minorEastAsia"/>
                <w:color w:val="auto"/>
                <w:szCs w:val="21"/>
                <w:highlight w:val="none"/>
              </w:rPr>
              <w:t xml:space="preserve">故障解决方案</w:t>
            </w:r>
            <w:r>
              <w:rPr>
                <w:rFonts w:cs="Arial" w:asciiTheme="minorEastAsia" w:hAnsiTheme="minorEastAsia"/>
                <w:color w:val="auto"/>
                <w:szCs w:val="21"/>
                <w:highlight w:val="none"/>
              </w:rPr>
              <w:t xml:space="preserve">：仅提供通用设备故障处置流程，未按本项目智慧体育设备、传统体育器材分类细化；仅简单提及备件保障，未列明备件清单、仓储地点；紧急故障处置措施简略，缺少数据恢复、临时替代保障方案；</w:t>
            </w:r>
            <w:r/>
          </w:p>
          <w:p>
            <w:pPr>
              <w:ind w:firstLine="420"/>
              <w:jc w:val="left"/>
              <w:spacing w:line="360" w:lineRule="auto"/>
              <w:widowControl/>
              <w:rPr>
                <w:rFonts w:cs="Arial" w:asciiTheme="minorEastAsia" w:hAnsiTheme="minorEastAsia"/>
                <w:color w:val="auto"/>
                <w:szCs w:val="21"/>
                <w:highlight w:val="none"/>
              </w:rPr>
            </w:pPr>
            <w:r>
              <w:rPr>
                <w:rFonts w:hint="eastAsia" w:asciiTheme="minorEastAsia" w:hAnsiTheme="minorEastAsia"/>
                <w:color w:val="auto"/>
                <w:szCs w:val="21"/>
                <w:highlight w:val="none"/>
              </w:rPr>
              <w:t xml:space="preserve">（4）</w:t>
            </w:r>
            <w:r>
              <w:rPr>
                <w:rFonts w:asciiTheme="minorEastAsia" w:hAnsiTheme="minorEastAsia"/>
                <w:color w:val="auto"/>
                <w:szCs w:val="21"/>
                <w:highlight w:val="none"/>
              </w:rPr>
              <w:t xml:space="preserve">专业技术人员保障</w:t>
            </w:r>
            <w:r>
              <w:rPr>
                <w:rFonts w:cs="Arial" w:asciiTheme="minorEastAsia" w:hAnsiTheme="minorEastAsia"/>
                <w:color w:val="auto"/>
                <w:szCs w:val="21"/>
                <w:highlight w:val="none"/>
              </w:rPr>
              <w:t xml:space="preserve">：列明售后技术人员数量，但未提供人员资质、社保佐证；仅笼统说明可调配技术人员，无专属项目负责人、节假日人员值守、抢修调配细则。</w:t>
            </w:r>
            <w:r/>
          </w:p>
          <w:p>
            <w:pPr>
              <w:ind w:firstLine="422"/>
              <w:jc w:val="left"/>
              <w:spacing w:line="360" w:lineRule="auto"/>
              <w:widowControl/>
              <w:rPr>
                <w:rFonts w:asciiTheme="minorEastAsia" w:hAnsiTheme="minorEastAsia"/>
                <w:color w:val="auto"/>
                <w:szCs w:val="21"/>
                <w:highlight w:val="none"/>
              </w:rPr>
            </w:pPr>
            <w:r>
              <w:rPr>
                <w:rFonts w:hint="eastAsia" w:cs="Arial" w:asciiTheme="minorEastAsia" w:hAnsiTheme="minorEastAsia"/>
                <w:b/>
                <w:color w:val="auto"/>
                <w:szCs w:val="21"/>
                <w:highlight w:val="none"/>
              </w:rPr>
              <w:t xml:space="preserve">3.存在以下任一情形：1分</w:t>
            </w:r>
            <w:r/>
          </w:p>
          <w:p>
            <w:pPr>
              <w:ind w:firstLine="420"/>
              <w:jc w:val="left"/>
              <w:spacing w:line="360" w:lineRule="auto"/>
              <w:widowControl/>
              <w:rPr>
                <w:rFonts w:cs="Arial" w:asciiTheme="minorEastAsia" w:hAnsiTheme="minorEastAsia"/>
                <w:color w:val="auto"/>
                <w:szCs w:val="21"/>
                <w:highlight w:val="none"/>
              </w:rPr>
            </w:pPr>
            <w:r>
              <w:rPr>
                <w:rFonts w:hint="eastAsia" w:asciiTheme="minorEastAsia" w:hAnsiTheme="minorEastAsia"/>
                <w:color w:val="auto"/>
                <w:szCs w:val="21"/>
                <w:highlight w:val="none"/>
              </w:rPr>
              <w:t xml:space="preserve">（1）</w:t>
            </w:r>
            <w:r>
              <w:rPr>
                <w:rFonts w:asciiTheme="minorEastAsia" w:hAnsiTheme="minorEastAsia"/>
                <w:color w:val="auto"/>
                <w:szCs w:val="21"/>
                <w:highlight w:val="none"/>
              </w:rPr>
              <w:t xml:space="preserve">服务体系</w:t>
            </w:r>
            <w:r>
              <w:rPr>
                <w:rFonts w:cs="Arial" w:asciiTheme="minorEastAsia" w:hAnsiTheme="minorEastAsia"/>
                <w:color w:val="auto"/>
                <w:szCs w:val="21"/>
                <w:highlight w:val="none"/>
              </w:rPr>
              <w:t xml:space="preserve">：仅简单文字描述存在售后服务部门，无分级服务架构、报修、回访等完整管理制度；</w:t>
            </w:r>
            <w:r/>
          </w:p>
          <w:p>
            <w:pPr>
              <w:ind w:firstLine="420"/>
              <w:jc w:val="left"/>
              <w:spacing w:line="360" w:lineRule="auto"/>
              <w:widowControl/>
              <w:rPr>
                <w:rFonts w:cs="Arial" w:asciiTheme="minorEastAsia" w:hAnsiTheme="minorEastAsia"/>
                <w:color w:val="auto"/>
                <w:szCs w:val="21"/>
                <w:highlight w:val="none"/>
              </w:rPr>
            </w:pPr>
            <w:r>
              <w:rPr>
                <w:rFonts w:hint="eastAsia" w:asciiTheme="minorEastAsia" w:hAnsiTheme="minorEastAsia"/>
                <w:color w:val="auto"/>
                <w:szCs w:val="21"/>
                <w:highlight w:val="none"/>
              </w:rPr>
              <w:t xml:space="preserve">（2）</w:t>
            </w:r>
            <w:r>
              <w:rPr>
                <w:rFonts w:asciiTheme="minorEastAsia" w:hAnsiTheme="minorEastAsia"/>
                <w:color w:val="auto"/>
                <w:szCs w:val="21"/>
                <w:highlight w:val="none"/>
              </w:rPr>
              <w:t xml:space="preserve">服务响应时效</w:t>
            </w:r>
            <w:r>
              <w:rPr>
                <w:rFonts w:cs="Arial" w:asciiTheme="minorEastAsia" w:hAnsiTheme="minorEastAsia"/>
                <w:color w:val="auto"/>
                <w:szCs w:val="21"/>
                <w:highlight w:val="none"/>
              </w:rPr>
              <w:t xml:space="preserve">：仅承诺工作日响应，无7×24小时保障，到场抢修时效无明确时间约定或时效标准宽松；</w:t>
            </w:r>
            <w:r/>
          </w:p>
          <w:p>
            <w:pPr>
              <w:ind w:firstLine="420"/>
              <w:jc w:val="left"/>
              <w:spacing w:line="360" w:lineRule="auto"/>
              <w:widowControl/>
              <w:rPr>
                <w:rFonts w:cs="Arial" w:asciiTheme="minorEastAsia" w:hAnsiTheme="minorEastAsia"/>
                <w:color w:val="auto"/>
                <w:szCs w:val="21"/>
                <w:highlight w:val="none"/>
              </w:rPr>
            </w:pPr>
            <w:r>
              <w:rPr>
                <w:rFonts w:hint="eastAsia" w:asciiTheme="minorEastAsia" w:hAnsiTheme="minorEastAsia"/>
                <w:color w:val="auto"/>
                <w:szCs w:val="21"/>
                <w:highlight w:val="none"/>
              </w:rPr>
              <w:t xml:space="preserve">（3）</w:t>
            </w:r>
            <w:r>
              <w:rPr>
                <w:rFonts w:asciiTheme="minorEastAsia" w:hAnsiTheme="minorEastAsia"/>
                <w:color w:val="auto"/>
                <w:szCs w:val="21"/>
                <w:highlight w:val="none"/>
              </w:rPr>
              <w:t xml:space="preserve">故障解决方案</w:t>
            </w:r>
            <w:r>
              <w:rPr>
                <w:rFonts w:cs="Arial" w:asciiTheme="minorEastAsia" w:hAnsiTheme="minorEastAsia"/>
                <w:color w:val="auto"/>
                <w:szCs w:val="21"/>
                <w:highlight w:val="none"/>
              </w:rPr>
              <w:t xml:space="preserve">：仅简单罗列维修、更换几句话，无分设备处置流程、备件储备、紧急应急预案；</w:t>
            </w:r>
            <w:r/>
          </w:p>
          <w:p>
            <w:pPr>
              <w:ind w:firstLine="420"/>
              <w:jc w:val="left"/>
              <w:spacing w:line="360" w:lineRule="auto"/>
              <w:widowControl/>
              <w:rPr>
                <w:rFonts w:cs="Arial" w:asciiTheme="minorEastAsia" w:hAnsiTheme="minorEastAsia"/>
                <w:color w:val="auto"/>
                <w:szCs w:val="21"/>
                <w:highlight w:val="none"/>
              </w:rPr>
            </w:pPr>
            <w:r>
              <w:rPr>
                <w:rFonts w:hint="eastAsia" w:asciiTheme="minorEastAsia" w:hAnsiTheme="minorEastAsia"/>
                <w:color w:val="auto"/>
                <w:szCs w:val="21"/>
                <w:highlight w:val="none"/>
              </w:rPr>
              <w:t xml:space="preserve">（4）</w:t>
            </w:r>
            <w:r>
              <w:rPr>
                <w:rFonts w:asciiTheme="minorEastAsia" w:hAnsiTheme="minorEastAsia"/>
                <w:color w:val="auto"/>
                <w:szCs w:val="21"/>
                <w:highlight w:val="none"/>
              </w:rPr>
              <w:t xml:space="preserve">专业技术人员保障</w:t>
            </w:r>
            <w:r>
              <w:rPr>
                <w:rFonts w:cs="Arial" w:asciiTheme="minorEastAsia" w:hAnsiTheme="minorEastAsia"/>
                <w:color w:val="auto"/>
                <w:szCs w:val="21"/>
                <w:highlight w:val="none"/>
              </w:rPr>
              <w:t xml:space="preserve">：仅提及有技术人员，无人员清单、资质、专人对接、人员调配相关任何说明。</w:t>
            </w:r>
            <w:r/>
          </w:p>
          <w:p>
            <w:pPr>
              <w:ind w:firstLine="422"/>
              <w:jc w:val="left"/>
              <w:spacing w:line="360" w:lineRule="auto"/>
              <w:widowControl/>
              <w:rPr>
                <w:rFonts w:cs="Arial" w:asciiTheme="minorEastAsia" w:hAnsiTheme="minorEastAsia"/>
                <w:b/>
                <w:color w:val="auto"/>
                <w:szCs w:val="21"/>
                <w:highlight w:val="none"/>
              </w:rPr>
            </w:pPr>
            <w:r>
              <w:rPr>
                <w:rFonts w:hint="eastAsia" w:cs="Arial" w:asciiTheme="minorEastAsia" w:hAnsiTheme="minorEastAsia"/>
                <w:b/>
                <w:color w:val="auto"/>
                <w:szCs w:val="21"/>
                <w:highlight w:val="none"/>
              </w:rPr>
              <w:t xml:space="preserve">4.存在以下任一情形：</w:t>
            </w:r>
            <w:r>
              <w:rPr>
                <w:rFonts w:cs="Arial" w:asciiTheme="minorEastAsia" w:hAnsiTheme="minorEastAsia"/>
                <w:b/>
                <w:color w:val="auto"/>
                <w:szCs w:val="21"/>
                <w:highlight w:val="none"/>
              </w:rPr>
              <w:t xml:space="preserve">0分</w:t>
            </w:r>
            <w:r/>
          </w:p>
          <w:p>
            <w:pPr>
              <w:ind w:firstLine="420"/>
              <w:jc w:val="left"/>
              <w:spacing w:line="360" w:lineRule="auto"/>
              <w:widowControl/>
              <w:rPr>
                <w:rFonts w:asciiTheme="minorEastAsia" w:hAnsiTheme="minorEastAsia"/>
                <w:color w:val="auto"/>
                <w:szCs w:val="21"/>
                <w:highlight w:val="none"/>
              </w:rPr>
            </w:pPr>
            <w:r>
              <w:rPr>
                <w:rFonts w:hint="eastAsia" w:asciiTheme="minorEastAsia" w:hAnsiTheme="minorEastAsia"/>
                <w:color w:val="auto"/>
                <w:szCs w:val="21"/>
                <w:highlight w:val="none"/>
              </w:rPr>
              <w:t xml:space="preserve">（1）</w:t>
            </w:r>
            <w:r>
              <w:rPr>
                <w:rFonts w:asciiTheme="minorEastAsia" w:hAnsiTheme="minorEastAsia"/>
                <w:color w:val="auto"/>
                <w:szCs w:val="21"/>
                <w:highlight w:val="none"/>
              </w:rPr>
              <w:t xml:space="preserve">投标文件未单独提供售后服务专项方案；</w:t>
            </w:r>
            <w:r/>
          </w:p>
          <w:p>
            <w:pPr>
              <w:ind w:firstLine="420"/>
              <w:jc w:val="left"/>
              <w:spacing w:line="360" w:lineRule="auto"/>
              <w:widowControl/>
              <w:rPr>
                <w:rFonts w:asciiTheme="minorEastAsia" w:hAnsiTheme="minorEastAsia"/>
                <w:color w:val="auto"/>
                <w:szCs w:val="21"/>
                <w:highlight w:val="none"/>
              </w:rPr>
            </w:pPr>
            <w:r>
              <w:rPr>
                <w:rFonts w:hint="eastAsia" w:asciiTheme="minorEastAsia" w:hAnsiTheme="minorEastAsia"/>
                <w:color w:val="auto"/>
                <w:szCs w:val="21"/>
                <w:highlight w:val="none"/>
              </w:rPr>
              <w:t xml:space="preserve">（2）</w:t>
            </w:r>
            <w:r>
              <w:rPr>
                <w:rFonts w:asciiTheme="minorEastAsia" w:hAnsiTheme="minorEastAsia"/>
                <w:color w:val="auto"/>
                <w:szCs w:val="21"/>
                <w:highlight w:val="none"/>
              </w:rPr>
              <w:t xml:space="preserve">方案仅复制招标文件要求，无投标人自主编制、针对性响应内容；</w:t>
            </w:r>
            <w:r/>
          </w:p>
          <w:p>
            <w:pPr>
              <w:ind w:firstLine="420"/>
              <w:jc w:val="left"/>
              <w:spacing w:line="360" w:lineRule="auto"/>
              <w:widowControl/>
              <w:rPr>
                <w:rFonts w:asciiTheme="minorEastAsia" w:hAnsiTheme="minorEastAsia"/>
                <w:color w:val="auto"/>
                <w:szCs w:val="21"/>
                <w:highlight w:val="none"/>
              </w:rPr>
            </w:pPr>
            <w:r>
              <w:rPr>
                <w:rFonts w:hint="eastAsia" w:asciiTheme="minorEastAsia" w:hAnsiTheme="minorEastAsia"/>
                <w:color w:val="auto"/>
                <w:szCs w:val="21"/>
                <w:highlight w:val="none"/>
              </w:rPr>
              <w:t xml:space="preserve">（3）</w:t>
            </w:r>
            <w:r>
              <w:rPr>
                <w:rFonts w:asciiTheme="minorEastAsia" w:hAnsiTheme="minorEastAsia"/>
                <w:color w:val="auto"/>
                <w:szCs w:val="21"/>
                <w:highlight w:val="none"/>
              </w:rPr>
              <w:t xml:space="preserve">方案缺失服务体系、故障解决方案、技术人员保障任一核心模块；</w:t>
            </w:r>
            <w:r/>
          </w:p>
          <w:p>
            <w:pPr>
              <w:ind w:firstLine="420"/>
              <w:jc w:val="left"/>
              <w:spacing w:line="360" w:lineRule="auto"/>
              <w:widowControl/>
              <w:rPr>
                <w:rFonts w:asciiTheme="minorEastAsia" w:hAnsiTheme="minorEastAsia"/>
                <w:color w:val="auto"/>
                <w:szCs w:val="21"/>
                <w:highlight w:val="none"/>
              </w:rPr>
            </w:pPr>
            <w:r>
              <w:rPr>
                <w:rFonts w:hint="eastAsia" w:asciiTheme="minorEastAsia" w:hAnsiTheme="minorEastAsia"/>
                <w:color w:val="auto"/>
                <w:szCs w:val="21"/>
                <w:highlight w:val="none"/>
              </w:rPr>
              <w:t xml:space="preserve">(4)</w:t>
            </w:r>
            <w:r>
              <w:rPr>
                <w:rFonts w:asciiTheme="minorEastAsia" w:hAnsiTheme="minorEastAsia"/>
                <w:color w:val="auto"/>
                <w:szCs w:val="21"/>
                <w:highlight w:val="none"/>
              </w:rPr>
              <w:t xml:space="preserve">方案内容与本项目体育装备、智慧设备无关，无实际落地价值；</w:t>
            </w:r>
            <w:r/>
          </w:p>
          <w:p>
            <w:pPr>
              <w:ind w:firstLine="420"/>
              <w:jc w:val="left"/>
              <w:spacing w:line="360" w:lineRule="auto"/>
              <w:widowControl/>
              <w:rPr>
                <w:rFonts w:ascii="宋体" w:hAnsi="宋体" w:cs="宋体"/>
                <w:color w:val="auto"/>
                <w:szCs w:val="21"/>
                <w:highlight w:val="none"/>
              </w:rPr>
            </w:pPr>
            <w:r>
              <w:rPr>
                <w:rFonts w:hint="eastAsia" w:asciiTheme="minorEastAsia" w:hAnsiTheme="minorEastAsia"/>
                <w:color w:val="auto"/>
                <w:szCs w:val="21"/>
                <w:highlight w:val="none"/>
              </w:rPr>
              <w:t xml:space="preserve">(5)</w:t>
            </w:r>
            <w:r>
              <w:rPr>
                <w:rFonts w:asciiTheme="minorEastAsia" w:hAnsiTheme="minorEastAsia"/>
                <w:color w:val="auto"/>
                <w:szCs w:val="21"/>
                <w:highlight w:val="none"/>
              </w:rPr>
              <w:t xml:space="preserve">无任何响应时效、人员、备件、应急保障相关实质性承诺。</w:t>
            </w:r>
            <w:bookmarkEnd w:id="99"/>
            <w:r/>
            <w:bookmarkEnd w:id="100"/>
            <w:r/>
            <w:r/>
          </w:p>
        </w:tc>
        <w:tc>
          <w:tcPr>
            <w:tcW w:w="709" w:type="dxa"/>
            <w:vAlign w:val="center"/>
            <w:textDirection w:val="lrTb"/>
            <w:noWrap/>
          </w:tcPr>
          <w:p>
            <w:pPr>
              <w:jc w:val="center"/>
              <w:spacing w:before="68" w:line="264"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993" w:type="dxa"/>
            <w:vAlign w:val="center"/>
            <w:textDirection w:val="lrTb"/>
            <w:noWrap/>
          </w:tcPr>
          <w:p>
            <w:pPr>
              <w:jc w:val="center"/>
              <w:spacing w:before="68"/>
              <w:rPr>
                <w:rFonts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513"/>
        </w:trPr>
        <w:tc>
          <w:tcPr>
            <w:gridSpan w:val="5"/>
            <w:tcW w:w="9840" w:type="dxa"/>
            <w:vAlign w:val="center"/>
            <w:textDirection w:val="lrTb"/>
            <w:noWrap/>
          </w:tcPr>
          <w:p>
            <w:pPr>
              <w:jc w:val="left"/>
              <w:spacing w:before="68"/>
              <w:rPr>
                <w:rFonts w:ascii="宋体" w:hAnsi="宋体" w:cs="宋体"/>
                <w:color w:val="auto"/>
                <w:spacing w:val="-6"/>
                <w:highlight w:val="none"/>
              </w:rPr>
            </w:pPr>
            <w:r>
              <w:rPr>
                <w:rFonts w:hint="eastAsia" w:ascii="宋体" w:hAnsi="宋体" w:cs="宋体"/>
                <w:b/>
                <w:bCs/>
                <w:color w:val="auto"/>
                <w:spacing w:val="-3"/>
                <w:highlight w:val="none"/>
              </w:rPr>
              <w:t xml:space="preserve">4.信誉</w:t>
            </w:r>
            <w:r/>
          </w:p>
        </w:tc>
      </w:tr>
      <w:tr>
        <w:trPr>
          <w:jc w:val="center"/>
          <w:trHeight w:val="513"/>
        </w:trPr>
        <w:tc>
          <w:tcPr>
            <w:tcW w:w="623" w:type="dxa"/>
            <w:vAlign w:val="center"/>
            <w:textDirection w:val="lrTb"/>
            <w:noWrap/>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4.1</w:t>
            </w:r>
            <w:r/>
          </w:p>
        </w:tc>
        <w:tc>
          <w:tcPr>
            <w:tcW w:w="1277" w:type="dxa"/>
            <w:vAlign w:val="center"/>
            <w:textDirection w:val="lrTb"/>
            <w:noWrap/>
          </w:tcPr>
          <w:p>
            <w:pPr>
              <w:spacing w:line="288" w:lineRule="auto"/>
              <w:rPr>
                <w:rFonts w:ascii="宋体" w:hAnsi="宋体" w:cs="宋体"/>
                <w:color w:val="auto"/>
                <w:szCs w:val="22"/>
                <w:highlight w:val="none"/>
              </w:rPr>
            </w:pPr>
            <w:r>
              <w:rPr>
                <w:rFonts w:hint="eastAsia" w:ascii="宋体" w:hAnsi="宋体" w:cs="宋体"/>
                <w:color w:val="auto"/>
                <w:szCs w:val="22"/>
                <w:highlight w:val="none"/>
              </w:rPr>
              <w:t xml:space="preserve">软件著作权证书</w:t>
            </w:r>
            <w:r/>
          </w:p>
        </w:tc>
        <w:tc>
          <w:tcPr>
            <w:tcW w:w="6238" w:type="dxa"/>
            <w:textDirection w:val="lrTb"/>
            <w:noWrap/>
          </w:tcPr>
          <w:p>
            <w:pPr>
              <w:ind w:firstLine="200"/>
              <w:jc w:val="left"/>
              <w:spacing w:line="360" w:lineRule="auto"/>
              <w:rPr>
                <w:rFonts w:ascii="宋体" w:hAnsi="宋体" w:cs="宋体"/>
                <w:color w:val="auto"/>
                <w:highlight w:val="none"/>
              </w:rPr>
            </w:pPr>
            <w:r>
              <w:rPr>
                <w:rFonts w:hint="eastAsia" w:ascii="宋体" w:hAnsi="宋体" w:cs="宋体"/>
                <w:color w:val="auto"/>
                <w:sz w:val="20"/>
                <w:highlight w:val="none"/>
              </w:rPr>
              <w:t xml:space="preserve">投</w:t>
            </w:r>
            <w:r>
              <w:rPr>
                <w:rFonts w:hint="eastAsia" w:ascii="宋体" w:hAnsi="宋体" w:cs="宋体"/>
                <w:color w:val="auto"/>
                <w:szCs w:val="21"/>
                <w:highlight w:val="none"/>
              </w:rPr>
              <w:t xml:space="preserve">标人</w:t>
            </w:r>
            <w:r>
              <w:rPr>
                <w:rFonts w:hint="eastAsia" w:ascii="宋体" w:hAnsi="宋体" w:cs="宋体"/>
                <w:color w:val="auto"/>
                <w:szCs w:val="22"/>
                <w:highlight w:val="none"/>
              </w:rPr>
              <w:t xml:space="preserve">自有</w:t>
            </w:r>
            <w:r>
              <w:rPr>
                <w:rFonts w:hint="eastAsia" w:ascii="宋体" w:hAnsi="宋体" w:cs="宋体"/>
                <w:color w:val="auto"/>
                <w:highlight w:val="none"/>
              </w:rPr>
              <w:t xml:space="preserve">或所投产品制造商具有：</w:t>
            </w:r>
            <w:r/>
          </w:p>
          <w:p>
            <w:pPr>
              <w:ind w:firstLine="210"/>
              <w:jc w:val="left"/>
              <w:spacing w:line="360" w:lineRule="auto"/>
              <w:rPr>
                <w:rFonts w:ascii="宋体" w:hAnsi="宋体" w:cs="宋体"/>
                <w:color w:val="auto"/>
                <w:highlight w:val="none"/>
              </w:rPr>
            </w:pPr>
            <w:r>
              <w:rPr>
                <w:rFonts w:hint="eastAsia" w:ascii="宋体" w:hAnsi="宋体" w:cs="宋体"/>
                <w:color w:val="auto"/>
                <w:highlight w:val="none"/>
              </w:rPr>
              <w:t xml:space="preserve">（1）AI智慧体测相关计算机软件著作权登记证书得2分；</w:t>
            </w:r>
            <w:r/>
          </w:p>
          <w:p>
            <w:pPr>
              <w:ind w:firstLine="210"/>
              <w:jc w:val="left"/>
              <w:spacing w:line="360" w:lineRule="auto"/>
              <w:rPr>
                <w:rFonts w:ascii="宋体" w:hAnsi="宋体" w:cs="宋体"/>
                <w:color w:val="auto"/>
                <w:highlight w:val="none"/>
              </w:rPr>
            </w:pPr>
            <w:r>
              <w:rPr>
                <w:rFonts w:hint="eastAsia" w:ascii="宋体" w:hAnsi="宋体" w:cs="宋体"/>
                <w:color w:val="auto"/>
                <w:highlight w:val="none"/>
              </w:rPr>
              <w:t xml:space="preserve">（2）具有AI智慧操场中长跑相关计算机软件著作权登记证书得2分；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2"/>
                <w:highlight w:val="none"/>
              </w:rPr>
              <w:t xml:space="preserve">（3）具有AI智慧体育体能相关计算机软件著作权登记证书</w:t>
            </w:r>
            <w:r>
              <w:rPr>
                <w:rFonts w:hint="eastAsia" w:ascii="宋体" w:hAnsi="宋体" w:cs="宋体"/>
                <w:color w:val="auto"/>
                <w:szCs w:val="21"/>
                <w:highlight w:val="none"/>
              </w:rPr>
              <w:t xml:space="preserve">得2分。</w:t>
            </w:r>
            <w:r/>
          </w:p>
          <w:p>
            <w:pPr>
              <w:ind w:firstLine="210"/>
              <w:jc w:val="left"/>
              <w:spacing w:line="360" w:lineRule="auto"/>
              <w:rPr>
                <w:rFonts w:ascii="宋体" w:hAnsi="宋体" w:cs="宋体"/>
                <w:color w:val="auto"/>
                <w:szCs w:val="22"/>
                <w:highlight w:val="none"/>
              </w:rPr>
            </w:pPr>
            <w:r>
              <w:rPr>
                <w:rFonts w:hint="eastAsia" w:ascii="宋体" w:hAnsi="宋体" w:cs="宋体"/>
                <w:color w:val="auto"/>
                <w:szCs w:val="21"/>
                <w:highlight w:val="none"/>
              </w:rPr>
              <w:t xml:space="preserve">本项最多6分，提供证书扫描件，未提供不得分</w:t>
            </w:r>
            <w:r>
              <w:rPr>
                <w:rFonts w:hint="eastAsia" w:ascii="宋体" w:hAnsi="宋体" w:cs="宋体"/>
                <w:color w:val="auto"/>
                <w:szCs w:val="22"/>
                <w:highlight w:val="none"/>
              </w:rPr>
              <w:t xml:space="preserve">。</w:t>
            </w:r>
            <w:r/>
          </w:p>
          <w:p>
            <w:pPr>
              <w:ind w:firstLine="210"/>
              <w:jc w:val="left"/>
              <w:spacing w:line="360" w:lineRule="auto"/>
              <w:rPr>
                <w:color w:val="auto"/>
                <w:szCs w:val="22"/>
                <w:highlight w:val="none"/>
              </w:rPr>
            </w:pPr>
            <w:r>
              <w:rPr>
                <w:rFonts w:hint="eastAsia" w:ascii="宋体" w:hAnsi="宋体" w:cs="宋体"/>
                <w:color w:val="auto"/>
                <w:szCs w:val="22"/>
                <w:highlight w:val="none"/>
              </w:rPr>
              <w:t xml:space="preserve">备注：所提供证书“软件名称”与评标标准约定名称不同时，应提供符合上述要求的内容（功能）说明及关键信息，否则不予认可。</w:t>
            </w:r>
            <w:r/>
          </w:p>
        </w:tc>
        <w:tc>
          <w:tcPr>
            <w:tcW w:w="709" w:type="dxa"/>
            <w:vAlign w:val="center"/>
            <w:textDirection w:val="lrTb"/>
            <w:noWrap/>
          </w:tcPr>
          <w:p>
            <w:pPr>
              <w:jc w:val="center"/>
              <w:spacing w:line="288" w:lineRule="auto"/>
              <w:rPr>
                <w:rFonts w:ascii="宋体" w:hAnsi="宋体" w:cs="宋体"/>
                <w:color w:val="auto"/>
                <w:szCs w:val="22"/>
                <w:highlight w:val="none"/>
              </w:rPr>
            </w:pPr>
            <w:r>
              <w:rPr>
                <w:rFonts w:hint="eastAsia" w:ascii="宋体" w:hAnsi="宋体" w:cs="宋体"/>
                <w:color w:val="auto"/>
                <w:szCs w:val="22"/>
                <w:highlight w:val="none"/>
              </w:rPr>
              <w:t xml:space="preserve">6</w:t>
            </w:r>
            <w:r/>
          </w:p>
        </w:tc>
        <w:tc>
          <w:tcPr>
            <w:tcW w:w="993" w:type="dxa"/>
            <w:vAlign w:val="center"/>
            <w:textDirection w:val="lrTb"/>
            <w:noWrap/>
          </w:tcPr>
          <w:p>
            <w:pPr>
              <w:jc w:val="center"/>
              <w:spacing w:before="68"/>
              <w:rPr>
                <w:rFonts w:ascii="宋体" w:hAnsi="宋体" w:cs="宋体"/>
                <w:color w:val="auto"/>
                <w:spacing w:val="-6"/>
                <w:highlight w:val="none"/>
              </w:rPr>
            </w:pPr>
            <w:r>
              <w:rPr>
                <w:rFonts w:hint="eastAsia" w:ascii="宋体" w:hAnsi="宋体" w:cs="宋体"/>
                <w:color w:val="auto"/>
                <w:spacing w:val="-6"/>
                <w:szCs w:val="21"/>
                <w:highlight w:val="none"/>
              </w:rPr>
              <w:t xml:space="preserve">客观分</w:t>
            </w:r>
            <w:r/>
          </w:p>
        </w:tc>
      </w:tr>
      <w:tr>
        <w:trPr>
          <w:jc w:val="center"/>
          <w:trHeight w:val="464"/>
        </w:trPr>
        <w:tc>
          <w:tcPr>
            <w:tcW w:w="623" w:type="dxa"/>
            <w:vAlign w:val="center"/>
            <w:textDirection w:val="lrTb"/>
            <w:noWrap/>
          </w:tcPr>
          <w:p>
            <w:pPr>
              <w:jc w:val="center"/>
              <w:rPr>
                <w:color w:val="auto"/>
                <w:highlight w:val="none"/>
              </w:rPr>
            </w:pPr>
            <w:r>
              <w:rPr>
                <w:rFonts w:hint="eastAsia" w:ascii="宋体" w:hAnsi="宋体" w:cs="宋体"/>
                <w:color w:val="auto"/>
                <w:spacing w:val="-3"/>
                <w:highlight w:val="none"/>
              </w:rPr>
              <w:t xml:space="preserve">合</w:t>
            </w:r>
            <w:r>
              <w:rPr>
                <w:rFonts w:hint="eastAsia" w:ascii="宋体" w:hAnsi="宋体" w:cs="宋体"/>
                <w:color w:val="auto"/>
                <w:spacing w:val="-2"/>
                <w:highlight w:val="none"/>
              </w:rPr>
              <w:t xml:space="preserve">计</w:t>
            </w:r>
            <w:r/>
          </w:p>
        </w:tc>
        <w:tc>
          <w:tcPr>
            <w:gridSpan w:val="2"/>
            <w:tcW w:w="7515" w:type="dxa"/>
            <w:vAlign w:val="center"/>
            <w:textDirection w:val="lrTb"/>
            <w:noWrap/>
          </w:tcPr>
          <w:p>
            <w:pPr>
              <w:ind w:left="172"/>
              <w:jc w:val="center"/>
              <w:spacing w:before="123"/>
              <w:rPr>
                <w:rFonts w:ascii="宋体" w:hAnsi="宋体" w:cs="宋体"/>
                <w:color w:val="auto"/>
                <w:spacing w:val="-2"/>
                <w:highlight w:val="none"/>
              </w:rPr>
            </w:pPr>
            <w:r>
              <w:rPr>
                <w:rFonts w:ascii="宋体" w:hAnsi="宋体" w:cs="宋体"/>
                <w:color w:val="auto"/>
                <w:spacing w:val="-2"/>
                <w:highlight w:val="none"/>
              </w:rPr>
            </w:r>
            <w:r/>
          </w:p>
        </w:tc>
        <w:tc>
          <w:tcPr>
            <w:gridSpan w:val="2"/>
            <w:tcW w:w="1702" w:type="dxa"/>
            <w:vAlign w:val="center"/>
            <w:textDirection w:val="lrTb"/>
            <w:noWrap/>
          </w:tcPr>
          <w:p>
            <w:pPr>
              <w:jc w:val="center"/>
              <w:rPr>
                <w:color w:val="auto"/>
                <w:highlight w:val="none"/>
              </w:rPr>
            </w:pPr>
            <w:r>
              <w:rPr>
                <w:rFonts w:hint="eastAsia" w:ascii="宋体" w:hAnsi="宋体" w:cs="宋体"/>
                <w:color w:val="auto"/>
                <w:spacing w:val="-11"/>
                <w:highlight w:val="none"/>
              </w:rPr>
              <w:t xml:space="preserve">100分</w:t>
            </w:r>
            <w:r/>
          </w:p>
        </w:tc>
      </w:tr>
      <w:tr>
        <w:trPr>
          <w:jc w:val="center"/>
          <w:trHeight w:val="464"/>
        </w:trPr>
        <w:tc>
          <w:tcPr>
            <w:gridSpan w:val="5"/>
            <w:tcW w:w="9840" w:type="dxa"/>
            <w:vAlign w:val="center"/>
            <w:textDirection w:val="lrTb"/>
            <w:noWrap/>
          </w:tcPr>
          <w:p>
            <w:pPr>
              <w:jc w:val="center"/>
              <w:rPr>
                <w:rFonts w:ascii="宋体" w:hAnsi="宋体" w:cs="宋体"/>
                <w:color w:val="auto"/>
                <w:spacing w:val="-11"/>
                <w:highlight w:val="none"/>
              </w:rPr>
            </w:pPr>
            <w:r>
              <w:rPr>
                <w:rFonts w:hint="eastAsia" w:ascii="宋体" w:hAnsi="宋体"/>
                <w:b/>
                <w:bCs/>
                <w:color w:val="auto"/>
                <w:sz w:val="24"/>
                <w:szCs w:val="24"/>
                <w:highlight w:val="none"/>
                <w:lang w:val="zh-CN"/>
              </w:rPr>
              <w:t xml:space="preserve">需要补充的其他内容：</w:t>
            </w:r>
            <w:r/>
          </w:p>
        </w:tc>
      </w:tr>
      <w:tr>
        <w:trPr>
          <w:jc w:val="center"/>
          <w:trHeight w:val="464"/>
        </w:trPr>
        <w:tc>
          <w:tcPr>
            <w:gridSpan w:val="5"/>
            <w:tcW w:w="9840" w:type="dxa"/>
            <w:vAlign w:val="center"/>
            <w:textDirection w:val="lrTb"/>
            <w:noWrap/>
          </w:tcPr>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1．核心产品评审。</w:t>
            </w:r>
            <w:r>
              <w:rPr>
                <w:rFonts w:hint="eastAsia" w:ascii="宋体" w:hAnsi="宋体"/>
                <w:color w:val="auto"/>
                <w:sz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2</w:t>
            </w:r>
            <w:r>
              <w:rPr>
                <w:rFonts w:hint="eastAsia" w:ascii="宋体" w:hAnsi="宋体"/>
                <w:color w:val="auto"/>
                <w:sz w:val="22"/>
                <w:highlight w:val="none"/>
              </w:rPr>
              <w:t xml:space="preserve">．</w:t>
            </w:r>
            <w:r>
              <w:rPr>
                <w:rFonts w:hint="eastAsia" w:ascii="宋体" w:hAnsi="宋体"/>
                <w:b/>
                <w:bCs/>
                <w:color w:val="auto"/>
                <w:sz w:val="22"/>
                <w:highlight w:val="none"/>
                <w:lang w:val="zh-CN"/>
              </w:rPr>
              <w:t xml:space="preserve">小微企业价格扣除</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2</w:t>
            </w:r>
            <w:r>
              <w:rPr>
                <w:rFonts w:hint="eastAsia" w:ascii="宋体" w:hAnsi="宋体"/>
                <w:color w:val="auto"/>
                <w:sz w:val="22"/>
                <w:highlight w:val="none"/>
                <w:lang w:val="zh-CN"/>
              </w:rPr>
              <w:t xml:space="preserve">.1货物采购项目对小微企业生产的产品给予报价的</w:t>
            </w:r>
            <w:r>
              <w:rPr>
                <w:rFonts w:hint="eastAsia" w:ascii="宋体" w:hAnsi="宋体"/>
                <w:b/>
                <w:bCs/>
                <w:color w:val="auto"/>
                <w:sz w:val="22"/>
                <w:highlight w:val="none"/>
                <w:lang w:val="zh-CN"/>
              </w:rPr>
              <w:t xml:space="preserve">10%</w:t>
            </w:r>
            <w:r>
              <w:rPr>
                <w:rFonts w:hint="eastAsia" w:ascii="宋体" w:hAnsi="宋体"/>
                <w:color w:val="auto"/>
                <w:sz w:val="22"/>
                <w:highlight w:val="none"/>
                <w:lang w:val="zh-CN"/>
              </w:rPr>
              <w:t xml:space="preserve">价格扣除，用扣除后的价格参与评审。</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2</w:t>
            </w:r>
            <w:r>
              <w:rPr>
                <w:rFonts w:hint="eastAsia" w:ascii="宋体" w:hAnsi="宋体"/>
                <w:color w:val="auto"/>
                <w:sz w:val="22"/>
                <w:highlight w:val="none"/>
                <w:lang w:val="zh-CN"/>
              </w:rPr>
              <w:t xml:space="preserve">.2大中型企业和其他自然人、法人或者其他组织与小型、微型企业组成联合体共同参加</w:t>
            </w:r>
            <w:r>
              <w:rPr>
                <w:rFonts w:hint="eastAsia" w:ascii="宋体" w:hAnsi="宋体"/>
                <w:color w:val="auto"/>
                <w:sz w:val="22"/>
                <w:highlight w:val="none"/>
              </w:rPr>
              <w:t xml:space="preserve">评审</w:t>
            </w:r>
            <w:r>
              <w:rPr>
                <w:rFonts w:hint="eastAsia" w:ascii="宋体" w:hAnsi="宋体"/>
                <w:color w:val="auto"/>
                <w:sz w:val="22"/>
                <w:highlight w:val="none"/>
                <w:lang w:val="zh-CN"/>
              </w:rPr>
              <w:t xml:space="preserve">，</w:t>
            </w:r>
            <w:r>
              <w:rPr>
                <w:rFonts w:hint="eastAsia" w:ascii="宋体" w:hAnsi="宋体"/>
                <w:color w:val="auto"/>
                <w:sz w:val="22"/>
                <w:highlight w:val="none"/>
              </w:rPr>
              <w:t xml:space="preserve">对于联合协议或者分包意向协议约定小微企业的合同份额占到合同总金额</w:t>
            </w:r>
            <w:r>
              <w:rPr>
                <w:rFonts w:hint="eastAsia" w:ascii="宋体" w:hAnsi="宋体"/>
                <w:b/>
                <w:bCs/>
                <w:color w:val="auto"/>
                <w:sz w:val="22"/>
                <w:highlight w:val="none"/>
              </w:rPr>
              <w:t xml:space="preserve">30%</w:t>
            </w:r>
            <w:r>
              <w:rPr>
                <w:rFonts w:hint="eastAsia" w:ascii="宋体" w:hAnsi="宋体"/>
                <w:color w:val="auto"/>
                <w:sz w:val="22"/>
                <w:highlight w:val="none"/>
              </w:rPr>
              <w:t xml:space="preserve">以上的，给予联合体</w:t>
            </w:r>
            <w:r>
              <w:rPr>
                <w:rFonts w:hint="eastAsia" w:ascii="宋体" w:hAnsi="宋体"/>
                <w:b/>
                <w:bCs/>
                <w:color w:val="auto"/>
                <w:sz w:val="22"/>
                <w:highlight w:val="none"/>
              </w:rPr>
              <w:t xml:space="preserve">4%</w:t>
            </w:r>
            <w:r>
              <w:rPr>
                <w:rFonts w:hint="eastAsia" w:ascii="宋体" w:hAnsi="宋体"/>
                <w:color w:val="auto"/>
                <w:sz w:val="22"/>
                <w:highlight w:val="none"/>
              </w:rPr>
              <w:t xml:space="preserve">的价格扣除。</w:t>
            </w:r>
            <w:r>
              <w:rPr>
                <w:rFonts w:hint="eastAsia" w:ascii="宋体" w:hAnsi="宋体"/>
                <w:color w:val="auto"/>
                <w:sz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小企业（含小型、微型企业）应当同时符合以下条件：</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（1）供应商为小企业，且符合中小企业划分标准；</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3．</w:t>
            </w:r>
            <w:r>
              <w:rPr>
                <w:rFonts w:hint="eastAsia" w:ascii="宋体" w:hAnsi="宋体"/>
                <w:b/>
                <w:bCs/>
                <w:color w:val="auto"/>
                <w:sz w:val="22"/>
                <w:highlight w:val="none"/>
                <w:lang w:val="zh-CN"/>
              </w:rPr>
              <w:t xml:space="preserve">监狱和戒毒企业的价格扣除</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3</w:t>
            </w:r>
            <w:r>
              <w:rPr>
                <w:rFonts w:hint="eastAsia" w:ascii="宋体" w:hAnsi="宋体"/>
                <w:b/>
                <w:bCs/>
                <w:color w:val="auto"/>
                <w:sz w:val="22"/>
                <w:highlight w:val="none"/>
                <w:lang w:val="zh-CN"/>
              </w:rPr>
              <w:t xml:space="preserve">.1本项目对监狱和戒毒企业，给予10%的价格扣除，用扣除后的价格参与评审。</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3</w:t>
            </w:r>
            <w:r>
              <w:rPr>
                <w:rFonts w:hint="eastAsia" w:ascii="宋体" w:hAnsi="宋体"/>
                <w:color w:val="auto"/>
                <w:sz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3</w:t>
            </w:r>
            <w:r>
              <w:rPr>
                <w:rFonts w:hint="eastAsia" w:ascii="宋体" w:hAnsi="宋体"/>
                <w:color w:val="auto"/>
                <w:sz w:val="22"/>
                <w:highlight w:val="none"/>
                <w:lang w:val="zh-CN"/>
              </w:rPr>
              <w:t xml:space="preserve">.3监狱企业标准请参照《关于政府采购支持监狱企业发展有关问题的通知》（财库〔2014〕68号）。</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4．</w:t>
            </w:r>
            <w:r>
              <w:rPr>
                <w:rFonts w:hint="eastAsia" w:ascii="宋体" w:hAnsi="宋体"/>
                <w:b/>
                <w:bCs/>
                <w:color w:val="auto"/>
                <w:sz w:val="22"/>
                <w:highlight w:val="none"/>
                <w:lang w:val="zh-CN"/>
              </w:rPr>
              <w:t xml:space="preserve">残疾人福利性单位的价格扣除</w:t>
            </w:r>
            <w:r/>
          </w:p>
          <w:p>
            <w:pPr>
              <w:ind w:firstLine="442"/>
              <w:spacing w:line="360" w:lineRule="auto"/>
              <w:rPr>
                <w:rFonts w:ascii="宋体" w:hAnsi="宋体"/>
                <w:color w:val="auto"/>
                <w:sz w:val="22"/>
                <w:highlight w:val="none"/>
                <w:lang w:val="zh-CN"/>
              </w:rPr>
            </w:pPr>
            <w:r>
              <w:rPr>
                <w:rFonts w:hint="eastAsia" w:ascii="宋体" w:hAnsi="宋体"/>
                <w:b/>
                <w:bCs/>
                <w:color w:val="auto"/>
                <w:sz w:val="22"/>
                <w:highlight w:val="none"/>
              </w:rPr>
              <w:t xml:space="preserve">4</w:t>
            </w:r>
            <w:r>
              <w:rPr>
                <w:rFonts w:hint="eastAsia" w:ascii="宋体" w:hAnsi="宋体"/>
                <w:b/>
                <w:bCs/>
                <w:color w:val="auto"/>
                <w:sz w:val="22"/>
                <w:highlight w:val="none"/>
                <w:lang w:val="zh-CN"/>
              </w:rPr>
              <w:t xml:space="preserve">.1本项目对残疾人福利性单位，给予10%的价格扣除，用扣除后的价格参与评审。</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4</w:t>
            </w:r>
            <w:r>
              <w:rPr>
                <w:rFonts w:hint="eastAsia" w:ascii="宋体" w:hAnsi="宋体"/>
                <w:color w:val="auto"/>
                <w:sz w:val="22"/>
                <w:highlight w:val="none"/>
                <w:lang w:val="zh-CN"/>
              </w:rPr>
              <w:t xml:space="preserve">.2残疾人福利性单位需提供《残疾人福利性单位声明函》。</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4</w:t>
            </w:r>
            <w:r>
              <w:rPr>
                <w:rFonts w:hint="eastAsia" w:ascii="宋体" w:hAnsi="宋体"/>
                <w:color w:val="auto"/>
                <w:sz w:val="22"/>
                <w:highlight w:val="none"/>
                <w:lang w:val="zh-CN"/>
              </w:rPr>
              <w:t xml:space="preserve">.3残疾人福利性单位标准请参照《关于促进残疾人就业政府采购政策的通知》（财库〔2017〕141号）。</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5</w:t>
            </w:r>
            <w:r>
              <w:rPr>
                <w:rFonts w:hint="eastAsia" w:ascii="宋体" w:hAnsi="宋体"/>
                <w:color w:val="auto"/>
                <w:sz w:val="22"/>
                <w:highlight w:val="none"/>
              </w:rPr>
              <w:t xml:space="preserve">．</w:t>
            </w:r>
            <w:r>
              <w:rPr>
                <w:rFonts w:hint="eastAsia" w:ascii="宋体" w:hAnsi="宋体"/>
                <w:b/>
                <w:bCs/>
                <w:color w:val="auto"/>
                <w:sz w:val="22"/>
                <w:highlight w:val="none"/>
                <w:lang w:val="zh-CN"/>
              </w:rPr>
              <w:t xml:space="preserve">监狱企业、残疾人福利性单位属于小型、微型企业的，不重复享受政策。</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6．</w:t>
            </w:r>
            <w:r>
              <w:rPr>
                <w:rFonts w:hint="eastAsia" w:ascii="宋体" w:hAnsi="宋体"/>
                <w:color w:val="auto"/>
                <w:sz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highlight w:val="none"/>
              </w:rPr>
              <w:t xml:space="preserve">扫描件</w:t>
            </w:r>
            <w:r>
              <w:rPr>
                <w:rFonts w:hint="eastAsia" w:ascii="宋体" w:hAnsi="宋体"/>
                <w:color w:val="auto"/>
                <w:sz w:val="22"/>
                <w:highlight w:val="none"/>
                <w:lang w:val="zh-CN"/>
              </w:rPr>
              <w:t xml:space="preserve">为准）。</w:t>
            </w:r>
            <w:r/>
          </w:p>
          <w:p>
            <w:pPr>
              <w:ind w:firstLine="442"/>
              <w:spacing w:line="360" w:lineRule="auto"/>
              <w:rPr>
                <w:rFonts w:ascii="宋体" w:hAnsi="宋体"/>
                <w:b/>
                <w:bCs/>
                <w:color w:val="auto"/>
                <w:sz w:val="22"/>
                <w:highlight w:val="none"/>
              </w:rPr>
            </w:pPr>
            <w:r>
              <w:rPr>
                <w:rFonts w:hint="eastAsia" w:ascii="宋体" w:hAnsi="宋体"/>
                <w:b/>
                <w:bCs/>
                <w:color w:val="auto"/>
                <w:sz w:val="22"/>
                <w:highlight w:val="none"/>
              </w:rPr>
              <w:t xml:space="preserve">7.采购本国产品的支持政策</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8</w:t>
            </w:r>
            <w:r>
              <w:rPr>
                <w:rFonts w:hint="eastAsia" w:ascii="宋体" w:hAnsi="宋体"/>
                <w:b/>
                <w:bCs/>
                <w:color w:val="auto"/>
                <w:sz w:val="22"/>
                <w:highlight w:val="none"/>
                <w:lang w:val="zh-CN"/>
              </w:rPr>
              <w:t xml:space="preserve">．所有证明材料均以有效的扫描</w:t>
            </w:r>
            <w:r>
              <w:rPr>
                <w:rFonts w:hint="eastAsia" w:ascii="宋体" w:hAnsi="宋体"/>
                <w:b/>
                <w:bCs/>
                <w:color w:val="auto"/>
                <w:sz w:val="22"/>
                <w:highlight w:val="none"/>
              </w:rPr>
              <w:t xml:space="preserve">件</w:t>
            </w:r>
            <w:r>
              <w:rPr>
                <w:rFonts w:hint="eastAsia" w:ascii="宋体" w:hAnsi="宋体"/>
                <w:b/>
                <w:bCs/>
                <w:color w:val="auto"/>
                <w:sz w:val="22"/>
                <w:highlight w:val="none"/>
                <w:lang w:val="zh-CN"/>
              </w:rPr>
              <w:t xml:space="preserve">为依据。</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（1）供应商业绩和人员业绩：以提供的合同或</w:t>
            </w:r>
            <w:r>
              <w:rPr>
                <w:rFonts w:hint="eastAsia" w:ascii="宋体" w:hAnsi="宋体"/>
                <w:b/>
                <w:bCs/>
                <w:color w:val="auto"/>
                <w:sz w:val="22"/>
                <w:highlight w:val="none"/>
              </w:rPr>
              <w:t xml:space="preserve">相关业绩证明材料扫描件</w:t>
            </w:r>
            <w:r>
              <w:rPr>
                <w:rFonts w:hint="eastAsia" w:ascii="宋体" w:hAnsi="宋体"/>
                <w:b/>
                <w:bCs/>
                <w:color w:val="auto"/>
                <w:sz w:val="22"/>
                <w:highlight w:val="none"/>
                <w:lang w:val="zh-CN"/>
              </w:rPr>
              <w:t xml:space="preserve">为准。</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w:t>
            </w:r>
            <w:r>
              <w:rPr>
                <w:rFonts w:hint="eastAsia" w:ascii="宋体" w:hAnsi="宋体"/>
                <w:b/>
                <w:bCs/>
                <w:color w:val="auto"/>
                <w:sz w:val="22"/>
                <w:highlight w:val="none"/>
              </w:rPr>
              <w:t xml:space="preserve">2</w:t>
            </w:r>
            <w:r>
              <w:rPr>
                <w:rFonts w:hint="eastAsia" w:ascii="宋体" w:hAnsi="宋体"/>
                <w:b/>
                <w:bCs/>
                <w:color w:val="auto"/>
                <w:sz w:val="22"/>
                <w:highlight w:val="none"/>
                <w:lang w:val="zh-CN"/>
              </w:rPr>
              <w:t xml:space="preserve">）人员业绩和供应商业绩可重复计算（如有）。</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w:t>
            </w:r>
            <w:r>
              <w:rPr>
                <w:rFonts w:hint="eastAsia" w:ascii="宋体" w:hAnsi="宋体"/>
                <w:b/>
                <w:bCs/>
                <w:color w:val="auto"/>
                <w:sz w:val="22"/>
                <w:highlight w:val="none"/>
              </w:rPr>
              <w:t xml:space="preserve">3</w:t>
            </w:r>
            <w:r>
              <w:rPr>
                <w:rFonts w:hint="eastAsia" w:ascii="宋体" w:hAnsi="宋体"/>
                <w:b/>
                <w:bCs/>
                <w:color w:val="auto"/>
                <w:sz w:val="22"/>
                <w:highlight w:val="none"/>
                <w:lang w:val="zh-CN"/>
              </w:rPr>
              <w:t xml:space="preserve">）提供的合同、中标（成交）通知书或履约证明材料或咨询成果等材料均不能</w:t>
            </w:r>
            <w:r>
              <w:rPr>
                <w:rFonts w:hint="eastAsia" w:ascii="宋体" w:hAnsi="宋体"/>
                <w:b/>
                <w:bCs/>
                <w:color w:val="auto"/>
                <w:sz w:val="22"/>
                <w:highlight w:val="none"/>
              </w:rPr>
              <w:t xml:space="preserve">反映</w:t>
            </w:r>
            <w:r>
              <w:rPr>
                <w:rFonts w:hint="eastAsia" w:ascii="宋体" w:hAnsi="宋体"/>
                <w:b/>
                <w:bCs/>
                <w:color w:val="auto"/>
                <w:sz w:val="22"/>
                <w:highlight w:val="none"/>
                <w:lang w:val="zh-CN"/>
              </w:rPr>
              <w:t xml:space="preserve">出相关数据、内容的，视为未提供。</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ascii="宋体" w:hAnsi="宋体"/>
                <w:bCs/>
                <w:color w:val="auto"/>
                <w:sz w:val="22"/>
                <w:highlight w:val="none"/>
                <w:lang w:val="zh-CN"/>
              </w:rPr>
            </w:pPr>
            <w:r/>
            <w:bookmarkStart w:id="102" w:name="OLE_LINK30"/>
            <w:r/>
            <w:bookmarkStart w:id="103" w:name="OLE_LINK31"/>
            <w:r>
              <w:rPr>
                <w:rFonts w:hint="eastAsia" w:ascii="宋体" w:hAnsi="宋体"/>
                <w:bCs/>
                <w:color w:val="auto"/>
                <w:sz w:val="22"/>
                <w:highlight w:val="none"/>
                <w:lang w:val="zh-CN"/>
              </w:rPr>
              <w:t xml:space="preserve">9．根据财政部</w:t>
            </w:r>
            <w:bookmarkStart w:id="104" w:name="OLE_LINK36"/>
            <w:r/>
            <w:bookmarkStart w:id="105" w:name="OLE_LINK37"/>
            <w:r>
              <w:rPr>
                <w:rFonts w:hint="eastAsia" w:ascii="宋体" w:hAnsi="宋体"/>
                <w:bCs/>
                <w:color w:val="auto"/>
                <w:sz w:val="22"/>
                <w:highlight w:val="none"/>
                <w:lang w:val="zh-CN"/>
              </w:rPr>
              <w:t xml:space="preserve">《关于推动解决政府采购异常低价问题的通知》(财库【2026】2号)</w:t>
            </w:r>
            <w:bookmarkEnd w:id="104"/>
            <w:r/>
            <w:bookmarkEnd w:id="105"/>
            <w:r>
              <w:rPr>
                <w:rFonts w:hint="eastAsia" w:ascii="宋体" w:hAnsi="宋体"/>
                <w:bCs/>
                <w:color w:val="auto"/>
                <w:sz w:val="22"/>
                <w:highlight w:val="none"/>
                <w:lang w:val="zh-CN"/>
              </w:rPr>
              <w:t xml:space="preserve">要求，评审过程中出现下列情形之一的，评审委员会应当启动异常低价投标(响应)审查程序:</w:t>
            </w:r>
            <w:r/>
          </w:p>
          <w:p>
            <w:pPr>
              <w:ind w:firstLine="440"/>
              <w:spacing w:line="360" w:lineRule="auto"/>
              <w:rPr>
                <w:rFonts w:ascii="宋体" w:hAnsi="宋体"/>
                <w:bCs/>
                <w:color w:val="auto"/>
                <w:sz w:val="22"/>
                <w:highlight w:val="none"/>
                <w:lang w:val="zh-CN"/>
              </w:rPr>
            </w:pPr>
            <w:r/>
            <w:bookmarkStart w:id="106" w:name="OLE_LINK21"/>
            <w:r/>
            <w:bookmarkStart w:id="107" w:name="OLE_LINK22"/>
            <w:r>
              <w:rPr>
                <w:rFonts w:hint="eastAsia" w:ascii="宋体" w:hAnsi="宋体"/>
                <w:bCs/>
                <w:color w:val="auto"/>
                <w:sz w:val="22"/>
                <w:highlight w:val="none"/>
                <w:lang w:val="zh-CN"/>
              </w:rPr>
              <w:t xml:space="preserve">（1）投标（响应）报价低于全部通过符合性审查供应商投标(响应)报价平均值50%的，即投标(响应)报价</w:t>
            </w:r>
            <w:bookmarkStart w:id="108" w:name="OLE_LINK23"/>
            <w:r>
              <w:rPr>
                <w:rFonts w:hint="eastAsia" w:ascii="宋体" w:hAnsi="宋体"/>
                <w:bCs/>
                <w:color w:val="auto"/>
                <w:sz w:val="22"/>
                <w:highlight w:val="none"/>
                <w:lang w:val="zh-CN"/>
              </w:rPr>
              <w:t xml:space="preserve">＜</w:t>
            </w:r>
            <w:bookmarkEnd w:id="108"/>
            <w:r>
              <w:rPr>
                <w:rFonts w:hint="eastAsia" w:ascii="宋体" w:hAnsi="宋体"/>
                <w:bCs/>
                <w:color w:val="auto"/>
                <w:sz w:val="22"/>
                <w:highlight w:val="none"/>
                <w:lang w:val="zh-CN"/>
              </w:rPr>
              <w:t xml:space="preserve">全部通过符合性审查供应商投标(响应)报价平均值</w:t>
            </w:r>
            <w:bookmarkStart w:id="109" w:name="OLE_LINK25"/>
            <w:r/>
            <w:bookmarkStart w:id="110" w:name="OLE_LINK24"/>
            <w:r>
              <w:rPr>
                <w:rFonts w:hint="eastAsia" w:ascii="宋体" w:hAnsi="宋体"/>
                <w:bCs/>
                <w:color w:val="auto"/>
                <w:sz w:val="22"/>
                <w:highlight w:val="none"/>
                <w:lang w:val="zh-CN"/>
              </w:rPr>
              <w:t xml:space="preserve">×</w:t>
            </w:r>
            <w:bookmarkEnd w:id="109"/>
            <w:r/>
            <w:bookmarkEnd w:id="110"/>
            <w:r>
              <w:rPr>
                <w:rFonts w:hint="eastAsia" w:ascii="宋体" w:hAnsi="宋体"/>
                <w:bCs/>
                <w:color w:val="auto"/>
                <w:sz w:val="22"/>
                <w:highlight w:val="none"/>
                <w:lang w:val="zh-CN"/>
              </w:rPr>
              <w:t xml:space="preserve">50%；</w:t>
            </w:r>
            <w:r/>
          </w:p>
          <w:p>
            <w:pPr>
              <w:ind w:firstLine="440"/>
              <w:spacing w:line="360" w:lineRule="auto"/>
              <w:rPr>
                <w:rFonts w:ascii="宋体" w:hAnsi="宋体"/>
                <w:bCs/>
                <w:color w:val="auto"/>
                <w:sz w:val="22"/>
                <w:highlight w:val="none"/>
                <w:lang w:val="zh-CN"/>
              </w:rPr>
            </w:pPr>
            <w:r>
              <w:rPr>
                <w:rFonts w:hint="eastAsia" w:ascii="宋体" w:hAnsi="宋体"/>
                <w:bCs/>
                <w:color w:val="auto"/>
                <w:sz w:val="22"/>
                <w:highlight w:val="none"/>
                <w:lang w:val="zh-CN"/>
              </w:rPr>
              <w:t xml:space="preserve">（2）投标(响应)报价低于通过符合性审查的次低报价供应商投标(响应)报价50%的，即投标(响应)报价</w:t>
            </w:r>
            <w:bookmarkStart w:id="111" w:name="OLE_LINK27"/>
            <w:r/>
            <w:bookmarkStart w:id="112" w:name="OLE_LINK26"/>
            <w:r>
              <w:rPr>
                <w:rFonts w:hint="eastAsia" w:ascii="宋体" w:hAnsi="宋体"/>
                <w:bCs/>
                <w:color w:val="auto"/>
                <w:sz w:val="22"/>
                <w:highlight w:val="none"/>
                <w:lang w:val="zh-CN"/>
              </w:rPr>
              <w:t xml:space="preserve">＜</w:t>
            </w:r>
            <w:bookmarkEnd w:id="111"/>
            <w:r/>
            <w:bookmarkEnd w:id="112"/>
            <w:r>
              <w:rPr>
                <w:rFonts w:hint="eastAsia" w:ascii="宋体" w:hAnsi="宋体"/>
                <w:bCs/>
                <w:color w:val="auto"/>
                <w:sz w:val="22"/>
                <w:highlight w:val="none"/>
                <w:lang w:val="zh-CN"/>
              </w:rPr>
              <w:t xml:space="preserve">通过符合性审查的次低报价供应商投标(响应)报价×50%；</w:t>
            </w:r>
            <w:r/>
          </w:p>
          <w:p>
            <w:pPr>
              <w:ind w:firstLine="440"/>
              <w:spacing w:line="360" w:lineRule="auto"/>
              <w:rPr>
                <w:rFonts w:ascii="宋体" w:hAnsi="宋体"/>
                <w:bCs/>
                <w:color w:val="auto"/>
                <w:sz w:val="22"/>
                <w:highlight w:val="none"/>
                <w:lang w:val="zh-CN"/>
              </w:rPr>
            </w:pPr>
            <w:r>
              <w:rPr>
                <w:rFonts w:hint="eastAsia" w:ascii="宋体" w:hAnsi="宋体"/>
                <w:bCs/>
                <w:color w:val="auto"/>
                <w:sz w:val="22"/>
                <w:highlight w:val="none"/>
                <w:lang w:val="zh-CN"/>
              </w:rPr>
              <w:t xml:space="preserve">（3）投标(响应)报价低于采购项目最高限价45%的，即投标(响应)报价＜采购项目最高限价×45%；</w:t>
            </w:r>
            <w:r/>
          </w:p>
          <w:p>
            <w:pPr>
              <w:ind w:firstLine="440"/>
              <w:spacing w:line="360" w:lineRule="auto"/>
              <w:rPr>
                <w:rFonts w:ascii="宋体" w:hAnsi="宋体"/>
                <w:bCs/>
                <w:color w:val="auto"/>
                <w:sz w:val="22"/>
                <w:highlight w:val="none"/>
                <w:lang w:val="zh-CN"/>
              </w:rPr>
            </w:pPr>
            <w:r>
              <w:rPr>
                <w:rFonts w:hint="eastAsia" w:ascii="宋体" w:hAnsi="宋体"/>
                <w:bCs/>
                <w:color w:val="auto"/>
                <w:sz w:val="22"/>
                <w:highlight w:val="none"/>
                <w:lang w:val="zh-CN"/>
              </w:rPr>
              <w:t xml:space="preserve">（4）评审委员会基于专业判断，认为供应商报价过低，有可能影响产品质量或者不能诚信履约的其他情形。</w:t>
            </w:r>
            <w:bookmarkEnd w:id="106"/>
            <w:r/>
            <w:bookmarkEnd w:id="107"/>
            <w:r/>
            <w:r/>
          </w:p>
          <w:p>
            <w:pPr>
              <w:ind w:firstLine="440"/>
              <w:spacing w:line="360" w:lineRule="auto"/>
              <w:rPr>
                <w:rFonts w:ascii="宋体" w:hAnsi="宋体"/>
                <w:bCs/>
                <w:color w:val="auto"/>
                <w:sz w:val="22"/>
                <w:highlight w:val="none"/>
                <w:lang w:val="zh-CN"/>
              </w:rPr>
            </w:pPr>
            <w:r>
              <w:rPr>
                <w:rFonts w:hint="eastAsia" w:ascii="宋体" w:hAnsi="宋体"/>
                <w:bCs/>
                <w:color w:val="auto"/>
                <w:sz w:val="22"/>
                <w:highlight w:val="none"/>
                <w:lang w:val="zh-CN"/>
              </w:rPr>
              <w:t xml:space="preserve">具体要求按《关于推动解决政府采购异常低价问题的通知》(财库【2026】2号)执行。</w:t>
            </w:r>
            <w:bookmarkEnd w:id="102"/>
            <w:r/>
            <w:bookmarkEnd w:id="103"/>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10</w:t>
            </w:r>
            <w:r>
              <w:rPr>
                <w:rFonts w:hint="eastAsia" w:ascii="宋体" w:hAnsi="宋体"/>
                <w:color w:val="auto"/>
                <w:sz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ascii="宋体" w:hAnsi="宋体" w:cs="宋体"/>
                <w:color w:val="auto"/>
                <w:spacing w:val="-11"/>
                <w:highlight w:val="none"/>
              </w:rPr>
            </w:pPr>
            <w:r>
              <w:rPr>
                <w:rFonts w:hint="eastAsia" w:ascii="宋体" w:hAnsi="宋体"/>
                <w:color w:val="auto"/>
                <w:sz w:val="22"/>
                <w:szCs w:val="21"/>
                <w:highlight w:val="none"/>
              </w:rPr>
              <w:t xml:space="preserve">11</w:t>
            </w:r>
            <w:r>
              <w:rPr>
                <w:rFonts w:hint="eastAsia" w:ascii="宋体" w:hAnsi="宋体"/>
                <w:color w:val="auto"/>
                <w:sz w:val="22"/>
                <w:szCs w:val="21"/>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End w:id="43"/>
            <w:bookmarkEnd w:id="44"/>
            <w:bookmarkEnd w:id="45"/>
            <w:bookmarkEnd w:id="46"/>
            <w:bookmarkEnd w:id="47"/>
            <w:bookmarkEnd w:id="48"/>
            <w:r/>
          </w:p>
        </w:tc>
      </w:tr>
    </w:tbl>
    <w:p>
      <w:pPr>
        <w:pStyle w:val="806"/>
        <w:rPr>
          <w:color w:val="auto"/>
          <w:highlight w:val="none"/>
        </w:rPr>
      </w:pPr>
      <w:r>
        <w:rPr>
          <w:color w:val="auto"/>
          <w:highlight w:val="none"/>
        </w:rPr>
      </w:r>
      <w:r/>
    </w:p>
    <w:p>
      <w:pPr>
        <w:jc w:val="left"/>
        <w:spacing w:line="360" w:lineRule="auto"/>
        <w:rPr>
          <w:color w:val="auto"/>
          <w:highlight w:val="none"/>
          <w:lang w:val="zh-CN"/>
        </w:rPr>
        <w:outlineLvl w:val="1"/>
      </w:pPr>
      <w:r>
        <w:rPr>
          <w:color w:val="auto"/>
          <w:highlight w:val="none"/>
          <w:lang w:val="zh-CN"/>
        </w:rPr>
      </w:r>
      <w:r/>
    </w:p>
    <w:p>
      <w:pPr>
        <w:pStyle w:val="806"/>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s="宋体"/>
          <w:b/>
          <w:bCs/>
          <w:color w:val="auto"/>
          <w:spacing w:val="-10"/>
          <w:sz w:val="36"/>
          <w:szCs w:val="36"/>
          <w:highlight w:val="none"/>
          <w:lang w:val="zh-CN"/>
        </w:rPr>
        <w:outlineLvl w:val="0"/>
      </w:pPr>
      <w:r>
        <w:rPr>
          <w:rFonts w:hint="eastAsia" w:ascii="宋体" w:hAnsi="宋体" w:cs="宋体"/>
          <w:b/>
          <w:bCs/>
          <w:color w:val="auto"/>
          <w:sz w:val="36"/>
          <w:szCs w:val="36"/>
          <w:highlight w:val="none"/>
          <w:lang w:val="zh-CN"/>
        </w:rPr>
        <w:br w:type="page" w:clear="all"/>
      </w:r>
      <w:bookmarkStart w:id="113" w:name="_Toc228350074"/>
      <w:r>
        <w:rPr>
          <w:rFonts w:hint="eastAsia" w:ascii="宋体" w:hAnsi="宋体" w:cs="宋体"/>
          <w:b/>
          <w:bCs/>
          <w:color w:val="auto"/>
          <w:spacing w:val="-10"/>
          <w:sz w:val="36"/>
          <w:szCs w:val="36"/>
          <w:highlight w:val="none"/>
          <w:lang w:val="zh-CN"/>
        </w:rPr>
        <w:t xml:space="preserve">第四章  采购需求</w:t>
      </w:r>
      <w:bookmarkEnd w:id="113"/>
      <w:r/>
      <w:r/>
    </w:p>
    <w:p>
      <w:pPr>
        <w:ind w:firstLine="482"/>
        <w:spacing w:line="360" w:lineRule="auto"/>
        <w:rPr>
          <w:rFonts w:ascii="黑体" w:hAnsi="黑体" w:eastAsia="黑体" w:cs="黑体"/>
          <w:color w:val="auto"/>
          <w:sz w:val="24"/>
          <w:szCs w:val="24"/>
          <w:highlight w:val="none"/>
        </w:rPr>
      </w:pPr>
      <w:r>
        <w:rPr>
          <w:rFonts w:hint="eastAsia" w:ascii="黑体" w:hAnsi="黑体" w:eastAsia="黑体" w:cs="黑体"/>
          <w:b/>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2"/>
        <w:spacing w:line="360" w:lineRule="auto"/>
        <w:rPr>
          <w:rFonts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二、项目概况</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本项目为南京师范大学附属中学江北新区学校体育装备采购、安装、调试并培训使用，保障学校正常教学活动开展，具体详见采购需求。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60" w:lineRule="auto"/>
        <w:rPr>
          <w:rFonts w:ascii="宋体" w:hAnsi="宋体" w:cs="宋体"/>
          <w:bCs/>
          <w:color w:val="auto"/>
          <w:sz w:val="24"/>
          <w:szCs w:val="24"/>
          <w:highlight w:val="none"/>
        </w:rPr>
      </w:pPr>
      <w:r/>
      <w:bookmarkStart w:id="114" w:name="OLE_LINK35"/>
      <w:r/>
      <w:bookmarkStart w:id="115" w:name="OLE_LINK38"/>
      <w:r>
        <w:rPr>
          <w:rFonts w:hint="eastAsia" w:ascii="宋体" w:hAnsi="宋体" w:cs="宋体"/>
          <w:bCs/>
          <w:color w:val="auto"/>
          <w:sz w:val="24"/>
          <w:szCs w:val="24"/>
          <w:highlight w:val="none"/>
        </w:rPr>
        <w:t xml:space="preserve">（三）资产配置标准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符合《南京市中小学通用资产配置标准》</w:t>
      </w:r>
      <w:bookmarkEnd w:id="114"/>
      <w:r/>
      <w:bookmarkEnd w:id="115"/>
      <w:r/>
      <w:r/>
    </w:p>
    <w:p>
      <w:pPr>
        <w:ind w:firstLine="482"/>
        <w:spacing w:line="360" w:lineRule="auto"/>
        <w:rPr>
          <w:rFonts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三、项目清单</w:t>
      </w:r>
      <w:r/>
    </w:p>
    <w:tbl>
      <w:tblPr>
        <w:tblStyle w:val="679"/>
        <w:tblW w:w="937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3670"/>
        <w:gridCol w:w="851"/>
        <w:gridCol w:w="850"/>
        <w:gridCol w:w="1134"/>
        <w:gridCol w:w="1134"/>
        <w:gridCol w:w="851"/>
      </w:tblGrid>
      <w:tr>
        <w:trPr>
          <w:trHeight w:val="570"/>
        </w:trPr>
        <w:tc>
          <w:tcPr>
            <w:shd w:val="clear" w:color="000000" w:fill="ffffff"/>
            <w:tcW w:w="88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000000" w:fill="ffffff"/>
            <w:tcW w:w="367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shd w:val="clear" w:color="000000" w:fill="ffffff"/>
            <w:tcW w:w="851"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shd w:val="clear" w:color="000000" w:fill="ffffff"/>
            <w:tcW w:w="85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W w:w="1134"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产品类型</w:t>
            </w:r>
            <w:r/>
          </w:p>
        </w:tc>
        <w:tc>
          <w:tcPr>
            <w:tcW w:w="1134"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所属行业</w:t>
            </w:r>
            <w:r/>
          </w:p>
        </w:tc>
        <w:tc>
          <w:tcPr>
            <w:tcW w:w="851"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属性</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跑步机-按键板【操作屏24寸</w:t>
            </w:r>
            <w:r>
              <w:rPr>
                <w:rFonts w:ascii="宋体" w:hAnsi="宋体" w:cs="宋体"/>
                <w:color w:val="auto"/>
                <w:szCs w:val="21"/>
                <w:highlight w:val="none"/>
              </w:rPr>
              <w:t xml:space="preserve">】</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bookmarkStart w:id="116" w:name="RANGE!E2"/>
            <w:r>
              <w:rPr>
                <w:rFonts w:hint="eastAsia" w:ascii="宋体" w:hAnsi="宋体" w:cs="宋体"/>
                <w:color w:val="auto"/>
                <w:szCs w:val="21"/>
                <w:highlight w:val="none"/>
              </w:rPr>
              <w:t xml:space="preserve">/</w:t>
            </w:r>
            <w:bookmarkEnd w:id="116"/>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铝合金氧化本色水阻划船器</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雷霆单车</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综合训练器</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哑铃架组合</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可调哑铃练习椅</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可调式腹肌板训练器</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瑜伽垫</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面</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室内乒乓球台</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台球桌</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休息椅</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休息桌</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更衣凳</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更衣柜</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茶水柜</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扩音设备</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电动充气泵</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钢卷尺1</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盒</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钢卷尺2</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盒</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钢卷尺3</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盒</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机械秒表</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数字秒表</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球车</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辆</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划线器</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标志筒</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标志碟</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体育场地标志胶带</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盘</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记分牌1</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记分牌2</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口哨</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推水器</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体育器材柜</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身高体重测试仪</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肺活量测试仪</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握力测试仪</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坐位体前屈测试仪</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仰卧起坐测试板</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哑铃架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哑铃</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橡皮拉力带1</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橡皮拉力带2</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药球</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平衡垫</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腹肌轮</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卧推架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倒立架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可调式腹肌板</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体能训练绳梯</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敏捷训练梯</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敏捷训练垫</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敏捷训练圈</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敏捷训练栏架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敏捷反应灯</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肋木架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架</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平行梯</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架</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摸高架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架</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接力棒</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跨栏架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跨栏架推车</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辆</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起跑器</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可移动起跑器摆放架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发令器</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跳高架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跳高垫</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跳高横杆</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跳高丈量尺</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把</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起跳板</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平沙器</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铅球1</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铅球2</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铅球3</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铅球4</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铅球5</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铅球投掷圈</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铅球抵趾板</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铅球推车</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辆</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实心球1</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实心球2</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田径标志旗杆</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田径裁判旗</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田径裁判台</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助跳板</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单杠</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架</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双杠</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架</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小跳垫</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大跳垫</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体操棒</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体操凳</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艺术体操球</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艺术体操圈</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艺术体操棒</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艺术体操绳</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艺术体操带</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足球门1</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足球门2</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足球门3</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足球网1</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足球网2</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足球网3</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足球角旗杆</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足球换人牌</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足球裁判旗</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足球红黄牌</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足球标志杆</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足球分队服</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篮球1</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篮球2</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室外篮球架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rPr>
              <w:t xml:space="preserve">核心产品</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篮球队员犯规次数牌</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篮球分队服</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室内篮球架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bookmarkStart w:id="117" w:name="OLE_LINK10"/>
            <w:r/>
            <w:bookmarkStart w:id="118" w:name="OLE_LINK9"/>
            <w:r>
              <w:rPr>
                <w:rFonts w:hint="eastAsia" w:ascii="宋体" w:hAnsi="宋体" w:cs="宋体"/>
                <w:color w:val="auto"/>
                <w:szCs w:val="21"/>
                <w:highlight w:val="none"/>
              </w:rPr>
              <w:t xml:space="preserve">核心产品</w:t>
            </w:r>
            <w:bookmarkEnd w:id="117"/>
            <w:r/>
            <w:bookmarkEnd w:id="118"/>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羽毛球场地地胶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场</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排球</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气排球</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排球网柱</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排球网</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排球标志杆</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排球换人牌</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排球红黄牌</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司线裁判旗</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乒乓球</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盒</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乒乓球拍</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乒乓球网架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室内乒乓球台</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羽毛球</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筒</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羽毛球拍</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羽毛球网柱</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羽毛球网</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131</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拔河绳</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132</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花毽</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133</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软式飞盘</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134</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彩带球</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双</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135</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跳绳1</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136</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跳绳2</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137</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跳绳3</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138</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球车</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139</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更衣柜</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140</w:t>
            </w:r>
            <w:r/>
          </w:p>
        </w:tc>
        <w:tc>
          <w:tcPr>
            <w:tcW w:w="367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更衣凳</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141</w:t>
            </w:r>
            <w:r/>
          </w:p>
        </w:tc>
        <w:tc>
          <w:tcPr>
            <w:tcW w:w="367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800米+1000米米跑AI算法及服务</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142</w:t>
            </w:r>
            <w:r/>
          </w:p>
        </w:tc>
        <w:tc>
          <w:tcPr>
            <w:tcW w:w="367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阳光跑AI算法及服务</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143</w:t>
            </w:r>
            <w:r/>
          </w:p>
        </w:tc>
        <w:tc>
          <w:tcPr>
            <w:tcW w:w="367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立杆套件</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144</w:t>
            </w:r>
            <w:r/>
          </w:p>
        </w:tc>
        <w:tc>
          <w:tcPr>
            <w:tcW w:w="367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AI运动查询终端</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145</w:t>
            </w:r>
            <w:r/>
          </w:p>
        </w:tc>
        <w:tc>
          <w:tcPr>
            <w:tcW w:w="367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学校智慧体育综合管理平台</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146</w:t>
            </w:r>
            <w:r/>
          </w:p>
        </w:tc>
        <w:tc>
          <w:tcPr>
            <w:tcW w:w="367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学校智慧体育移动端</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r>
      <w:tr>
        <w:trPr>
          <w:trHeight w:val="454" w:hRule="exact"/>
        </w:trPr>
        <w:tc>
          <w:tcPr>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147</w:t>
            </w:r>
            <w:r/>
          </w:p>
        </w:tc>
        <w:tc>
          <w:tcPr>
            <w:tcW w:w="367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施工费</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85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其他</w:t>
            </w:r>
            <w:r/>
          </w:p>
        </w:tc>
      </w:tr>
    </w:tbl>
    <w:p>
      <w:pPr>
        <w:rPr>
          <w:color w:val="auto"/>
          <w:highlight w:val="none"/>
        </w:rPr>
      </w:pPr>
      <w:r>
        <w:rPr>
          <w:color w:val="auto"/>
          <w:highlight w:val="none"/>
        </w:rPr>
      </w:r>
      <w:r/>
    </w:p>
    <w:p>
      <w:pPr>
        <w:ind w:firstLine="482"/>
        <w:spacing w:line="360" w:lineRule="auto"/>
        <w:rPr>
          <w:rFonts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四、拟采购标的需要满足的技术、商务要求</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（一）技术要求</w:t>
      </w:r>
      <w:r/>
    </w:p>
    <w:p>
      <w:pPr>
        <w:ind w:firstLine="480"/>
        <w:spacing w:line="360" w:lineRule="auto"/>
        <w:rPr>
          <w:color w:val="auto"/>
          <w:highlight w:val="none"/>
        </w:rPr>
      </w:pPr>
      <w:r>
        <w:rPr>
          <w:rFonts w:hint="eastAsia" w:ascii="宋体" w:hAnsi="宋体" w:cs="宋体"/>
          <w:bCs/>
          <w:color w:val="auto"/>
          <w:sz w:val="24"/>
          <w:szCs w:val="24"/>
          <w:highlight w:val="none"/>
        </w:rPr>
        <w:t xml:space="preserve">1.产品技术指标</w:t>
      </w:r>
      <w:r/>
    </w:p>
    <w:tbl>
      <w:tblPr>
        <w:tblStyle w:val="679"/>
        <w:tblW w:w="9512"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134"/>
        <w:gridCol w:w="4536"/>
        <w:gridCol w:w="992"/>
        <w:gridCol w:w="709"/>
        <w:gridCol w:w="1276"/>
      </w:tblGrid>
      <w:tr>
        <w:trPr>
          <w:trHeight w:val="442"/>
        </w:trPr>
        <w:tc>
          <w:tcPr>
            <w:tcW w:w="865"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34"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名称</w:t>
            </w:r>
            <w:r/>
          </w:p>
        </w:tc>
        <w:tc>
          <w:tcPr>
            <w:tcW w:w="4536"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技术要求</w:t>
            </w:r>
            <w:r/>
          </w:p>
        </w:tc>
        <w:tc>
          <w:tcPr>
            <w:tcW w:w="992"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数量</w:t>
            </w:r>
            <w:r/>
          </w:p>
        </w:tc>
        <w:tc>
          <w:tcPr>
            <w:tcW w:w="709"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单位</w:t>
            </w:r>
            <w:r/>
          </w:p>
        </w:tc>
        <w:tc>
          <w:tcPr>
            <w:tcW w:w="1276"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trHeight w:val="59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跑步机-按键板【操作屏24寸</w:t>
            </w:r>
            <w:r>
              <w:rPr>
                <w:rFonts w:ascii="宋体" w:hAnsi="宋体" w:cs="宋体"/>
                <w:color w:val="auto"/>
                <w:szCs w:val="21"/>
                <w:highlight w:val="none"/>
              </w:rPr>
              <w:t xml:space="preserve">】</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1、产品尺寸：2155*935*1411mm（长宽高）</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2、跑带尺寸：545*3365*T2.5mm（长宽厚）</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3、跑台面积：1450*520mm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4、跑带：免维护钻石纹路跑带</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5、变频器：交流电机：</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6、额定电压：AC220正负10%</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7、额定电流：8.6A  电源线规格：16A AC250V</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8、额定功率：3.0HP</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9、峰值功率：7.0HP</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10、坡度调节：0-20% 扬升</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11、速度调节：1-20km/H   0.1km递增</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12、产品重量：220KG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13、使用者最大重量：150kg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14、锻炼目标数据：时间 距离 卡路里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15、锻炼程序：18个预设程序，手工输入</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16、心率监控：手握心率；50-260（次／分）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17、选择语言：中文／英文</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18、操作面板：10万次级机械按键+21寸</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19、跑板：2.6cm厚度,双面可用20、扶手为50*188mm平椭圆管，表面采用纳米陶化加电泳技术；</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21、支持手机无线充电</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135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铝合金氧化本色水阻划船器</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产品尺寸：2080*395*495mm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1.整体航空铝合金材质。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2.食品级耐冲击抗腐蚀塑料水壶。</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3.可立式收纳。</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4.还原真实划船水流声。</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37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雷霆单车</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1、产品尺寸：1085*985*1550mm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2、产品重量：毛重71.5kg，净重67kg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3、主轮重量：23kg，管型：30*30/60mm（不锈钢管）、40*40mm（正方形管）</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4、手把垂直调整角度：38cm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5、手把水平调整角度：8.5cm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6、座椅垂直调整角度：50cm，座椅水平调整角度：6.5cm，超大中轴：40mm（直径）</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7、脚踏传动中心：20mm（直径）</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8、使用者最大限重：150kg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9、车体是按人体工程力学设计，可供不同身体、体重的人士随意选择，采用中轴与曲柄多螺栓连接机构，安全胶套始终固定在脚踏上，这有效提高运动安全系数。</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216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综合训练器</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产品尺寸：2130*1560*2250mm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产品含一根加长奥杆，200KG杠铃片</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产品功能：飞鸟站立高位下压，坐式高位下拉，杠铃杆左右转体及上推，单双杠，低拉，杠铃杆站立提拉，杠铃杆肩扛蹲起，拳击训练，俯卧撑，引体向上，仰卧勾腿,上斜下斜平卧推举,坐姿勾腿等功能</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216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哑铃架组合</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1、产品尺寸：2120*590*795mm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2、产品重量：62kg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3、整体采用Q235B材质50*100*T3.0mm类椭圆管材精密焊管，产品表面经过先磷化硅烷前处理；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4、喷涂工艺：磷化硅烷前处理，静电喷涂，管内外壁均喷涂。</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5、连接：主架螺丝8.8A；定制高强度阻尼螺丝；配以塑料扣帽美观、防腐蚀；</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6、含2.5kg-25kgCUP材质哑铃，各2对，共20个</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297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可调哑铃练习椅</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1、产品尺寸：1420*675*455mm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2、产品重量：42kg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3、锻炼部位：哑铃训练，组合器械配套器材</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4、整体采用Q235B材质50*100*T3.0mm类矩形管材精密焊管，产品表面经过先磷化硅烷前处理，调节部位采用304不锈钢；</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5、坐垫工艺：一次成型优质皮革双线缝纫，工程塑料背板；</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6、基础配件：铝合金配件。</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7、喷涂工艺：磷化硅烷前处理，静电喷涂，管内外壁均喷涂。</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8、连接：主架螺丝8.8A；定制高强度阻尼螺丝；配以塑料扣帽美观、防腐蚀；</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9、移动方式：整体移动，带移动轮方便移动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37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可调式腹肌板训练器</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1、产品尺寸：1310*465*410mm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2、产品重量：56.5kg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3、锻炼部位：锻炼部位腹肌；带移动轮方便移动。加厚加长座垫适应各体型使用者，减少对脊柱冲击；钩脚泡棉缓冲脚部压力；</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4、整体采用Q235B材质50*100*T3.0mm类矩形管材精密焊管，产品表面经过先磷化硅烷前处理，调节部位采用304不锈钢；</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5、坐垫工艺：一次成型优质皮革双线缝纫，工程塑料背板；</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6、基础配件：铝合金配件。</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7、喷涂工艺：磷化硅烷前处理，全静电喷涂，管内外壁均喷涂。</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8、连接：主架螺丝8.8A；定制高强度阻尼螺丝；配以塑料扣帽美观、防腐蚀；</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9、移动方式：整体移动，带移动轮方便移动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瑜伽垫</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尺寸：长185cmX宽80cmX厚15mm±5mm，高密度NBR材质。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面</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243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室内乒乓球台</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1、台面尺寸：2740mm×1525mm×760mm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2、台面材质:MDF中密度板</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3、有无脚轮:无脚轮</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4、是否可调高度:可调高度</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5、物理性能:</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弹性:230-260mm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弹性均匀度:≤5mm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球台稳定性:≤10</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台面光泽度:≤0.6</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216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台球桌</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石板：45MM精磨青石板</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皮口:牛皮机械压模</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微调:18点精准微调</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袋口:高级铜角袋口</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库性:12MM“1”型分体组合式钢库</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框架:橡木框架</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外径尺寸：2850MM*1550MM*850MM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含打球配件。</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162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休息椅</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不低于以下要求：</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1、参考尺寸：680*580*430/680mm；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2、面料：西皮；</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3、内架：实木多层弯板；</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4、海绵：高密度海绵填充；</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5、脚架：白蜡木实木脚，油漆颜色可定制。</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休息桌</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不低于以下要求：</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1、参考尺寸：φ600*720mm；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2、ABS注塑一次成型；</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3、白色烤漆。</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189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更衣凳</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1、产品结构：板式结构。</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木质：1000×350×370mm±10mm。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软垫：≥1000×350×35-40mm。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凳体参数：凳体采用≥16mm厚E0级刨花板（浸渍胶膜纸饰面）加工制作，不低于1.5mm厚塑制优质封边条机械封边；产品采用全开放式多层储物，拿取便捷，分类明确；凳面面软包采用高密度记忆回弹海绵，外包棉质布料。</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162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更衣柜</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1、产品结构：板式结构。900×500×2200mm±10mm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柜体参数：柜体采用≥16mm厚E1级刨花板（浸渍胶膜纸饰面）加工制作，不低于1.5mm厚塑制优质封边条机械封边；柜体组合柜造型，单柜科学结构划分，一键搞定所有收纳，柜门板采用橘黄色与暖白色作套色处理，柜门开有通风透气孔，增加空气流通，防霉防臭。</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135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茶水柜</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不低于以下要求：</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1、参考尺寸：800*400*850mm；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2、板材均采用16mm厚E0级生态免漆板加工制作，1.5mm厚塑制优质封边条机械封边，下设铝框玻璃门，白框白玻收纳空间；上设两组收纳抽屉。</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教工活动中心</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扩音设备</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1、长度350mm，喇叭口径230mm。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2、功率不低于100瓦</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3、可录音260秒，插U盘，插内存卡。</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4、扩音距离不低于800m</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电动充气泵</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1.双杠铜芯结构。</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2.适用电压：220V，最大气压不小于150PSI，三孔直插，铜嘴加长管</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3.配有高精度气压表,可用于篮、足、排、手、艺术体操等学校用球的充气。</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钢卷尺1</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1、30m摇卷架式，优质碳素结构钢尺带和尺簧；</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2、整体不锈钢材质，手摇润滑无阻力</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盒</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钢卷尺2</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1、50m摇卷架式，优质碳素结构钢尺带和尺簧；</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2、整体不锈钢材质，手摇润滑无阻力</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盒</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钢卷尺3</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1、100m摇卷架式，优质碳素结构钢尺带和尺簧；</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2、整体不锈钢材质，手摇润滑无阻力</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盒</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89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机械秒表</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1.不锈钢外壳；</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2.供中小学生体育达标和项目的测量和教学用，机械式，分针15分/圈，秒针30秒/圈，延续走时6小时，无暂停；</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3.表机采用不锈钢发条，单金属光摆轮，镍基合金游丝及锚式擒纵机构，表机能在－10℃到＋40℃温度范围内保持正常工作；</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4.产品应计时准确，表盘具有分秒刻度，读数清晰，操作柄头具有上弦、起动、回零装置。</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数字秒表</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1、分辨率：0.01s，10min测量精度≤0.2s</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2、100道计时</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3、abs外壳，挂绳设计</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球车</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1、可四轮移动。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2、用于装篮球、排球、足球等球类物品，球车四角为圆角；</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3、不锈钢材质，规格长950＊宽750＊高760mm.</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辆</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62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划线器</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1.桶口尺寸250*250mm，划线宽度应为40mm，三轮设计,带盖划线车。</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2.采用钢板厚度≥1.2mm，焊接平整、牢固，无假焊、飞边等缺陷；</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3.外表采用环保静电喷涂处理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4.活动部分松紧适度，活动自如。</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707"/>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标志筒</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1、多功能标志桶，全塑料制品,高度为380mm，底部边长为260mm，顶部为正方形，边长不低于50mm。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2、呈圆锥体状，筒体分布不低于13个定位孔。</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3、放置平稳，可作为标识及障碍物使用。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4、一套为5只</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标志碟</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1、直径不小于190mm，4种颜色</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2、碟身设有条形通孔，以起到防风稳定的作用3、放置平稳，可作为标识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4、一套为16只</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体育场地标志</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胶带</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1、长17m，宽40mm～60mm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2、颜色鲜艳且多样，材质韧性强，不留胶</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盘</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32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记分牌1</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1.多功能记分牌为立式记分牌（六位）：主要由支架、手拨记分盒和队名标注区组成，外形尺寸：长×宽×高=1180×500×1560（mm）。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2.记分器下支架主要由40*40*1.5mm方管拼焊而成，队名标注区由1.2mm铁板折边成型，支架可拆装。</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3．记分牌为手拨式记分盒，采用PVC板制作。</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表面处理将粉末通过高压静电作用均匀涂敷在被涂物体上的过程。当涂层达到一定厚度后，进入烘炉加热，涂料熔融固化，形成厚度均匀、质地牢固的涂层。产品具有耐酸碱、耐湿热、抗老化、外观美观等优点，能适合潮湿和酸雨环境，且前处理过程以及产品涂料配方均不含有毒元素，避免损害使用者的健康。</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记分牌2</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1、1920mmx640mm，电子式。</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2、可显示队名、大比分、局比分、犯规、球权、场次、时间、24秒、犯规、暂停</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3、铁质支架，安放可移动滚轮</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4、多功能记分牌控制台，带led显示</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口哨</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1、综合型比赛口哨，可用于足、篮、田径等比赛</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2、食品级塑料材质，无核，带挂绳</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推水器</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1、整体尺寸为1080*1400*250mm，推水槽厚度为25mm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2、推车式，适用于篮球、羽毛球、排球等室外场地</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3、整体为铝制，刮水条为橡胶材质。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体育器材柜</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1、900*400*1800mm，整体厚度0.6mm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2、上面玻璃对开门，下面铁质对开门，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704"/>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1、整体尺寸：2000mm*600*2000MM，立柱厚度0.8mm，横梁厚度0.6mm，层板厚度0.3mm</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身高体重测试仪</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身高：量程：70cm～190cm；体重：0.1kg-120kg;防滑底盘。</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991"/>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肺活量测试仪</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1、自动测量人体一次呼吸的最大气体通量；</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2、吹管可自由拆卸冲洗，有效避免有害病菌交叉感染，保护受试者身体健康；可扩展语音播报</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3、主要技术参数：</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测量范围：100mL～9999mL</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测量分度值：1mL</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测量精度：±2.5%</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工作环境：5℃～40℃湿度＜90%</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存储环境：-10℃～50℃湿度＜75%</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243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握力测试仪</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1、自动测量握力，反映受测者前臂和手部肌肉力量；</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2、握力手柄坚固耐用，拉环距离可根据手型大小自由调节；</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3、主要技术参数：</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测量范围：5kgf－100kgf</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分度值：0.1kgf</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误差：±0.3kgf</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握力计电源：2节5号碱性电池</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工作环境：5℃～40℃湿度＜90%</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存储环境：-10℃～50℃湿度＜75%</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297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坐位体前屈</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测试仪</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1.自动测量坐位体前屈的数值，从而反映躯干、腰、髋等部位关节、肌肉和韧带的伸展性和柔韧性；</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2、可扩展语音播报</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3、主要技术参数：</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测量范围：－20cm～35cm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分度值：0.1cm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测量精度：±0.1cm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电源：采用锂电池供电，内置2000mAh锂电池，可持续工作20个小时以上；采用microusb接口充电</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工作环境：5℃～40℃湿度＜90%</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存储环境：-10℃～50℃湿度＜75%</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仰卧起坐</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测试板</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1600*490mm，高密度加厚海绵挡杆，钢架底板加pu海绵面。</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哑铃架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1、整体尺寸：2200*640*800mm，双层十副装2、器械表面防锈处理，器械与地面接触部位有减震橡胶垫</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哑铃</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1、材质为铸铁浸塑材质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2、含1kg、1.5kg、2kg、2.5kg、3kg、4kg、5kg、6kg、7kg、8kg质量规格</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橡皮拉力带1</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1、2080*4.5*20mm，tpe材质。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2、轻阻力，拉力带采用合成橡胶TPE制作，环保，无味，弹性好，强度高，不易断裂，不易老化</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橡皮拉力带2</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1、2080*4.5*44mm，tpe材质。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2、重阻力，拉力带采用合成橡胶TPE制作，环保，无味，弹性好，强度高，不易断裂，不易老化</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药球</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1、橡胶材质，直径190-230mm，质量2-3kg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2、可用于臂肌训练、胸肌训练、腰部训练、深蹲训练、爆发力训练等</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平衡垫</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1、500mm×400mm×60mm，柔软，抗压</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2、高回弹TPE材质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3、可用于瑜伽、普拉提、康复、健身等</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腹肌轮</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1、整体300mm*165mm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2、塑料材质与不锈钢材质制成</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3、中间一个轮子可自由转动，旁边两个把手可拆卸</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卧推架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1、整体尺寸1570*1700*2180mm，主体为50*100*2mm椭圆管</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2、含卧推床、120kg杠铃</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倒立架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1、整体尺寸为1100*700mm，躺板1000*350mm，主体为38*38mm钢管</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2、含安全带、腰垫、护肩</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3、承重不低于150kg</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可调式腹肌板</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1.1620mm（长）×640mm（宽）×650mm（高）；</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2.管材应为50mm×100mm的椭圆管，主体管材壁厚≥3mm；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3.坐垫应为一次成型；</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4.表面防锈处理；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5.器械与地面接触部位应有减震橡胶垫</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体能训练绳梯</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1、绳梯长度9500mm，梯片长度为500mm，厚度不低于3mm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2、梯片间通过高强度编织带链接</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3、梯片为pe塑料材质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敏捷训练梯</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1、绳梯长度6000mm，梯片长度为500mm，厚度不低于3mm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2、梯片间通过高强度编织带链接</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3、梯片为pe塑料材质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敏捷训练垫</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1、整体直径为230mm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2、软质塑料材质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3、颜色多样，且无味道</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敏捷训练圈</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1、直径400mm～600mm，宽度不低于17mm，厚度不低于8mm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2、ABS材质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3、颜色多样，且无味道</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敏捷训练栏架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1、整体尺寸460*190*360mm，高度150、280、360mm可调节</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2、整体ABS材质，可折叠，便于收纳</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3、颜色多样，且无味道</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敏捷反应灯</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1、7只为一套，包含主机一个，子机6个。2、可用于足球、篮球、橄榄球、跆拳道等运动的训练</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3、可训练反应速度、移动速度、动作的连贯性等</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216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肋木架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1.外形尺寸（长×宽×高）：2597mm×114mm×2320mm;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2.主要承载立柱为φ114mm×3mm，主横梁为φ32mm×3mm优质钢管；</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3.使用人数：2人</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4.横肋采用32mm×3mm优质钢管，中心间距为300mm。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5.顶部横梁采用弯管通过焊接冲压弧形管帽与立柱连接，使用宽度1050mm、1100mm；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6.安装方式：直埋式，地埋深度：600mm；</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架</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133"/>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平行梯</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1.室外地埋平梯，立柱地上高度2200mm，平梯长4000mm，平梯横杠内有效使用宽度600mm。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2.立柱采用φ114mm×3mm优质圆钢管，横梁φ60mm×3mm，梯杆采用φ32mm×3mm优质圆钢管。梯步：每端不少于2梯，顶部梯步每300mm间距设一步。</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3.安装应采用直埋方式，立柱地埋深度不小于500mm。桩基尺寸：800mm×500mm×500mm。</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架</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35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摸高架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1.主立柱采用直径114mm，壁厚2.5mm的国标钢管；</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2.立柱总高3000mm摸板采用不锈钢材质，高面最高刻度2000mm-3000mm底面最高刻度1500mm-2500mm地埋400mm，优质漆。</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表面处理:所有铁制件表面均经脱脂，抛丸等初级处理后，在自动喷涂线上采用热固性纯聚酯粉末喷涂，完成最后表面处理，涂层厚度70-80um,确保涂层能在户外长期使用。产品具有耐酸碱、耐湿热、抗老化、外观美观等特点，能适合潮湿和酸雨环境。</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4.焊接要求：采用CO2保护焊焊接成型，使用混合气体，焊缝均匀、成型美观，牢固无虚焊、无漏焊、无泡渣、裂纹等缺陷。适用于体育教学和健身训练使用，结构合理，组装简便，使用安全、稳定。</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架</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接力棒</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1、长280mm-300mm,直径30mm-42mm,质量不小于50g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2、优质铝材，卷边处理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3、8种颜色，鲜艳醒目。</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62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跨栏架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1、整体尺寸：1200mm*752mm*1067mm。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2、由底部方管、底部连接管，竖向立管、伸缩管、栏板连接件，跨栏板等组成；</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3、跨栏架可调高度五档可调，每个高度都有相应的配重相适应，并标有高度标识。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4、底部方管为50mm*50mm*2mm，竖向立管为直径不小于33mm的圆管，伸缩管直径不低于36mm</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跨栏架推车</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1、跨栏架有扶手、底架、侧栏拼焊而成</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2、扶手采用32*2mm圆管在专用弯管机上弯曲成型</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3、一次可放置跨栏架10副，其底架设置PU轮4只，其中万向轮两只</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4、所有钢制件均经除锈、磷化等金属表面处理。</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辆</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89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起跑器</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1.起跑器主要由底座和踏脚座组成，塑胶场地与灰渣场地两用；</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2.起跑器长810mm,宽310mm（加长款）；三角体抵脚板,长150mm,宽100mm,高120mm，倾斜度可调整.</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3.起跑器底座结构全部采用航空铝材，插钉为圆钢；；</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4.起跑器踏脚座分固定座和活动座，经镀铬处理，活动座面板采用橡胶层，起防滑作用，活动座面板斜度可调；</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5.所有钢制件均经除锈、磷化等金属表面处理。</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35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可移动起跑器</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摆放架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1.起跑器运输车外形基本尺寸：长×宽×高=1000×600×800（mm）。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2.起跑器运输车采用圆管在专用弯管机上弯曲成形后拼焊而成。</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3.起跑器运输车木板采用δ20mm层压板制作。4.起跑器运输车共设8个挂钩，一次可置8个起跑器，运输车底部设有走轮，移动方便</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发令器</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双发式。钢制枪身，手柄为专用塑料材质,5.6mm定装发令弹；击发方式：单发击发；声响：100m处不小于60分贝；烟雾：150m处清晰可见。</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221"/>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跳高架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1、跳高架由底座、固定立柱、移动立柱、横杆托架、微调支脚构成。产品形式简洁，结构合理，可装拆，便于运输和包装。</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2、固定立柱与移动立柱及底座选用铝型材，型材之间采用燕尾槽配合。表面氧化处理。固定立柱采用铝异形圆管并且立柱上印有标尺，刻度调节范围：500-2500mm，移动立柱采用铝质异形方管,两端铝合金塞封口。</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3、底座为实心铁底座</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4、跳高架横杆托架采用铝压铸件，具有防腐蚀性、安全、牢固等优点且上下移动方便。</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5、跳高架底座底部设有微调机构，通过调节微调机构可满足场地不平整引起的跳高架的稳定性和横杆的高度要求。</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37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跳高垫</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1、产品规格：4000mm×6000mm×700mm，海绵垫主要由海绵垫主体、覆盖层组成，海绵垫主体由三块高密度防水帆布海绵包组成，海绵包整体形状为“凸”字形，弹力均衡，</w:t>
            </w:r>
            <w:r>
              <w:rPr>
                <w:rFonts w:hint="eastAsia" w:ascii="宋体" w:hAnsi="宋体" w:cs="宋体"/>
                <w:color w:val="auto"/>
                <w:szCs w:val="21"/>
                <w:highlight w:val="none"/>
              </w:rPr>
              <w:t xml:space="preserve">柔软适中，满足落地时人体对弹性及缓冲作用的要求，海绵垫覆盖层厚90mm，用魔术粘扣将其与拼装好的垫子连接。表面网孔材质，可防止穿着钉鞋对垫子表面破坏，缓冲保护：当运动员越过横杆后下落，海绵包能够迅速吸收和分散运动员身体所受到的冲击力，减少对运动员身体的伤害，保护运动员的安全，避免因落地冲击导致的骨折、扭伤等损伤，稳定支撑：支撑机构为海绵包提供了稳定的支撑，使其在承受运动员的重量时不会出现过度变形或塌陷，保证海绵包能够持续发挥缓冲作用，有助于保持海绵包表面的平整，避免运动员落地时因表面不平整而受到额外的伤害。</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2、跳高垫需有防雨棚，且可移动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89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跳高横杆</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1.适用范围：适用于中小学体育教学训练、竞赛使用。</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2.跳高横杆由横杆和横杆接头组成；</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3.材质：横杆采用φ30的玻璃钢材料制作，总长为4000mm；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4.横杆接头采用特殊的外形结构；</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5.横杆固定在立柱上时，中心自然下垂20mm；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6.横杠具有一定的弹性，在横杠中央悬挂3kg重物时，横杠中心下垂不超过70mm；</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跳高丈量尺</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1、跳高丈量尺主要由立杆和测高器二部分组成。</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2、跳高丈量尺立杆采用铝合金型材制作，上面标有刻度，调高范围：600-2500㎜。</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把</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35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起跳板</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1、1220×300×100㎜，起跳板为长方形，用硬木拼接而成，木材经防水处理，不变形，防水淋，漆成白色。</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2、起跳板顶部有一个长度为1220mm,宽度为100mm的红色显示边，以便于使用与辨认是否犯规，为深红色。</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3、含盖板、底座，厚度不低于2mm</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平沙器</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1、铝合金平砂板主要由手柄、支撑杆与平砂板三部分拼装而成。</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2、支撑杆与平砂板采用铝合金型材，表面氧化。手柄采用Φ30×2mm铝管，长度为1650mm。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3、手柄处装有把套，手感舒适。</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铅球1</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1、质量3.000kg～3.030kg，直径90mm～100mm,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2、应用铁、铜或其他硬度不低于铜的金属材料制成</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3、用于高中生训练比赛使用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铅球2</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1、质量4.000kg～4.030kg，直径95mm～110mm,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2、应用铁、铜或其他硬度不低于铜的金属材料制成</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3、用于高中生训练比赛使用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铅球3</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1、质量5.000kg～5.030kg，直径100mm～120mm,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2、应用铁、铜或其他硬度不低于铜的金属材料制成</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3、用于高中生训练比赛使用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铅球4</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1、质量6.000kg～6.030kg，直径100mm～120mm,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2、应用铁、铜或其他硬度不低于铜的金属材料制成</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3、用于高中生训练比赛使用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铅球5</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1、质量7.260kg～7.290kg，直径100mm～120mm,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2、应用铁、铜或其他硬度不低于铜的金属材料制成</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3、用于高中生训练比赛使用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铅球投掷圈</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1、内沿直径2135mm，宽76mm，抵趾定位块长400mm，宽100mm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2、由7mm钢板折弯成圆，整体70mm高度，内部为圆管支撑</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3、所有钢制件均经除锈、磷化等金属表面处理。</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铅球抵趾板</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1、弧形，长1150mm，宽112mm～300mm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2、木制品，外覆盖防水腻子</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铅球推车</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1、长1100mm、宽600mm、高900mm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2、可放置7.26、6、5、4、3kg铅球</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3、底架设置pu轮4只，其中万向轮两只</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4、所有钢制件均经除锈、磷化等金属表面处理。</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辆</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实心球1</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1、圆周长420mm～780mm,质量2000g±30g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2.橡胶材质，可充气设计，球体表面有规则的防滑圆点,不应有颗粒脱落、裂缝等缺陷。</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3.经过从10m高处自由落体试验后，应无破裂。</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实心球2</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1、圆周长400mm～780mm,质量1500g±30g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2、橡胶材质，可充气设计，球体表面有规则的防滑圆点,不应有颗粒脱落、裂缝等缺陷。</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3.经过从10m高处自由落体试验后，应无破裂。</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田径标志旗杆</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1、高1.2m～1.6m，立柱直径25mm，底座直径不低于200mm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2、立柱为ABS材质，颜色多样且鲜艳；三角形红色旗面，春亚纺材质；底座为橡胶材质，不低于1kg。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3、做田径场场标志用，底座需光滑稳定，立杆坚韧挺直，旗面易飞扬。</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田径裁判旗</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每套包含红色、白色、黄色三色，每色1面旗杆直径22mm×1.5mm，旗面350mm×450mm，手柄部分应有塑料套</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243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田径裁判台</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18座拆装式裁判台（固定），每层可坐三人，每层间隔250mm。座位板面宽750mm，座椅宽≥420mm，留有250mm留给上层人坐好后，双脚踩踏处。每个部件均为个体，穿螺丝固定，安装简单，运输方便，采用固定安装方式，通常与地面或场馆基础结构牢固连接，能够承受裁判人员及相关设备的重量，在比赛过程中不会出现晃动或位移，确保裁判工作的稳定性和准确性，根据比赛场地的设计和规划，安装在终点线后方的特定位置，确保裁判可以清晰地观察运动员冲过终点线的瞬间，为判定比赛名次和成绩提供最佳视角。</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助跳板</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1、主要原材料采用木材或其它弹性材料，Ⅲ型长×宽×高1200mm×600mm×200mm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2、主体木质材料，表面覆盖防滑地毯</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3、底座与起跳面呈一固定角度，方便助跳使用4、设有安全防护绳（弹簧跳板）</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62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单杠</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1.室外地埋固定式，立柱采用直径114mm*3mm国标钢管，埋入地下≥500mm，地上高度2200mm，杠面为直径28mm的国标弹簧钢，两立柱支点中心距2000mm。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2.外表采用环保静电喷涂处理，具有耐酸碱、耐湿热、抗老化、耐腐蚀的特性，适合潮湿和酸雨环境，产品的涂料配方不含有毒元素。</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架</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62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双杠</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1.室外地埋固定式，立柱采用直径114mm*3mm国标钢管，埋入地下≥500mm，地上高度1500mm，杠长3500mm，两杠内侧距离410~610mm之间。</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2.外表采用环保静电喷涂处理，具有耐酸碱、耐湿热、抗老化、耐腐蚀的特性，适合潮湿和酸雨环境，产品的涂料配方不含有毒元素。</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架</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89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小跳垫</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1．小体操垫规格为1200×600×50mm。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2．内胆材质为珍珠棉材料，为一个整块结构，不允许拼湊。</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3．垫套为4*4mm牛津布，体操垫两侧设提手把。涤纶线缝合，两面革贴角。</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4.跳垫的四角为直角，四周仿皮革包角：表面平整，无皱折，当载荷落至体操垫时，外层不得起皱，里外层不得发生相对位移。</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89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大跳垫</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1．大体操垫规格为2000×1000×100mm。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2．内胆材质为珍珠棉材料，为一个整块结构，不允许拼湊。</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3．垫套为4*4mm牛津布，体操垫两侧设提手把。涤纶线缝合，两面革贴角。</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4.跳垫的四角为直角，四周仿皮革包角：表面平整，无皱折，当载荷落至体操垫时，外层不得起皱，里外层不得发生相对位移。</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体操棒</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1、长1000mm，截面直径25mm～30mm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2、木质或塑料，塑料采用硬质塑料，壁厚不小于5mm；木质为硬木，直径不低于25mm，表面光滑无毛刺。</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62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体操凳</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长3000mm,宽190mm，高290mm，板面厚38mm，外观颜色鲜艳醒目，材质：凳面一般采用优质的松木木材，这些木材质地坚硬、纹理美观，具有良好的耐磨性和稳定性。凳腿同样使用坚固的木材，经过精心加工和打磨，确保与凳面连接牢固，能够承受人体的重量和各种动作带来的压力。放置稳固，表面平整，棱角光滑，无毛刺、缺损、木疥。</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艺术体操球</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1、直径18cm～20cm，质量约400g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2、pvc材质，亲肤性强，圆度高。</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3、颜色多样，无刺鼻味道，表面光滑印刷清晰。</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4、满足学生艺术体操课、艺术体操训练比赛要求。</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艺术体操圈</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1、内径80cm～90cm，质量约300g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2、ABS材质，强度高，反弹性好</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3、颜色多样，无刺鼻味道，表面光滑印刷清晰。</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4、满足学生艺术体操课、艺术体操训练比赛要求。</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艺术体操棒</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1、长40cm～50cm，质量至少150g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2、PP材质，手感清晰，亲肤性强</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3、颜色多样，无刺鼻味道。</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4、满足学生艺术体操课、艺术体操训练比赛要求。</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艺术体操绳</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1、长度3000-3500mm,直径不低于8mm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2、棉麻或涤纶材质，亲肤性强</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3、颜色多样，无刺鼻味道。</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4、满足学生艺术体操课、艺术体操训练比赛要求。</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艺术体操带</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1、带长6m，宽40mm～60mm，重35g以上；棍长500mm～600mm，直径不超过10mm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2、杆子为玻璃钢材质，韧性强；丝带为绸带，丝滑不打结</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3、颜色多样，无刺鼻味道。</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4、满足学生艺术体操课、艺术体操训练比赛要求。</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35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1、5#：圆周长680mm～700mm；质量410g～450g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2.表皮材料为耐磨Pu，内胆为橡胶材质，脚感精准。</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3.外表面以目测为主，商标、图案、色泽等字迹清晰、图案端正、色彩鲜艳，球片粘接无缝隙，符合产品的要求，表面无破损、脱落等现象。</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66"/>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足球门1</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1.移动式。门宽7320mm，门高为2440mm,下深1700mm,上深900mm。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2.门柱和门围均采用114mm×3mm钢管焊接。3.球门为白色，表面色泽一致。</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4.割角焊接，接触地面部分采用4*8cm方管，后面梯形采用48折弯成型，厚度2.5mm。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5.各配件焊接牢固，钢件部分均经酸洗、磷化、采用室外专用优质烤漆粉末，表面无漏喷、脱漆及划痕。无漏焊、虚焊、包渣、裂纹。表面平整、无毛刺,能适应潮湿和酸雨环境，不会出现脱落、锈蚀等现象。</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216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足球门2</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1、移动式。门宽5000mm，门高为2000mm,下深1500mm,上深900mm。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2、门柱和门围均采用89mm×2.5钢管焊接。3、球门为白色，表面色泽一致。</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4.割角焊接，接触地面部分采用4*6cm方管，后面梯形采用42折弯成型，厚度2.5mm。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5、各配件焊接牢固，钢件部分均经酸洗、磷化、采用室外专用优质烤漆粉末，表面无漏喷、脱漆及划痕。无漏焊、虚焊、包渣、裂纹。表面平整、无毛刺,能适应潮湿和酸雨环境，不会出现脱落、锈蚀等现象。</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216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足球门3</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1、移动式。门宽3000mm，门高为2000mm,下深1200mm,上深900mm。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2、门柱和门围均采用76mm×2.5钢管焊接。3、球门为白色，表面色泽一致。</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4.割角焊接，接触地面部分采用4*6cm方管，后面梯形采用42折弯成型，厚度2.5mm。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5、各配件焊接牢固，钢件部分均经酸洗、磷化、采用室外专用优质烤漆粉末，表面无漏喷、脱漆及划痕。无漏焊、虚焊、包渣、裂纹。表面平整、无毛刺,能适应潮湿和酸雨环境，不会出现脱落、锈蚀等现象。</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足球网1</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1、11人制，宽度7320mm，高度2440mm，上沿深度2400mm或3000mm，下沿深度3000mm；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2、4mm聚乙烯材质，网孔10*10mm，无节网3、白色</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足球网2</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1、8人（7人）制，宽度5000mm，高度2000mm，上沿深度1400mm或2000mm，下沿深度2000mm；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2、4mm聚乙烯材质，网孔10*10mm，无节网3、白色</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足球网3</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1、5人制，宽度3000mm，高度2000mm，上沿深度900mm或1500mm，下沿深度1500mm；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2、4mm聚乙烯材质，网孔10*10mm，无节网3、白色</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35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足球角旗杆</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1、杆长1200mm～1500mm，底座直径200mm～250mm。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2、由杆、底座、和角旗组成，</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3、底座可充沙子，充水，pp塑料材质；杆体为ABS塑料，强度高不易折弯；链接卡子为三通结构可链接横杆与立杆，变性塑料；角旗为春亚纺材质，随风飘荡。</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足球换人牌</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1、整体尺寸840*370*20mm，单字大小290*170mm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2、手动翻牌，弹力绳结构</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3、双面，每面4位数字</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足球裁判旗</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1、旗面尺寸370*470mm，黄色或黄、橙色间隔方格图案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2、杆子为不锈钢管，外套软质手把套</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3、挥舞流畅</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足球红黄牌</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1、105mm×75mm，红、黄各1块</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2、外套皮革卡包，塑料材质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3、用于足球教学、训练、比赛使用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足球标志杆</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1、高度为1500mm，直径25mm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2、底侧含有弹簧插地式结构，可折叠</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3、用于足球训练及比赛使用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足球分队服</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1、均码145-175，加大码175以上。</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2、4种颜色，带有号码标识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3、网眼聚酯纤维材质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35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篮球1</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1.7号篮球，圆周长749mm～780mm，质量567～650g；</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2.高档PU革面，橡胶内胆，耐冲击次数2000次不变形、无开胶</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3.外表面以目测为主，商标、图案、色泽等字迹清晰、图案端正、色彩鲜艳，球片粘接无缝隙，符合产品的要求，表面无破损、脱落等现象。</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35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篮球2</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1、6号（女），圆周长724mm～737mm，质量510g～580g</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2.高档PU革面，橡胶内胆，耐冲击次数2000次不变形、无开胶</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3.外表面以目测为主，商标、图案、色泽等字迹清晰、图案端正、色彩鲜艳，球片粘接无缝隙，符合产品的要求，表面无破损、脱落等现象。</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2408"/>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室外篮球架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1.预埋式篮球架，伸臂1.85m，适用场地至少30m，篮圈上沿离地面3.05m，螺丝采用达克罗螺丝。</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2.篮球架立柱下面采用180mm×180mm×3.0mm大圆弧方管,上端采用200mm×100mm×3.0mm矩形管拼焊而成。</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篮球架横梁采用4mm厚钢板经凹型折边，相互对扣然后拼焊而成,圆弧过渡可有效均分应力，后宽前窄的锥形体结构，安全牢固，大大降低了篮球架的晃动，增强了篮球架的稳定性。外形尺寸为：后宽180mm×140mm、前宽115mm×115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4.篮球架上拉杆采用Φ42mm×3mm圆管在自动弯管机上一次折弯成型,拉杆前端采用调节丝调节，安装要求不苛刻。通过调节拉杆，可调节篮圈与地面的平行度。</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5.后拉杆采用40mm×40mm方管，在自动弯管机上一次折弯成型,免调节设计，中间设有多孔连接板，安装更方便。后拉杆两端采用封口焊接防水、防腐、防锈、防划伤。</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篮板规格：1800mm×1050mm，篮板配用国际通用的高强度安全钢化玻璃篮板，具有透明度高、耐侯性好、抗老化、耐腐蚀、不易模糊等特点，篮板外框采用40mm×40mm铝合金型材，并在篮板下沿安装安全保护条，能保护运动员扣篮时不受伤害。</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7.篮筐采用Φ18mm实心圆钢制作，圈下均匀焊有十二个成型挂钩，间隙不大于8mm，抗弯性能好。配尼龙篮球网。</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8.篮球架螺丝采用达克罗螺丝，所有钢制件表面均经抛丸除锈处理，后在自动喷涂流水线上采用静电环氧基粉末喷涂完成表面处理，有良好的耐酸碱性、耐湿热性、抗老化等优点。</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篮球队员犯规次数牌</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1、全桦木材质，不易折断</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2、数字1～5为黑色，5-6为红色，包含暂停、犯规</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篮球分队服</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1、均码145-175，加大码175以上。</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2、4种颜色，带有号码标识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3、网眼聚酯纤维材质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969"/>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室内篮球架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1.四周配软体海绵护套，室内使用,适用场地至少35m。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2.篮球架伸臂为2.25m，篮圈上沿离地面3.05m，产品适合国际赛事。螺丝采用达克罗螺丝。</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3.篮球架底座长2200mm×宽1200mm×前高980mm×后高660mm，篮球架底座采用100mm×3.0mm方管和120mm×100mm×3.0mm矩形管拼焊而成，底板采用3.0mm铁板在专用折边机上折边而成。</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4.篮球架前后立柱采用100mm×3.0mm方管拼焊而成。</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5.篮球架横梁采用150mm×150mm×3.0mm方管和3.0mm钢板拼焊而成。</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6.锁紧杆采用Φ60mm×3.0mm和Φ48mm×3.0mm无缝钢管组合而成，采用螺纹锁紧。</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7.篮球架上拉杆采用Φ48mm×3mm圆管在数控弯管机上一次折弯成型,上拉杆前端免调节，用材料堵口，无锈、防水、防腐。</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8.篮板配用国际通用的高强度安全钢化玻璃,篮板规格：1800x1050mm±3mm，并在篮板下沿侧面覆盖有EVA保护胶条抗老化不退色，能有效保护运动员扣篮时不受伤害，▲篮板外围边框采用≥4mm厚铝型材经模具压制而成（需提供第三方检测机构出具的检测报告(检验依据：</w:t>
            </w:r>
            <w:bookmarkStart w:id="119" w:name="OLE_LINK86"/>
            <w:r/>
            <w:bookmarkStart w:id="120" w:name="OLE_LINK32"/>
            <w:r/>
            <w:bookmarkStart w:id="121" w:name="OLE_LINK92"/>
            <w:r/>
            <w:bookmarkStart w:id="122" w:name="OLE_LINK87"/>
            <w:r>
              <w:rPr>
                <w:rFonts w:hint="eastAsia" w:ascii="宋体" w:hAnsi="宋体" w:cs="宋体"/>
                <w:color w:val="auto"/>
                <w:szCs w:val="21"/>
                <w:highlight w:val="none"/>
              </w:rPr>
              <w:t xml:space="preserve">GB/T23176-2008</w:t>
            </w:r>
            <w:bookmarkEnd w:id="119"/>
            <w:r/>
            <w:bookmarkEnd w:id="120"/>
            <w:r/>
            <w:bookmarkEnd w:id="121"/>
            <w:r/>
            <w:bookmarkEnd w:id="122"/>
            <w:r>
              <w:rPr>
                <w:rFonts w:hint="eastAsia" w:ascii="宋体" w:hAnsi="宋体" w:cs="宋体"/>
                <w:color w:val="auto"/>
                <w:szCs w:val="21"/>
                <w:highlight w:val="none"/>
              </w:rPr>
              <w:t xml:space="preserve">)扫描件加盖制造厂家公章）。</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9.篮筐采用Φ18mm实心圆钢制作，三簧设计，360度，圈下均匀焊有十二个成型挂钩，间隙不大于8mm，抗弯性能好。配尼龙篮球网。</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10.篮球架螺丝采用达克罗螺丝，所有钢制件表面均经抛丸除锈处理，后在自动喷涂流水线上采用静电环氧基粉末喷涂完成表面处理，有良好的耐酸碱性、耐湿热性、抗老化等优点。</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11.产品结构原理：电源采用220V单相电源，可实现篮球架伸臂电动升降高度，方便大众使用。电路系统、驱动电机都设置在底座内部，构成了一体化的机械结构。通过伺服电机带动准双曲面减速机控制滚珠丝杆进行升降。使用铸铁聚氨酯轮子，接触面积大不易碰伤地板。</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羽毛球场地地胶</w:t>
            </w:r>
            <w:r/>
          </w:p>
        </w:tc>
        <w:tc>
          <w:tcPr>
            <w:tcW w:w="4536" w:type="dxa"/>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产品纹路：彩石纹</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产品颜色：红色、绿色、灰色、蓝色、黄色、紫色</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总厚度：4.6mm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适用场地：羽毛球、乒乓球、排球、气排球、篮球、健身房、等多功能活动场地。</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产品特性：</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1、纹路：类似"砾石沙滩"纹路设计，要求方案新颖、美观、大方，并满足采购人要求。</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2、环保材料：地板采用优质PVC原生料、环保型增塑剂，无钙化工艺，无甲醛、重金属等有害物质，保障自由、健康的运动呼吸环境。</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3、超厚耐磨层：加厚PVC耐磨层形成了坚固耐用保护层，耐磨性达7万转以上，有限抗划伤、抗刮痕。</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安全抗滑：优质材料、超厚的耐磨层厚度与考究的“彩石”纹理设计相互作用，使地板面层具有充足、适度的摩擦能效，确保运动全方向的连贯性与规律性，提升移动、原地转动的灵活性，防止运动滑倒性伤害，符合大型赛事的耐磨强度需求标准。</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5、缓震保护：全新升级加厚型高致密性发泡层与稳定层的结合，使地板具有更好的冲击吸收性，有效降低运动反作用力对于脚、踝膝关节等造成的震动伤害，为运动者提供更全面、专业的运动保护。</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6、动力支持：地板同时具备稳定的回弹动力，优秀的能量返还，不存在弹性死点，为运动者提供十足的动力支持，发挥水平更加出色。</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7、抗菌防潮：全新底层处理工艺，稳定性能更强，有效防止潮湿地面滋生细菌异味及潮气上浮对地板的冲击伤害。</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8、稳定防偏移：地胶地板独特稳定的吸附技术，形成强大的抓地力，有限防止运动冲击造成的偏移。</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一个羽毛球场地为108平</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场</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35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排球</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1.5号排球，圆周长650mm～670mm，质量260～280g；</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2.材料为超细Pu，手感柔和，冲击力小,整球采用轻质材料。</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3.外表面以目测为主，商标、图案、色泽等字迹清晰、图案端正、色彩鲜艳，球片粘接无缝隙，符合产品的要求，表面无破损、脱落等现象。</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35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气排球</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1、圆周长为760mm～780mm，质量150g～170g2、材料为发泡EVA，手感柔和，冲击力小。</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3.外表面以目测为主，商标、图案、色泽等字迹清晰、图案端正、色彩鲜艳，球片粘接无缝隙，符合产品的要求，表面无破损、脱落等现象。</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08"/>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排球网柱</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1、移动配重式，箱体600mm*400mm*300mm，厚度不低于2mm。立柱采用89*3mm钢管内套76*3mm钢管。</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2、高度可调尺寸2.43米，2.24米，2.1米，1.9米，满足男女排球，男女气排球使用。3、表面处理:所有钢制件表面均经酸洗、磷化等初级处理后在自动喷涂线上采用静电环氧基粉末喷涂完成最后表面处理。</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排球网</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1、排球网长度9500mm～10000mm，宽度700mm±25mm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2、4mm涤纶材质，三面5mm白边，10*10mm网孔，中间需拉钢丝绳</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排球标志杆</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1、长1800mm，直径10mm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2、实心玻璃钢材质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3、红白相间，用于排球训练及比赛使用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35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排球换人牌</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36支每套，多为硬质PVC板，颜色以白底黑字或白底红字为主总长340mm牌长240mm宽170mm，柄长100mm直径25mm.</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排球红黄牌</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1、规格150mm×100mm，红色、黄色各一块</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2、外套皮革卡包，塑料材质，颜色鲜艳醒目3、用于排球比赛及训练使用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司线裁判旗</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1、旗面400mm×400mm，红色，春亚纺材质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2、不锈钢杆，外包裹柔软握柄</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3、用于排球比赛及训练使用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乒乓球</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1、直径43.4mm～44.4mm，质量2.20g～2.60g，弹跳220mm～250mm，圆度0.4mm，受冲击不小于700次无破裂</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2、高分子聚合物材质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盒</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乒乓球拍</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1、横拍与直拍，底板为纯杨木制品。</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2、用来击球的拍面应用胶粒片覆盖，连同粘合剂，厚度应不超过2mm，或者用齿粒向内或向外的海绵胶粒片覆盖，连同粘合剂，厚度应不超过4mm。底板与胶粒片或海绵胶粒片的粘接结合力应≥4N</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乒乓球网架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1、网架长度152.5mm±2mm，网架高度130mm±2mm，可夹厚度≥30mm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2、支架为铁制品，可折叠</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3、钢制件表面均经酸洗、磷化等初级处理后在自动喷涂线上采用静电环氧基粉末喷涂完成最后表面处理。</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243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室内乒乓球台</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1、台面尺寸：2740mm×1525mm×760mm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2、台面材质:MDF中密度板</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3、有无脚轮:无脚轮</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4、是否可调高度:可调高度</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5、物理性能:</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弹性:230-260mm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弹性均匀度:≤5mm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球台稳定性:≤10</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台面光泽度:≤0.6</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羽毛球</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1、球口外径65mm～68mm，球头直径25mm～27mm，球头高度24mm～26mm，毛片插长63mm～64mm，质量4.50g～5.80g，毛片数量16片</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2、球头为软木材质，毛片为鸭毛或鹅毛。</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3、用于学校训练教学使用。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筒</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羽毛球拍</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1、总长度≤580mm，宽度≤230mm，拍弦面长度≤280mm，质量≤80g,握柄直径23mm～25mm2、碳复合一体材质，可拉线不低于20磅</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3、外表面以目测为主，商标、图案、色泽等字迹清晰、图案端正、色彩鲜艳</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32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羽毛球网柱</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1．铸铁移动式。底座外形尺寸：294mm×880mm×95mm，总重量90kg，底部配有滚轮，移动静音，使用方便，室内室外通用。</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2.柱高1550mm，使用￠42mm钢管，壁厚不低于4mm,支架顶部加一滑动滚轮，缓冲拉绳与支架间的摩擦，同时更好的操控球网的长度和高度内侧对称配有相应高度的球网挂钩，用来固定羽毛球网。</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外表面采用静电粉末喷塑工艺，涂饰层附着力应达到一级，硬度达到2H、有一定的耐冲击性能，表面无皱纹、无漏喷、起泡、脱皮及明显的划痕等缺陷。喷涂前必须采取除锈处理，以确保涂层在户外长期使用。产品涂料配方不应含有毒元素。</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4.各部件焊接应严密牢固，不应有漏焊、虚焊、裂纹等缺陷。</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羽毛球网</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1、羽毛球网长度≥6100mm，宽度500mm±25mm2、3cm白色缝边，涤纶材质，孔径18mm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3、满足学校日常训练及比赛使用。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131</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拔河绳</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1、长30m,质量10kg左右,采用天然麻棕线绞制。</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2、直径不低于30mm，中间有颜色标记。</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3、用于日常的学生拔河比赛</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81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132</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花毽</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1、球高130mm～180mm，球重13g～15g，毽垫直径30mm～32mm，厚度3mm～4mm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2、键毛应采用8支～10支彩色鸡羽，扎成圆形，</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133</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软式飞盘</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1、直径不低于200mm，厚度不低于30mm</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2、PU发泡材料制成</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3、环身设有响哨，投掷过程中会发出声音</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134</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彩带球</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整体长度不低于1.5米，彩带长度不低于1.2米，前端球不低于40g</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双</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135</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跳绳1</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1、长跳绳，绳长度4000mm～6000mm，直径8～9mm，质量140g～235g；柄(2个)：长度140mm～170mm，直径26mm～33mm，质量70g～90g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2、手柄为塑料材质，外层包裹泡棉，内含不锈钢轴承，编织绳。</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136</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跳绳2</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1、长跳绳，绳长度7000mm～8000mm，直径8～9mm，质量230g～300g，柄(2个)：长度140mm～170mm，直径26mm～33mm，质量70g～90g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2、手柄为塑料材质，外层包裹泡棉，内含不锈钢轴承，编织绳。</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08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137</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跳绳3</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1、长跳绳，绳长度9000mm～10000mm，直径8mm～9mm，质量290g～370g，柄(2个)：长度140mm～170mm，直径26mm～33mm，质量70g～90g</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2、手柄为塑料材质，外层包裹泡棉，内含不锈钢轴承，编织绳。</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35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138</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球车</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采用不锈钢材质，外形尺寸：长950＊宽750＊高760mm，主管直径19mm，壁厚1.1mm，副管直径12.7mm，壁厚0.7mm。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同时配备优质的万向轮，移动轻松，转向灵活，能够在狭小空间内自由穿梭，方便操作，用于存放和运输篮球、足球、排球等各种球类器材</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62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139</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更衣柜</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1、产品结构：板式结构。</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柜体参数：柜体采用≥16mm厚E1级刨花板（浸渍胶膜纸饰面）加工制作，不低于1.5mm厚塑制优质封边条机械封边；柜体组合柜造型，单柜科学结构划分，一键搞定所有收纳，柜门板采用橘黄色与暖白色作套色处理，柜门开有通风透气孔，增加空气流通，防霉防臭。</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89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140</w:t>
            </w:r>
            <w:r/>
          </w:p>
        </w:tc>
        <w:tc>
          <w:tcPr>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更衣凳</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1、产品结构：板式结构。</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木质：1000×350×370mm±10mm。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软垫：≥1000×350×35-40mm。</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凳体参数：凳体采用≥16mm厚E0级刨花板（浸渍胶膜纸饰面）加工制作，不低于1.5mm厚塑制优质封边条机械封边；产品采用全开放式多层储物，拿取便捷，分类明确；凳面面软包采用高密度记忆回弹海绵，外包棉质布料。</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体育器材</w:t>
            </w:r>
            <w:r/>
          </w:p>
        </w:tc>
      </w:tr>
      <w:tr>
        <w:trPr>
          <w:trHeight w:val="1609"/>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141</w:t>
            </w:r>
            <w:r/>
          </w:p>
        </w:tc>
        <w:tc>
          <w:tcPr>
            <w:tcW w:w="113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800米+1000米米跑AI算法及服务</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1.采用人工智能视觉算法分析，采用边缘计算方案，针对800米跑&amp;1000米跑运动项目进行数据采集、分析，实现违规自动判定和精准成绩检测</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2.支持随堂测试、体质检测等多种业务模式</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3.支持老师APP选择整班开始测验，支持“手动分组”和“自动分组”两种方式;</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支持老师APP选择手动分组:选择班级后，设置参与本次测验的学生性别、每组最大人数(1-30)，系统将根据实际情况自动为学生分组;老师可在APP控制起跑发令、重新发令，并可实现多组连续套发起跑;APP实时统计已完成人数和未完成人数，并实时显示学生跑步圈数及最终成绩;学生运动完成后，实时展示本组排名及本次测试任务排名</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5.支持800米跑&amp;1000米跑同步开启使用，互不干扰检测，分别支持1-120人同时测试，并分别记录成绩</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6.实时响应速度：≤1.5s</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7.项目成绩误差：≤0.1s</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8.异常成绩过滤，支持自动过滤识别异常成绩，学生经过终点时间不得小于系统限定时长，有效杜绝作弊现象</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9.支持运动结束后可实时查看运动成绩</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10.支持查看跑步运动视频，运动视频回放，可通过视频进行成绩补录和修改</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11.支持测试记录自动上传至学校智慧体育平台，可随时查看详细成绩报告，并支持成绩一键导出</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智慧体育</w:t>
            </w:r>
            <w:r/>
          </w:p>
        </w:tc>
      </w:tr>
      <w:tr>
        <w:trPr>
          <w:trHeight w:val="486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142</w:t>
            </w:r>
            <w:r/>
          </w:p>
        </w:tc>
        <w:tc>
          <w:tcPr>
            <w:tcW w:w="113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阳光跑AI算法及服务</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1.采用人工智能视觉算法分析，针对阳光跑运动项目进行数据采集、分析，实现违规自动判定和精准成绩检测</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2.适用学生阳光晨跑、大课间跑操、课前热身、自由跑等多种应用场景</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3.成绩误差：平均里程≤5%</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4.支持至少1000人同时测试</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5.实时响应时间：≤1.5s</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6.支持跑步过程中通过无感人脸进行身份识别，无需任何穿戴，同时捕捉学生跑步信息，自动实时计算每位学生每次跑步的总里程时间，并自动计算本次跑步里程和配速</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7.系统需支持利用AI运动查询大屏实时展示当前操场正在跑步通过的学生图像和运动里程等信息，并支持分年级分性别展示阳光跑排行榜</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8.支持测试记录自动上传至学校智慧体育平台，可随时查看详细成绩报告，并支持成绩一键导出</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9.支持老师APP展示阳光跑统计实况，包括本周任务参与率、任务完成率、平均运动时长、平均运动距离，并滚动播放操场上各学生的运动距离</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智慧体育</w:t>
            </w:r>
            <w:r/>
          </w:p>
        </w:tc>
      </w:tr>
      <w:tr>
        <w:trPr>
          <w:trHeight w:val="486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143</w:t>
            </w:r>
            <w:r/>
          </w:p>
        </w:tc>
        <w:tc>
          <w:tcPr>
            <w:tcW w:w="113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立杆套件</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1.跑步识别物联网摄像头，分辨率400万像素及以上，支持电动变焦，操作便易，变焦过程平稳；最大图像尺寸2560×1440及以上；摄像头帧率≥25fps</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2.横杆和竖杆，采用Q235材料，杆体内外热浸锌防腐钝化处理后喷塑。竖杆≥3米左右，壁厚≥4MM；横臂壁厚≥3MM。标配地笼和避雷针，标配白色</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3.防水电箱尺寸≥W350*D200*H450(±1.0mm)，Q235镀锌钢板，标配白色</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4.工业级交换机，支持POE供电，工作温度-40℃-85℃，包含电源适配器</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5.户外防水音柱功率≥50W，支持TTS，IP音柱</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6.智慧操场工作站（AI算力主机）：CPU八核及以上，主频高达2.4GHz及以上，6TOPs算力及以上，支持跑步类运动智能算法与模型的本地化运行与实时处理。</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智慧体育</w:t>
            </w:r>
            <w:r/>
          </w:p>
        </w:tc>
      </w:tr>
      <w:tr>
        <w:trPr>
          <w:trHeight w:val="819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144</w:t>
            </w:r>
            <w:r/>
          </w:p>
        </w:tc>
        <w:tc>
          <w:tcPr>
            <w:tcW w:w="113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AI运动查询终端</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一、主要功能：</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1.长跑运动，可实时展示长跑实况，包括人员姓名、人员头像、成绩和分数；</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2.运动排行榜，滚动播放各类项目的排行榜；可根据运动项目、时间（周榜、月榜、学期榜）等条件滚动展示男生榜、女生榜、学校记录，可关闭滚动；</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学生登录后可查看个人运动记录，支持人脸识别身份登录，学生可快速查询自身的全部运动记录。包括学生基础信息（姓名、班级、性别），累计运动天数，日均运动时长，今日运动时长，综合能力等指标。还可按照运动项目分类，查看各项运动的运动记录。</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二、主要参数</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1.双目摄像头：≥200万像素</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2.屏幕尺寸：≥55寸工业高清液晶屏</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3.分辨率：≥1920×1080</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4.亮度：2000cd/m2及以上，亮度随环境光照变化自动调节</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5.防爆玻璃：≥6mm厚钢化玻璃</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6.触控：电容触摸,10点触摸</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7.系统：Android</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8.CPU：≥八核，主频最高达2.4GHz</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9.GPU：≥Mali-G610MC4</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10.NPU：≥6TopsAI算力，三核架构</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11.内存：8+64G及以上</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12.网络支持有线、wifi等多种通信方式</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13.钣金结构：1.5MM镀锌钢板，户外烤漆工艺</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14.散热设计：采用智能直通风（强迫风冷）散热系统，专业特殊的风道散热设计。</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智慧体育</w:t>
            </w:r>
            <w:r/>
          </w:p>
        </w:tc>
      </w:tr>
      <w:tr>
        <w:trPr>
          <w:trHeight w:val="819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145</w:t>
            </w:r>
            <w:r/>
          </w:p>
        </w:tc>
        <w:tc>
          <w:tcPr>
            <w:tcW w:w="113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学校智慧体育综合管理平台</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一、系统管理</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学生管理：可对学生信息进行管理，可批量导入、导出学生信息，批量导入学生照片，批量删除学生，查看照片上传记录，批量转班，批量停用，批量数据同步，全量数据同步，对学生信息进行添加、编辑、删除人脸、删除、停用、启用、权限查看、密码重置、详情查看等功能（投标时提供功能截图）</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教师管理：可对教师信息进行管理，可批量导入导出教师信息，批量停用，批量数据同步，全量数据同步，查看同步记录，对教员信息进行添加、修改、删除人脸、重置密码、停用、启用、权限查看、详情查看等功能</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3.班级管理：班级管理模块，主要包括添加年级、添加班级，对班级信息进行停用/启用、编辑、查询等管理。以树形结构维护班级信息，至少包括班级名称、班级口令、上级组织、启用状态等</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4.学期管理：支持对学期信息进行增加、修改、停用、启用、查询等功能</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5.角色管理：主要对角色信息进行新增、停用/启用、编辑、查询、权限配置等管理</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6.评分规则：可对各个运动项目进行评分规则的配置，包括新增、修改、查询、停用/启用等功能</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▲7.应用管理:可对APP应用程序进行新增、发布/取消发布、编辑、查询、详情查看，投标人须提供具备CMA认证资质机构出具的满足该要求的合格检测报告（检验依据：</w:t>
            </w:r>
            <w:bookmarkStart w:id="123" w:name="OLE_LINK89"/>
            <w:r/>
            <w:bookmarkStart w:id="124" w:name="OLE_LINK88"/>
            <w:r>
              <w:rPr>
                <w:rFonts w:hint="eastAsia" w:ascii="宋体" w:hAnsi="宋体" w:cs="宋体"/>
                <w:color w:val="auto"/>
                <w:szCs w:val="21"/>
                <w:highlight w:val="none"/>
              </w:rPr>
              <w:t xml:space="preserve">GB/T25000.51-2016</w:t>
            </w:r>
            <w:bookmarkEnd w:id="123"/>
            <w:r/>
            <w:bookmarkEnd w:id="124"/>
            <w:r>
              <w:rPr>
                <w:rFonts w:hint="eastAsia" w:ascii="宋体" w:hAnsi="宋体" w:cs="宋体"/>
                <w:color w:val="auto"/>
                <w:szCs w:val="21"/>
                <w:highlight w:val="none"/>
              </w:rPr>
              <w:t xml:space="preserve">）扫描件并加盖投标人公章。</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8.项目管理：可对运动项目信息进行查询和在线学习等</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9.参数配置：主要对系统参数信息进行新增、删除、编辑、查询、详情查看等管理</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10.日志管理：主要对系统日志、操作日志等信息进行查询、详情查看等管理。</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二、设备管理</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1.体育站设备管理：可对体育站相关设备信息进行管理，包括对体育站信息进行查询、删除、位置标定、本地上传、数据下发等功能</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2.操场设备管理：可对操场设备信息进行管理，包括对操场设备信息进行查询、删除、位置标定、本地上传、数据下发等功能</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3.其他设备管理：可对其他设备进行管理，主要包括查询、删除等功能</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三、自由锻炼</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学生锻炼记录：对于日常自由锻炼的记录进行查询和展示，可按多种条件进行组合查询，可查看所有学生自由锻炼的成绩，并可查看详情，主要包括人员基础信息、成绩、运动关键图片、运动视频、主要活动肌群、运动评价和提升建议等</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四、教学管理</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课程管理:可对课程信息进行管理，可对课程信息进行添加、编辑、删除、列表/图形切换、查询、详情查看功能。此外还可对课程的章节信息进行管理，可对章节信息进行添加、编辑、删除、查看、文件上传/删除/下载功能，投标人须提供具备CMA认证资质机构出具的满足该要求的合格检测报告（检验依据：</w:t>
            </w:r>
            <w:bookmarkStart w:id="125" w:name="OLE_LINK90"/>
            <w:r/>
            <w:bookmarkStart w:id="126" w:name="OLE_LINK91"/>
            <w:r>
              <w:rPr>
                <w:rFonts w:hint="eastAsia" w:ascii="宋体" w:hAnsi="宋体" w:cs="宋体"/>
                <w:color w:val="auto"/>
                <w:szCs w:val="21"/>
                <w:highlight w:val="none"/>
              </w:rPr>
              <w:t xml:space="preserve">GB/T25000.51-2016</w:t>
            </w:r>
            <w:bookmarkEnd w:id="125"/>
            <w:r/>
            <w:bookmarkEnd w:id="126"/>
            <w:r>
              <w:rPr>
                <w:rFonts w:hint="eastAsia" w:ascii="宋体" w:hAnsi="宋体" w:cs="宋体"/>
                <w:color w:val="auto"/>
                <w:szCs w:val="21"/>
                <w:highlight w:val="none"/>
              </w:rPr>
              <w:t xml:space="preserve">）扫描件并加盖投标人公章。</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随堂测验:可查询、查看随堂测验相关的成绩信息，可查看测验的基础信息，包括运动项目、运动设备、班级、测验时间、参与人数、未参与人数、最佳成绩、最低成绩、平均成绩、状态等，以及每个学生测评的详细成绩信息和成绩详情。</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五、体质检测</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1.测评任务管理：主要包括任务列表展示、添加、修改、删除、查询等，可查看测试任务的开始时间、结束时间、参与范围等基础信息</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2.体测成绩管理：主要包括体测成绩的查询、查看、修改、删除和报告查看等，可查看某一个体测任务下每个学生的标准分、附加分、总分、等级评定、测试进度等信息，支持学生体测成绩的打印和下载。</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六、体育作业</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作业管理：支持对体育作业进行查询和详情查看，详情信息主要包括基础信息、学生作业详情，其中基础信息包括作业名称、体育老师、年级和班级、发布时间、提交截止时间、提交和未提交人数、提交率、作业时长、平均运动时长、完成率等；其中学生作业详情包括学生提交信息、运动时长、老师点评、点赞和红花数量等。并可查看每个学生的作业运动详情</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2.学生运动记录：支持对学生体育作业的运动记录进行查询和查看，并可查看学生体育作业运动的成绩、运动关键图片、运动视频等</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3.学生作业统计：支持对学生提交作业情况进行统计查询和查看，并可查看每个学生作业详情信息，主要包括学生提交信息、运动时长、老师点评、点赞和红花数量等</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七、查询中心</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个人档案：可查看学生的体育运动总览，包括学生的基础信息、累计运动时长和所在班级排名/年级排名/总排名、累计运动次数和所在班级排名/年级排名/总排名、运动项目、运动天数、运动时长最长日期、单次运动最长时间、平均运动时长、运动次数最多运动、运动次数最少运动、运动时长最长运动、运动时长最短运动、排名最好运动；以及各运动项目按时长和次数进行排行；运动时长和次数趋势；各个运动项目的运动概况、运动时长和次数趋势、运动平均成绩趋势等。</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成绩查询：可查询各种运动项目每一位学生的成绩情况，并支持批量导出功能，可按多种条件进行组合查询，可查看所有运动人员的详情，主要包括学生基础信息、成绩信息、得分、评级、运动关键图片、运动视频、主要活动肌群、运动评价和提升建议等；（投标时提供功能截图）</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3.创纪录成绩：可查询查看各个体育项目的创纪录成绩，并支持导出功能。</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八、驾驶舱</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驾驶舱主要展示体育运动的总览，支持按学期、年级、运动项目、运动模式等进行组合筛选，主要包括运动项目数、今日运动人数、本月运动人数、总运动时长、总运动人次等；统计操场上各运动项目今日和本月运动量；统计全部运动项目的运动时长或次数随时间变化的趋势；各项目根据运动时长或次数占比；各运动项目最优/平均成绩雷达图；学生或班级各运动项目成绩排行榜；阳光跑总里程、人均里程、人均配速；学生或班级按时长/次数运动量排行；以及最近运动实况。</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智慧体育</w:t>
            </w:r>
            <w:r/>
          </w:p>
        </w:tc>
      </w:tr>
      <w:tr>
        <w:trPr>
          <w:trHeight w:val="819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146</w:t>
            </w:r>
            <w:r/>
          </w:p>
        </w:tc>
        <w:tc>
          <w:tcPr>
            <w:tcW w:w="113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学校智慧体育移动端</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1.支持登录和退出功能，支持账号密码或者手机短信验证码登录；</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2.支持班级列表管理功能，可查看各班级学生信息及人脸照片，可通过手机拍照或选择相册照片的方式，上传人脸照片</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3.支持800/1000米跑等长跑运动项目管理：</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1）.首页选择运动项目卡片，展示所有测试任务清单；</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2）.支持选择测试班级，随时开启随堂测试；若平台创建了体测任务，则可在此处开启体测任务的测验；</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3）.可随时开始、继续、结束测试任务；</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4）.统计进行中、已完成的测试任务数量；</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5）.可查案学生测试详情，在体测模式下，包括学生完成进度、优秀人数、良好人数、及格人数、不及格人数，以及每个人的用时、成绩和评级；</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6）.可查看学生运动详情；</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▲7）.支持选择整班开始测验，支持“手动分组”和“自动分组”两种方式;投标人须提供具备CMA认证资质机构出具的满足该要求的合格检测报告（检验依据：GB/T25000.51-2016）扫描件并加盖投标人公章。</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8）.手动分组:选择班级后，设置参与本次测验的学生性别、每组最大人数(1-30)，系统将根据实际情况自动为学生分组;老师可在APP控制起跑发令、重新发令，并可实现多组连续套发起跑;APP实时统计已完成人数和未完成人数，并实时显示学生跑步圈数及最终成绩;学生运动完成后，实时展示本组排名及本次测试任务排名，投标人须提供具备CMA认证资质机构出具的满足该要求的合格检测报告（检验依据：GB/T25000.51-2016）扫描件并加盖投标人公章。</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9）.自动分组：选择班级后，学生至各跑道起点线前抬头识别人脸，APP上实时展示人脸识别情况；老师可在APP控制起跑发令、重新发令，并可实现多组连续套发起跑；对于起点识别有误的学生可直接选择对应的学生；APP实时统计已完成人数和未完成人数，并实时显示学生成绩；学生运动完成后，实时展示本组排名及本次测试任务排名。</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4.支持阳光跑运动项目管理：</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1）.展示阳光跑统计实况，包括今日参与人数、学生参与率、平均运动时长、平均运动距离，并滚动播放操场上各学生的运动配速及运动距离；</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2）.可展示今日阳光跑运动排行榜；</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3）.可设置阳光跑的开启规则，支持设置单次开启规则，也支持每周循环规则；</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4）.显示阳光跑的持续时间，并可随时关闭正在进行的阳光跑</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展示阳光跑统计实况，包括本周任务参与率、任务完成率、平均运动时长、平均运动距离，并滚动播放操场上各学生的运动距离，投标人须提供具备CMA认证资质机构出具的满足该要求的合格检测报告（检验依据：GB/T25000.51-2016）扫描件并加盖投标人公章。</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5.支持体育角产品管理：</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老师可通过APP控制体育角进入随堂测试或体质检测模式，进入该模式后，学生无法再继续通过手势与体育角设备交互，只能由老师统一开启运动，投标人须提供具备CMA认证资质机构出具的满足该要求的合格检测报告（检验依据：GB/T25000.51-2016）扫描件并加盖投标人公章。</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▲2）.老师可在APP上选择要控制的设备，可同时控制的体育角设备不限，投标人须提供具备CMA认证资质机构出具的满足该要求的合格检测报告（检验依据：GB/T25000.51-2016）扫描件并加盖投标人公章。</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3）.老师可在APP上选择参与运动的班级和运动的项目；</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4）.老师可开启随堂测试、体质检测任务的测验；</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5）.学生至各设备点位，自动人脸识别身份，老师APP上实时显示本组参与运动的人员清单；</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6）.APP上实时显示学生成绩，运动结束后展示学生排名；</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7）.APP实时统计已测人数和未测人数；</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8）.可查案学生测试详情，在体测模式下，包括学生完成进度、优秀人数、良好人数、及格人数、不及格人数，以及每个人的用时、成绩和评级；</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9）.可查看学生运动详情。</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6.体育作业管理模块：</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支持老师发布体育作业，主要包括作业当中的运动项目、作业总时长、提交截止时间、系统催交时间、是否允许补交、接收班级等，并支持对作业进行分享、编辑、复制和删除，发布成功后可将作业分享到班级群；</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2）.支持按班级、日期（全部、今日、本周、上周、本月、上月、最近三个月、自定义时间）等筛选条件对体育作业进行查询；</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3）.支持对作业详情进行查看，主要包括作业基础信息，以及已提交和未提交学生列表，对于已提交的学生可查看学生运动详情，并可对作业进行点评、点赞、奖励小红花等。</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7.运动总览支持如下功能：</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支持按单运动项目数据统计，可选择项目、时间、性别、班级等条件查询，可统计运动总人数、运动总时长、运动总人次、最高成绩、平均成绩、最低成绩；可查看个人排行榜，可选择项目、时间、性别、班级等条件查询。可查看班级排行榜，统计班级的运动时长或运动次数top10；</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支持全部运动项目数据统计，可选择时间、性别、班级等条件查询，统计运动总人数、未运动人数、运动总时长、人均时长、运动总次数、人均次数；可展示运动项目对比条形图，统计各项目运动次数、运动时长、运动人数；可展示运动项目趋势折线图，统计运动人数、运动次数、运动时长伴随时间的变化趋势。</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8.可查看个人排行榜，可选择项目、时间、性别、班级等条件查询</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9.测试记录模块，可统计各项目的运动人数，可选择时间、项目、性别、班级等条件查询，可查看某天某项目的全部学生运动记录</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10.支持成绩查询功能，查询学生运动成绩，可选择姓名、时间、性别、班级、项目等条件查询</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11.支持设备管理功能，展示设备基础信息，按设备类别统计设备在线、离线数量，远程控制设备关机、重启</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12.支持设置功能模块：</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1）.支持设置姓名、照片头像、手机号码等个人信息，可修改登录密码，可清除APP缓存，可退出登录；</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2）.可对应用程序版本进行更新、清除缓存、反馈相关问题、查看隐私政策和许可协议等。</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智慧体育</w:t>
            </w:r>
            <w:r/>
          </w:p>
        </w:tc>
      </w:tr>
      <w:tr>
        <w:trPr>
          <w:trHeight w:val="540"/>
        </w:trPr>
        <w:tc>
          <w:tcPr>
            <w:tcW w:w="8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147</w:t>
            </w:r>
            <w:r/>
          </w:p>
        </w:tc>
        <w:tc>
          <w:tcPr>
            <w:tcW w:w="113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施工费</w:t>
            </w:r>
            <w:r/>
          </w:p>
        </w:tc>
        <w:tc>
          <w:tcPr>
            <w:tcW w:w="453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设备施工安装（包括设备安装、网络布线、测试、调试等费用）；</w:t>
            </w:r>
            <w:r/>
          </w:p>
        </w:tc>
        <w:tc>
          <w:tcPr>
            <w:tcW w:w="9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W w:w="12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智慧体育</w:t>
            </w:r>
            <w:r/>
          </w:p>
        </w:tc>
      </w:tr>
    </w:tbl>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★2.原材料环保要求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（1）供应商中标后，应提供产品材质清单、原材料产地证明，需就拟投入本项目生产的原材料和主要辅材进行送检，送检内容和受检机构需经采购人认可。</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（2）原材料及辅材应符合国家规定的强制性环保指标。</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★（二）商务要求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1.报价要求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2.实施要求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（1）总体要求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供应商中标后提供设备安装日程计划。</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（2）质量要求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（3）安全实施要求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供应商应采取安全措施，确保实施安全。因本项目实施产生的实施人员和学校师生人身安全问题由供应商承担全部责任。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（4）验收要求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（5）质保（维保）及售后要求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①本项目所有产品质保期限为3年（自验收报告签字确认日起，开始进入质保期）。质保期内，每年维护保养1次，维护保养及更换损坏件的费用包含在投标总价中。</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②质保期内产品的一切质量问题，更换部件及产品本身质量原因造成的直接经济损失全部由中标供应商负责。无法短时间完成维修的，应向采购人提供应急备用产品。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质保期外，中标供应商提供终生服务，在货物的设计使用寿命周期内，中标供应商能保证采购人更换到原厂正宗的备件材料，确保产品的正常使用。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⑤供应商提供售后服务承诺书，包括质保期、质量问题处理方法。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⑥供应商必须通过“南京市教育装备项目管理平台”提供售后维护维保服务。南京市教育装备项目管理平台网址：</w:t>
      </w:r>
      <w:r>
        <w:rPr>
          <w:color w:val="auto"/>
          <w:highlight w:val="none"/>
        </w:rPr>
        <w:fldChar w:fldCharType="begin"/>
      </w:r>
      <w:r>
        <w:rPr>
          <w:color w:val="auto"/>
          <w:highlight w:val="none"/>
        </w:rPr>
        <w:instrText xml:space="preserve"> HYPERLINK "http://nj.cneefix.com" </w:instrText>
      </w:r>
      <w:r>
        <w:rPr>
          <w:color w:val="auto"/>
          <w:highlight w:val="none"/>
        </w:rPr>
        <w:fldChar w:fldCharType="separate"/>
      </w:r>
      <w:r>
        <w:rPr>
          <w:rStyle w:val="742"/>
          <w:rFonts w:hint="eastAsia" w:cs="宋体"/>
          <w:color w:val="auto"/>
          <w:sz w:val="24"/>
          <w:highlight w:val="none"/>
        </w:rPr>
        <w:t xml:space="preserve">http://nj.cneefix.com</w:t>
      </w:r>
      <w:r>
        <w:rPr>
          <w:rStyle w:val="742"/>
          <w:rFonts w:hint="eastAsia" w:cs="宋体"/>
          <w:color w:val="auto"/>
          <w:sz w:val="24"/>
          <w:highlight w:val="none"/>
        </w:rPr>
        <w:fldChar w:fldCharType="end"/>
      </w:r>
      <w:r>
        <w:rPr>
          <w:rFonts w:hint="eastAsia" w:ascii="宋体" w:hAnsi="宋体" w:cs="宋体"/>
          <w:color w:val="auto"/>
          <w:sz w:val="24"/>
          <w:szCs w:val="24"/>
          <w:highlight w:val="none"/>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以第三章合同文本内容为准。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4.交付时间及地点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（1）交付时间：采购人确认现场满足条件及合同签订后，30天内交付并完成安装调试及验收等相关工作。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bCs/>
          <w:color w:val="auto"/>
          <w:sz w:val="24"/>
          <w:szCs w:val="24"/>
          <w:highlight w:val="none"/>
        </w:rPr>
        <w:t xml:space="preserve">其他要求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360" w:lineRule="auto"/>
        <w:rPr>
          <w:rFonts w:ascii="宋体" w:hAnsi="宋体" w:cs="宋体"/>
          <w:b/>
          <w:color w:val="auto"/>
          <w:sz w:val="24"/>
          <w:szCs w:val="24"/>
          <w:highlight w:val="none"/>
        </w:rPr>
      </w:pPr>
      <w:r/>
      <w:bookmarkStart w:id="127" w:name="OLE_LINK102"/>
      <w:r/>
      <w:bookmarkStart w:id="128" w:name="OLE_LINK101"/>
      <w:r>
        <w:rPr>
          <w:rFonts w:hint="eastAsia" w:ascii="宋体" w:hAnsi="宋体" w:cs="宋体"/>
          <w:b/>
          <w:color w:val="auto"/>
          <w:sz w:val="24"/>
          <w:szCs w:val="24"/>
          <w:highlight w:val="none"/>
        </w:rPr>
        <w:t xml:space="preserve">（三）演示要求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bookmarkEnd w:id="127"/>
      <w:r/>
      <w:bookmarkEnd w:id="128"/>
      <w:r/>
      <w:r/>
    </w:p>
    <w:p>
      <w:pPr>
        <w:ind w:firstLine="480"/>
        <w:jc w:val="center"/>
        <w:spacing w:line="360" w:lineRule="auto"/>
        <w:rPr>
          <w:rFonts w:ascii="宋体" w:hAnsi="宋体" w:cs="宋体"/>
          <w:color w:val="auto"/>
          <w:szCs w:val="21"/>
          <w:highlight w:val="none"/>
          <w:lang w:val="zh-CN"/>
        </w:rPr>
      </w:pPr>
      <w:r>
        <w:rPr>
          <w:rFonts w:ascii="宋体" w:hAnsi="宋体" w:cs="宋体"/>
          <w:b/>
          <w:bCs/>
          <w:color w:val="auto"/>
          <w:spacing w:val="-10"/>
          <w:sz w:val="36"/>
          <w:szCs w:val="36"/>
          <w:highlight w:val="none"/>
          <w:lang w:val="zh-CN"/>
        </w:rPr>
        <w:br w:type="page" w:clear="all"/>
      </w:r>
      <w:bookmarkStart w:id="129" w:name="_Toc228350075"/>
      <w:r>
        <w:rPr>
          <w:rFonts w:hint="eastAsia" w:ascii="宋体" w:hAnsi="宋体" w:cs="宋体"/>
          <w:b/>
          <w:bCs/>
          <w:color w:val="auto"/>
          <w:spacing w:val="-10"/>
          <w:sz w:val="36"/>
          <w:szCs w:val="36"/>
          <w:highlight w:val="none"/>
          <w:lang w:val="zh-CN"/>
        </w:rPr>
        <w:t xml:space="preserve">第五章  合同主要条款及格式</w:t>
      </w:r>
      <w:bookmarkEnd w:id="129"/>
      <w:r/>
      <w:bookmarkEnd w:id="23"/>
      <w:r/>
    </w:p>
    <w:p>
      <w:pPr>
        <w:ind w:firstLine="640"/>
        <w:jc w:val="center"/>
        <w:spacing w:line="360" w:lineRule="auto"/>
        <w:widowControl/>
        <w:rPr>
          <w:rFonts w:ascii="Calibri" w:hAnsi="Calibri" w:cs="方正小标宋简体"/>
          <w:bCs/>
          <w:color w:val="auto"/>
          <w:sz w:val="32"/>
          <w:szCs w:val="32"/>
          <w:highlight w:val="none"/>
        </w:rPr>
      </w:pPr>
      <w:r/>
      <w:bookmarkStart w:id="130" w:name="_Toc16496"/>
      <w:r>
        <w:rPr>
          <w:rFonts w:hint="eastAsia" w:ascii="Calibri" w:hAnsi="Calibri" w:cs="方正小标宋简体"/>
          <w:bCs/>
          <w:color w:val="auto"/>
          <w:sz w:val="32"/>
          <w:szCs w:val="32"/>
          <w:highlight w:val="none"/>
        </w:rPr>
        <w:t xml:space="preserve">政府采购合同（货物）</w:t>
      </w:r>
      <w:r/>
    </w:p>
    <w:p>
      <w:pPr>
        <w:ind w:firstLine="480"/>
        <w:jc w:val="center"/>
        <w:spacing w:before="120" w:after="12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合同编号：</w:t>
      </w:r>
      <w:r/>
    </w:p>
    <w:p>
      <w:pPr>
        <w:jc w:val="left"/>
        <w:spacing w:before="120" w:after="12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r/>
    </w:p>
    <w:p>
      <w:pPr>
        <w:jc w:val="left"/>
        <w:spacing w:before="120" w:after="12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jc w:val="left"/>
        <w:spacing w:before="120" w:after="12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甲方（买方）：南京江北新区管理委员会教育局</w:t>
      </w:r>
      <w:r/>
    </w:p>
    <w:p>
      <w:pPr>
        <w:jc w:val="left"/>
        <w:spacing w:before="120" w:after="12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w:t>
      </w:r>
      <w:bookmarkStart w:id="131" w:name="OLE_LINK65"/>
      <w:r/>
      <w:bookmarkStart w:id="132" w:name="OLE_LINK64"/>
      <w:r>
        <w:rPr>
          <w:rFonts w:hint="eastAsia" w:ascii="宋体" w:hAnsi="宋体" w:cs="宋体"/>
          <w:color w:val="auto"/>
          <w:sz w:val="24"/>
          <w:szCs w:val="24"/>
          <w:highlight w:val="none"/>
        </w:rPr>
        <w:t xml:space="preserve">卖方</w:t>
      </w:r>
      <w:bookmarkEnd w:id="131"/>
      <w:r/>
      <w:bookmarkEnd w:id="132"/>
      <w:r>
        <w:rPr>
          <w:rFonts w:hint="eastAsia" w:ascii="宋体" w:hAnsi="宋体" w:cs="宋体"/>
          <w:color w:val="auto"/>
          <w:sz w:val="24"/>
          <w:szCs w:val="24"/>
          <w:highlight w:val="none"/>
        </w:rPr>
        <w:t xml:space="preserve">）：</w:t>
      </w:r>
      <w:r/>
    </w:p>
    <w:p>
      <w:pPr>
        <w:jc w:val="left"/>
        <w:spacing w:before="120" w:after="12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丙方（受托代建单位）：</w:t>
      </w:r>
      <w:bookmarkStart w:id="133" w:name="OLE_LINK58"/>
      <w:r/>
      <w:bookmarkStart w:id="134" w:name="OLE_LINK59"/>
      <w:r>
        <w:rPr>
          <w:rFonts w:hint="eastAsia" w:ascii="宋体" w:hAnsi="宋体" w:cs="宋体"/>
          <w:color w:val="auto"/>
          <w:sz w:val="24"/>
          <w:szCs w:val="24"/>
          <w:highlight w:val="none"/>
        </w:rPr>
        <w:t xml:space="preserve">南京市江北新区公共工程建设中心</w:t>
      </w:r>
      <w:bookmarkEnd w:id="133"/>
      <w:r/>
      <w:bookmarkEnd w:id="134"/>
      <w:r/>
      <w:r/>
    </w:p>
    <w:p>
      <w:pPr>
        <w:ind w:firstLine="480"/>
        <w:jc w:val="left"/>
        <w:spacing w:before="120" w:after="12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鉴于受托代建单位</w:t>
      </w:r>
      <w:bookmarkStart w:id="135" w:name="OLE_LINK73"/>
      <w:r/>
      <w:bookmarkStart w:id="136" w:name="OLE_LINK72"/>
      <w:r>
        <w:rPr>
          <w:rFonts w:hint="eastAsia" w:ascii="宋体" w:hAnsi="宋体" w:cs="宋体"/>
          <w:color w:val="auto"/>
          <w:sz w:val="24"/>
          <w:szCs w:val="24"/>
          <w:highlight w:val="none"/>
        </w:rPr>
        <w:t xml:space="preserve">南京市江北新区公共工程建设中心</w:t>
      </w:r>
      <w:bookmarkEnd w:id="135"/>
      <w:r/>
      <w:bookmarkEnd w:id="136"/>
      <w:r>
        <w:rPr>
          <w:rFonts w:hint="eastAsia" w:ascii="宋体" w:hAnsi="宋体" w:cs="宋体"/>
          <w:color w:val="auto"/>
          <w:sz w:val="24"/>
          <w:szCs w:val="24"/>
          <w:highlight w:val="none"/>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auto"/>
          <w:sz w:val="24"/>
          <w:szCs w:val="24"/>
          <w:highlight w:val="none"/>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auto"/>
          <w:sz w:val="24"/>
          <w:szCs w:val="24"/>
          <w:highlight w:val="none"/>
          <w:u w:val="single"/>
        </w:rPr>
        <w:t xml:space="preserve">南京师范大学附属中学江北新区学校新建工程项目体育装备采购</w:t>
      </w:r>
      <w:r>
        <w:rPr>
          <w:rFonts w:hint="eastAsia" w:ascii="宋体" w:hAnsi="宋体" w:cs="宋体"/>
          <w:color w:val="auto"/>
          <w:sz w:val="24"/>
          <w:szCs w:val="24"/>
          <w:highlight w:val="none"/>
        </w:rPr>
        <w:t xml:space="preserve">及有关事项协商一致，共同达成如下协议：</w:t>
      </w:r>
      <w:r/>
    </w:p>
    <w:p>
      <w:pPr>
        <w:ind w:firstLine="482"/>
        <w:jc w:val="left"/>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一、合同内容</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1.1标的名称：</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1.2标的质量：【按采购文件及投标文件执行】</w:t>
      </w:r>
      <w:r/>
    </w:p>
    <w:p>
      <w:pPr>
        <w:ind w:firstLine="480"/>
        <w:jc w:val="left"/>
        <w:spacing w:line="360" w:lineRule="auto"/>
        <w:widowControl/>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1.3标的数量（规模）：</w:t>
      </w:r>
      <w:r/>
    </w:p>
    <w:tbl>
      <w:tblPr>
        <w:tblStyle w:val="679"/>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4" w:space="0"/>
              <w:left w:val="none" w:color="000000" w:sz="4" w:space="0"/>
              <w:bottom w:val="none" w:color="000000" w:sz="4" w:space="0"/>
              <w:right w:val="none" w:color="000000" w:sz="4" w:space="0"/>
            </w:tcBorders>
            <w:tcW w:w="9639" w:type="dxa"/>
            <w:textDirection w:val="lrTb"/>
            <w:noWrap/>
          </w:tcPr>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乙方根据甲方需求提供下列货物：</w:t>
            </w:r>
            <w:r/>
          </w:p>
          <w:tbl>
            <w:tblPr>
              <w:tblStyle w:val="679"/>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W w:w="1545"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名称</w:t>
                  </w:r>
                  <w:r/>
                </w:p>
              </w:tc>
              <w:tc>
                <w:tcPr>
                  <w:tcW w:w="1819"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型号、规格</w:t>
                  </w:r>
                  <w:r/>
                </w:p>
              </w:tc>
              <w:tc>
                <w:tcPr>
                  <w:tcW w:w="72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数量</w:t>
                  </w:r>
                  <w:r/>
                </w:p>
              </w:tc>
              <w:tc>
                <w:tcPr>
                  <w:tcW w:w="126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单价</w:t>
                  </w:r>
                  <w:r/>
                </w:p>
              </w:tc>
              <w:tc>
                <w:tcPr>
                  <w:tcW w:w="108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总价</w:t>
                  </w:r>
                  <w:r/>
                </w:p>
              </w:tc>
              <w:tc>
                <w:tcPr>
                  <w:tcW w:w="90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品牌</w:t>
                  </w:r>
                  <w:r/>
                </w:p>
              </w:tc>
              <w:tc>
                <w:tcPr>
                  <w:tcW w:w="872"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产地</w:t>
                  </w:r>
                  <w:r/>
                </w:p>
              </w:tc>
            </w:tr>
            <w:tr>
              <w:trPr>
                <w:jc w:val="center"/>
                <w:trHeight w:val="90"/>
              </w:trPr>
              <w:tc>
                <w:tcPr>
                  <w:tcW w:w="704"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1</w:t>
                  </w:r>
                  <w:r/>
                </w:p>
              </w:tc>
              <w:tc>
                <w:tcPr>
                  <w:tcW w:w="1545" w:type="dxa"/>
                  <w:vAlign w:val="center"/>
                  <w:textDirection w:val="lrTb"/>
                  <w:noWrap/>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1819"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72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126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108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90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872"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r>
            <w:tr>
              <w:trPr>
                <w:jc w:val="center"/>
                <w:trHeight w:val="90"/>
              </w:trPr>
              <w:tc>
                <w:tcPr>
                  <w:tcW w:w="704" w:type="dxa"/>
                  <w:vAlign w:val="center"/>
                  <w:textDirection w:val="lrTb"/>
                  <w:noWrap/>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45" w:type="dxa"/>
                  <w:vAlign w:val="center"/>
                  <w:textDirection w:val="lrTb"/>
                  <w:noWrap/>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1819"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72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126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108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90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872"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r>
            <w:tr>
              <w:trPr>
                <w:jc w:val="center"/>
                <w:trHeight w:val="300"/>
              </w:trPr>
              <w:tc>
                <w:tcPr>
                  <w:tcW w:w="704" w:type="dxa"/>
                  <w:vAlign w:val="center"/>
                  <w:textDirection w:val="lrTb"/>
                  <w:noWrap/>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545" w:type="dxa"/>
                  <w:vAlign w:val="center"/>
                  <w:textDirection w:val="lrTb"/>
                  <w:noWrap/>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1819"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72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126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108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900"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c>
                <w:tcPr>
                  <w:tcW w:w="872" w:type="dxa"/>
                  <w:vAlign w:val="center"/>
                  <w:textDirection w:val="lrTb"/>
                  <w:noWrap/>
                </w:tcPr>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r>
          </w:tbl>
          <w:p>
            <w:pPr>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tc>
      </w:tr>
    </w:tbl>
    <w:p>
      <w:pPr>
        <w:ind w:firstLine="480"/>
        <w:jc w:val="left"/>
        <w:spacing w:line="400" w:lineRule="exact"/>
        <w:widowControl/>
        <w:rPr>
          <w:rFonts w:ascii="宋体" w:hAnsi="宋体" w:cs="宋体"/>
          <w:color w:val="auto"/>
          <w:sz w:val="24"/>
          <w:szCs w:val="24"/>
          <w:highlight w:val="none"/>
          <w:lang w:eastAsia="en-US"/>
        </w:rPr>
      </w:pPr>
      <w:r>
        <w:rPr>
          <w:rFonts w:ascii="宋体" w:hAnsi="宋体" w:cs="宋体"/>
          <w:color w:val="auto"/>
          <w:sz w:val="24"/>
          <w:szCs w:val="24"/>
          <w:highlight w:val="none"/>
          <w:lang w:eastAsia="en-US"/>
        </w:rPr>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1.4履行时间（期限）：【按采购文件及投标文件执行】</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1.5履行地点：【按采购文件及投标文件执行】</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1.6履行方式：【按采购文件及投标文件执行】</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1.7包装方式：【按采购文件及投标文件执行】</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二、合同金额</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2.1本合同金额为（大写）：______________（____________________元）人民币。</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三、技术资料</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3.1乙方应按采购文件规定的时间向甲方（或丙方）提供货物（包含与货物相关的服务）的有关技术资料。</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3.2没有甲方（或丙方）事先书面同意，乙方不得将由甲</w:t>
      </w:r>
      <w:r>
        <w:rPr>
          <w:rFonts w:hint="eastAsia" w:ascii="宋体" w:hAnsi="宋体" w:cs="宋体"/>
          <w:color w:val="auto"/>
          <w:sz w:val="24"/>
          <w:szCs w:val="24"/>
          <w:highlight w:val="none"/>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四、知识产权</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五、产权担保</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5.1乙方保证所交付的货物（包含与货物相关的服务）的所有权完全属于乙方且无任何抵押、查封等产权瑕疵。</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六、履约保证金</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6.1本项目乙方无需缴纳履约保证金。</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七、合同转包或分包</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7.1乙方不得将合同标的转包给他人履行。</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7.2除采购文件接受分包并经甲方同意，乙方可按分包意向协议分包情况外，乙方不得将合同标的分包给他人履行。</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7.3乙方如有转包或未经甲方同意的分包行为，甲方有权终止合同。</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八、合同款项支付</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8.1合同签订后支付合同总额10%的预付款。</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8.2施工、安装、调试完毕，由甲方组织相关学校进行验收，验收合格并由乙方协助学校完成资产入库登记，六个月内支付合同总额的50%。</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8.3在本工程项目竣工验收合格，一年内支付合同总额的35%，剩余5%为质保金。</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8.4质保金在质保期满后一次性付清。</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8.5具体支付依据当年新区财政资金状况而定。</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8.6发票及付款流程</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8.6.1乙方所开发票名称为“南京江北新区管理委员会教育局”，依据付款要求，提供相应材料。</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九、税费</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9.1本合同执行中的相关税费均由乙方负担。</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十、质量保修范围和保修期及售后服务</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10.1乙方应按采购文件规定的货物性能、技术要求、质量标准向甲方提供未经使用的全新产品。</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10.2乙方提供的货物在质保期内因货物本身的质量问题发生故障，乙方应负责免费更换。对达不到技术要求者，根据实际情况，经双方协商可按以下方式处理：</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10.2.1更换：由乙方承担所发生的全部费用。</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10.2.2贬值处理：由甲乙双方合议定价。</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10.2.3退货处理：乙方应退还甲方支付的合同款，同时应承担该货物的直接费用（运输、保险、检验、货款利息及银行手续费等）。</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10.3如在使用过程中发生质量问题，乙方应在接到甲方通知后【1】小时内到达甲方现场。</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10.4质保期内，乙方应对货物出现的质量及安全问题负责处理解决并承担一切费用。</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10.5</w:t>
      </w:r>
      <w:bookmarkStart w:id="137" w:name="OLE_LINK5"/>
      <w:r>
        <w:rPr>
          <w:rFonts w:hint="eastAsia" w:ascii="宋体" w:hAnsi="宋体" w:cs="宋体"/>
          <w:color w:val="auto"/>
          <w:sz w:val="24"/>
          <w:szCs w:val="24"/>
          <w:highlight w:val="none"/>
        </w:rPr>
        <w:t xml:space="preserve">质保期</w:t>
      </w:r>
      <w:bookmarkEnd w:id="137"/>
      <w:r>
        <w:rPr>
          <w:rFonts w:hint="eastAsia" w:ascii="宋体" w:hAnsi="宋体" w:cs="宋体"/>
          <w:color w:val="auto"/>
          <w:sz w:val="24"/>
          <w:szCs w:val="24"/>
          <w:highlight w:val="none"/>
        </w:rPr>
        <w:t xml:space="preserve">为自交货验收合格之日起【</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】年，因人为因素出现的故障不在质保范围内。超过质保期的乙方负责终身维修，维修时只收取部件成本费。</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十一、项目验收</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11.1甲方依法组织履约验收工作，具体工作由甲方委托丙方组织进行，乙方必须服从丙方安排。</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11.3对于实际使用人和甲方（或丙方）分离的项目，甲方（或丙方）邀请实际使用人参与验收。</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11.4如有必要，甲方（或丙方）可邀请参加本项目投标的其他供应商或第三方专业机构及专家参与验收，相关意见将作为验收结论的参考。</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spacing w:line="360" w:lineRule="auto"/>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十二、货物的包装、发运及运输</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12.2使用说明书、质量检验证明书、随配附件和工具以及清单一并附于货物内。</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12.3乙方在货物发运手续办理完毕后24小时内或货到甲方（或丙方）48小时前通知甲方（或丙方），以准备接货。</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12.4货物在交付甲方（或丙方）前发生的风险均由乙方负责。</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12.5货物在规定的交付期限内由乙方送达甲方（或丙方）指定的地点视为交付，乙方同时需通知甲方（或丙方）货物已送达。</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十三、交货</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13.1乙方应在本合同生效后【】天内向甲方交付货物。</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交货地点（甲方或丙方指定）：【】</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收货人及其联系方式：【】</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13.3货物的到货验收包括：型号、规格、数量、外观质量及货物包装是否完好。</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十四、安装调试、培训和验收</w:t>
      </w:r>
      <w:r/>
    </w:p>
    <w:p>
      <w:pPr>
        <w:ind w:firstLine="480"/>
        <w:spacing w:line="360" w:lineRule="auto"/>
        <w:shd w:val="solid" w:color="ffffff" w:fill="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十五、违约责任</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15.1甲方的违约</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（3）甲方无正当理由拒收货物的，应向乙方偿付拒收货物总价款【1%】的违约金。</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15.2乙方的违约</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（6）乙方</w:t>
      </w:r>
      <w:r>
        <w:rPr>
          <w:rFonts w:hint="eastAsia" w:ascii="宋体" w:hAnsi="宋体" w:cs="宋体"/>
          <w:color w:val="auto"/>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（7）合同生效后，如乙方提出终止合同，应承担由此给甲方造成的一切损失。</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①未经甲方书面同意，将本合同约定的权利义务转让给第三人的；</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③未履行信息保密和使用约定的；</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④未履行双方约定的其他义务的，经甲方催告后7日内，仍未整改的。</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十六、不可抗力事件处理</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16.3不可抗力事件延续120天以上，双方应通过友好协商，确定是否继续履行合同。</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16.7因合同一方延迟履行合同后发生不可抗力的，不能免除延迟履行方的相应责任。</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十七、解决争议的方法</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十八、合同的生效、变更与终止</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18.1本合同经双方加盖单位印章后生效。</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18.2周期延长</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18.2.1由于甲方或不可预见的自然或社会因素，导致服务内容增加和时间延长，则：</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（1）甲方应将此情况与可能产生的影响尽快通知乙方，并采取合理措施使影响减少到最小；</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（2）乙方应保持详细原始记录作为甲方支付费用的依据。</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18.2.2由于乙方的原因，导致服务时间延长，则：</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（1）乙方应将此情况与可能产生的影响尽快通知甲方，并采取合理措施使损失减少到最小；</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（2）甲方不支付乙方延长服务时间产生的费用，乙方应该按照本合同承担相应责任。</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18.3变更与终止</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（3）变更</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（4）终止</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截至甲方终止通知发出之日完成的实际工作量产生的合同费用结清后，本合同自动终止。</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不论何种原因，本合同的终止，不损害和影响各方应有权利、索赔要求和应负的责任。</w:t>
      </w:r>
      <w:r/>
    </w:p>
    <w:p>
      <w:pPr>
        <w:ind w:firstLine="48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十九、其他</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19.1通知</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19.2本合同正本叁份、副本肆份，具有同等法律效力，甲方、乙方、丙方各执正本1份，副本1份，1份副本交采购机构存档。</w:t>
      </w:r>
      <w:r/>
    </w:p>
    <w:p>
      <w:pPr>
        <w:ind w:firstLine="480"/>
        <w:spacing w:before="120" w:after="120" w:line="400" w:lineRule="exact"/>
        <w:widowControl/>
        <w:rPr>
          <w:rFonts w:ascii="Calibri" w:hAnsi="Calibri"/>
          <w:color w:val="auto"/>
          <w:sz w:val="24"/>
          <w:szCs w:val="22"/>
          <w:highlight w:val="none"/>
        </w:rPr>
      </w:pPr>
      <w:r/>
      <w:bookmarkStart w:id="138" w:name="OLE_LINK53"/>
      <w:r>
        <w:rPr>
          <w:rFonts w:hint="eastAsia" w:ascii="Calibri" w:hAnsi="Calibri"/>
          <w:color w:val="auto"/>
          <w:sz w:val="24"/>
          <w:szCs w:val="22"/>
          <w:highlight w:val="none"/>
        </w:rPr>
        <w:t xml:space="preserve">甲方：（盖章）乙方：（盖章）</w:t>
      </w:r>
      <w:r/>
    </w:p>
    <w:p>
      <w:pPr>
        <w:ind w:firstLine="480"/>
        <w:spacing w:before="120" w:after="120" w:line="400" w:lineRule="exact"/>
        <w:widowControl/>
        <w:rPr>
          <w:rFonts w:ascii="Calibri" w:hAnsi="Calibri"/>
          <w:color w:val="auto"/>
          <w:sz w:val="24"/>
          <w:szCs w:val="22"/>
          <w:highlight w:val="none"/>
        </w:rPr>
      </w:pPr>
      <w:r>
        <w:rPr>
          <w:rFonts w:hint="eastAsia" w:ascii="Calibri" w:hAnsi="Calibri"/>
          <w:color w:val="auto"/>
          <w:sz w:val="24"/>
          <w:szCs w:val="22"/>
          <w:highlight w:val="none"/>
        </w:rPr>
        <w:t xml:space="preserve">地址：地址： </w:t>
      </w:r>
      <w:r/>
    </w:p>
    <w:p>
      <w:pPr>
        <w:ind w:firstLine="480"/>
        <w:spacing w:before="120" w:after="120" w:line="400" w:lineRule="exact"/>
        <w:widowControl/>
        <w:rPr>
          <w:rFonts w:ascii="Calibri" w:hAnsi="Calibri"/>
          <w:color w:val="auto"/>
          <w:sz w:val="24"/>
          <w:szCs w:val="22"/>
          <w:highlight w:val="none"/>
        </w:rPr>
      </w:pPr>
      <w:r>
        <w:rPr>
          <w:rFonts w:hint="eastAsia" w:ascii="Calibri" w:hAnsi="Calibri"/>
          <w:color w:val="auto"/>
          <w:sz w:val="24"/>
          <w:szCs w:val="22"/>
          <w:highlight w:val="none"/>
        </w:rPr>
        <w:t xml:space="preserve">法定代表人或授权代表：法定代表人或授权代表：</w:t>
      </w:r>
      <w:r/>
    </w:p>
    <w:p>
      <w:pPr>
        <w:ind w:firstLine="480"/>
        <w:spacing w:before="120" w:after="120" w:line="400" w:lineRule="exact"/>
        <w:widowControl/>
        <w:rPr>
          <w:rFonts w:ascii="Calibri" w:hAnsi="Calibri"/>
          <w:color w:val="auto"/>
          <w:sz w:val="24"/>
          <w:szCs w:val="22"/>
          <w:highlight w:val="none"/>
        </w:rPr>
      </w:pPr>
      <w:r>
        <w:rPr>
          <w:rFonts w:hint="eastAsia" w:ascii="Calibri" w:hAnsi="Calibri"/>
          <w:color w:val="auto"/>
          <w:sz w:val="24"/>
          <w:szCs w:val="22"/>
          <w:highlight w:val="none"/>
        </w:rPr>
        <w:t xml:space="preserve">联系电话：联系电话：</w:t>
      </w:r>
      <w:r/>
    </w:p>
    <w:p>
      <w:pPr>
        <w:ind w:firstLine="480"/>
        <w:spacing w:before="120" w:after="120" w:line="400" w:lineRule="exact"/>
        <w:widowControl/>
        <w:rPr>
          <w:rFonts w:ascii="Calibri" w:hAnsi="Calibri"/>
          <w:color w:val="auto"/>
          <w:sz w:val="24"/>
          <w:szCs w:val="22"/>
          <w:highlight w:val="none"/>
        </w:rPr>
      </w:pPr>
      <w:r>
        <w:rPr>
          <w:rFonts w:hint="eastAsia" w:ascii="Calibri" w:hAnsi="Calibri"/>
          <w:color w:val="auto"/>
          <w:sz w:val="24"/>
          <w:szCs w:val="22"/>
          <w:highlight w:val="none"/>
        </w:rPr>
        <w:t xml:space="preserve">签订日期：</w:t>
      </w:r>
      <w:bookmarkEnd w:id="138"/>
      <w:r/>
    </w:p>
    <w:p>
      <w:pPr>
        <w:jc w:val="left"/>
        <w:rPr>
          <w:rFonts w:ascii="宋体" w:hAnsi="宋体"/>
          <w:color w:val="auto"/>
          <w:sz w:val="24"/>
          <w:szCs w:val="24"/>
          <w:highlight w:val="none"/>
        </w:rPr>
      </w:pPr>
      <w:r>
        <w:rPr>
          <w:rFonts w:ascii="宋体" w:hAnsi="宋体"/>
          <w:color w:val="auto"/>
          <w:sz w:val="24"/>
          <w:szCs w:val="24"/>
          <w:highlight w:val="none"/>
        </w:rPr>
      </w:r>
      <w:r/>
    </w:p>
    <w:p>
      <w:pPr>
        <w:ind w:firstLine="480"/>
        <w:spacing w:before="120" w:after="120" w:line="400" w:lineRule="exact"/>
        <w:widowControl/>
        <w:rPr>
          <w:rFonts w:ascii="Calibri" w:hAnsi="Calibri"/>
          <w:color w:val="auto"/>
          <w:sz w:val="24"/>
          <w:szCs w:val="22"/>
          <w:highlight w:val="none"/>
        </w:rPr>
      </w:pPr>
      <w:r>
        <w:rPr>
          <w:rFonts w:hint="eastAsia" w:ascii="宋体" w:hAnsi="宋体" w:cs="宋体"/>
          <w:color w:val="auto"/>
          <w:sz w:val="24"/>
          <w:szCs w:val="24"/>
          <w:highlight w:val="none"/>
        </w:rPr>
        <w:t xml:space="preserve">丙   </w:t>
      </w:r>
      <w:r>
        <w:rPr>
          <w:rFonts w:hint="eastAsia" w:ascii="Calibri" w:hAnsi="Calibri"/>
          <w:color w:val="auto"/>
          <w:sz w:val="24"/>
          <w:szCs w:val="22"/>
          <w:highlight w:val="none"/>
        </w:rPr>
        <w:t xml:space="preserve">方：（盖章）</w:t>
      </w:r>
      <w:r/>
    </w:p>
    <w:p>
      <w:pPr>
        <w:ind w:firstLine="480"/>
        <w:spacing w:before="120" w:after="120" w:line="400" w:lineRule="exact"/>
        <w:widowControl/>
        <w:rPr>
          <w:rFonts w:ascii="Calibri" w:hAnsi="Calibri"/>
          <w:color w:val="auto"/>
          <w:sz w:val="24"/>
          <w:szCs w:val="22"/>
          <w:highlight w:val="none"/>
        </w:rPr>
      </w:pPr>
      <w:r>
        <w:rPr>
          <w:rFonts w:hint="eastAsia" w:ascii="Calibri" w:hAnsi="Calibri"/>
          <w:color w:val="auto"/>
          <w:sz w:val="24"/>
          <w:szCs w:val="22"/>
          <w:highlight w:val="none"/>
        </w:rPr>
        <w:t xml:space="preserve">地址：</w:t>
      </w:r>
      <w:r/>
    </w:p>
    <w:p>
      <w:pPr>
        <w:ind w:firstLine="480"/>
        <w:spacing w:before="120" w:after="120" w:line="400" w:lineRule="exact"/>
        <w:widowControl/>
        <w:rPr>
          <w:rFonts w:ascii="Calibri" w:hAnsi="Calibri"/>
          <w:color w:val="auto"/>
          <w:sz w:val="24"/>
          <w:szCs w:val="22"/>
          <w:highlight w:val="none"/>
        </w:rPr>
      </w:pPr>
      <w:r>
        <w:rPr>
          <w:rFonts w:hint="eastAsia" w:ascii="Calibri" w:hAnsi="Calibri"/>
          <w:color w:val="auto"/>
          <w:sz w:val="24"/>
          <w:szCs w:val="22"/>
          <w:highlight w:val="none"/>
        </w:rPr>
        <w:t xml:space="preserve">法定代表人或授权代表：</w:t>
      </w:r>
      <w:r/>
    </w:p>
    <w:p>
      <w:pPr>
        <w:ind w:firstLine="480"/>
        <w:spacing w:before="120" w:after="120" w:line="400" w:lineRule="exact"/>
        <w:widowControl/>
        <w:rPr>
          <w:rFonts w:ascii="Calibri" w:hAnsi="Calibri"/>
          <w:color w:val="auto"/>
          <w:sz w:val="24"/>
          <w:szCs w:val="22"/>
          <w:highlight w:val="none"/>
        </w:rPr>
      </w:pPr>
      <w:r>
        <w:rPr>
          <w:rFonts w:hint="eastAsia" w:ascii="Calibri" w:hAnsi="Calibri"/>
          <w:color w:val="auto"/>
          <w:sz w:val="24"/>
          <w:szCs w:val="22"/>
          <w:highlight w:val="none"/>
        </w:rPr>
        <w:t xml:space="preserve">联系电话：</w:t>
      </w:r>
      <w:r/>
    </w:p>
    <w:p>
      <w:pPr>
        <w:ind w:firstLine="480"/>
        <w:spacing w:before="120" w:after="120" w:line="400" w:lineRule="exact"/>
        <w:widowControl/>
        <w:rPr>
          <w:color w:val="auto"/>
          <w:highlight w:val="none"/>
        </w:rPr>
      </w:pPr>
      <w:r>
        <w:rPr>
          <w:rFonts w:hint="eastAsia" w:ascii="Calibri" w:hAnsi="Calibri"/>
          <w:color w:val="auto"/>
          <w:sz w:val="24"/>
          <w:szCs w:val="22"/>
          <w:highlight w:val="none"/>
        </w:rPr>
        <w:t xml:space="preserve">签订日期：</w:t>
      </w:r>
      <w:r/>
    </w:p>
    <w:p>
      <w:pPr>
        <w:ind w:firstLine="420"/>
        <w:spacing w:before="120" w:after="120" w:line="400" w:lineRule="exact"/>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left="560"/>
        <w:jc w:val="center"/>
        <w:spacing w:line="360" w:lineRule="auto"/>
        <w:rPr>
          <w:rFonts w:ascii="宋体" w:hAnsi="宋体" w:cs="宋体"/>
          <w:b/>
          <w:bCs/>
          <w:color w:val="auto"/>
          <w:sz w:val="36"/>
          <w:szCs w:val="36"/>
          <w:highlight w:val="none"/>
          <w:lang w:val="zh-CN"/>
        </w:rPr>
        <w:outlineLvl w:val="0"/>
      </w:pPr>
      <w:r>
        <w:rPr>
          <w:rFonts w:ascii="宋体" w:hAnsi="宋体" w:cs="宋体"/>
          <w:b/>
          <w:bCs/>
          <w:color w:val="auto"/>
          <w:sz w:val="36"/>
          <w:szCs w:val="36"/>
          <w:highlight w:val="none"/>
          <w:lang w:val="zh-CN"/>
        </w:rPr>
        <w:br w:type="page" w:clear="all"/>
      </w:r>
      <w:bookmarkStart w:id="139" w:name="_Toc228350076"/>
      <w:r>
        <w:rPr>
          <w:rFonts w:hint="eastAsia" w:ascii="宋体" w:hAnsi="宋体" w:cs="宋体"/>
          <w:b/>
          <w:bCs/>
          <w:color w:val="auto"/>
          <w:sz w:val="36"/>
          <w:szCs w:val="36"/>
          <w:highlight w:val="none"/>
          <w:lang w:val="zh-CN"/>
        </w:rPr>
        <w:t xml:space="preserve">第六章  </w:t>
      </w:r>
      <w:r>
        <w:rPr>
          <w:rFonts w:hint="eastAsia" w:ascii="宋体" w:hAnsi="宋体" w:cs="宋体"/>
          <w:b/>
          <w:bCs/>
          <w:color w:val="auto"/>
          <w:sz w:val="36"/>
          <w:szCs w:val="36"/>
          <w:highlight w:val="none"/>
        </w:rPr>
        <w:t xml:space="preserve">投标文件</w:t>
      </w:r>
      <w:r>
        <w:rPr>
          <w:rFonts w:hint="eastAsia" w:ascii="宋体" w:hAnsi="宋体" w:cs="宋体"/>
          <w:b/>
          <w:bCs/>
          <w:color w:val="auto"/>
          <w:sz w:val="36"/>
          <w:szCs w:val="36"/>
          <w:highlight w:val="none"/>
          <w:lang w:val="zh-CN"/>
        </w:rPr>
        <w:t xml:space="preserve">格式及附件</w:t>
      </w:r>
      <w:bookmarkEnd w:id="130"/>
      <w:r/>
      <w:bookmarkEnd w:id="139"/>
      <w:r/>
      <w:r/>
    </w:p>
    <w:p>
      <w:pPr>
        <w:ind w:left="560"/>
        <w:jc w:val="center"/>
        <w:spacing w:line="360" w:lineRule="auto"/>
        <w:rPr>
          <w:rFonts w:ascii="宋体" w:hAnsi="宋体" w:cs="宋体"/>
          <w:b/>
          <w:bCs/>
          <w:color w:val="auto"/>
          <w:sz w:val="36"/>
          <w:szCs w:val="36"/>
          <w:highlight w:val="none"/>
          <w:lang w:val="zh-CN"/>
        </w:rPr>
      </w:pPr>
      <w:r>
        <w:rPr>
          <w:rFonts w:ascii="宋体" w:hAnsi="宋体" w:cs="宋体"/>
          <w:b/>
          <w:bCs/>
          <w:color w:val="auto"/>
          <w:sz w:val="36"/>
          <w:szCs w:val="36"/>
          <w:highlight w:val="none"/>
          <w:lang w:val="zh-CN"/>
        </w:rPr>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投标文件</w:t>
      </w:r>
      <w:r/>
    </w:p>
    <w:p>
      <w:pPr>
        <w:ind w:firstLine="3708"/>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编 号：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名 称： </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供应商名称 ：</w:t>
      </w:r>
      <w:r/>
    </w:p>
    <w:p>
      <w:pP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       日      期 ：</w:t>
      </w:r>
      <w:r/>
    </w:p>
    <w:p>
      <w:pPr>
        <w:jc w:val="center"/>
        <w:spacing w:line="360" w:lineRule="auto"/>
        <w:rPr>
          <w:rFonts w:ascii="宋体" w:hAnsi="宋体" w:cs="宋体"/>
          <w:b/>
          <w:bCs/>
          <w:color w:val="auto"/>
          <w:sz w:val="44"/>
          <w:highlight w:val="none"/>
        </w:rPr>
      </w:pPr>
      <w:r>
        <w:rPr>
          <w:rFonts w:ascii="宋体" w:hAnsi="宋体" w:cs="宋体"/>
          <w:b/>
          <w:bCs/>
          <w:color w:val="auto"/>
          <w:sz w:val="44"/>
          <w:highlight w:val="none"/>
        </w:rPr>
      </w:r>
      <w:r/>
    </w:p>
    <w:p>
      <w:pP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spacing w:line="360" w:lineRule="auto"/>
        <w:rPr>
          <w:rFonts w:ascii="宋体" w:hAnsi="宋体" w:cs="宋体"/>
          <w:b/>
          <w:color w:val="auto"/>
          <w:sz w:val="24"/>
          <w:szCs w:val="24"/>
          <w:highlight w:val="none"/>
        </w:rPr>
        <w:outlineLvl w:val="1"/>
      </w:pPr>
      <w:r>
        <w:rPr>
          <w:rFonts w:ascii="宋体" w:hAnsi="宋体" w:cs="宋体"/>
          <w:b/>
          <w:color w:val="auto"/>
          <w:sz w:val="24"/>
          <w:szCs w:val="24"/>
          <w:highlight w:val="none"/>
          <w:lang w:val="zh-CN"/>
        </w:rPr>
        <w:br w:type="page" w:clear="all"/>
      </w:r>
      <w:bookmarkStart w:id="140" w:name="_Toc228350077"/>
      <w:r>
        <w:rPr>
          <w:rFonts w:hint="eastAsia" w:ascii="宋体" w:hAnsi="宋体" w:cs="宋体"/>
          <w:b/>
          <w:color w:val="auto"/>
          <w:sz w:val="24"/>
          <w:szCs w:val="24"/>
          <w:highlight w:val="none"/>
          <w:lang w:val="zh-CN"/>
        </w:rPr>
        <w:t xml:space="preserve">附件一、投标申请及声明格式</w:t>
      </w:r>
      <w:bookmarkEnd w:id="140"/>
      <w:r/>
      <w:r/>
    </w:p>
    <w:p>
      <w:pPr>
        <w:jc w:val="center"/>
        <w:spacing w:before="120" w:after="120" w:line="360" w:lineRule="auto"/>
        <w:rPr>
          <w:rFonts w:ascii="宋体" w:hAnsi="宋体" w:cs="宋体"/>
          <w:b/>
          <w:bCs/>
          <w:color w:val="auto"/>
          <w:sz w:val="28"/>
          <w:szCs w:val="28"/>
          <w:highlight w:val="none"/>
        </w:rPr>
      </w:pPr>
      <w:r/>
      <w:bookmarkStart w:id="141" w:name="_Toc30921"/>
      <w:r/>
      <w:bookmarkStart w:id="142" w:name="_Toc32604"/>
      <w:r/>
      <w:bookmarkStart w:id="143" w:name="_Toc4379"/>
      <w:r>
        <w:rPr>
          <w:rFonts w:hint="eastAsia" w:ascii="宋体" w:hAnsi="宋体" w:cs="宋体"/>
          <w:b/>
          <w:bCs/>
          <w:color w:val="auto"/>
          <w:sz w:val="28"/>
          <w:szCs w:val="28"/>
          <w:highlight w:val="none"/>
          <w:lang w:val="zh-CN"/>
        </w:rPr>
        <w:t xml:space="preserve">投标申请及声明</w:t>
      </w:r>
      <w:bookmarkEnd w:id="141"/>
      <w:r/>
      <w:bookmarkEnd w:id="142"/>
      <w:r/>
      <w:bookmarkEnd w:id="143"/>
      <w:r/>
      <w:r/>
    </w:p>
    <w:p>
      <w:pPr>
        <w:pStyle w:val="1257"/>
        <w:spacing w:line="360" w:lineRule="auto"/>
        <w:rPr>
          <w:rFonts w:hAnsi="宋体" w:cs="宋体"/>
          <w:color w:val="auto"/>
          <w:sz w:val="24"/>
          <w:szCs w:val="24"/>
          <w:highlight w:val="none"/>
        </w:rPr>
      </w:pPr>
      <w:r/>
      <w:bookmarkStart w:id="144" w:name="_Toc18647"/>
      <w:r/>
      <w:bookmarkStart w:id="145" w:name="_Toc27899"/>
      <w:r>
        <w:rPr>
          <w:rFonts w:hint="eastAsia" w:hAnsi="宋体" w:cs="宋体"/>
          <w:color w:val="auto"/>
          <w:sz w:val="24"/>
          <w:szCs w:val="24"/>
          <w:highlight w:val="none"/>
          <w:lang w:val="zh-CN"/>
        </w:rPr>
        <w:t xml:space="preserve">致：招标人：</w:t>
      </w:r>
      <w:bookmarkEnd w:id="144"/>
      <w:r/>
      <w:bookmarkEnd w:id="145"/>
      <w:r>
        <w:rPr>
          <w:rFonts w:hint="eastAsia" w:hAnsi="宋体" w:cs="宋体"/>
          <w:color w:val="auto"/>
          <w:sz w:val="24"/>
          <w:szCs w:val="24"/>
          <w:highlight w:val="none"/>
          <w:u w:val="single"/>
          <w:lang w:val="zh-CN"/>
        </w:rPr>
        <w:t xml:space="preserve"> 南京江北新区管理委员会教育局</w:t>
      </w:r>
      <w:r/>
    </w:p>
    <w:p>
      <w:pPr>
        <w:pStyle w:val="1257"/>
        <w:spacing w:line="360" w:lineRule="auto"/>
        <w:rPr>
          <w:rFonts w:hAnsi="宋体" w:cs="宋体"/>
          <w:color w:val="auto"/>
          <w:sz w:val="24"/>
          <w:szCs w:val="24"/>
          <w:highlight w:val="none"/>
        </w:rPr>
      </w:pPr>
      <w:r/>
      <w:bookmarkStart w:id="146" w:name="_Toc9373"/>
      <w:r/>
      <w:bookmarkStart w:id="147" w:name="_Toc4607"/>
      <w:r>
        <w:rPr>
          <w:rFonts w:hint="eastAsia" w:hAnsi="宋体" w:cs="宋体"/>
          <w:color w:val="auto"/>
          <w:sz w:val="24"/>
          <w:szCs w:val="24"/>
          <w:highlight w:val="none"/>
          <w:lang w:val="zh-CN"/>
        </w:rPr>
        <w:t xml:space="preserve">根据贵方</w:t>
      </w:r>
      <w:r>
        <w:rPr>
          <w:rFonts w:hint="eastAsia" w:hAnsi="宋体" w:cs="宋体"/>
          <w:color w:val="auto"/>
          <w:sz w:val="24"/>
          <w:szCs w:val="24"/>
          <w:highlight w:val="none"/>
          <w:u w:val="single"/>
          <w:lang w:val="zh-CN"/>
        </w:rPr>
        <w:t xml:space="preserve">（项目名称）（项目编号）</w:t>
      </w:r>
      <w:r>
        <w:rPr>
          <w:rFonts w:hint="eastAsia" w:hAnsi="宋体" w:cs="宋体"/>
          <w:color w:val="auto"/>
          <w:sz w:val="24"/>
          <w:szCs w:val="24"/>
          <w:highlight w:val="none"/>
          <w:lang w:val="zh-CN"/>
        </w:rPr>
        <w:t xml:space="preserve">投标邀请，正式授权下述签字人(姓名和职务)代表投标人（投标人名称），提交投标文件。</w:t>
      </w:r>
      <w:bookmarkEnd w:id="146"/>
      <w:r/>
      <w:bookmarkEnd w:id="147"/>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据此函，签字人兹宣布声明和承诺如下：</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w:t>
      </w:r>
      <w:r>
        <w:rPr>
          <w:rFonts w:hint="eastAsia" w:ascii="宋体" w:hAnsi="宋体" w:cs="宋体"/>
          <w:b/>
          <w:color w:val="auto"/>
          <w:sz w:val="24"/>
          <w:szCs w:val="24"/>
          <w:highlight w:val="none"/>
          <w:lang w:val="zh-CN"/>
        </w:rPr>
        <w:t xml:space="preserve">我们的资格条件完全符合政府采购法和本次招标要求</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我们</w:t>
      </w:r>
      <w:r>
        <w:rPr>
          <w:rFonts w:hint="eastAsia" w:ascii="宋体" w:hAnsi="宋体" w:cs="宋体"/>
          <w:color w:val="auto"/>
          <w:sz w:val="24"/>
          <w:szCs w:val="24"/>
          <w:highlight w:val="none"/>
          <w:lang w:val="zh-CN"/>
        </w:rPr>
        <w:t xml:space="preserve">同意并向贵方提供了与投标有关的所有证据和资料。</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按招标要求，我们的投标总报价为（大写）元人民币。其中，小型企业的产品为（大写）元人民币。</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auto"/>
          <w:sz w:val="24"/>
          <w:szCs w:val="24"/>
          <w:highlight w:val="none"/>
          <w:lang w:val="zh-CN"/>
        </w:rPr>
        <w:t xml:space="preserve">不对招标文件本身提出质疑</w:t>
      </w:r>
      <w:r>
        <w:rPr>
          <w:rFonts w:hint="eastAsia" w:ascii="宋体" w:hAnsi="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、与本投标有关的正式联系方式为：</w:t>
      </w:r>
      <w:r/>
    </w:p>
    <w:p>
      <w:pPr>
        <w:ind w:firstLine="42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地址：</w:t>
      </w:r>
      <w:r/>
    </w:p>
    <w:p>
      <w:pPr>
        <w:ind w:firstLine="42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电话：</w:t>
      </w:r>
      <w:r/>
    </w:p>
    <w:p>
      <w:pPr>
        <w:ind w:firstLine="42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传真：</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开户银行：</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银行账号：</w:t>
      </w:r>
      <w:r/>
    </w:p>
    <w:p>
      <w:pPr>
        <w:ind w:firstLine="42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供应商授权代表姓名（签字）：</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供应商名称：（盖章）</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日期：年月日</w:t>
      </w:r>
      <w:r/>
    </w:p>
    <w:p>
      <w:pPr>
        <w:spacing w:line="360" w:lineRule="auto"/>
        <w:rPr>
          <w:rFonts w:ascii="宋体" w:hAnsi="宋体" w:cs="宋体"/>
          <w:color w:val="auto"/>
          <w:sz w:val="24"/>
          <w:szCs w:val="24"/>
          <w:highlight w:val="none"/>
        </w:rPr>
        <w:outlineLvl w:val="1"/>
      </w:pPr>
      <w:r>
        <w:rPr>
          <w:rFonts w:ascii="宋体" w:hAnsi="宋体" w:cs="宋体"/>
          <w:b/>
          <w:color w:val="auto"/>
          <w:sz w:val="24"/>
          <w:szCs w:val="24"/>
          <w:highlight w:val="none"/>
          <w:lang w:val="zh-CN"/>
        </w:rPr>
        <w:br w:type="page" w:clear="all"/>
      </w:r>
      <w:bookmarkStart w:id="148" w:name="_Toc228350078"/>
      <w:r>
        <w:rPr>
          <w:rFonts w:hint="eastAsia" w:ascii="宋体" w:hAnsi="宋体" w:cs="宋体"/>
          <w:b/>
          <w:color w:val="auto"/>
          <w:sz w:val="24"/>
          <w:szCs w:val="24"/>
          <w:highlight w:val="none"/>
          <w:lang w:val="zh-CN"/>
        </w:rPr>
        <w:t xml:space="preserve">附件二、法定代表人授权书格式</w:t>
      </w:r>
      <w:bookmarkEnd w:id="148"/>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法定代表人授权委托书</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南京江北新区管理委员会教育局、捷宏润安工程顾问（江苏）有限公司 ：</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本授权书声明：注册于</w:t>
      </w:r>
      <w:r>
        <w:rPr>
          <w:rFonts w:hint="eastAsia" w:ascii="宋体" w:hAnsi="宋体" w:cs="宋体"/>
          <w:color w:val="auto"/>
          <w:sz w:val="24"/>
          <w:szCs w:val="24"/>
          <w:highlight w:val="none"/>
          <w:u w:val="single"/>
          <w:lang w:val="zh-CN"/>
        </w:rPr>
        <w:t xml:space="preserve">             （投标人住址）</w:t>
      </w:r>
      <w:r>
        <w:rPr>
          <w:rFonts w:hint="eastAsia" w:ascii="宋体" w:hAnsi="宋体" w:cs="宋体"/>
          <w:color w:val="auto"/>
          <w:sz w:val="24"/>
          <w:szCs w:val="24"/>
          <w:highlight w:val="none"/>
          <w:lang w:val="zh-CN"/>
        </w:rPr>
        <w:t xml:space="preserve">的 </w:t>
      </w:r>
      <w:r>
        <w:rPr>
          <w:rFonts w:hint="eastAsia" w:ascii="宋体" w:hAnsi="宋体" w:cs="宋体"/>
          <w:color w:val="auto"/>
          <w:sz w:val="24"/>
          <w:szCs w:val="24"/>
          <w:highlight w:val="none"/>
          <w:u w:val="single"/>
          <w:lang w:val="zh-CN"/>
        </w:rPr>
        <w:t xml:space="preserve">       （投标人名称）</w:t>
      </w:r>
      <w:r>
        <w:rPr>
          <w:rFonts w:hint="eastAsia" w:ascii="宋体" w:hAnsi="宋体" w:cs="宋体"/>
          <w:color w:val="auto"/>
          <w:sz w:val="24"/>
          <w:szCs w:val="24"/>
          <w:highlight w:val="none"/>
          <w:lang w:val="zh-CN"/>
        </w:rPr>
        <w:t xml:space="preserve">法定代表人 </w:t>
      </w:r>
      <w:r>
        <w:rPr>
          <w:rFonts w:hint="eastAsia" w:ascii="宋体" w:hAnsi="宋体" w:cs="宋体"/>
          <w:color w:val="auto"/>
          <w:sz w:val="24"/>
          <w:szCs w:val="24"/>
          <w:highlight w:val="none"/>
          <w:u w:val="single"/>
          <w:lang w:val="zh-CN"/>
        </w:rPr>
        <w:t xml:space="preserve">      （法定代表人姓名、职务）</w:t>
      </w:r>
      <w:r>
        <w:rPr>
          <w:rFonts w:hint="eastAsia" w:ascii="宋体" w:hAnsi="宋体" w:cs="宋体"/>
          <w:color w:val="auto"/>
          <w:sz w:val="24"/>
          <w:szCs w:val="24"/>
          <w:highlight w:val="none"/>
          <w:lang w:val="zh-CN"/>
        </w:rPr>
        <w:t xml:space="preserve">代表本公司授权在下面签字的 </w:t>
      </w:r>
      <w:r>
        <w:rPr>
          <w:rFonts w:hint="eastAsia" w:ascii="宋体" w:hAnsi="宋体" w:cs="宋体"/>
          <w:color w:val="auto"/>
          <w:sz w:val="24"/>
          <w:szCs w:val="24"/>
          <w:highlight w:val="none"/>
          <w:u w:val="single"/>
          <w:lang w:val="zh-CN"/>
        </w:rPr>
        <w:t xml:space="preserve">        （投标人代表姓名、职务）</w:t>
      </w:r>
      <w:r>
        <w:rPr>
          <w:rFonts w:hint="eastAsia" w:ascii="宋体" w:hAnsi="宋体" w:cs="宋体"/>
          <w:color w:val="auto"/>
          <w:sz w:val="24"/>
          <w:szCs w:val="24"/>
          <w:highlight w:val="none"/>
          <w:lang w:val="zh-CN"/>
        </w:rPr>
        <w:t xml:space="preserve">为本公司的合法代理人，就贵方组织的</w:t>
      </w:r>
      <w:r>
        <w:rPr>
          <w:rFonts w:hint="eastAsia" w:ascii="宋体" w:hAnsi="宋体" w:cs="宋体"/>
          <w:color w:val="auto"/>
          <w:sz w:val="24"/>
          <w:szCs w:val="24"/>
          <w:highlight w:val="none"/>
          <w:u w:val="single"/>
          <w:lang w:val="zh-CN"/>
        </w:rPr>
        <w:t xml:space="preserve">（项目名称）</w:t>
      </w:r>
      <w:r>
        <w:rPr>
          <w:rFonts w:hint="eastAsia" w:ascii="宋体" w:hAnsi="宋体" w:cs="宋体"/>
          <w:color w:val="auto"/>
          <w:sz w:val="24"/>
          <w:szCs w:val="24"/>
          <w:highlight w:val="none"/>
          <w:lang w:val="zh-CN"/>
        </w:rPr>
        <w:t xml:space="preserve">投标，以本公司名义处理一切与之有关的事务。</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本授权书于    年  月  日签字生效，特此声明。</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法定代表人签字：</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授权委托人签字：        </w:t>
      </w:r>
      <w:r/>
    </w:p>
    <w:p>
      <w:pPr>
        <w:pStyle w:val="1017"/>
        <w:spacing w:line="480" w:lineRule="exact"/>
        <w:tabs>
          <w:tab w:val="left" w:pos="360" w:leader="none"/>
        </w:tabs>
        <w:rPr>
          <w:rFonts w:ascii="宋体" w:hAnsi="宋体" w:cs="宋体"/>
          <w:color w:val="auto"/>
          <w:szCs w:val="24"/>
          <w:highlight w:val="none"/>
        </w:rPr>
      </w:pPr>
      <w:r>
        <w:rPr>
          <w:rFonts w:hint="eastAsia" w:ascii="宋体" w:hAnsi="宋体" w:cs="宋体"/>
          <w:color w:val="auto"/>
          <w:szCs w:val="24"/>
          <w:highlight w:val="none"/>
          <w:lang w:val="zh-CN"/>
        </w:rPr>
        <w:t xml:space="preserve">单位名称：（加盖电子公章）   </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    月    日</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法定代表人</w:t>
      </w:r>
      <w:r>
        <w:rPr>
          <w:rFonts w:hint="eastAsia" w:ascii="宋体" w:hAnsi="宋体" w:cs="宋体"/>
          <w:b/>
          <w:bCs/>
          <w:color w:val="auto"/>
          <w:sz w:val="24"/>
          <w:szCs w:val="24"/>
          <w:highlight w:val="none"/>
        </w:rPr>
        <w:t xml:space="preserve">身份证原件扫描件：</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被授权人</w:t>
      </w:r>
      <w:r>
        <w:rPr>
          <w:rFonts w:hint="eastAsia" w:ascii="宋体" w:hAnsi="宋体" w:cs="宋体"/>
          <w:b/>
          <w:bCs/>
          <w:color w:val="auto"/>
          <w:sz w:val="24"/>
          <w:szCs w:val="24"/>
          <w:highlight w:val="none"/>
          <w:lang w:val="zh-CN"/>
        </w:rPr>
        <w:t xml:space="preserve">的身份证明文件的扫描件：</w:t>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rPr>
        <w:outlineLvl w:val="1"/>
      </w:pPr>
      <w:r>
        <w:rPr>
          <w:rFonts w:ascii="宋体" w:hAnsi="宋体" w:cs="宋体"/>
          <w:b/>
          <w:color w:val="auto"/>
          <w:sz w:val="24"/>
          <w:szCs w:val="24"/>
          <w:highlight w:val="none"/>
          <w:lang w:val="zh-CN"/>
        </w:rPr>
        <w:br w:type="page" w:clear="all"/>
      </w:r>
      <w:bookmarkStart w:id="149" w:name="_Toc228350079"/>
      <w:r>
        <w:rPr>
          <w:rFonts w:hint="eastAsia" w:ascii="宋体" w:hAnsi="宋体" w:cs="宋体"/>
          <w:b/>
          <w:color w:val="auto"/>
          <w:sz w:val="24"/>
          <w:szCs w:val="24"/>
          <w:highlight w:val="none"/>
          <w:lang w:val="zh-CN"/>
        </w:rPr>
        <w:t xml:space="preserve">附件三、开标一览表格式</w:t>
      </w:r>
      <w:bookmarkEnd w:id="149"/>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开标一览表</w:t>
      </w:r>
      <w:r/>
    </w:p>
    <w:tbl>
      <w:tblPr>
        <w:tblStyle w:val="679"/>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项目名称： </w:t>
            </w:r>
            <w:r/>
          </w:p>
        </w:tc>
        <w:tc>
          <w:tcPr>
            <w:gridSpan w:val="2"/>
            <w:tcW w:w="3347" w:type="dxa"/>
            <w:vAlign w:val="center"/>
            <w:textDirection w:val="lrTb"/>
            <w:noWrap/>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项目编号：</w:t>
            </w:r>
            <w:r/>
          </w:p>
        </w:tc>
      </w:tr>
      <w:tr>
        <w:trPr>
          <w:trHeight w:val="284"/>
        </w:trPr>
        <w:tc>
          <w:tcPr>
            <w:tcW w:w="734"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序号</w:t>
            </w:r>
            <w:r/>
          </w:p>
        </w:tc>
        <w:tc>
          <w:tcPr>
            <w:gridSpan w:val="2"/>
            <w:tcW w:w="3522"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名               称</w:t>
            </w:r>
            <w:r/>
          </w:p>
        </w:tc>
        <w:tc>
          <w:tcPr>
            <w:tcW w:w="872"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单位</w:t>
            </w:r>
            <w:r/>
          </w:p>
        </w:tc>
        <w:tc>
          <w:tcPr>
            <w:gridSpan w:val="2"/>
            <w:tcW w:w="1418"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报价（元）</w:t>
            </w:r>
            <w:r/>
          </w:p>
        </w:tc>
        <w:tc>
          <w:tcPr>
            <w:tcW w:w="283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284"/>
        </w:trPr>
        <w:tc>
          <w:tcPr>
            <w:tcW w:w="734" w:type="dxa"/>
            <w:vAlign w:val="center"/>
            <w:textDirection w:val="lrTb"/>
            <w:noWrap/>
          </w:tcPr>
          <w:p>
            <w:pPr>
              <w:jc w:val="center"/>
              <w:spacing w:line="360" w:lineRule="auto"/>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1</w:t>
            </w:r>
            <w:r/>
          </w:p>
        </w:tc>
        <w:tc>
          <w:tcPr>
            <w:gridSpan w:val="2"/>
            <w:tcW w:w="3522" w:type="dxa"/>
            <w:vAlign w:val="center"/>
            <w:textDirection w:val="lrTb"/>
            <w:noWrap/>
          </w:tcPr>
          <w:p>
            <w:pPr>
              <w:spacing w:line="360" w:lineRule="auto"/>
              <w:rPr>
                <w:rFonts w:ascii="宋体" w:hAnsi="宋体" w:cs="宋体"/>
                <w:color w:val="auto"/>
                <w:spacing w:val="-2"/>
                <w:sz w:val="24"/>
                <w:szCs w:val="24"/>
                <w:highlight w:val="none"/>
              </w:rPr>
            </w:pPr>
            <w:r>
              <w:rPr>
                <w:rFonts w:hint="eastAsia" w:ascii="宋体" w:hAnsi="宋体" w:cs="宋体"/>
                <w:color w:val="auto"/>
                <w:sz w:val="24"/>
                <w:szCs w:val="24"/>
                <w:highlight w:val="none"/>
              </w:rPr>
              <w:t xml:space="preserve">南京师范大学附属中学江北新区学校新建工程项目体育装备采购</w:t>
            </w:r>
            <w:r/>
          </w:p>
        </w:tc>
        <w:tc>
          <w:tcPr>
            <w:tcW w:w="872" w:type="dxa"/>
            <w:vAlign w:val="center"/>
            <w:textDirection w:val="lrTb"/>
            <w:noWrap/>
          </w:tcPr>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tc>
        <w:tc>
          <w:tcPr>
            <w:gridSpan w:val="2"/>
            <w:tcW w:w="141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284"/>
        </w:trPr>
        <w:tc>
          <w:tcPr>
            <w:tcW w:w="734" w:type="dxa"/>
            <w:vAlign w:val="center"/>
            <w:textDirection w:val="lrTb"/>
            <w:noWrap/>
          </w:tcPr>
          <w:p>
            <w:pPr>
              <w:jc w:val="center"/>
              <w:spacing w:line="360" w:lineRule="auto"/>
              <w:rPr>
                <w:rFonts w:ascii="宋体" w:hAnsi="宋体" w:cs="宋体"/>
                <w:color w:val="auto"/>
                <w:spacing w:val="-2"/>
                <w:sz w:val="24"/>
                <w:szCs w:val="24"/>
                <w:highlight w:val="none"/>
              </w:rPr>
            </w:pPr>
            <w:r>
              <w:rPr>
                <w:rFonts w:ascii="宋体" w:hAnsi="宋体" w:cs="宋体"/>
                <w:color w:val="auto"/>
                <w:spacing w:val="-2"/>
                <w:sz w:val="24"/>
                <w:szCs w:val="24"/>
                <w:highlight w:val="none"/>
              </w:rPr>
            </w:r>
            <w:r/>
          </w:p>
        </w:tc>
        <w:tc>
          <w:tcPr>
            <w:gridSpan w:val="2"/>
            <w:tcW w:w="3522" w:type="dxa"/>
            <w:vAlign w:val="center"/>
            <w:textDirection w:val="lrTb"/>
            <w:noWrap/>
          </w:tcPr>
          <w:p>
            <w:pPr>
              <w:spacing w:line="360" w:lineRule="auto"/>
              <w:rPr>
                <w:rFonts w:ascii="宋体" w:hAnsi="宋体" w:cs="宋体"/>
                <w:color w:val="auto"/>
                <w:spacing w:val="-2"/>
                <w:sz w:val="24"/>
                <w:szCs w:val="24"/>
                <w:highlight w:val="none"/>
              </w:rPr>
            </w:pPr>
            <w:r>
              <w:rPr>
                <w:rFonts w:ascii="宋体" w:hAnsi="宋体" w:cs="宋体"/>
                <w:color w:val="auto"/>
                <w:spacing w:val="-2"/>
                <w:sz w:val="24"/>
                <w:szCs w:val="24"/>
                <w:highlight w:val="none"/>
              </w:rPr>
            </w:r>
            <w:r/>
          </w:p>
        </w:tc>
        <w:tc>
          <w:tcPr>
            <w:tcW w:w="87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141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284"/>
        </w:trPr>
        <w:tc>
          <w:tcPr>
            <w:tcW w:w="734" w:type="dxa"/>
            <w:vAlign w:val="center"/>
            <w:textDirection w:val="lrTb"/>
            <w:noWrap/>
          </w:tcPr>
          <w:p>
            <w:pPr>
              <w:jc w:val="center"/>
              <w:spacing w:line="360" w:lineRule="auto"/>
              <w:rPr>
                <w:rFonts w:ascii="宋体" w:hAnsi="宋体" w:cs="宋体"/>
                <w:color w:val="auto"/>
                <w:spacing w:val="-2"/>
                <w:sz w:val="24"/>
                <w:szCs w:val="24"/>
                <w:highlight w:val="none"/>
              </w:rPr>
            </w:pPr>
            <w:r>
              <w:rPr>
                <w:rFonts w:ascii="宋体" w:hAnsi="宋体" w:cs="宋体"/>
                <w:color w:val="auto"/>
                <w:spacing w:val="-2"/>
                <w:sz w:val="24"/>
                <w:szCs w:val="24"/>
                <w:highlight w:val="none"/>
              </w:rPr>
            </w:r>
            <w:r/>
          </w:p>
        </w:tc>
        <w:tc>
          <w:tcPr>
            <w:gridSpan w:val="2"/>
            <w:tcW w:w="3522" w:type="dxa"/>
            <w:vAlign w:val="center"/>
            <w:textDirection w:val="lrTb"/>
            <w:noWrap/>
          </w:tcPr>
          <w:p>
            <w:pPr>
              <w:spacing w:line="360" w:lineRule="auto"/>
              <w:rPr>
                <w:rFonts w:ascii="宋体" w:hAnsi="宋体" w:cs="宋体"/>
                <w:color w:val="auto"/>
                <w:spacing w:val="-2"/>
                <w:sz w:val="24"/>
                <w:szCs w:val="24"/>
                <w:highlight w:val="none"/>
              </w:rPr>
            </w:pPr>
            <w:r>
              <w:rPr>
                <w:rFonts w:ascii="宋体" w:hAnsi="宋体" w:cs="宋体"/>
                <w:color w:val="auto"/>
                <w:spacing w:val="-2"/>
                <w:sz w:val="24"/>
                <w:szCs w:val="24"/>
                <w:highlight w:val="none"/>
              </w:rPr>
            </w:r>
            <w:r/>
          </w:p>
        </w:tc>
        <w:tc>
          <w:tcPr>
            <w:tcW w:w="87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141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284"/>
        </w:trPr>
        <w:tc>
          <w:tcPr>
            <w:gridSpan w:val="2"/>
            <w:tcW w:w="3265" w:type="dxa"/>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投标总价（人民币，大写）</w:t>
            </w:r>
            <w:r/>
          </w:p>
        </w:tc>
        <w:tc>
          <w:tcPr>
            <w:gridSpan w:val="5"/>
            <w:tcW w:w="6120" w:type="dxa"/>
            <w:vAlign w:val="center"/>
            <w:textDirection w:val="lrTb"/>
            <w:noWrap/>
          </w:tcPr>
          <w:p>
            <w:pPr>
              <w:ind w:firstLine="399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元</w:t>
            </w:r>
            <w:r/>
          </w:p>
        </w:tc>
      </w:tr>
      <w:tr>
        <w:trPr>
          <w:trHeight w:val="284"/>
        </w:trPr>
        <w:tc>
          <w:tcPr>
            <w:gridSpan w:val="2"/>
            <w:tcW w:w="3265" w:type="dxa"/>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投标货物中有无进口产品</w:t>
            </w:r>
            <w:r/>
          </w:p>
        </w:tc>
        <w:tc>
          <w:tcPr>
            <w:gridSpan w:val="5"/>
            <w:tcW w:w="6120" w:type="dxa"/>
            <w:vAlign w:val="center"/>
            <w:textDirection w:val="lrTb"/>
            <w:noWrap/>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有       无</w:t>
            </w:r>
            <w:r/>
          </w:p>
        </w:tc>
      </w:tr>
      <w:tr>
        <w:trPr>
          <w:trHeight w:val="284"/>
        </w:trPr>
        <w:tc>
          <w:tcPr>
            <w:gridSpan w:val="2"/>
            <w:tcW w:w="3265" w:type="dxa"/>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供应商是否属于小微型企业</w:t>
            </w:r>
            <w:r/>
          </w:p>
        </w:tc>
        <w:tc>
          <w:tcPr>
            <w:gridSpan w:val="5"/>
            <w:tcW w:w="6120" w:type="dxa"/>
            <w:vAlign w:val="center"/>
            <w:textDirection w:val="lrTb"/>
            <w:noWrap/>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是       否</w:t>
            </w:r>
            <w:r/>
          </w:p>
        </w:tc>
      </w:tr>
      <w:tr>
        <w:trPr>
          <w:trHeight w:val="284"/>
        </w:trPr>
        <w:tc>
          <w:tcPr>
            <w:gridSpan w:val="2"/>
            <w:tcW w:w="3265" w:type="dxa"/>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人民币与美元汇率</w:t>
            </w:r>
            <w:r/>
          </w:p>
        </w:tc>
        <w:tc>
          <w:tcPr>
            <w:gridSpan w:val="5"/>
            <w:tcW w:w="6120" w:type="dxa"/>
            <w:vAlign w:val="center"/>
            <w:textDirection w:val="lrTb"/>
            <w:noWrap/>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10：X</w:t>
            </w:r>
            <w:r/>
          </w:p>
        </w:tc>
      </w:tr>
    </w:tbl>
    <w:p>
      <w:pPr>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供应商名称:（加盖电子公章）</w:t>
      </w:r>
      <w:r/>
    </w:p>
    <w:p>
      <w:pPr>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说明：</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zh-CN"/>
        </w:rPr>
        <w:t xml:space="preserve">、</w:t>
      </w:r>
      <w:r>
        <w:rPr>
          <w:rFonts w:hint="eastAsia" w:ascii="宋体" w:hAnsi="宋体" w:cs="宋体"/>
          <w:color w:val="auto"/>
          <w:sz w:val="24"/>
          <w:szCs w:val="24"/>
          <w:highlight w:val="none"/>
          <w:lang w:val="zh-CN"/>
        </w:rPr>
        <w:t xml:space="preserve">在“投标货物中有无进口产品”栏后“有”或“无”上打“√”。</w:t>
      </w:r>
      <w:r/>
    </w:p>
    <w:p>
      <w:pPr>
        <w:ind w:firstLine="420"/>
        <w:jc w:val="center"/>
        <w:spacing w:line="360" w:lineRule="auto"/>
        <w:widowControl/>
        <w:rPr>
          <w:rFonts w:ascii="宋体" w:hAnsi="宋体" w:cs="宋体"/>
          <w:b/>
          <w:bCs/>
          <w:color w:val="auto"/>
          <w:sz w:val="28"/>
          <w:szCs w:val="28"/>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、在“供应商是否属于小和微型企业”栏后“是”或“否”上打“√”。</w:t>
      </w:r>
      <w:r>
        <w:rPr>
          <w:rFonts w:cs="宋体"/>
          <w:color w:val="auto"/>
          <w:sz w:val="24"/>
          <w:szCs w:val="24"/>
          <w:highlight w:val="none"/>
          <w:lang w:val="zh-CN"/>
        </w:rPr>
        <w:br w:type="page" w:clear="all"/>
      </w:r>
      <w:r>
        <w:rPr>
          <w:rFonts w:hint="eastAsia" w:ascii="宋体" w:hAnsi="宋体" w:cs="宋体"/>
          <w:b/>
          <w:bCs/>
          <w:color w:val="auto"/>
          <w:sz w:val="28"/>
          <w:szCs w:val="28"/>
          <w:highlight w:val="none"/>
          <w:lang w:val="zh-CN"/>
        </w:rPr>
        <w:t xml:space="preserve">分项报价表</w:t>
      </w:r>
      <w:r/>
    </w:p>
    <w:tbl>
      <w:tblPr>
        <w:tblStyle w:val="679"/>
        <w:tblW w:w="10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jc w:val="center"/>
          <w:trHeight w:val="624"/>
        </w:trPr>
        <w:tc>
          <w:tcPr>
            <w:tcW w:w="789"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shd w:val="clear" w:color="auto" w:fill="ffffff"/>
            <w:tcW w:w="2524"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产品名称</w:t>
            </w:r>
            <w:r/>
          </w:p>
        </w:tc>
        <w:tc>
          <w:tcPr>
            <w:shd w:val="clear" w:color="auto" w:fill="ffffff"/>
            <w:tcW w:w="2136"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技术参数要求</w:t>
            </w:r>
            <w:r/>
          </w:p>
        </w:tc>
        <w:tc>
          <w:tcPr>
            <w:shd w:val="clear" w:color="auto" w:fill="ffffff"/>
            <w:tcW w:w="816"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单位</w:t>
            </w:r>
            <w:r/>
          </w:p>
        </w:tc>
        <w:tc>
          <w:tcPr>
            <w:shd w:val="clear" w:color="auto" w:fill="ffffff"/>
            <w:tcW w:w="953"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shd w:val="clear" w:color="auto" w:fill="ffffff"/>
            <w:tcW w:w="1452"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单价（元）</w:t>
            </w:r>
            <w:r/>
          </w:p>
        </w:tc>
        <w:tc>
          <w:tcPr>
            <w:shd w:val="clear" w:color="auto" w:fill="ffffff"/>
            <w:tcW w:w="1740"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合价（元）</w:t>
            </w:r>
            <w:r/>
          </w:p>
        </w:tc>
      </w:tr>
      <w:tr>
        <w:trPr>
          <w:jc w:val="center"/>
          <w:trHeight w:val="624"/>
        </w:trPr>
        <w:tc>
          <w:tcPr>
            <w:tcW w:w="78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ffffff"/>
            <w:tcW w:w="2524" w:type="dxa"/>
            <w:vAlign w:val="center"/>
            <w:textDirection w:val="lrTb"/>
            <w:noWrap/>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36"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16"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953"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452"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740"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8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ffffff"/>
            <w:tcW w:w="2524" w:type="dxa"/>
            <w:vAlign w:val="center"/>
            <w:textDirection w:val="lrTb"/>
            <w:noWrap/>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36"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16"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953"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452"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740"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8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ffffff"/>
            <w:tcW w:w="2524" w:type="dxa"/>
            <w:vAlign w:val="center"/>
            <w:textDirection w:val="lrTb"/>
            <w:noWrap/>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36"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16"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953"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452"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740"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8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gridSpan w:val="5"/>
            <w:shd w:val="clear" w:color="auto" w:fill="ffffff"/>
            <w:tcW w:w="7881"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总价：</w:t>
            </w:r>
            <w:r/>
          </w:p>
        </w:tc>
        <w:tc>
          <w:tcPr>
            <w:shd w:val="clear" w:color="auto" w:fill="ffffff"/>
            <w:tcW w:w="1740"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89"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w:t>
            </w:r>
            <w:r/>
          </w:p>
        </w:tc>
        <w:tc>
          <w:tcPr>
            <w:gridSpan w:val="5"/>
            <w:shd w:val="clear" w:color="auto" w:fill="ffffff"/>
            <w:tcW w:w="7881"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总价（含税）：</w:t>
            </w:r>
            <w:r/>
          </w:p>
        </w:tc>
        <w:tc>
          <w:tcPr>
            <w:shd w:val="clear" w:color="auto" w:fill="ffffff"/>
            <w:tcW w:w="1740" w:type="dxa"/>
            <w:vAlign w:val="center"/>
            <w:textDirection w:val="lrTb"/>
            <w:noWrap/>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r>
    </w:tbl>
    <w:p>
      <w:pPr>
        <w:ind w:firstLine="360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供应商名称：（加盖电子公章）</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    月   日</w:t>
      </w:r>
      <w:r/>
    </w:p>
    <w:p>
      <w:pPr>
        <w:pStyle w:val="804"/>
        <w:rPr>
          <w:rFonts w:ascii="宋体" w:hAnsi="宋体" w:cs="宋体"/>
          <w:color w:val="auto"/>
          <w:szCs w:val="24"/>
          <w:highlight w:val="none"/>
        </w:rPr>
      </w:pPr>
      <w:r>
        <w:rPr>
          <w:rFonts w:ascii="宋体" w:hAnsi="宋体" w:cs="宋体"/>
          <w:color w:val="auto"/>
          <w:szCs w:val="24"/>
          <w:highlight w:val="none"/>
        </w:rPr>
      </w:r>
      <w:r/>
    </w:p>
    <w:p>
      <w:pPr>
        <w:jc w:val="left"/>
        <w:spacing w:line="360" w:lineRule="auto"/>
        <w:widowControl/>
        <w:rPr>
          <w:rFonts w:ascii="宋体" w:hAnsi="宋体" w:cs="宋体"/>
          <w:b/>
          <w:color w:val="auto"/>
          <w:sz w:val="24"/>
          <w:szCs w:val="24"/>
          <w:highlight w:val="none"/>
        </w:rPr>
        <w:outlineLvl w:val="1"/>
      </w:pPr>
      <w:r>
        <w:rPr>
          <w:rFonts w:ascii="宋体" w:hAnsi="宋体" w:cs="宋体"/>
          <w:b/>
          <w:color w:val="auto"/>
          <w:sz w:val="24"/>
          <w:szCs w:val="24"/>
          <w:highlight w:val="none"/>
        </w:rPr>
        <w:br w:type="page" w:clear="all"/>
      </w:r>
      <w:bookmarkStart w:id="150" w:name="_Toc10499"/>
      <w:r>
        <w:rPr>
          <w:rFonts w:hint="eastAsia" w:ascii="宋体" w:hAnsi="宋体" w:cs="宋体"/>
          <w:b/>
          <w:color w:val="auto"/>
          <w:sz w:val="24"/>
          <w:szCs w:val="24"/>
          <w:highlight w:val="none"/>
          <w:lang w:val="zh-CN"/>
        </w:rPr>
        <w:t xml:space="preserve">附件四、供货一览表格式</w:t>
      </w:r>
      <w:bookmarkEnd w:id="150"/>
      <w:r/>
      <w:r/>
    </w:p>
    <w:p>
      <w:pPr>
        <w:jc w:val="center"/>
        <w:spacing w:line="360" w:lineRule="auto"/>
        <w:rPr>
          <w:rStyle w:val="1235"/>
          <w:rFonts w:ascii="宋体" w:hAnsi="宋体" w:cs="宋体"/>
          <w:b/>
          <w:color w:val="auto"/>
          <w:sz w:val="24"/>
          <w:szCs w:val="22"/>
          <w:highlight w:val="none"/>
        </w:rPr>
      </w:pPr>
      <w:r>
        <w:rPr>
          <w:rStyle w:val="1235"/>
          <w:rFonts w:hint="eastAsia" w:ascii="宋体" w:hAnsi="宋体" w:cs="宋体"/>
          <w:b/>
          <w:color w:val="auto"/>
          <w:sz w:val="24"/>
          <w:szCs w:val="22"/>
          <w:highlight w:val="none"/>
        </w:rPr>
        <w:t xml:space="preserve">供货一览表(格式供参考)</w:t>
      </w:r>
      <w:r/>
    </w:p>
    <w:p>
      <w:pPr>
        <w:pStyle w:val="1258"/>
        <w:ind w:left="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1258"/>
        <w:ind w:left="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tbl>
      <w:tblPr>
        <w:tblStyle w:val="6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38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货物品类</w:t>
            </w:r>
            <w:r/>
          </w:p>
        </w:tc>
        <w:tc>
          <w:tcPr>
            <w:tcW w:w="1568"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货物名称</w:t>
            </w:r>
            <w:r/>
          </w:p>
        </w:tc>
        <w:tc>
          <w:tcPr>
            <w:tcW w:w="2152"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品牌/规格</w:t>
            </w:r>
            <w:r/>
          </w:p>
        </w:tc>
        <w:tc>
          <w:tcPr>
            <w:tcW w:w="1063" w:type="dxa"/>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1321"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117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701"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68" w:type="dxa"/>
            <w:vAlign w:val="center"/>
            <w:textDirection w:val="lrTb"/>
            <w:noWrap/>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2"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63"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21"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1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1"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68" w:type="dxa"/>
            <w:vAlign w:val="center"/>
            <w:textDirection w:val="lrTb"/>
            <w:noWrap/>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2"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63"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21"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1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1"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68" w:type="dxa"/>
            <w:vAlign w:val="center"/>
            <w:textDirection w:val="lrTb"/>
            <w:noWrap/>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2"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63"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21"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1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1"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6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152"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63" w:type="dxa"/>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21"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1"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6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152"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63" w:type="dxa"/>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21"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1"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6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152"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63" w:type="dxa"/>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21"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供应商（</w:t>
      </w:r>
      <w:r>
        <w:rPr>
          <w:rFonts w:hint="eastAsia" w:ascii="宋体" w:hAnsi="宋体" w:cs="宋体"/>
          <w:color w:val="auto"/>
          <w:sz w:val="24"/>
          <w:highlight w:val="none"/>
        </w:rPr>
        <w:t xml:space="preserve">加盖电子公章</w:t>
      </w:r>
      <w:r>
        <w:rPr>
          <w:rFonts w:hint="eastAsia" w:ascii="宋体" w:hAnsi="宋体" w:cs="宋体"/>
          <w:color w:val="auto"/>
          <w:sz w:val="24"/>
          <w:highlight w:val="none"/>
          <w:lang w:val="zh-CN"/>
        </w:rPr>
        <w:t xml:space="preserve">）：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日期：年  月 日</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pStyle w:val="680"/>
        <w:rPr>
          <w:color w:val="auto"/>
          <w:highlight w:val="none"/>
          <w:lang w:val="zh-CN"/>
        </w:rPr>
      </w:pPr>
      <w:r>
        <w:rPr>
          <w:color w:val="auto"/>
          <w:highlight w:val="none"/>
          <w:lang w:val="zh-CN"/>
        </w:rPr>
      </w:r>
      <w:r/>
    </w:p>
    <w:p>
      <w:pPr>
        <w:jc w:val="left"/>
        <w:spacing w:line="360" w:lineRule="auto"/>
        <w:widowControl/>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outlineLvl w:val="1"/>
      </w:pPr>
      <w:r>
        <w:rPr>
          <w:rFonts w:ascii="宋体" w:hAnsi="宋体" w:cs="宋体"/>
          <w:b/>
          <w:color w:val="auto"/>
          <w:sz w:val="24"/>
          <w:szCs w:val="24"/>
          <w:highlight w:val="none"/>
          <w:lang w:val="zh-CN"/>
        </w:rPr>
        <w:br w:type="page" w:clear="all"/>
      </w:r>
      <w:bookmarkStart w:id="151" w:name="_Toc228350080"/>
      <w:r>
        <w:rPr>
          <w:rFonts w:hint="eastAsia" w:ascii="宋体" w:hAnsi="宋体" w:cs="宋体"/>
          <w:b/>
          <w:color w:val="auto"/>
          <w:sz w:val="24"/>
          <w:szCs w:val="24"/>
          <w:highlight w:val="none"/>
          <w:lang w:val="zh-CN"/>
        </w:rPr>
        <w:t xml:space="preserve">附件五、技术条款偏离表格式</w:t>
      </w:r>
      <w:bookmarkEnd w:id="151"/>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技术条款偏离表</w:t>
      </w:r>
      <w:r/>
    </w:p>
    <w:tbl>
      <w:tblPr>
        <w:tblStyle w:val="67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851"/>
        </w:trPr>
        <w:tc>
          <w:tcPr>
            <w:gridSpan w:val="6"/>
            <w:tcW w:w="9651" w:type="dxa"/>
            <w:textDirection w:val="lrTb"/>
            <w:noWrap/>
          </w:tcPr>
          <w:p>
            <w:pPr>
              <w:jc w:val="left"/>
              <w:spacing w:before="240" w:line="400" w:lineRule="exact"/>
              <w:rPr>
                <w:rFonts w:ascii="宋体" w:hAnsi="宋体"/>
                <w:color w:val="auto"/>
                <w:sz w:val="24"/>
                <w:szCs w:val="24"/>
                <w:highlight w:val="none"/>
                <w:lang w:eastAsia="en-US"/>
              </w:rPr>
            </w:pPr>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名称</w:t>
            </w:r>
            <w:r>
              <w:rPr>
                <w:rFonts w:ascii="宋体" w:hAnsi="宋体"/>
                <w:bCs/>
                <w:color w:val="auto"/>
                <w:sz w:val="24"/>
                <w:szCs w:val="24"/>
                <w:highlight w:val="none"/>
                <w:lang w:eastAsia="en-US"/>
              </w:rPr>
              <w:t xml:space="preserve">：</w:t>
            </w:r>
            <w:r/>
          </w:p>
        </w:tc>
      </w:tr>
      <w:tr>
        <w:trPr>
          <w:jc w:val="center"/>
          <w:trHeight w:val="851"/>
        </w:trPr>
        <w:tc>
          <w:tcPr>
            <w:gridSpan w:val="6"/>
            <w:tcW w:w="9651" w:type="dxa"/>
            <w:textDirection w:val="lrTb"/>
            <w:noWrap/>
          </w:tcPr>
          <w:p>
            <w:pPr>
              <w:jc w:val="left"/>
              <w:spacing w:before="240" w:line="400" w:lineRule="exact"/>
              <w:rPr>
                <w:rFonts w:ascii="宋体" w:hAnsi="宋体"/>
                <w:bCs/>
                <w:color w:val="auto"/>
                <w:sz w:val="24"/>
                <w:szCs w:val="24"/>
                <w:highlight w:val="none"/>
                <w:u w:val="single"/>
                <w:lang w:eastAsia="en-US"/>
              </w:rPr>
            </w:pPr>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编号</w:t>
            </w:r>
            <w:r>
              <w:rPr>
                <w:rFonts w:ascii="宋体" w:hAnsi="宋体"/>
                <w:bCs/>
                <w:color w:val="auto"/>
                <w:sz w:val="24"/>
                <w:szCs w:val="24"/>
                <w:highlight w:val="none"/>
                <w:lang w:eastAsia="en-US"/>
              </w:rPr>
              <w:t xml:space="preserve">：</w:t>
            </w:r>
            <w:r/>
          </w:p>
        </w:tc>
      </w:tr>
      <w:tr>
        <w:trPr>
          <w:jc w:val="center"/>
          <w:trHeight w:val="851"/>
        </w:trPr>
        <w:tc>
          <w:tcPr>
            <w:gridSpan w:val="6"/>
            <w:tcW w:w="9651" w:type="dxa"/>
            <w:vAlign w:val="center"/>
            <w:textDirection w:val="lrTb"/>
            <w:noWrap/>
          </w:tcPr>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对本项目技术条款的偏离情况（应进行选择，未选择响应无效）：</w:t>
            </w:r>
            <w:r/>
          </w:p>
          <w:p>
            <w:pPr>
              <w:jc w:val="left"/>
              <w:spacing w:line="400" w:lineRule="exact"/>
              <w:rPr>
                <w:rFonts w:ascii="宋体" w:hAnsi="宋体"/>
                <w:b/>
                <w:color w:val="auto"/>
                <w:sz w:val="24"/>
                <w:szCs w:val="24"/>
                <w:highlight w:val="none"/>
              </w:rPr>
            </w:pPr>
            <w:r>
              <w:rPr>
                <w:rFonts w:ascii="宋体" w:hAnsi="宋体"/>
                <w:b/>
                <w:color w:val="auto"/>
                <w:sz w:val="24"/>
                <w:szCs w:val="24"/>
                <w:highlight w:val="none"/>
              </w:rPr>
              <w:t xml:space="preserve">□无偏离</w:t>
            </w:r>
            <w:r>
              <w:rPr>
                <w:rFonts w:ascii="宋体" w:hAnsi="宋体"/>
                <w:color w:val="auto"/>
                <w:sz w:val="24"/>
                <w:szCs w:val="24"/>
                <w:highlight w:val="none"/>
              </w:rPr>
              <w:t xml:space="preserve">（如无偏离，仅勾选无偏离即可）</w:t>
            </w:r>
            <w:r/>
          </w:p>
          <w:p>
            <w:pPr>
              <w:jc w:val="left"/>
              <w:spacing w:line="400" w:lineRule="exact"/>
              <w:rPr>
                <w:rFonts w:ascii="宋体" w:hAnsi="宋体"/>
                <w:color w:val="auto"/>
                <w:sz w:val="24"/>
                <w:szCs w:val="24"/>
                <w:highlight w:val="none"/>
              </w:rPr>
            </w:pPr>
            <w:r>
              <w:rPr>
                <w:rFonts w:ascii="宋体" w:hAnsi="宋体"/>
                <w:b/>
                <w:color w:val="auto"/>
                <w:sz w:val="24"/>
                <w:szCs w:val="24"/>
                <w:highlight w:val="none"/>
              </w:rPr>
              <w:t xml:space="preserve">□有偏离</w:t>
            </w:r>
            <w:r>
              <w:rPr>
                <w:rFonts w:ascii="宋体" w:hAnsi="宋体"/>
                <w:color w:val="auto"/>
                <w:sz w:val="24"/>
                <w:szCs w:val="24"/>
                <w:highlight w:val="none"/>
              </w:rPr>
              <w:t xml:space="preserve">（如有负偏离，则须在本表中对负偏离项逐一列明）</w:t>
            </w:r>
            <w:r/>
          </w:p>
        </w:tc>
      </w:tr>
      <w:tr>
        <w:trPr>
          <w:jc w:val="center"/>
          <w:trHeight w:val="851"/>
        </w:trPr>
        <w:tc>
          <w:tcPr>
            <w:tcW w:w="775" w:type="dxa"/>
            <w:vAlign w:val="center"/>
            <w:textDirection w:val="lrTb"/>
            <w:noWrap/>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序号</w:t>
            </w:r>
            <w:r/>
          </w:p>
        </w:tc>
        <w:tc>
          <w:tcPr>
            <w:tcW w:w="1482" w:type="dxa"/>
            <w:vAlign w:val="center"/>
            <w:textDirection w:val="lrTb"/>
            <w:noWrap/>
          </w:tcPr>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文件条目号</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W w:w="2384" w:type="dxa"/>
            <w:vAlign w:val="center"/>
            <w:textDirection w:val="lrTb"/>
            <w:noWrap/>
          </w:tcPr>
          <w:p>
            <w:pPr>
              <w:jc w:val="center"/>
              <w:spacing w:line="400" w:lineRule="exact"/>
              <w:rPr>
                <w:rFonts w:ascii="宋体" w:hAnsi="宋体"/>
                <w:color w:val="auto"/>
                <w:sz w:val="24"/>
                <w:szCs w:val="24"/>
                <w:highlight w:val="none"/>
                <w:lang w:eastAsia="en-US"/>
              </w:rPr>
            </w:pPr>
            <w:r>
              <w:rPr>
                <w:rFonts w:hint="eastAsia" w:ascii="宋体" w:hAnsi="宋体"/>
                <w:color w:val="auto"/>
                <w:sz w:val="24"/>
                <w:szCs w:val="24"/>
                <w:highlight w:val="none"/>
              </w:rPr>
              <w:t xml:space="preserve">招标文件</w:t>
            </w:r>
            <w:r>
              <w:rPr>
                <w:rFonts w:ascii="宋体" w:hAnsi="宋体"/>
                <w:color w:val="auto"/>
                <w:sz w:val="24"/>
                <w:szCs w:val="24"/>
                <w:highlight w:val="none"/>
                <w:lang w:eastAsia="en-US"/>
              </w:rPr>
              <w:t xml:space="preserve">要求</w:t>
            </w:r>
            <w:r/>
          </w:p>
        </w:tc>
        <w:tc>
          <w:tcPr>
            <w:tcW w:w="2126" w:type="dxa"/>
            <w:vAlign w:val="center"/>
            <w:textDirection w:val="lrTb"/>
            <w:noWrap/>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响应内容</w:t>
            </w:r>
            <w:r/>
          </w:p>
        </w:tc>
        <w:tc>
          <w:tcPr>
            <w:tcW w:w="1875" w:type="dxa"/>
            <w:vAlign w:val="center"/>
            <w:textDirection w:val="lrTb"/>
            <w:noWrap/>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偏离情况</w:t>
            </w:r>
            <w:r/>
          </w:p>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（据实填写）</w:t>
            </w:r>
            <w:r/>
          </w:p>
        </w:tc>
        <w:tc>
          <w:tcPr>
            <w:tcW w:w="1009" w:type="dxa"/>
            <w:vAlign w:val="center"/>
            <w:textDirection w:val="lrTb"/>
            <w:noWrap/>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说明</w:t>
            </w:r>
            <w:r/>
          </w:p>
        </w:tc>
      </w:tr>
      <w:tr>
        <w:trPr>
          <w:jc w:val="center"/>
          <w:trHeight w:val="851"/>
        </w:trPr>
        <w:tc>
          <w:tcPr>
            <w:tcW w:w="77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bl>
    <w:p>
      <w:pPr>
        <w:jc w:val="left"/>
        <w:spacing w:line="400" w:lineRule="exact"/>
        <w:tabs>
          <w:tab w:val="left" w:pos="1800" w:leader="none"/>
          <w:tab w:val="left" w:pos="5580" w:leader="none"/>
        </w:tabs>
        <w:rPr>
          <w:rFonts w:ascii="宋体" w:hAnsi="宋体"/>
          <w:color w:val="auto"/>
          <w:sz w:val="24"/>
          <w:szCs w:val="24"/>
          <w:highlight w:val="none"/>
          <w:lang w:eastAsia="en-US"/>
        </w:rPr>
      </w:pPr>
      <w:r>
        <w:rPr>
          <w:rFonts w:ascii="宋体" w:hAnsi="宋体"/>
          <w:color w:val="auto"/>
          <w:sz w:val="24"/>
          <w:szCs w:val="24"/>
          <w:highlight w:val="none"/>
          <w:lang w:eastAsia="en-US"/>
        </w:rPr>
        <w:t xml:space="preserve">注：</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对</w:t>
      </w:r>
      <w:bookmarkStart w:id="152" w:name="_Hlk108605718"/>
      <w:r>
        <w:rPr>
          <w:rFonts w:hint="eastAsia" w:ascii="宋体" w:hAnsi="宋体"/>
          <w:color w:val="auto"/>
          <w:sz w:val="24"/>
          <w:szCs w:val="24"/>
          <w:highlight w:val="none"/>
        </w:rPr>
        <w:t xml:space="preserve">《第四章 采购需求》</w:t>
      </w:r>
      <w:bookmarkEnd w:id="152"/>
      <w:r>
        <w:rPr>
          <w:rFonts w:hint="eastAsia" w:ascii="宋体" w:hAnsi="宋体"/>
          <w:color w:val="auto"/>
          <w:sz w:val="24"/>
          <w:szCs w:val="24"/>
          <w:highlight w:val="none"/>
        </w:rPr>
        <w:t xml:space="preserve">中</w:t>
      </w:r>
      <w:r>
        <w:rPr>
          <w:rFonts w:ascii="宋体" w:hAnsi="宋体"/>
          <w:color w:val="auto"/>
          <w:sz w:val="24"/>
          <w:szCs w:val="24"/>
          <w:highlight w:val="none"/>
        </w:rPr>
        <w:t xml:space="preserve">的所有技术要求，除本表所列明的所有偏离外，均视作供应商已对之理解和响应。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．“偏离情况”列应据实填写“正偏离”或“负偏离”或“无偏离”。</w:t>
      </w:r>
      <w:r/>
    </w:p>
    <w:p>
      <w:pPr>
        <w:jc w:val="left"/>
        <w:spacing w:line="400" w:lineRule="exact"/>
        <w:rPr>
          <w:rFonts w:ascii="Calibri" w:hAnsi="Calibri"/>
          <w:color w:val="auto"/>
          <w:sz w:val="24"/>
          <w:szCs w:val="24"/>
          <w:highlight w:val="none"/>
        </w:rPr>
      </w:pPr>
      <w:r>
        <w:rPr>
          <w:rFonts w:ascii="Calibri" w:hAnsi="Calibri"/>
          <w:color w:val="auto"/>
          <w:sz w:val="24"/>
          <w:szCs w:val="24"/>
          <w:highlight w:val="none"/>
        </w:rPr>
      </w:r>
      <w:r/>
    </w:p>
    <w:p>
      <w:pPr>
        <w:ind w:right="360"/>
        <w:jc w:val="left"/>
        <w:spacing w:before="25" w:after="25" w:line="400" w:lineRule="exact"/>
        <w:rPr>
          <w:rFonts w:ascii="宋体" w:hAnsi="宋体"/>
          <w:color w:val="auto"/>
          <w:sz w:val="24"/>
          <w:szCs w:val="24"/>
          <w:highlight w:val="none"/>
        </w:rPr>
      </w:pPr>
      <w:r>
        <w:rPr>
          <w:rFonts w:ascii="宋体" w:hAnsi="宋体"/>
          <w:color w:val="auto"/>
          <w:sz w:val="24"/>
          <w:szCs w:val="24"/>
          <w:highlight w:val="none"/>
        </w:rPr>
      </w:r>
      <w:r/>
    </w:p>
    <w:p>
      <w:pPr>
        <w:jc w:val="left"/>
        <w:spacing w:before="25" w:after="25" w:line="400" w:lineRule="exact"/>
        <w:rPr>
          <w:rFonts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（加盖公章）</w:t>
      </w:r>
      <w:r>
        <w:rPr>
          <w:rFonts w:hint="eastAsia" w:ascii="宋体" w:hAnsi="宋体" w:cs="宋体"/>
          <w:color w:val="auto"/>
          <w:sz w:val="24"/>
          <w:szCs w:val="24"/>
          <w:highlight w:val="none"/>
          <w:lang w:val="zh-CN"/>
        </w:rPr>
        <w:t xml:space="preserve">：</w:t>
      </w:r>
      <w:r/>
    </w:p>
    <w:p>
      <w:pPr>
        <w:jc w:val="left"/>
        <w:spacing w:before="25" w:after="25" w:line="400" w:lineRule="exact"/>
        <w:rPr>
          <w:rFonts w:ascii="宋体" w:hAnsi="宋体"/>
          <w:color w:val="auto"/>
          <w:sz w:val="24"/>
          <w:szCs w:val="24"/>
          <w:highlight w:val="none"/>
        </w:rPr>
      </w:pPr>
      <w:r>
        <w:rPr>
          <w:rFonts w:ascii="宋体" w:hAnsi="宋体"/>
          <w:color w:val="auto"/>
          <w:sz w:val="24"/>
          <w:szCs w:val="24"/>
          <w:highlight w:val="none"/>
        </w:rPr>
        <w:t xml:space="preserve">日期：年月日</w:t>
      </w:r>
      <w:r/>
    </w:p>
    <w:p>
      <w:pPr>
        <w:jc w:val="left"/>
        <w:spacing w:line="360" w:lineRule="auto"/>
        <w:widowControl/>
        <w:rPr>
          <w:rFonts w:ascii="宋体" w:hAnsi="宋体" w:cs="宋体"/>
          <w:b/>
          <w:color w:val="auto"/>
          <w:sz w:val="24"/>
          <w:szCs w:val="24"/>
          <w:highlight w:val="none"/>
          <w:lang w:val="zh-CN"/>
        </w:rPr>
        <w:outlineLvl w:val="1"/>
      </w:pPr>
      <w:r>
        <w:rPr>
          <w:rFonts w:ascii="宋体" w:hAnsi="宋体"/>
          <w:b/>
          <w:color w:val="auto"/>
          <w:sz w:val="22"/>
          <w:szCs w:val="24"/>
          <w:highlight w:val="none"/>
        </w:rPr>
        <w:br w:type="page" w:clear="all"/>
      </w:r>
      <w:bookmarkStart w:id="153" w:name="_Toc228350081"/>
      <w:r>
        <w:rPr>
          <w:rFonts w:hint="eastAsia" w:ascii="宋体" w:hAnsi="宋体" w:cs="宋体"/>
          <w:b/>
          <w:color w:val="auto"/>
          <w:sz w:val="24"/>
          <w:szCs w:val="24"/>
          <w:highlight w:val="none"/>
          <w:lang w:val="zh-CN"/>
        </w:rPr>
        <w:t xml:space="preserve">附件六、商务条款偏离表格式</w:t>
      </w:r>
      <w:bookmarkEnd w:id="153"/>
      <w:r/>
      <w:r/>
    </w:p>
    <w:p>
      <w:pPr>
        <w:jc w:val="center"/>
        <w:spacing w:before="120" w:after="120" w:line="360" w:lineRule="auto"/>
        <w:rPr>
          <w:rFonts w:ascii="宋体" w:hAnsi="宋体"/>
          <w:color w:val="auto"/>
          <w:sz w:val="32"/>
          <w:szCs w:val="32"/>
          <w:highlight w:val="none"/>
          <w:lang w:eastAsia="en-US"/>
        </w:rPr>
      </w:pPr>
      <w:r/>
      <w:bookmarkStart w:id="154" w:name="_Hlk108563484"/>
      <w:r>
        <w:rPr>
          <w:rFonts w:hint="eastAsia" w:ascii="宋体" w:hAnsi="宋体" w:cs="宋体"/>
          <w:b/>
          <w:bCs/>
          <w:color w:val="auto"/>
          <w:sz w:val="28"/>
          <w:szCs w:val="28"/>
          <w:highlight w:val="none"/>
          <w:lang w:val="zh-CN"/>
        </w:rPr>
        <w:t xml:space="preserve">商务条款偏离表</w:t>
      </w:r>
      <w:bookmarkEnd w:id="154"/>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496"/>
        <w:gridCol w:w="2403"/>
        <w:gridCol w:w="2144"/>
        <w:gridCol w:w="1891"/>
        <w:gridCol w:w="1022"/>
      </w:tblGrid>
      <w:tr>
        <w:trPr>
          <w:jc w:val="center"/>
          <w:trHeight w:val="851"/>
        </w:trPr>
        <w:tc>
          <w:tcPr>
            <w:gridSpan w:val="6"/>
            <w:tcW w:w="9986" w:type="dxa"/>
            <w:textDirection w:val="lrTb"/>
            <w:noWrap/>
          </w:tcPr>
          <w:p>
            <w:pPr>
              <w:jc w:val="left"/>
              <w:spacing w:before="240" w:line="400" w:lineRule="exact"/>
              <w:rPr>
                <w:rFonts w:ascii="宋体" w:hAnsi="宋体"/>
                <w:bCs/>
                <w:color w:val="auto"/>
                <w:sz w:val="24"/>
                <w:szCs w:val="24"/>
                <w:highlight w:val="none"/>
                <w:lang w:eastAsia="en-US"/>
              </w:rPr>
            </w:pPr>
            <w:r/>
            <w:bookmarkStart w:id="155" w:name="_Hlk108563504"/>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名称</w:t>
            </w:r>
            <w:r>
              <w:rPr>
                <w:rFonts w:ascii="宋体" w:hAnsi="宋体"/>
                <w:bCs/>
                <w:color w:val="auto"/>
                <w:sz w:val="24"/>
                <w:szCs w:val="24"/>
                <w:highlight w:val="none"/>
                <w:lang w:eastAsia="en-US"/>
              </w:rPr>
              <w:t xml:space="preserve">：</w:t>
            </w:r>
            <w:r/>
          </w:p>
        </w:tc>
      </w:tr>
      <w:tr>
        <w:trPr>
          <w:jc w:val="center"/>
          <w:trHeight w:val="851"/>
        </w:trPr>
        <w:tc>
          <w:tcPr>
            <w:gridSpan w:val="6"/>
            <w:tcW w:w="9986" w:type="dxa"/>
            <w:textDirection w:val="lrTb"/>
            <w:noWrap/>
          </w:tcPr>
          <w:p>
            <w:pPr>
              <w:jc w:val="left"/>
              <w:spacing w:before="240" w:line="400" w:lineRule="exact"/>
              <w:rPr>
                <w:rFonts w:ascii="宋体" w:hAnsi="宋体"/>
                <w:bCs/>
                <w:color w:val="auto"/>
                <w:sz w:val="24"/>
                <w:szCs w:val="24"/>
                <w:highlight w:val="none"/>
                <w:u w:val="single"/>
                <w:lang w:eastAsia="en-US"/>
              </w:rPr>
            </w:pPr>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编号</w:t>
            </w:r>
            <w:r>
              <w:rPr>
                <w:rFonts w:ascii="宋体" w:hAnsi="宋体"/>
                <w:bCs/>
                <w:color w:val="auto"/>
                <w:sz w:val="24"/>
                <w:szCs w:val="24"/>
                <w:highlight w:val="none"/>
                <w:lang w:eastAsia="en-US"/>
              </w:rPr>
              <w:t xml:space="preserve">：</w:t>
            </w:r>
            <w:r/>
          </w:p>
        </w:tc>
      </w:tr>
      <w:tr>
        <w:trPr>
          <w:jc w:val="center"/>
          <w:trHeight w:val="851"/>
        </w:trPr>
        <w:tc>
          <w:tcPr>
            <w:gridSpan w:val="6"/>
            <w:tcW w:w="9986" w:type="dxa"/>
            <w:vAlign w:val="center"/>
            <w:textDirection w:val="lrTb"/>
            <w:noWrap/>
          </w:tcPr>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对本项目商务条款的偏离情况（应进行选择，未选择响应无效）：</w:t>
            </w:r>
            <w:r/>
          </w:p>
          <w:p>
            <w:pPr>
              <w:jc w:val="left"/>
              <w:spacing w:line="400" w:lineRule="exact"/>
              <w:rPr>
                <w:rFonts w:ascii="宋体" w:hAnsi="宋体"/>
                <w:b/>
                <w:color w:val="auto"/>
                <w:sz w:val="24"/>
                <w:szCs w:val="24"/>
                <w:highlight w:val="none"/>
              </w:rPr>
            </w:pPr>
            <w:r>
              <w:rPr>
                <w:rFonts w:ascii="宋体" w:hAnsi="宋体"/>
                <w:b/>
                <w:color w:val="auto"/>
                <w:sz w:val="24"/>
                <w:szCs w:val="24"/>
                <w:highlight w:val="none"/>
              </w:rPr>
              <w:t xml:space="preserve">□无偏离</w:t>
            </w:r>
            <w:r>
              <w:rPr>
                <w:rFonts w:ascii="宋体" w:hAnsi="宋体"/>
                <w:color w:val="auto"/>
                <w:sz w:val="24"/>
                <w:szCs w:val="24"/>
                <w:highlight w:val="none"/>
              </w:rPr>
              <w:t xml:space="preserve">（如无偏离，仅勾选无偏离即可）</w:t>
            </w:r>
            <w:r/>
          </w:p>
          <w:p>
            <w:pPr>
              <w:jc w:val="left"/>
              <w:spacing w:line="400" w:lineRule="exact"/>
              <w:rPr>
                <w:rFonts w:ascii="宋体" w:hAnsi="宋体"/>
                <w:color w:val="auto"/>
                <w:sz w:val="24"/>
                <w:szCs w:val="24"/>
                <w:highlight w:val="none"/>
              </w:rPr>
            </w:pPr>
            <w:r>
              <w:rPr>
                <w:rFonts w:ascii="宋体" w:hAnsi="宋体"/>
                <w:b/>
                <w:color w:val="auto"/>
                <w:sz w:val="24"/>
                <w:szCs w:val="24"/>
                <w:highlight w:val="none"/>
              </w:rPr>
              <w:t xml:space="preserve">□有偏离</w:t>
            </w:r>
            <w:r>
              <w:rPr>
                <w:rFonts w:ascii="宋体" w:hAnsi="宋体"/>
                <w:color w:val="auto"/>
                <w:sz w:val="24"/>
                <w:szCs w:val="24"/>
                <w:highlight w:val="none"/>
              </w:rPr>
              <w:t xml:space="preserve">（如有负偏离，则须在本表中对负偏离项逐一列明）</w:t>
            </w:r>
            <w:r/>
          </w:p>
        </w:tc>
      </w:tr>
      <w:tr>
        <w:trPr>
          <w:jc w:val="center"/>
          <w:trHeight w:val="851"/>
        </w:trPr>
        <w:tc>
          <w:tcPr>
            <w:tcW w:w="801" w:type="dxa"/>
            <w:vAlign w:val="center"/>
            <w:textDirection w:val="lrTb"/>
            <w:noWrap/>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序号</w:t>
            </w:r>
            <w:r/>
          </w:p>
        </w:tc>
        <w:tc>
          <w:tcPr>
            <w:tcW w:w="1533" w:type="dxa"/>
            <w:vAlign w:val="center"/>
            <w:textDirection w:val="lrTb"/>
            <w:noWrap/>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招标文件</w:t>
            </w:r>
            <w:r>
              <w:rPr>
                <w:rFonts w:ascii="宋体" w:hAnsi="宋体"/>
                <w:color w:val="auto"/>
                <w:sz w:val="24"/>
                <w:szCs w:val="24"/>
                <w:highlight w:val="none"/>
              </w:rPr>
              <w:t xml:space="preserve">条目号</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W w:w="2467" w:type="dxa"/>
            <w:vAlign w:val="center"/>
            <w:textDirection w:val="lrTb"/>
            <w:noWrap/>
          </w:tcPr>
          <w:p>
            <w:pPr>
              <w:jc w:val="center"/>
              <w:spacing w:line="400" w:lineRule="exact"/>
              <w:rPr>
                <w:rFonts w:ascii="宋体" w:hAnsi="宋体"/>
                <w:color w:val="auto"/>
                <w:sz w:val="24"/>
                <w:szCs w:val="24"/>
                <w:highlight w:val="none"/>
                <w:lang w:eastAsia="en-US"/>
              </w:rPr>
            </w:pPr>
            <w:r>
              <w:rPr>
                <w:rFonts w:hint="eastAsia" w:ascii="宋体" w:hAnsi="宋体"/>
                <w:color w:val="auto"/>
                <w:sz w:val="24"/>
                <w:szCs w:val="24"/>
                <w:highlight w:val="none"/>
              </w:rPr>
              <w:t xml:space="preserve">招标文件</w:t>
            </w:r>
            <w:r>
              <w:rPr>
                <w:rFonts w:ascii="宋体" w:hAnsi="宋体"/>
                <w:color w:val="auto"/>
                <w:sz w:val="24"/>
                <w:szCs w:val="24"/>
                <w:highlight w:val="none"/>
                <w:lang w:eastAsia="en-US"/>
              </w:rPr>
              <w:t xml:space="preserve">要求</w:t>
            </w:r>
            <w:r/>
          </w:p>
        </w:tc>
        <w:tc>
          <w:tcPr>
            <w:tcW w:w="2200" w:type="dxa"/>
            <w:vAlign w:val="center"/>
            <w:textDirection w:val="lrTb"/>
            <w:noWrap/>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响应内容</w:t>
            </w:r>
            <w:r/>
          </w:p>
        </w:tc>
        <w:tc>
          <w:tcPr>
            <w:tcW w:w="1940" w:type="dxa"/>
            <w:vAlign w:val="center"/>
            <w:textDirection w:val="lrTb"/>
            <w:noWrap/>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偏离情况</w:t>
            </w:r>
            <w:r/>
          </w:p>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（据实填写）</w:t>
            </w:r>
            <w:r/>
          </w:p>
        </w:tc>
        <w:tc>
          <w:tcPr>
            <w:tcW w:w="1045" w:type="dxa"/>
            <w:vAlign w:val="center"/>
            <w:textDirection w:val="lrTb"/>
            <w:noWrap/>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说明</w:t>
            </w:r>
            <w:r/>
          </w:p>
        </w:tc>
      </w:tr>
      <w:tr>
        <w:trPr>
          <w:jc w:val="center"/>
          <w:trHeight w:val="851"/>
        </w:trPr>
        <w:tc>
          <w:tcPr>
            <w:tcW w:w="801"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801"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801"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801"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bookmarkEnd w:id="155"/>
            <w:r/>
          </w:p>
        </w:tc>
      </w:tr>
    </w:tbl>
    <w:p>
      <w:pPr>
        <w:jc w:val="left"/>
        <w:spacing w:line="400" w:lineRule="exact"/>
        <w:tabs>
          <w:tab w:val="left" w:pos="1800" w:leader="none"/>
          <w:tab w:val="left" w:pos="5580" w:leader="none"/>
        </w:tabs>
        <w:rPr>
          <w:rFonts w:ascii="宋体" w:hAnsi="宋体"/>
          <w:color w:val="auto"/>
          <w:sz w:val="24"/>
          <w:szCs w:val="24"/>
          <w:highlight w:val="none"/>
          <w:lang w:eastAsia="en-US"/>
        </w:rPr>
      </w:pPr>
      <w:r>
        <w:rPr>
          <w:rFonts w:ascii="宋体" w:hAnsi="宋体"/>
          <w:color w:val="auto"/>
          <w:sz w:val="24"/>
          <w:szCs w:val="24"/>
          <w:highlight w:val="none"/>
          <w:lang w:eastAsia="en-US"/>
        </w:rPr>
        <w:t xml:space="preserve">注：</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《第四章 采购需求》中</w:t>
      </w:r>
      <w:r>
        <w:rPr>
          <w:rFonts w:ascii="宋体" w:hAnsi="宋体"/>
          <w:color w:val="auto"/>
          <w:sz w:val="24"/>
          <w:szCs w:val="24"/>
          <w:highlight w:val="none"/>
        </w:rPr>
        <w:t xml:space="preserve">的所有</w:t>
      </w:r>
      <w:r>
        <w:rPr>
          <w:rFonts w:hint="eastAsia" w:ascii="宋体" w:hAnsi="宋体"/>
          <w:color w:val="auto"/>
          <w:sz w:val="24"/>
          <w:szCs w:val="24"/>
          <w:highlight w:val="none"/>
        </w:rPr>
        <w:t xml:space="preserve">商务</w:t>
      </w:r>
      <w:r>
        <w:rPr>
          <w:rFonts w:ascii="宋体" w:hAnsi="宋体"/>
          <w:color w:val="auto"/>
          <w:sz w:val="24"/>
          <w:szCs w:val="24"/>
          <w:highlight w:val="none"/>
        </w:rPr>
        <w:t xml:space="preserve">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．“偏离情况”列应据实填写“正偏离”或“负偏离”或“无偏离”。</w:t>
      </w:r>
      <w:r/>
    </w:p>
    <w:p>
      <w:pPr>
        <w:jc w:val="left"/>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r>
      <w:r/>
    </w:p>
    <w:p>
      <w:pPr>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jc w:val="left"/>
        <w:spacing w:before="25" w:after="25" w:line="400" w:lineRule="exact"/>
        <w:rPr>
          <w:rFonts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（加盖公章）</w:t>
      </w:r>
      <w:r>
        <w:rPr>
          <w:rFonts w:hint="eastAsia" w:ascii="宋体" w:hAnsi="宋体" w:cs="宋体"/>
          <w:color w:val="auto"/>
          <w:sz w:val="24"/>
          <w:szCs w:val="24"/>
          <w:highlight w:val="none"/>
          <w:lang w:val="zh-CN"/>
        </w:rPr>
        <w:t xml:space="preserve">：</w:t>
      </w:r>
      <w:r/>
    </w:p>
    <w:p>
      <w:pPr>
        <w:jc w:val="left"/>
        <w:spacing w:before="25" w:after="25" w:line="400" w:lineRule="exact"/>
        <w:rPr>
          <w:rFonts w:ascii="宋体" w:hAnsi="宋体"/>
          <w:color w:val="auto"/>
          <w:sz w:val="24"/>
          <w:szCs w:val="24"/>
          <w:highlight w:val="none"/>
        </w:rPr>
      </w:pPr>
      <w:r>
        <w:rPr>
          <w:rFonts w:ascii="宋体" w:hAnsi="宋体"/>
          <w:color w:val="auto"/>
          <w:sz w:val="24"/>
          <w:szCs w:val="24"/>
          <w:highlight w:val="none"/>
        </w:rPr>
        <w:t xml:space="preserve">日期：年月日</w:t>
      </w:r>
      <w:r/>
    </w:p>
    <w:p>
      <w:pPr>
        <w:jc w:val="left"/>
        <w:spacing w:line="360" w:lineRule="auto"/>
        <w:widowControl/>
        <w:rPr>
          <w:rFonts w:ascii="宋体" w:hAnsi="宋体" w:cs="宋体"/>
          <w:b/>
          <w:color w:val="auto"/>
          <w:sz w:val="24"/>
          <w:szCs w:val="24"/>
          <w:highlight w:val="none"/>
          <w:lang w:val="zh-CN"/>
        </w:rPr>
        <w:outlineLvl w:val="1"/>
      </w:pPr>
      <w:r>
        <w:rPr>
          <w:rFonts w:ascii="Calibri" w:hAnsi="Calibri"/>
          <w:color w:val="auto"/>
          <w:sz w:val="22"/>
          <w:szCs w:val="22"/>
          <w:highlight w:val="none"/>
        </w:rPr>
        <w:br w:type="page" w:clear="all"/>
      </w:r>
      <w:bookmarkStart w:id="156" w:name="_Toc228350082"/>
      <w:r>
        <w:rPr>
          <w:rFonts w:hint="eastAsia" w:ascii="宋体" w:hAnsi="宋体" w:cs="宋体"/>
          <w:b/>
          <w:color w:val="auto"/>
          <w:sz w:val="24"/>
          <w:szCs w:val="24"/>
          <w:highlight w:val="none"/>
          <w:lang w:val="zh-CN"/>
        </w:rPr>
        <w:t xml:space="preserve">附件七、核心产品品牌一览表（实质性格式）</w:t>
      </w:r>
      <w:bookmarkEnd w:id="156"/>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核心产品品牌一览表</w:t>
      </w:r>
      <w:r/>
    </w:p>
    <w:tbl>
      <w:tblPr>
        <w:tblStyle w:val="679"/>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tcPr>
          <w:p>
            <w:pPr>
              <w:jc w:val="center"/>
              <w:spacing w:line="0" w:lineRule="atLeast"/>
              <w:rPr>
                <w:rFonts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序号</w:t>
            </w:r>
            <w:r/>
          </w:p>
        </w:tc>
        <w:tc>
          <w:tcPr>
            <w:tcW w:w="3753" w:type="dxa"/>
            <w:vAlign w:val="center"/>
            <w:textDirection w:val="lrTb"/>
            <w:noWrap/>
          </w:tcPr>
          <w:p>
            <w:pPr>
              <w:jc w:val="center"/>
              <w:spacing w:line="0" w:lineRule="atLeast"/>
              <w:rPr>
                <w:rFonts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名称</w:t>
            </w:r>
            <w:r/>
          </w:p>
        </w:tc>
        <w:tc>
          <w:tcPr>
            <w:tcW w:w="2158" w:type="dxa"/>
            <w:vAlign w:val="center"/>
            <w:textDirection w:val="lrTb"/>
            <w:noWrap/>
          </w:tcPr>
          <w:p>
            <w:pPr>
              <w:jc w:val="center"/>
              <w:spacing w:line="0" w:lineRule="atLeast"/>
              <w:rPr>
                <w:rFonts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品牌</w:t>
            </w:r>
            <w:r/>
          </w:p>
        </w:tc>
        <w:tc>
          <w:tcPr>
            <w:tcW w:w="2391" w:type="dxa"/>
            <w:vAlign w:val="center"/>
            <w:textDirection w:val="lrTb"/>
            <w:noWrap/>
          </w:tcPr>
          <w:p>
            <w:pPr>
              <w:jc w:val="center"/>
              <w:spacing w:line="0" w:lineRule="atLeast"/>
              <w:rPr>
                <w:rFonts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规格或型号</w:t>
            </w:r>
            <w:r/>
          </w:p>
        </w:tc>
      </w:tr>
      <w:tr>
        <w:trPr>
          <w:jc w:val="center"/>
          <w:trHeight w:val="963"/>
        </w:trPr>
        <w:tc>
          <w:tcPr>
            <w:tcW w:w="1044" w:type="dxa"/>
            <w:vAlign w:val="center"/>
            <w:textDirection w:val="lrTb"/>
            <w:noWrap/>
          </w:tcPr>
          <w:p>
            <w:pPr>
              <w:jc w:val="center"/>
              <w:spacing w:line="0" w:lineRule="atLeast"/>
              <w:rPr>
                <w:rFonts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1</w:t>
            </w:r>
            <w:r/>
          </w:p>
        </w:tc>
        <w:tc>
          <w:tcPr>
            <w:tcW w:w="3753" w:type="dxa"/>
            <w:vAlign w:val="center"/>
            <w:textDirection w:val="lrTb"/>
            <w:noWrap/>
          </w:tcPr>
          <w:p>
            <w:pPr>
              <w:jc w:val="center"/>
              <w:spacing w:line="0" w:lineRule="atLeast"/>
              <w:rPr>
                <w:rFonts w:ascii="宋体" w:hAnsi="宋体" w:cs="宋体"/>
                <w:color w:val="auto"/>
                <w:sz w:val="22"/>
                <w:szCs w:val="22"/>
                <w:highlight w:val="none"/>
                <w:lang w:val="zh-CN" w:eastAsia="en-US"/>
              </w:rPr>
            </w:pPr>
            <w:r>
              <w:rPr>
                <w:rFonts w:ascii="宋体" w:hAnsi="宋体" w:cs="宋体"/>
                <w:color w:val="auto"/>
                <w:sz w:val="22"/>
                <w:szCs w:val="22"/>
                <w:highlight w:val="none"/>
                <w:lang w:val="zh-CN" w:eastAsia="en-US"/>
              </w:rPr>
            </w:r>
            <w:r/>
          </w:p>
        </w:tc>
        <w:tc>
          <w:tcPr>
            <w:tcW w:w="2158" w:type="dxa"/>
            <w:textDirection w:val="lrTb"/>
            <w:noWrap/>
          </w:tcPr>
          <w:p>
            <w:pPr>
              <w:jc w:val="center"/>
              <w:spacing w:line="0" w:lineRule="atLeast"/>
              <w:rPr>
                <w:rFonts w:ascii="宋体" w:hAnsi="宋体" w:cs="宋体"/>
                <w:color w:val="auto"/>
                <w:sz w:val="22"/>
                <w:szCs w:val="22"/>
                <w:highlight w:val="none"/>
                <w:lang w:val="zh-CN" w:eastAsia="en-US"/>
              </w:rPr>
            </w:pPr>
            <w:r>
              <w:rPr>
                <w:rFonts w:ascii="宋体" w:hAnsi="宋体" w:cs="宋体"/>
                <w:color w:val="auto"/>
                <w:sz w:val="22"/>
                <w:szCs w:val="22"/>
                <w:highlight w:val="none"/>
                <w:lang w:val="zh-CN" w:eastAsia="en-US"/>
              </w:rPr>
            </w:r>
            <w:r/>
          </w:p>
        </w:tc>
        <w:tc>
          <w:tcPr>
            <w:tcW w:w="2391" w:type="dxa"/>
            <w:textDirection w:val="lrTb"/>
            <w:noWrap/>
          </w:tcPr>
          <w:p>
            <w:pPr>
              <w:jc w:val="center"/>
              <w:spacing w:line="0" w:lineRule="atLeast"/>
              <w:rPr>
                <w:rFonts w:ascii="宋体" w:hAnsi="宋体" w:cs="宋体"/>
                <w:color w:val="auto"/>
                <w:sz w:val="22"/>
                <w:szCs w:val="22"/>
                <w:highlight w:val="none"/>
                <w:lang w:val="zh-CN" w:eastAsia="en-US"/>
              </w:rPr>
            </w:pPr>
            <w:r>
              <w:rPr>
                <w:rFonts w:ascii="宋体" w:hAnsi="宋体" w:cs="宋体"/>
                <w:color w:val="auto"/>
                <w:sz w:val="22"/>
                <w:szCs w:val="22"/>
                <w:highlight w:val="none"/>
                <w:lang w:val="zh-CN" w:eastAsia="en-US"/>
              </w:rPr>
            </w:r>
            <w:r/>
          </w:p>
        </w:tc>
      </w:tr>
      <w:tr>
        <w:trPr>
          <w:jc w:val="center"/>
          <w:trHeight w:val="963"/>
        </w:trPr>
        <w:tc>
          <w:tcPr>
            <w:tcW w:w="1044" w:type="dxa"/>
            <w:vAlign w:val="center"/>
            <w:textDirection w:val="lrTb"/>
            <w:noWrap/>
          </w:tcPr>
          <w:p>
            <w:pPr>
              <w:jc w:val="center"/>
              <w:spacing w:line="0" w:lineRule="atLeas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w:t>
            </w:r>
            <w:r/>
          </w:p>
        </w:tc>
        <w:tc>
          <w:tcPr>
            <w:tcW w:w="3753" w:type="dxa"/>
            <w:vAlign w:val="center"/>
            <w:textDirection w:val="lrTb"/>
            <w:noWrap/>
          </w:tcPr>
          <w:p>
            <w:pPr>
              <w:jc w:val="center"/>
              <w:spacing w:line="0" w:lineRule="atLeast"/>
              <w:rPr>
                <w:rFonts w:ascii="宋体" w:hAnsi="宋体" w:cs="宋体"/>
                <w:color w:val="auto"/>
                <w:sz w:val="22"/>
                <w:szCs w:val="22"/>
                <w:highlight w:val="none"/>
                <w:lang w:val="zh-CN" w:eastAsia="en-US"/>
              </w:rPr>
            </w:pPr>
            <w:r>
              <w:rPr>
                <w:rFonts w:ascii="宋体" w:hAnsi="宋体" w:cs="宋体"/>
                <w:color w:val="auto"/>
                <w:sz w:val="22"/>
                <w:szCs w:val="22"/>
                <w:highlight w:val="none"/>
                <w:lang w:val="zh-CN" w:eastAsia="en-US"/>
              </w:rPr>
            </w:r>
            <w:r/>
          </w:p>
        </w:tc>
        <w:tc>
          <w:tcPr>
            <w:tcW w:w="2158" w:type="dxa"/>
            <w:textDirection w:val="lrTb"/>
            <w:noWrap/>
          </w:tcPr>
          <w:p>
            <w:pPr>
              <w:jc w:val="center"/>
              <w:spacing w:line="0" w:lineRule="atLeast"/>
              <w:rPr>
                <w:rFonts w:ascii="宋体" w:hAnsi="宋体" w:cs="宋体"/>
                <w:color w:val="auto"/>
                <w:sz w:val="22"/>
                <w:szCs w:val="22"/>
                <w:highlight w:val="none"/>
                <w:lang w:val="zh-CN" w:eastAsia="en-US"/>
              </w:rPr>
            </w:pPr>
            <w:r>
              <w:rPr>
                <w:rFonts w:ascii="宋体" w:hAnsi="宋体" w:cs="宋体"/>
                <w:color w:val="auto"/>
                <w:sz w:val="22"/>
                <w:szCs w:val="22"/>
                <w:highlight w:val="none"/>
                <w:lang w:val="zh-CN" w:eastAsia="en-US"/>
              </w:rPr>
            </w:r>
            <w:r/>
          </w:p>
        </w:tc>
        <w:tc>
          <w:tcPr>
            <w:tcW w:w="2391" w:type="dxa"/>
            <w:textDirection w:val="lrTb"/>
            <w:noWrap/>
          </w:tcPr>
          <w:p>
            <w:pPr>
              <w:jc w:val="center"/>
              <w:spacing w:line="0" w:lineRule="atLeast"/>
              <w:rPr>
                <w:rFonts w:ascii="宋体" w:hAnsi="宋体" w:cs="宋体"/>
                <w:color w:val="auto"/>
                <w:sz w:val="22"/>
                <w:szCs w:val="22"/>
                <w:highlight w:val="none"/>
                <w:lang w:val="zh-CN" w:eastAsia="en-US"/>
              </w:rPr>
            </w:pPr>
            <w:r>
              <w:rPr>
                <w:rFonts w:ascii="宋体" w:hAnsi="宋体" w:cs="宋体"/>
                <w:color w:val="auto"/>
                <w:sz w:val="22"/>
                <w:szCs w:val="22"/>
                <w:highlight w:val="none"/>
                <w:lang w:val="zh-CN" w:eastAsia="en-US"/>
              </w:rPr>
            </w:r>
            <w:r/>
          </w:p>
        </w:tc>
      </w:tr>
      <w:tr>
        <w:trPr>
          <w:jc w:val="center"/>
          <w:trHeight w:val="963"/>
        </w:trPr>
        <w:tc>
          <w:tcPr>
            <w:tcW w:w="1044" w:type="dxa"/>
            <w:vAlign w:val="center"/>
            <w:textDirection w:val="lrTb"/>
            <w:noWrap/>
          </w:tcPr>
          <w:p>
            <w:pPr>
              <w:jc w:val="center"/>
              <w:spacing w:line="0" w:lineRule="atLeast"/>
              <w:rPr>
                <w:rFonts w:ascii="宋体" w:hAnsi="宋体" w:cs="宋体"/>
                <w:color w:val="auto"/>
                <w:sz w:val="22"/>
                <w:szCs w:val="22"/>
                <w:highlight w:val="none"/>
                <w:lang w:val="zh-CN"/>
              </w:rPr>
            </w:pPr>
            <w:r>
              <w:rPr>
                <w:rFonts w:ascii="宋体" w:hAnsi="宋体" w:cs="宋体"/>
                <w:color w:val="auto"/>
                <w:sz w:val="22"/>
                <w:szCs w:val="22"/>
                <w:highlight w:val="none"/>
                <w:lang w:val="zh-CN"/>
              </w:rPr>
            </w:r>
            <w:r/>
          </w:p>
        </w:tc>
        <w:tc>
          <w:tcPr>
            <w:tcW w:w="3753" w:type="dxa"/>
            <w:vAlign w:val="center"/>
            <w:textDirection w:val="lrTb"/>
            <w:noWrap/>
          </w:tcPr>
          <w:p>
            <w:pPr>
              <w:jc w:val="center"/>
              <w:spacing w:line="0" w:lineRule="atLeast"/>
              <w:rPr>
                <w:rFonts w:ascii="宋体" w:hAnsi="宋体" w:cs="宋体"/>
                <w:color w:val="auto"/>
                <w:sz w:val="22"/>
                <w:szCs w:val="22"/>
                <w:highlight w:val="none"/>
                <w:lang w:val="zh-CN" w:eastAsia="en-US"/>
              </w:rPr>
            </w:pPr>
            <w:r>
              <w:rPr>
                <w:rFonts w:ascii="宋体" w:hAnsi="宋体" w:cs="宋体"/>
                <w:color w:val="auto"/>
                <w:sz w:val="22"/>
                <w:szCs w:val="22"/>
                <w:highlight w:val="none"/>
                <w:lang w:val="zh-CN" w:eastAsia="en-US"/>
              </w:rPr>
            </w:r>
            <w:r/>
          </w:p>
        </w:tc>
        <w:tc>
          <w:tcPr>
            <w:tcW w:w="2158" w:type="dxa"/>
            <w:textDirection w:val="lrTb"/>
            <w:noWrap/>
          </w:tcPr>
          <w:p>
            <w:pPr>
              <w:jc w:val="center"/>
              <w:spacing w:line="0" w:lineRule="atLeast"/>
              <w:rPr>
                <w:rFonts w:ascii="宋体" w:hAnsi="宋体" w:cs="宋体"/>
                <w:color w:val="auto"/>
                <w:sz w:val="22"/>
                <w:szCs w:val="22"/>
                <w:highlight w:val="none"/>
                <w:lang w:val="zh-CN" w:eastAsia="en-US"/>
              </w:rPr>
            </w:pPr>
            <w:r>
              <w:rPr>
                <w:rFonts w:ascii="宋体" w:hAnsi="宋体" w:cs="宋体"/>
                <w:color w:val="auto"/>
                <w:sz w:val="22"/>
                <w:szCs w:val="22"/>
                <w:highlight w:val="none"/>
                <w:lang w:val="zh-CN" w:eastAsia="en-US"/>
              </w:rPr>
            </w:r>
            <w:r/>
          </w:p>
        </w:tc>
        <w:tc>
          <w:tcPr>
            <w:tcW w:w="2391" w:type="dxa"/>
            <w:textDirection w:val="lrTb"/>
            <w:noWrap/>
          </w:tcPr>
          <w:p>
            <w:pPr>
              <w:jc w:val="center"/>
              <w:spacing w:line="0" w:lineRule="atLeast"/>
              <w:rPr>
                <w:rFonts w:ascii="宋体" w:hAnsi="宋体" w:cs="宋体"/>
                <w:color w:val="auto"/>
                <w:sz w:val="22"/>
                <w:szCs w:val="22"/>
                <w:highlight w:val="none"/>
                <w:lang w:val="zh-CN" w:eastAsia="en-US"/>
              </w:rPr>
            </w:pPr>
            <w:r>
              <w:rPr>
                <w:rFonts w:ascii="宋体" w:hAnsi="宋体" w:cs="宋体"/>
                <w:color w:val="auto"/>
                <w:sz w:val="22"/>
                <w:szCs w:val="22"/>
                <w:highlight w:val="none"/>
                <w:lang w:val="zh-CN" w:eastAsia="en-US"/>
              </w:rPr>
            </w:r>
            <w:r/>
          </w:p>
        </w:tc>
      </w:tr>
    </w:tbl>
    <w:p>
      <w:pPr>
        <w:ind w:firstLine="440"/>
        <w:jc w:val="left"/>
        <w:spacing w:line="360" w:lineRule="auto"/>
        <w:rPr>
          <w:rFonts w:ascii="Calibri" w:hAnsi="Calibri"/>
          <w:color w:val="auto"/>
          <w:sz w:val="22"/>
          <w:szCs w:val="22"/>
          <w:highlight w:val="none"/>
          <w:lang w:eastAsia="en-US"/>
        </w:rPr>
      </w:pPr>
      <w:r>
        <w:rPr>
          <w:rFonts w:ascii="Calibri" w:hAnsi="Calibri"/>
          <w:color w:val="auto"/>
          <w:sz w:val="22"/>
          <w:szCs w:val="22"/>
          <w:highlight w:val="none"/>
          <w:lang w:eastAsia="en-US"/>
        </w:rPr>
      </w:r>
      <w:r/>
    </w:p>
    <w:p>
      <w:pPr>
        <w:ind w:firstLine="480"/>
        <w:jc w:val="left"/>
        <w:rPr>
          <w:rFonts w:ascii="Calibri" w:hAnsi="Calibri"/>
          <w:color w:val="auto"/>
          <w:sz w:val="24"/>
          <w:szCs w:val="24"/>
          <w:highlight w:val="none"/>
          <w:lang w:val="zh-CN"/>
        </w:rPr>
      </w:pPr>
      <w:r>
        <w:rPr>
          <w:rFonts w:hint="eastAsia" w:ascii="Calibri" w:hAnsi="Calibri"/>
          <w:color w:val="auto"/>
          <w:sz w:val="24"/>
          <w:szCs w:val="24"/>
          <w:highlight w:val="none"/>
        </w:rPr>
        <w:t xml:space="preserve">供应商名称</w:t>
      </w:r>
      <w:r>
        <w:rPr>
          <w:rFonts w:hint="eastAsia" w:ascii="Calibri" w:hAnsi="Calibri"/>
          <w:color w:val="auto"/>
          <w:sz w:val="24"/>
          <w:szCs w:val="24"/>
          <w:highlight w:val="none"/>
          <w:lang w:val="zh-CN"/>
        </w:rPr>
        <w:t xml:space="preserve">：（</w:t>
      </w:r>
      <w:r>
        <w:rPr>
          <w:rFonts w:hint="eastAsia" w:ascii="Calibri" w:hAnsi="Calibri"/>
          <w:color w:val="auto"/>
          <w:sz w:val="24"/>
          <w:szCs w:val="24"/>
          <w:highlight w:val="none"/>
        </w:rPr>
        <w:t xml:space="preserve">加盖公章</w:t>
      </w:r>
      <w:r>
        <w:rPr>
          <w:rFonts w:hint="eastAsia" w:ascii="Calibri" w:hAnsi="Calibri"/>
          <w:color w:val="auto"/>
          <w:sz w:val="24"/>
          <w:szCs w:val="24"/>
          <w:highlight w:val="none"/>
          <w:lang w:val="zh-CN"/>
        </w:rPr>
        <w:t xml:space="preserve">）</w:t>
      </w:r>
      <w:r/>
    </w:p>
    <w:p>
      <w:pPr>
        <w:ind w:firstLine="482"/>
        <w:jc w:val="left"/>
        <w:spacing w:line="480" w:lineRule="exact"/>
        <w:rPr>
          <w:rFonts w:ascii="Calibri" w:hAnsi="Calibri"/>
          <w:b/>
          <w:bCs/>
          <w:color w:val="auto"/>
          <w:sz w:val="24"/>
          <w:szCs w:val="24"/>
          <w:highlight w:val="none"/>
        </w:rPr>
      </w:pPr>
      <w:r>
        <w:rPr>
          <w:rFonts w:ascii="Calibri" w:hAnsi="Calibri"/>
          <w:b/>
          <w:bCs/>
          <w:color w:val="auto"/>
          <w:sz w:val="24"/>
          <w:szCs w:val="24"/>
          <w:highlight w:val="none"/>
        </w:rPr>
      </w:r>
      <w:r/>
    </w:p>
    <w:p>
      <w:pPr>
        <w:ind w:firstLine="482"/>
        <w:jc w:val="left"/>
        <w:spacing w:line="480" w:lineRule="exact"/>
        <w:rPr>
          <w:rFonts w:ascii="Calibri" w:hAnsi="Calibri"/>
          <w:b/>
          <w:bCs/>
          <w:color w:val="auto"/>
          <w:sz w:val="24"/>
          <w:szCs w:val="24"/>
          <w:highlight w:val="none"/>
        </w:rPr>
      </w:pPr>
      <w:r>
        <w:rPr>
          <w:rFonts w:hint="eastAsia" w:ascii="Calibri" w:hAnsi="Calibri"/>
          <w:b/>
          <w:bCs/>
          <w:color w:val="auto"/>
          <w:sz w:val="24"/>
          <w:szCs w:val="24"/>
          <w:highlight w:val="none"/>
        </w:rPr>
        <w:t xml:space="preserve">备注：供应商须按照表格要求明确填写所投“核心产品”的品牌，不得填报“/”“无”等内容，否则视为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r/>
    </w:p>
    <w:p>
      <w:pPr>
        <w:jc w:val="left"/>
        <w:spacing w:line="360" w:lineRule="auto"/>
        <w:widowControl/>
        <w:rPr>
          <w:rFonts w:ascii="宋体" w:hAnsi="宋体" w:cs="宋体"/>
          <w:b/>
          <w:color w:val="auto"/>
          <w:sz w:val="24"/>
          <w:szCs w:val="24"/>
          <w:highlight w:val="none"/>
          <w:lang w:val="zh-CN"/>
        </w:rPr>
        <w:outlineLvl w:val="1"/>
      </w:pPr>
      <w:r>
        <w:rPr>
          <w:rFonts w:ascii="宋体" w:hAnsi="宋体"/>
          <w:b/>
          <w:color w:val="auto"/>
          <w:sz w:val="22"/>
          <w:szCs w:val="24"/>
          <w:highlight w:val="none"/>
        </w:rPr>
        <w:br w:type="page" w:clear="all"/>
      </w:r>
      <w:bookmarkStart w:id="157" w:name="_Toc228350083"/>
      <w:r/>
      <w:bookmarkStart w:id="158" w:name="_Hlk108563601"/>
      <w:r>
        <w:rPr>
          <w:rFonts w:hint="eastAsia" w:ascii="宋体" w:hAnsi="宋体" w:cs="宋体"/>
          <w:b/>
          <w:color w:val="auto"/>
          <w:sz w:val="24"/>
          <w:szCs w:val="24"/>
          <w:highlight w:val="none"/>
          <w:lang w:val="zh-CN"/>
        </w:rPr>
        <w:t xml:space="preserve">附件八、供应商类似业绩表</w:t>
      </w:r>
      <w:bookmarkEnd w:id="157"/>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2023年1月1日</w:t>
      </w:r>
      <w:r>
        <w:rPr>
          <w:rFonts w:ascii="宋体" w:hAnsi="宋体" w:cs="宋体"/>
          <w:b/>
          <w:bCs/>
          <w:color w:val="auto"/>
          <w:sz w:val="28"/>
          <w:szCs w:val="28"/>
          <w:highlight w:val="none"/>
          <w:lang w:val="zh-CN"/>
        </w:rPr>
        <w:t xml:space="preserve">以来类似项目</w:t>
      </w:r>
      <w:r>
        <w:rPr>
          <w:rFonts w:hint="eastAsia" w:ascii="宋体" w:hAnsi="宋体" w:cs="宋体"/>
          <w:b/>
          <w:bCs/>
          <w:color w:val="auto"/>
          <w:sz w:val="28"/>
          <w:szCs w:val="28"/>
          <w:highlight w:val="none"/>
          <w:lang w:val="zh-CN"/>
        </w:rPr>
        <w:t xml:space="preserve">及</w:t>
      </w:r>
      <w:r>
        <w:rPr>
          <w:rFonts w:ascii="宋体" w:hAnsi="宋体" w:cs="宋体"/>
          <w:b/>
          <w:bCs/>
          <w:color w:val="auto"/>
          <w:sz w:val="28"/>
          <w:szCs w:val="28"/>
          <w:highlight w:val="none"/>
          <w:lang w:val="zh-CN"/>
        </w:rPr>
        <w:t xml:space="preserve">更优项目业绩</w:t>
      </w:r>
      <w:bookmarkEnd w:id="158"/>
      <w:r/>
    </w:p>
    <w:tbl>
      <w:tblPr>
        <w:tblStyle w:val="679"/>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序号</w:t>
            </w:r>
            <w:r/>
          </w:p>
        </w:tc>
        <w:tc>
          <w:tcPr>
            <w:tcW w:w="2523" w:type="dxa"/>
            <w:vAlign w:val="center"/>
            <w:textDirection w:val="lrTb"/>
            <w:noWrap/>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项目名称</w:t>
            </w:r>
            <w:r/>
          </w:p>
        </w:tc>
        <w:tc>
          <w:tcPr>
            <w:tcW w:w="1417" w:type="dxa"/>
            <w:vAlign w:val="center"/>
            <w:textDirection w:val="lrTb"/>
            <w:noWrap/>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用户单位</w:t>
            </w:r>
            <w:r/>
          </w:p>
        </w:tc>
        <w:tc>
          <w:tcPr>
            <w:tcW w:w="1276" w:type="dxa"/>
            <w:vAlign w:val="center"/>
            <w:textDirection w:val="lrTb"/>
            <w:noWrap/>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工作内容</w:t>
            </w:r>
            <w:r/>
          </w:p>
        </w:tc>
        <w:tc>
          <w:tcPr>
            <w:tcW w:w="1559" w:type="dxa"/>
            <w:vAlign w:val="center"/>
            <w:textDirection w:val="lrTb"/>
            <w:noWrap/>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合同履行期限</w:t>
            </w:r>
            <w:r/>
          </w:p>
        </w:tc>
        <w:tc>
          <w:tcPr>
            <w:tcW w:w="1276" w:type="dxa"/>
            <w:vAlign w:val="center"/>
            <w:textDirection w:val="lrTb"/>
            <w:noWrap/>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合同金额</w:t>
            </w:r>
            <w:r/>
          </w:p>
        </w:tc>
        <w:tc>
          <w:tcPr>
            <w:tcW w:w="1044" w:type="dxa"/>
            <w:vAlign w:val="center"/>
            <w:textDirection w:val="lrTb"/>
            <w:noWrap/>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备注</w:t>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textDirection w:val="lrTb"/>
            <w:noWrap/>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bl>
    <w:p>
      <w:pPr>
        <w:jc w:val="left"/>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auto"/>
          <w:sz w:val="24"/>
          <w:szCs w:val="24"/>
          <w:highlight w:val="none"/>
        </w:rPr>
        <w:t xml:space="preserve">扫描件</w:t>
      </w:r>
      <w:r>
        <w:rPr>
          <w:rFonts w:hint="eastAsia" w:ascii="宋体" w:hAnsi="宋体"/>
          <w:b/>
          <w:color w:val="auto"/>
          <w:sz w:val="24"/>
          <w:szCs w:val="24"/>
          <w:highlight w:val="none"/>
        </w:rPr>
        <w:t xml:space="preserve">，提供的证明材料中相关信息需符合采购文件的规定。</w:t>
      </w:r>
      <w:r/>
    </w:p>
    <w:p>
      <w:pPr>
        <w:jc w:val="left"/>
        <w:spacing w:line="360" w:lineRule="auto"/>
        <w:widowControl/>
        <w:rPr>
          <w:rFonts w:ascii="宋体" w:hAnsi="宋体" w:cs="宋体"/>
          <w:b/>
          <w:color w:val="auto"/>
          <w:sz w:val="24"/>
          <w:szCs w:val="24"/>
          <w:highlight w:val="none"/>
          <w:lang w:val="zh-CN"/>
        </w:rPr>
        <w:outlineLvl w:val="1"/>
      </w:pPr>
      <w:r>
        <w:rPr>
          <w:rFonts w:hint="eastAsia" w:ascii="宋体" w:hAnsi="宋体"/>
          <w:b/>
          <w:color w:val="auto"/>
          <w:sz w:val="24"/>
          <w:szCs w:val="24"/>
          <w:highlight w:val="none"/>
        </w:rPr>
        <w:br w:type="page" w:clear="all"/>
      </w:r>
      <w:bookmarkStart w:id="159" w:name="_Toc228350084"/>
      <w:r/>
      <w:bookmarkStart w:id="160" w:name="_Toc489655335"/>
      <w:r>
        <w:rPr>
          <w:rFonts w:hint="eastAsia" w:ascii="宋体" w:hAnsi="宋体" w:cs="宋体"/>
          <w:b/>
          <w:color w:val="auto"/>
          <w:sz w:val="24"/>
          <w:szCs w:val="24"/>
          <w:highlight w:val="none"/>
          <w:lang w:val="zh-CN"/>
        </w:rPr>
        <w:t xml:space="preserve">附件九、服务方案</w:t>
      </w:r>
      <w:bookmarkEnd w:id="159"/>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服务方案</w:t>
      </w:r>
      <w:r/>
    </w:p>
    <w:p>
      <w:pPr>
        <w:pStyle w:val="680"/>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主要内容包括但不限于：</w:t>
      </w:r>
      <w:r/>
    </w:p>
    <w:p>
      <w:pPr>
        <w:pStyle w:val="680"/>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1.实施方案</w:t>
      </w:r>
      <w:r/>
    </w:p>
    <w:p>
      <w:pPr>
        <w:pStyle w:val="680"/>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2.质量控制方案</w:t>
      </w:r>
      <w:r/>
    </w:p>
    <w:p>
      <w:pPr>
        <w:pStyle w:val="680"/>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3.售后服务方案</w:t>
      </w:r>
      <w:r/>
    </w:p>
    <w:p>
      <w:pPr>
        <w:jc w:val="left"/>
        <w:spacing w:line="360" w:lineRule="auto"/>
        <w:widowControl/>
        <w:rPr>
          <w:rFonts w:ascii="宋体" w:hAnsi="宋体" w:cs="宋体"/>
          <w:b/>
          <w:color w:val="auto"/>
          <w:sz w:val="24"/>
          <w:szCs w:val="24"/>
          <w:highlight w:val="none"/>
          <w:lang w:val="zh-CN"/>
        </w:rPr>
        <w:outlineLvl w:val="1"/>
      </w:pPr>
      <w:r>
        <w:rPr>
          <w:rFonts w:ascii="Calibri" w:hAnsi="Calibri"/>
          <w:color w:val="auto"/>
          <w:sz w:val="22"/>
          <w:szCs w:val="22"/>
          <w:highlight w:val="none"/>
        </w:rPr>
        <w:br w:type="page" w:clear="all"/>
      </w:r>
      <w:bookmarkEnd w:id="160"/>
      <w:r/>
      <w:bookmarkStart w:id="161" w:name="_Toc228350085"/>
      <w:r>
        <w:rPr>
          <w:rFonts w:hint="eastAsia" w:ascii="宋体" w:hAnsi="宋体" w:cs="宋体"/>
          <w:b/>
          <w:color w:val="auto"/>
          <w:sz w:val="24"/>
          <w:szCs w:val="24"/>
          <w:highlight w:val="none"/>
          <w:lang w:val="zh-CN"/>
        </w:rPr>
        <w:t xml:space="preserve">附件十、资格证明文件</w:t>
      </w:r>
      <w:bookmarkEnd w:id="161"/>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资格证明文件</w:t>
      </w:r>
      <w:r/>
    </w:p>
    <w:tbl>
      <w:tblPr>
        <w:tblStyle w:val="679"/>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序号</w:t>
            </w:r>
            <w:r/>
          </w:p>
        </w:tc>
        <w:tc>
          <w:tcPr>
            <w:tcW w:w="1199" w:type="dxa"/>
            <w:vAlign w:val="center"/>
            <w:textDirection w:val="lrTb"/>
            <w:noWrap/>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审查因素</w:t>
            </w:r>
            <w:r/>
          </w:p>
        </w:tc>
        <w:tc>
          <w:tcPr>
            <w:tcW w:w="2048" w:type="dxa"/>
            <w:vAlign w:val="center"/>
            <w:textDirection w:val="lrTb"/>
            <w:noWrap/>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审查内容</w:t>
            </w:r>
            <w:r/>
          </w:p>
        </w:tc>
        <w:tc>
          <w:tcPr>
            <w:tcW w:w="1285" w:type="dxa"/>
            <w:vAlign w:val="center"/>
            <w:textDirection w:val="lrTb"/>
            <w:noWrap/>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格式要求</w:t>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满足《中华人民共和国政府采购法》第二十二条规定及法律法规的其他规定</w:t>
            </w:r>
            <w:r/>
          </w:p>
        </w:tc>
        <w:tc>
          <w:tcPr>
            <w:tcW w:w="2048"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具体规定见第一章《采购公告》</w:t>
            </w:r>
            <w:r/>
          </w:p>
        </w:tc>
        <w:tc>
          <w:tcPr>
            <w:tcW w:w="1285"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1-1</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具有独立承担民事责任的能力</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供应商为企业（包括合伙企业）的，应提供有效的“营业执照”；</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供应商为事业单位的，应提供有效的“事业单位法人证书”；</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供应商是非企业机构的，应提供有效的“执业许可证”、“登记证书”等证明文件；</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供应商是个体工商户的，应提供有效的“个体工商户营业执照”；</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供应商是自然人的，应提供有效的自然人身份证明。</w:t>
            </w:r>
            <w:r/>
          </w:p>
        </w:tc>
        <w:tc>
          <w:tcPr>
            <w:tcW w:w="1285"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提供证明文件的扫描件</w:t>
            </w:r>
            <w:r>
              <w:rPr>
                <w:rFonts w:hint="eastAsia" w:ascii="宋体" w:hAnsi="宋体" w:cs="宋体"/>
                <w:b/>
                <w:color w:val="auto"/>
                <w:sz w:val="22"/>
                <w:szCs w:val="21"/>
                <w:highlight w:val="none"/>
              </w:rPr>
              <w:t xml:space="preserve">并加盖供应商公章</w:t>
            </w:r>
            <w:r/>
          </w:p>
        </w:tc>
      </w:tr>
      <w:tr>
        <w:trPr>
          <w:cantSplit/>
          <w:trHeight w:val="5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1-2</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具有良好的商业信誉和健全的财务会计制度</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提供2025年经审计的财务报告或2025年财务报表，或投标文件提交截止时间前六个月内银行出具的资信证明，成立不满一年无需提供</w:t>
            </w:r>
            <w:r/>
          </w:p>
        </w:tc>
        <w:tc>
          <w:tcPr>
            <w:tcW w:w="1285" w:type="dxa"/>
            <w:vAlign w:val="center"/>
            <w:vMerge w:val="restart"/>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ascii="Calibri" w:hAnsi="Calibri"/>
                <w:color w:val="auto"/>
                <w:sz w:val="22"/>
                <w:szCs w:val="22"/>
                <w:highlight w:val="none"/>
              </w:rPr>
              <w:t xml:space="preserve">提供《南京市政府采购供应商信用记录表暨信用承诺书》</w:t>
            </w:r>
            <w:r>
              <w:rPr>
                <w:rFonts w:hint="eastAsia" w:ascii="Calibri" w:hAnsi="Calibri"/>
                <w:color w:val="auto"/>
                <w:sz w:val="22"/>
                <w:szCs w:val="22"/>
                <w:highlight w:val="none"/>
              </w:rPr>
              <w:t xml:space="preserve">，</w:t>
            </w:r>
            <w:r>
              <w:rPr>
                <w:rFonts w:ascii="Calibri" w:hAnsi="Calibri"/>
                <w:b/>
                <w:bCs/>
                <w:color w:val="auto"/>
                <w:sz w:val="22"/>
                <w:szCs w:val="22"/>
                <w:highlight w:val="none"/>
                <w:u w:val="single"/>
              </w:rPr>
              <w:t xml:space="preserve">经法定代表人签名并加盖供应商公章</w:t>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1-3</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具有履行合同所必需的设备和专业技术能力</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供应商根据履行采购项目合同需要，提供履行合同所必需的设备和专业技术能力的证明材料</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1-4</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有依法缴纳税收和社会保障资金的良好记录</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1-5</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参加政府采购活动前三年内，在经营活动中没有重大违法记录</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提供参加政府采购活动前3年内在经营活动中没有重大违法记录的书面声明</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1-6</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法律、行政法规规定的其他条件</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提供具备法律、行政法规规定的其他条件的证明材料</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highlight w:val="none"/>
                <w:lang w:eastAsia="en-US"/>
              </w:rPr>
            </w:pPr>
            <w:r>
              <w:rPr>
                <w:rFonts w:ascii="宋体" w:hAnsi="宋体" w:cs="宋体"/>
                <w:bCs/>
                <w:color w:val="auto"/>
                <w:sz w:val="22"/>
                <w:szCs w:val="21"/>
                <w:highlight w:val="none"/>
                <w:lang w:eastAsia="en-US"/>
              </w:rPr>
              <w:t xml:space="preserve">2</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供应商信用记录</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查询渠道：信用中国网站和中国政府采购网；</w:t>
            </w:r>
            <w:r/>
          </w:p>
          <w:p>
            <w:pPr>
              <w:spacing w:line="320" w:lineRule="exact"/>
              <w:tabs>
                <w:tab w:val="left" w:pos="900" w:leader="none"/>
                <w:tab w:val="left" w:pos="19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截止时点：响应截止时间以后、资格审查阶段采购人或采购代理机构的实际查询时间；</w:t>
            </w:r>
            <w:r/>
          </w:p>
          <w:p>
            <w:pPr>
              <w:spacing w:line="320" w:lineRule="exact"/>
              <w:tabs>
                <w:tab w:val="left" w:pos="900" w:leader="none"/>
                <w:tab w:val="left" w:pos="19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信用信息查询记录和证据留存具体方式：查询结果网页打印页作为查询记录和证据，与其他采购文件一并保存；</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auto"/>
                <w:sz w:val="22"/>
                <w:szCs w:val="21"/>
                <w:highlight w:val="none"/>
                <w:u w:val="single"/>
              </w:rPr>
              <w:t xml:space="preserve">投标无效</w:t>
            </w:r>
            <w:r>
              <w:rPr>
                <w:rFonts w:hint="eastAsia" w:ascii="宋体" w:hAnsi="宋体" w:cs="宋体"/>
                <w:bCs/>
                <w:color w:val="auto"/>
                <w:sz w:val="22"/>
                <w:szCs w:val="21"/>
                <w:highlight w:val="none"/>
              </w:rPr>
              <w:t xml:space="preserve">。</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highlight w:val="none"/>
                <w:lang w:eastAsia="en-US"/>
              </w:rPr>
            </w:pPr>
            <w:r>
              <w:rPr>
                <w:rFonts w:ascii="宋体" w:hAnsi="宋体" w:cs="宋体"/>
                <w:bCs/>
                <w:color w:val="auto"/>
                <w:sz w:val="22"/>
                <w:szCs w:val="21"/>
                <w:highlight w:val="none"/>
                <w:lang w:eastAsia="en-US"/>
              </w:rPr>
              <w:t xml:space="preserve">3</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供应商资格承诺声明函</w:t>
            </w:r>
            <w:r/>
          </w:p>
        </w:tc>
        <w:tc>
          <w:tcPr>
            <w:tcW w:w="2048"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提供符合采购文件要求的《供应商资格承诺声明函》。</w:t>
            </w:r>
            <w:r/>
          </w:p>
        </w:tc>
        <w:tc>
          <w:tcPr>
            <w:tcW w:w="1285"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格式见《供应商资格承诺声明函》</w:t>
            </w:r>
            <w:r/>
          </w:p>
        </w:tc>
      </w:tr>
      <w:tr>
        <w:trPr>
          <w:trHeight w:val="468"/>
        </w:trPr>
        <w:tc>
          <w:tcPr>
            <w:tcW w:w="468" w:type="dxa"/>
            <w:vAlign w:val="center"/>
            <w:textDirection w:val="lrTb"/>
            <w:noWrap/>
          </w:tcPr>
          <w:p>
            <w:pPr>
              <w:jc w:val="center"/>
              <w:spacing w:line="320" w:lineRule="exact"/>
              <w:tabs>
                <w:tab w:val="left" w:pos="1080" w:leader="none"/>
              </w:tabs>
              <w:rPr>
                <w:rFonts w:ascii="宋体" w:hAnsi="宋体" w:cs="宋体"/>
                <w:b/>
                <w:color w:val="auto"/>
                <w:sz w:val="22"/>
                <w:szCs w:val="21"/>
                <w:highlight w:val="none"/>
                <w:lang w:eastAsia="en-US"/>
              </w:rPr>
            </w:pPr>
            <w:r>
              <w:rPr>
                <w:rFonts w:ascii="宋体" w:hAnsi="宋体" w:cs="宋体"/>
                <w:b/>
                <w:color w:val="auto"/>
                <w:sz w:val="22"/>
                <w:szCs w:val="21"/>
                <w:highlight w:val="none"/>
                <w:lang w:eastAsia="en-US"/>
              </w:rPr>
              <w:t xml:space="preserve">4</w:t>
            </w:r>
            <w:r/>
          </w:p>
        </w:tc>
        <w:tc>
          <w:tcPr>
            <w:tcW w:w="1199" w:type="dxa"/>
            <w:vAlign w:val="center"/>
            <w:textDirection w:val="lrTb"/>
            <w:noWrap/>
          </w:tcPr>
          <w:p>
            <w:pPr>
              <w:jc w:val="left"/>
              <w:spacing w:line="320" w:lineRule="exact"/>
              <w:tabs>
                <w:tab w:val="left" w:pos="1080" w:leader="none"/>
              </w:tabs>
              <w:rPr>
                <w:rFonts w:ascii="宋体" w:hAnsi="宋体" w:cs="宋体"/>
                <w:b/>
                <w:color w:val="auto"/>
                <w:sz w:val="22"/>
                <w:szCs w:val="21"/>
                <w:highlight w:val="none"/>
              </w:rPr>
            </w:pPr>
            <w:r>
              <w:rPr>
                <w:rFonts w:hint="eastAsia" w:ascii="宋体" w:hAnsi="宋体" w:cs="宋体"/>
                <w:b/>
                <w:color w:val="auto"/>
                <w:sz w:val="22"/>
                <w:szCs w:val="21"/>
                <w:highlight w:val="none"/>
              </w:rPr>
              <w:t xml:space="preserve">本项目的特定资格要求</w:t>
            </w:r>
            <w:r/>
          </w:p>
        </w:tc>
        <w:tc>
          <w:tcPr>
            <w:tcW w:w="2048" w:type="dxa"/>
            <w:vAlign w:val="center"/>
            <w:textDirection w:val="lrTb"/>
            <w:noWrap/>
          </w:tcPr>
          <w:p>
            <w:pPr>
              <w:jc w:val="left"/>
              <w:spacing w:line="320" w:lineRule="exact"/>
              <w:rPr>
                <w:rFonts w:ascii="宋体" w:hAnsi="宋体" w:cs="宋体"/>
                <w:b/>
                <w:color w:val="auto"/>
                <w:sz w:val="22"/>
                <w:szCs w:val="21"/>
                <w:highlight w:val="none"/>
                <w:shd w:val="clear" w:color="auto" w:fill="ffffff"/>
              </w:rPr>
            </w:pPr>
            <w:r>
              <w:rPr>
                <w:rFonts w:hint="eastAsia" w:ascii="宋体" w:hAnsi="宋体" w:cs="宋体"/>
                <w:b/>
                <w:color w:val="auto"/>
                <w:sz w:val="22"/>
                <w:szCs w:val="21"/>
                <w:highlight w:val="none"/>
              </w:rPr>
              <w:t xml:space="preserve">具体规定见第一章《采购公告》</w:t>
            </w:r>
            <w:r/>
          </w:p>
        </w:tc>
        <w:tc>
          <w:tcPr>
            <w:tcW w:w="1285" w:type="dxa"/>
            <w:vAlign w:val="center"/>
            <w:textDirection w:val="lrTb"/>
            <w:noWrap/>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
                <w:color w:val="auto"/>
                <w:sz w:val="22"/>
                <w:szCs w:val="21"/>
                <w:highlight w:val="none"/>
              </w:rPr>
              <w:t xml:space="preserve">提供证明文件的扫描件并加盖供应商公章</w:t>
            </w:r>
            <w:r/>
          </w:p>
        </w:tc>
      </w:tr>
    </w:tbl>
    <w:p>
      <w:pPr>
        <w:jc w:val="left"/>
        <w:spacing w:line="360" w:lineRule="auto"/>
        <w:widowControl/>
        <w:rPr>
          <w:rFonts w:ascii="宋体" w:hAnsi="宋体" w:cs="宋体"/>
          <w:b/>
          <w:color w:val="auto"/>
          <w:sz w:val="24"/>
          <w:szCs w:val="24"/>
          <w:highlight w:val="none"/>
          <w:lang w:val="zh-CN"/>
        </w:rPr>
        <w:outlineLvl w:val="1"/>
      </w:pPr>
      <w:r/>
      <w:bookmarkStart w:id="162" w:name="_Hlk94112048"/>
      <w:r/>
      <w:bookmarkStart w:id="163" w:name="_Hlk85644930"/>
      <w:r>
        <w:rPr>
          <w:rFonts w:hint="eastAsia" w:ascii="仿宋" w:hAnsi="仿宋" w:eastAsia="仿宋"/>
          <w:b/>
          <w:bCs/>
          <w:color w:val="auto"/>
          <w:sz w:val="32"/>
          <w:szCs w:val="32"/>
          <w:highlight w:val="none"/>
        </w:rPr>
        <w:br w:type="page" w:clear="all"/>
      </w:r>
      <w:bookmarkStart w:id="164" w:name="_Toc228350086"/>
      <w:r>
        <w:rPr>
          <w:rFonts w:hint="eastAsia" w:ascii="宋体" w:hAnsi="宋体" w:cs="宋体"/>
          <w:b/>
          <w:color w:val="auto"/>
          <w:sz w:val="24"/>
          <w:szCs w:val="24"/>
          <w:highlight w:val="none"/>
          <w:lang w:val="zh-CN"/>
        </w:rPr>
        <w:t xml:space="preserve">附件十一、政府采购政策</w:t>
      </w:r>
      <w:bookmarkEnd w:id="164"/>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政府采购政策</w:t>
      </w:r>
      <w:r/>
    </w:p>
    <w:p>
      <w:pPr>
        <w:spacing w:before="120" w:line="440" w:lineRule="exact"/>
        <w:rPr>
          <w:rFonts w:ascii="宋体" w:hAnsi="宋体"/>
          <w:b/>
          <w:color w:val="auto"/>
          <w:sz w:val="28"/>
          <w:szCs w:val="28"/>
          <w:highlight w:val="none"/>
        </w:rPr>
      </w:pPr>
      <w:r>
        <w:rPr>
          <w:rFonts w:hint="eastAsia" w:ascii="宋体" w:hAnsi="宋体"/>
          <w:b/>
          <w:color w:val="auto"/>
          <w:sz w:val="28"/>
          <w:szCs w:val="28"/>
          <w:highlight w:val="none"/>
        </w:rPr>
        <w:t xml:space="preserve">1．企业声明函格式</w:t>
      </w:r>
      <w:r/>
    </w:p>
    <w:p>
      <w:pPr>
        <w:jc w:val="center"/>
        <w:rPr>
          <w:rFonts w:ascii="Calibri" w:hAnsi="Calibri"/>
          <w:color w:val="auto"/>
          <w:sz w:val="22"/>
          <w:szCs w:val="22"/>
          <w:highlight w:val="none"/>
        </w:rPr>
      </w:pPr>
      <w:r>
        <w:rPr>
          <w:rFonts w:hint="eastAsia" w:ascii="宋体" w:hAnsi="宋体"/>
          <w:b/>
          <w:color w:val="auto"/>
          <w:sz w:val="32"/>
          <w:szCs w:val="24"/>
          <w:highlight w:val="none"/>
        </w:rPr>
        <w:t xml:space="preserve">中小企业声明函（工程、货物、服务）</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i/>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b/>
          <w:bCs/>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，从业人员人，营业收入为万元，资产总额为万元，属于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，从业人员人，营业收入为万元，资产总额为万元，属于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482"/>
        <w:spacing w:line="36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390" w:firstLine="480"/>
        <w:jc w:val="righ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企业名称（盖章）：</w:t>
      </w:r>
      <w:r/>
    </w:p>
    <w:p>
      <w:pPr>
        <w:ind w:right="1440" w:firstLine="480"/>
        <w:jc w:val="right"/>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日 期：</w:t>
      </w:r>
      <w:r/>
    </w:p>
    <w:p>
      <w:pPr>
        <w:ind w:firstLine="480"/>
        <w:jc w:val="left"/>
        <w:spacing w:line="340" w:lineRule="exact"/>
        <w:tabs>
          <w:tab w:val="left" w:pos="1800" w:leader="none"/>
          <w:tab w:val="left" w:pos="5580" w:leader="none"/>
        </w:tabs>
        <w:rPr>
          <w:rFonts w:ascii="宋体" w:hAnsi="宋体"/>
          <w:color w:val="auto"/>
          <w:sz w:val="24"/>
          <w:szCs w:val="22"/>
          <w:highlight w:val="none"/>
        </w:rPr>
      </w:pPr>
      <w:r/>
      <w:bookmarkStart w:id="165" w:name="_Hlk73391674"/>
      <w:r>
        <w:rPr>
          <w:rFonts w:ascii="宋体" w:hAnsi="宋体"/>
          <w:color w:val="auto"/>
          <w:sz w:val="24"/>
          <w:szCs w:val="22"/>
          <w:highlight w:val="none"/>
        </w:rPr>
        <w:t xml:space="preserve">注：</w:t>
      </w:r>
      <w:bookmarkEnd w:id="165"/>
      <w:r/>
    </w:p>
    <w:p>
      <w:pPr>
        <w:ind w:firstLine="480"/>
        <w:jc w:val="left"/>
        <w:spacing w:line="340" w:lineRule="exact"/>
        <w:tabs>
          <w:tab w:val="left" w:pos="1800" w:leader="none"/>
          <w:tab w:val="left" w:pos="5580" w:leader="none"/>
        </w:tabs>
        <w:rPr>
          <w:rFonts w:ascii="宋体" w:hAnsi="宋体"/>
          <w:color w:val="auto"/>
          <w:sz w:val="24"/>
          <w:szCs w:val="22"/>
          <w:highlight w:val="none"/>
        </w:rPr>
      </w:pPr>
      <w:r>
        <w:rPr>
          <w:rFonts w:hint="eastAsia" w:ascii="宋体" w:hAnsi="宋体"/>
          <w:color w:val="auto"/>
          <w:sz w:val="24"/>
          <w:szCs w:val="22"/>
          <w:highlight w:val="none"/>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color w:val="auto"/>
          <w:sz w:val="24"/>
          <w:szCs w:val="22"/>
          <w:highlight w:val="none"/>
          <w:u w:val="single"/>
        </w:rPr>
      </w:pPr>
      <w:r/>
      <w:bookmarkStart w:id="166" w:name="_Hlk72665336"/>
      <w:r>
        <w:rPr>
          <w:rFonts w:hint="eastAsia" w:ascii="宋体" w:hAnsi="宋体"/>
          <w:color w:val="auto"/>
          <w:sz w:val="24"/>
          <w:szCs w:val="22"/>
          <w:highlight w:val="none"/>
        </w:rPr>
        <w:t xml:space="preserve">2．</w:t>
      </w:r>
      <w:r>
        <w:rPr>
          <w:rFonts w:hint="eastAsia" w:ascii="Calibri" w:hAnsi="Calibri"/>
          <w:b/>
          <w:bCs/>
          <w:color w:val="auto"/>
          <w:sz w:val="24"/>
          <w:szCs w:val="22"/>
          <w:highlight w:val="none"/>
          <w:u w:val="single"/>
        </w:rPr>
        <w:t xml:space="preserve">中小企业参加政府采购活动，应当出具此格式文件。《中小企业声明函》由参加政府采购活动的供应商出具</w:t>
      </w:r>
      <w:r>
        <w:rPr>
          <w:rFonts w:ascii="Calibri" w:hAnsi="Calibri"/>
          <w:b/>
          <w:bCs/>
          <w:color w:val="auto"/>
          <w:sz w:val="24"/>
          <w:szCs w:val="22"/>
          <w:highlight w:val="none"/>
          <w:u w:val="single"/>
        </w:rPr>
        <w:t xml:space="preserve">。</w:t>
      </w:r>
      <w:r/>
    </w:p>
    <w:p>
      <w:pPr>
        <w:ind w:firstLine="480"/>
        <w:spacing w:line="340" w:lineRule="exact"/>
        <w:tabs>
          <w:tab w:val="left" w:pos="1800" w:leader="none"/>
          <w:tab w:val="left" w:pos="5580" w:leader="none"/>
        </w:tabs>
        <w:rPr>
          <w:rFonts w:ascii="宋体" w:hAnsi="宋体"/>
          <w:color w:val="auto"/>
          <w:sz w:val="24"/>
          <w:szCs w:val="22"/>
          <w:highlight w:val="none"/>
        </w:rPr>
      </w:pPr>
      <w:r>
        <w:rPr>
          <w:rFonts w:hint="eastAsia" w:ascii="宋体" w:hAnsi="宋体"/>
          <w:color w:val="auto"/>
          <w:sz w:val="24"/>
          <w:szCs w:val="22"/>
          <w:highlight w:val="none"/>
        </w:rPr>
        <w:t xml:space="preserve">3．</w:t>
      </w:r>
      <w:r>
        <w:rPr>
          <w:rFonts w:ascii="宋体" w:hAnsi="宋体"/>
          <w:color w:val="auto"/>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ascii="宋体" w:hAnsi="宋体"/>
          <w:b/>
          <w:bCs/>
          <w:color w:val="auto"/>
          <w:sz w:val="24"/>
          <w:szCs w:val="22"/>
          <w:highlight w:val="none"/>
        </w:rPr>
      </w:pPr>
      <w:r>
        <w:rPr>
          <w:rFonts w:hint="eastAsia" w:ascii="宋体" w:hAnsi="宋体"/>
          <w:b/>
          <w:bCs/>
          <w:color w:val="auto"/>
          <w:sz w:val="24"/>
          <w:szCs w:val="22"/>
          <w:highlight w:val="none"/>
        </w:rPr>
        <w:t xml:space="preserve">4．</w:t>
      </w:r>
      <w:bookmarkEnd w:id="166"/>
      <w:r>
        <w:rPr>
          <w:rFonts w:hint="eastAsia" w:ascii="宋体" w:hAnsi="宋体"/>
          <w:b/>
          <w:bCs/>
          <w:color w:val="auto"/>
          <w:sz w:val="24"/>
          <w:szCs w:val="22"/>
          <w:highlight w:val="none"/>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auto"/>
          <w:sz w:val="24"/>
          <w:szCs w:val="22"/>
          <w:highlight w:val="none"/>
        </w:rPr>
      </w:pPr>
      <w:r>
        <w:rPr>
          <w:rFonts w:hint="eastAsia" w:ascii="宋体" w:hAnsi="宋体"/>
          <w:color w:val="auto"/>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auto"/>
          <w:sz w:val="22"/>
          <w:szCs w:val="22"/>
          <w:highlight w:val="none"/>
          <w:u w:val="singl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w:t>
      </w:r>
      <w:r>
        <w:rPr>
          <w:rFonts w:ascii="宋体" w:hAnsi="宋体" w:cs="宋体"/>
          <w:b/>
          <w:bCs/>
          <w:color w:val="auto"/>
          <w:sz w:val="24"/>
          <w:szCs w:val="24"/>
          <w:highlight w:val="none"/>
          <w:u w:val="single"/>
        </w:rPr>
        <w:t xml:space="preserve">采购文件中明确的所属行业：详见第二章。</w:t>
      </w:r>
      <w:r/>
    </w:p>
    <w:p>
      <w:pPr>
        <w:ind w:firstLine="482"/>
        <w:spacing w:line="340" w:lineRule="exact"/>
        <w:tabs>
          <w:tab w:val="left" w:pos="1800" w:leader="none"/>
          <w:tab w:val="left" w:pos="5580" w:leader="none"/>
        </w:tabs>
        <w:rPr>
          <w:rFonts w:ascii="宋体" w:hAnsi="宋体"/>
          <w:b/>
          <w:bCs/>
          <w:color w:val="auto"/>
          <w:sz w:val="24"/>
          <w:szCs w:val="22"/>
          <w:highlight w:val="none"/>
          <w:u w:val="single"/>
        </w:rPr>
      </w:pPr>
      <w:r/>
      <w:bookmarkStart w:id="167" w:name="_Hlk73478900"/>
      <w:r>
        <w:rPr>
          <w:rFonts w:hint="eastAsia" w:ascii="宋体" w:hAnsi="宋体"/>
          <w:b/>
          <w:bCs/>
          <w:color w:val="auto"/>
          <w:sz w:val="24"/>
          <w:szCs w:val="22"/>
          <w:highlight w:val="none"/>
          <w:u w:val="single"/>
        </w:rPr>
        <w:t xml:space="preserve">7</w:t>
      </w:r>
      <w:r>
        <w:rPr>
          <w:rFonts w:ascii="宋体" w:hAnsi="宋体"/>
          <w:b/>
          <w:bCs/>
          <w:color w:val="auto"/>
          <w:sz w:val="24"/>
          <w:szCs w:val="22"/>
          <w:highlight w:val="none"/>
          <w:u w:val="single"/>
        </w:rPr>
        <w:t xml:space="preserve">．根据</w:t>
      </w:r>
      <w:r>
        <w:rPr>
          <w:rFonts w:hint="eastAsia" w:ascii="宋体" w:hAnsi="宋体"/>
          <w:b/>
          <w:bCs/>
          <w:color w:val="auto"/>
          <w:sz w:val="24"/>
          <w:szCs w:val="22"/>
          <w:highlight w:val="none"/>
          <w:u w:val="single"/>
        </w:rPr>
        <w:t xml:space="preserve">《政府采购促进中小企业发展管理办法》（财库﹝2020﹞46号）</w:t>
      </w:r>
      <w:r>
        <w:rPr>
          <w:rFonts w:ascii="宋体" w:hAnsi="宋体"/>
          <w:b/>
          <w:bCs/>
          <w:color w:val="auto"/>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auto"/>
          <w:sz w:val="24"/>
          <w:szCs w:val="22"/>
          <w:highlight w:val="none"/>
          <w:u w:val="single"/>
        </w:rPr>
        <w:t xml:space="preserve">中</w:t>
      </w:r>
      <w:r>
        <w:rPr>
          <w:rFonts w:ascii="宋体" w:hAnsi="宋体"/>
          <w:b/>
          <w:bCs/>
          <w:color w:val="auto"/>
          <w:sz w:val="24"/>
          <w:szCs w:val="22"/>
          <w:highlight w:val="none"/>
          <w:u w:val="single"/>
        </w:rPr>
        <w:t xml:space="preserve">小企业声明函》时，须按采购清单逐项列明每项产品的生产企业名称，并按声明函内容将每项产品生产企业的情况如实填写完整。</w:t>
      </w:r>
      <w:r/>
    </w:p>
    <w:p>
      <w:pPr>
        <w:ind w:firstLine="482"/>
        <w:spacing w:line="340" w:lineRule="exact"/>
        <w:tabs>
          <w:tab w:val="left" w:pos="1800" w:leader="none"/>
          <w:tab w:val="left" w:pos="5580" w:leader="none"/>
        </w:tabs>
        <w:rPr>
          <w:rFonts w:ascii="宋体" w:hAnsi="宋体"/>
          <w:b/>
          <w:bCs/>
          <w:color w:val="auto"/>
          <w:sz w:val="24"/>
          <w:szCs w:val="22"/>
          <w:highlight w:val="none"/>
        </w:rPr>
      </w:pPr>
      <w:r>
        <w:rPr>
          <w:rFonts w:ascii="宋体" w:hAnsi="宋体"/>
          <w:b/>
          <w:bCs/>
          <w:color w:val="auto"/>
          <w:sz w:val="24"/>
          <w:szCs w:val="22"/>
          <w:highlight w:val="none"/>
        </w:rPr>
        <w:t xml:space="preserve">如有遗漏的，则所遗漏项的生产企业将被视为非小微企业，供应商不再享受小微企业价格扣除。《</w:t>
      </w:r>
      <w:r>
        <w:rPr>
          <w:rFonts w:hint="eastAsia" w:ascii="宋体" w:hAnsi="宋体"/>
          <w:b/>
          <w:bCs/>
          <w:color w:val="auto"/>
          <w:sz w:val="24"/>
          <w:szCs w:val="22"/>
          <w:highlight w:val="none"/>
        </w:rPr>
        <w:t xml:space="preserve">中</w:t>
      </w:r>
      <w:r>
        <w:rPr>
          <w:rFonts w:ascii="宋体" w:hAnsi="宋体"/>
          <w:b/>
          <w:bCs/>
          <w:color w:val="auto"/>
          <w:sz w:val="24"/>
          <w:szCs w:val="22"/>
          <w:highlight w:val="none"/>
        </w:rPr>
        <w:t xml:space="preserve">小企业声明函》中的“标的名称”是指采购清单中每项产品名称。</w:t>
      </w:r>
      <w:r/>
    </w:p>
    <w:p>
      <w:pPr>
        <w:jc w:val="left"/>
        <w:rPr>
          <w:rFonts w:ascii="宋体" w:hAnsi="宋体"/>
          <w:b/>
          <w:color w:val="auto"/>
          <w:sz w:val="28"/>
          <w:szCs w:val="28"/>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 xml:space="preserve">2．残疾人福利性单位声明函</w:t>
      </w:r>
      <w:r/>
    </w:p>
    <w:p>
      <w:pPr>
        <w:jc w:val="center"/>
        <w:spacing w:line="400" w:lineRule="exact"/>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00" w:lineRule="exact"/>
        <w:widowControl/>
        <w:rPr>
          <w:rFonts w:ascii="Calibri" w:hAnsi="Calibri"/>
          <w:b/>
          <w:color w:val="auto"/>
          <w:sz w:val="28"/>
          <w:szCs w:val="28"/>
          <w:highlight w:val="none"/>
        </w:rPr>
      </w:pPr>
      <w:r>
        <w:rPr>
          <w:rFonts w:hint="eastAsia" w:ascii="宋体" w:hAnsi="宋体" w:cs="宋体"/>
          <w:b/>
          <w:color w:val="auto"/>
          <w:sz w:val="28"/>
          <w:szCs w:val="28"/>
          <w:highlight w:val="none"/>
        </w:rPr>
        <w:t xml:space="preserve">残疾人福利性单位声明函</w:t>
      </w:r>
      <w:r/>
    </w:p>
    <w:p>
      <w:pPr>
        <w:jc w:val="left"/>
        <w:spacing w:line="400" w:lineRule="exact"/>
        <w:rPr>
          <w:rFonts w:ascii="宋体" w:hAnsi="宋体"/>
          <w:color w:val="auto"/>
          <w:sz w:val="24"/>
          <w:szCs w:val="24"/>
          <w:highlight w:val="none"/>
        </w:rPr>
      </w:pPr>
      <w:r/>
      <w:bookmarkStart w:id="168" w:name="_Hlk73391707"/>
      <w:r/>
      <w:r/>
    </w:p>
    <w:p>
      <w:pPr>
        <w:ind w:firstLine="504"/>
        <w:jc w:val="left"/>
        <w:spacing w:line="400" w:lineRule="exact"/>
        <w:rPr>
          <w:rFonts w:ascii="宋体" w:hAnsi="宋体"/>
          <w:color w:val="auto"/>
          <w:spacing w:val="6"/>
          <w:sz w:val="24"/>
          <w:szCs w:val="24"/>
          <w:highlight w:val="none"/>
        </w:rPr>
      </w:pPr>
      <w:r/>
      <w:bookmarkStart w:id="169" w:name="_Hlk108563587"/>
      <w:r>
        <w:rPr>
          <w:rFonts w:ascii="宋体" w:hAnsi="宋体"/>
          <w:color w:val="auto"/>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none"/>
        </w:rPr>
        <w:t xml:space="preserve">（请进行勾选）</w:t>
      </w:r>
      <w:r>
        <w:rPr>
          <w:rFonts w:ascii="宋体" w:hAnsi="宋体"/>
          <w:color w:val="auto"/>
          <w:spacing w:val="6"/>
          <w:sz w:val="24"/>
          <w:szCs w:val="24"/>
          <w:highlight w:val="none"/>
        </w:rPr>
        <w:t xml:space="preserve">：</w:t>
      </w:r>
      <w:r/>
    </w:p>
    <w:p>
      <w:pPr>
        <w:ind w:firstLine="482"/>
        <w:jc w:val="left"/>
        <w:spacing w:line="400" w:lineRule="exact"/>
        <w:rPr>
          <w:rFonts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不属于符合条件的残疾人福利性单位。</w:t>
      </w:r>
      <w:r/>
    </w:p>
    <w:p>
      <w:pPr>
        <w:ind w:firstLine="482"/>
        <w:jc w:val="left"/>
        <w:spacing w:line="400" w:lineRule="exact"/>
        <w:rPr>
          <w:rFonts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属于符合条件的残疾人福利性单位，</w:t>
      </w:r>
      <w:r>
        <w:rPr>
          <w:rFonts w:ascii="宋体" w:hAnsi="宋体"/>
          <w:color w:val="auto"/>
          <w:sz w:val="24"/>
          <w:szCs w:val="24"/>
          <w:highlight w:val="none"/>
        </w:rPr>
        <w:t xml:space="preserve">且本单位参加单位的项目采购活动提供本单位制造的货物（由本单位承担工程/提供服务），或者提供其他残疾人福利性单位制造的货物（不包括使用非残疾人福利性单位注册商标的货物）。</w:t>
      </w:r>
      <w:r/>
    </w:p>
    <w:p>
      <w:pPr>
        <w:ind w:left="660" w:hanging="24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本单位在本次政府采购活动中提供的残疾人福利单位产品报价合计为人民币（大写）（¥：）。</w:t>
      </w:r>
      <w:r/>
    </w:p>
    <w:p>
      <w:pPr>
        <w:ind w:firstLine="482"/>
        <w:jc w:val="left"/>
        <w:spacing w:before="2" w:line="400" w:lineRule="exact"/>
        <w:rPr>
          <w:rFonts w:ascii="宋体" w:hAnsi="宋体"/>
          <w:b/>
          <w:bCs/>
          <w:color w:val="auto"/>
          <w:sz w:val="24"/>
          <w:szCs w:val="24"/>
          <w:highlight w:val="none"/>
        </w:rPr>
      </w:pPr>
      <w:r>
        <w:rPr>
          <w:rFonts w:ascii="宋体" w:hAnsi="宋体"/>
          <w:b/>
          <w:bCs/>
          <w:color w:val="auto"/>
          <w:sz w:val="24"/>
          <w:szCs w:val="24"/>
          <w:highlight w:val="none"/>
        </w:rPr>
        <w:t xml:space="preserve">本单位对上述声明的真实性负责。如有虚假，将依法承担相应责任。</w:t>
      </w:r>
      <w:bookmarkEnd w:id="169"/>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供应商如不提供此声明函，价格将不做相应扣除。</w:t>
      </w:r>
      <w:r/>
    </w:p>
    <w:p>
      <w:pPr>
        <w:jc w:val="left"/>
        <w:spacing w:before="2" w:line="400" w:lineRule="exact"/>
        <w:rPr>
          <w:rFonts w:ascii="宋体" w:hAnsi="宋体"/>
          <w:color w:val="auto"/>
          <w:sz w:val="24"/>
          <w:szCs w:val="24"/>
          <w:highlight w:val="none"/>
        </w:rPr>
      </w:pPr>
      <w:r>
        <w:rPr>
          <w:rFonts w:ascii="宋体" w:hAnsi="宋体"/>
          <w:color w:val="auto"/>
          <w:sz w:val="24"/>
          <w:szCs w:val="24"/>
          <w:highlight w:val="none"/>
        </w:rPr>
      </w:r>
      <w:r/>
    </w:p>
    <w:p>
      <w:pPr>
        <w:ind w:right="150"/>
        <w:jc w:val="right"/>
        <w:spacing w:line="400" w:lineRule="exact"/>
        <w:rPr>
          <w:rFonts w:ascii="宋体" w:hAnsi="宋体"/>
          <w:color w:val="auto"/>
          <w:sz w:val="24"/>
          <w:szCs w:val="24"/>
          <w:highlight w:val="none"/>
        </w:rPr>
      </w:pP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名称（盖章）：</w:t>
      </w:r>
      <w:r/>
    </w:p>
    <w:p>
      <w:pPr>
        <w:ind w:right="960"/>
        <w:jc w:val="righ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bookmarkEnd w:id="167"/>
      <w:bookmarkEnd w:id="168"/>
      <w:r/>
    </w:p>
    <w:p>
      <w:pPr>
        <w:jc w:val="center"/>
        <w:spacing w:line="400" w:lineRule="exact"/>
        <w:rPr>
          <w:rFonts w:ascii="宋体" w:hAnsi="宋体" w:cs="仿宋"/>
          <w:b/>
          <w:bCs/>
          <w:color w:val="auto"/>
          <w:sz w:val="24"/>
          <w:szCs w:val="24"/>
          <w:highlight w:val="none"/>
        </w:rPr>
      </w:pPr>
      <w:r>
        <w:rPr>
          <w:rFonts w:ascii="宋体" w:hAnsi="宋体" w:cs="仿宋"/>
          <w:b/>
          <w:bCs/>
          <w:color w:val="auto"/>
          <w:sz w:val="24"/>
          <w:szCs w:val="24"/>
          <w:highlight w:val="none"/>
        </w:rPr>
      </w:r>
      <w:r/>
    </w:p>
    <w:p>
      <w:pPr>
        <w:jc w:val="center"/>
        <w:spacing w:line="40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spacing w:line="440" w:lineRule="exact"/>
        <w:rPr>
          <w:rFonts w:ascii="仿宋" w:hAnsi="仿宋" w:eastAsia="仿宋" w:cs="仿宋"/>
          <w:b/>
          <w:bCs/>
          <w:color w:val="auto"/>
          <w:sz w:val="24"/>
          <w:szCs w:val="24"/>
          <w:highlight w:val="none"/>
        </w:rPr>
      </w:pPr>
      <w:r>
        <w:rPr>
          <w:rFonts w:hint="eastAsia" w:ascii="宋体" w:hAnsi="宋体"/>
          <w:b/>
          <w:color w:val="auto"/>
          <w:sz w:val="28"/>
          <w:szCs w:val="28"/>
          <w:highlight w:val="none"/>
        </w:rPr>
        <w:t xml:space="preserve">3．属于监狱企业的证明文件</w:t>
      </w:r>
      <w:r/>
    </w:p>
    <w:p>
      <w:pPr>
        <w:jc w:val="left"/>
        <w:rPr>
          <w:rFonts w:ascii="Calibri" w:hAnsi="Calibri"/>
          <w:color w:val="auto"/>
          <w:sz w:val="22"/>
          <w:szCs w:val="22"/>
          <w:highlight w:val="none"/>
        </w:rPr>
      </w:pPr>
      <w:r>
        <w:rPr>
          <w:rFonts w:ascii="Calibri" w:hAnsi="Calibri"/>
          <w:color w:val="auto"/>
          <w:sz w:val="22"/>
          <w:szCs w:val="22"/>
          <w:highlight w:val="none"/>
        </w:rPr>
      </w:r>
      <w:r/>
    </w:p>
    <w:p>
      <w:pPr>
        <w:jc w:val="center"/>
        <w:spacing w:line="400" w:lineRule="exact"/>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属于监狱企业的证明文件</w:t>
      </w:r>
      <w:r/>
    </w:p>
    <w:p>
      <w:pPr>
        <w:jc w:val="left"/>
        <w:spacing w:line="400" w:lineRule="exact"/>
        <w:widowControl/>
        <w:rPr>
          <w:rFonts w:ascii="Calibri" w:hAnsi="Calibri"/>
          <w:color w:val="auto"/>
          <w:sz w:val="24"/>
          <w:szCs w:val="24"/>
          <w:highlight w:val="none"/>
        </w:rPr>
      </w:pPr>
      <w:r>
        <w:rPr>
          <w:rFonts w:ascii="Calibri" w:hAnsi="Calibri"/>
          <w:color w:val="auto"/>
          <w:sz w:val="24"/>
          <w:szCs w:val="24"/>
          <w:highlight w:val="none"/>
        </w:rPr>
      </w:r>
      <w:r/>
    </w:p>
    <w:p>
      <w:pPr>
        <w:ind w:firstLine="480"/>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提供由省级以上监狱管理局、戒毒管理局</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含新疆生产建设兵团</w:t>
      </w:r>
      <w:r>
        <w:rPr>
          <w:rFonts w:hint="eastAsia" w:ascii="宋体" w:hAnsi="宋体"/>
          <w:color w:val="auto"/>
          <w:sz w:val="24"/>
          <w:szCs w:val="24"/>
          <w:highlight w:val="none"/>
        </w:rPr>
        <w:t xml:space="preserve">）</w:t>
      </w:r>
      <w:r>
        <w:rPr>
          <w:rFonts w:ascii="宋体" w:hAnsi="宋体"/>
          <w:color w:val="auto"/>
          <w:sz w:val="24"/>
          <w:szCs w:val="24"/>
          <w:highlight w:val="none"/>
        </w:rPr>
        <w:t xml:space="preserve">出具的属于监狱企业的证明文件</w:t>
      </w:r>
      <w:r>
        <w:rPr>
          <w:rFonts w:hint="eastAsia" w:ascii="宋体" w:hAnsi="宋体"/>
          <w:color w:val="auto"/>
          <w:sz w:val="24"/>
          <w:szCs w:val="24"/>
          <w:highlight w:val="none"/>
        </w:rPr>
        <w:t xml:space="preserve">，监狱企业标准请参照《关于政府采购支持监狱企业发展有关问题的通知》（</w:t>
      </w:r>
      <w:r>
        <w:rPr>
          <w:rFonts w:ascii="宋体" w:hAnsi="宋体"/>
          <w:color w:val="auto"/>
          <w:sz w:val="24"/>
          <w:szCs w:val="24"/>
          <w:highlight w:val="none"/>
        </w:rPr>
        <w:t xml:space="preserve">财库</w:t>
      </w:r>
      <w:bookmarkStart w:id="170" w:name="_Hlk109220782"/>
      <w:r>
        <w:rPr>
          <w:rFonts w:ascii="宋体" w:hAnsi="宋体"/>
          <w:color w:val="auto"/>
          <w:sz w:val="24"/>
          <w:szCs w:val="24"/>
          <w:highlight w:val="none"/>
        </w:rPr>
        <w:t xml:space="preserve">〔2014〕</w:t>
      </w:r>
      <w:bookmarkEnd w:id="170"/>
      <w:r>
        <w:rPr>
          <w:rFonts w:ascii="宋体" w:hAnsi="宋体"/>
          <w:color w:val="auto"/>
          <w:sz w:val="24"/>
          <w:szCs w:val="24"/>
          <w:highlight w:val="none"/>
        </w:rPr>
        <w:t xml:space="preserve">68号）</w:t>
      </w:r>
      <w:r>
        <w:rPr>
          <w:rFonts w:hint="eastAsia" w:ascii="宋体" w:hAnsi="宋体"/>
          <w:color w:val="auto"/>
          <w:sz w:val="24"/>
          <w:szCs w:val="24"/>
          <w:highlight w:val="none"/>
        </w:rPr>
        <w:t xml:space="preserve">。</w:t>
      </w:r>
      <w:r/>
    </w:p>
    <w:p>
      <w:pPr>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供应商如不提供此声明函，价格将不做相应扣除。</w:t>
      </w:r>
      <w:r/>
    </w:p>
    <w:p>
      <w:pPr>
        <w:jc w:val="left"/>
        <w:spacing w:line="360" w:lineRule="auto"/>
        <w:widowControl/>
        <w:rPr>
          <w:rFonts w:ascii="宋体" w:hAnsi="宋体" w:cs="宋体"/>
          <w:b/>
          <w:color w:val="auto"/>
          <w:sz w:val="24"/>
          <w:szCs w:val="24"/>
          <w:highlight w:val="none"/>
          <w:lang w:val="zh-CN"/>
        </w:rPr>
        <w:outlineLvl w:val="1"/>
      </w:pPr>
      <w:r>
        <w:rPr>
          <w:rFonts w:hint="eastAsia" w:ascii="宋体" w:hAnsi="宋体" w:cs="宋体"/>
          <w:b/>
          <w:bCs/>
          <w:color w:val="auto"/>
          <w:sz w:val="28"/>
          <w:szCs w:val="28"/>
          <w:highlight w:val="none"/>
        </w:rPr>
        <w:br w:type="page" w:clear="all"/>
      </w:r>
      <w:bookmarkStart w:id="171" w:name="_Toc228350087"/>
      <w:r>
        <w:rPr>
          <w:rFonts w:hint="eastAsia" w:ascii="宋体" w:hAnsi="宋体" w:cs="宋体"/>
          <w:b/>
          <w:color w:val="auto"/>
          <w:sz w:val="24"/>
          <w:szCs w:val="24"/>
          <w:highlight w:val="none"/>
          <w:lang w:val="zh-CN"/>
        </w:rPr>
        <w:t xml:space="preserve">附件十二、南京市政府采购供应商信用记录表暨信用承诺书</w:t>
      </w:r>
      <w:bookmarkEnd w:id="171"/>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《南京市政府采购供应商信用记录表暨信用承诺书》</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在线打印</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（参考格式如下）</w:t>
      </w:r>
      <w:r/>
    </w:p>
    <w:p>
      <w:pPr>
        <w:jc w:val="right"/>
        <w:spacing w:line="400" w:lineRule="exact"/>
        <w:rPr>
          <w:rFonts w:ascii="仿宋" w:hAnsi="仿宋" w:eastAsia="仿宋"/>
          <w:color w:val="auto"/>
          <w:sz w:val="22"/>
          <w:szCs w:val="21"/>
          <w:highlight w:val="none"/>
          <w:lang w:eastAsia="en-US"/>
        </w:rPr>
      </w:pPr>
      <w:r>
        <w:rPr>
          <w:rFonts w:hint="eastAsia" w:ascii="仿宋" w:hAnsi="仿宋" w:eastAsia="仿宋"/>
          <w:color w:val="auto"/>
          <w:sz w:val="22"/>
          <w:szCs w:val="21"/>
          <w:highlight w:val="none"/>
          <w:lang w:eastAsia="en-US"/>
        </w:rPr>
        <w:t xml:space="preserve">二〇   年     月     日</w:t>
      </w:r>
      <w:r/>
    </w:p>
    <w:p>
      <w:pPr>
        <w:jc w:val="left"/>
        <w:rPr>
          <w:rFonts w:ascii="Calibri" w:hAnsi="Calibri"/>
          <w:color w:val="auto"/>
          <w:sz w:val="22"/>
          <w:szCs w:val="22"/>
          <w:highlight w:val="none"/>
          <w:lang w:eastAsia="en-US"/>
        </w:rPr>
      </w:pPr>
      <w:r>
        <w:rPr>
          <w:rFonts w:ascii="Calibri" w:hAnsi="Calibri"/>
          <w:color w:val="auto"/>
          <w:sz w:val="22"/>
          <w:szCs w:val="22"/>
          <w:highlight w:val="none"/>
          <w:lang w:eastAsia="en-US"/>
        </w:rPr>
      </w:r>
      <w:r/>
    </w:p>
    <w:tbl>
      <w:tblPr>
        <w:tblStyle w:val="679"/>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jc w:val="center"/>
          <w:trHeight w:val="567" w:hRule="exact"/>
        </w:trPr>
        <w:tc>
          <w:tcPr>
            <w:tcW w:w="1717" w:type="dxa"/>
            <w:vAlign w:val="center"/>
            <w:textDirection w:val="lrTb"/>
            <w:noWrap/>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单位名称</w:t>
            </w:r>
            <w:r/>
          </w:p>
        </w:tc>
        <w:tc>
          <w:tcPr>
            <w:tcW w:w="2560" w:type="dxa"/>
            <w:vAlign w:val="center"/>
            <w:textDirection w:val="lrTb"/>
            <w:noWrap/>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c>
          <w:tcPr>
            <w:tcW w:w="1985" w:type="dxa"/>
            <w:vAlign w:val="center"/>
            <w:textDirection w:val="lrTb"/>
            <w:noWrap/>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统一社会信用代码</w:t>
            </w:r>
            <w:r/>
          </w:p>
        </w:tc>
        <w:tc>
          <w:tcPr>
            <w:tcW w:w="3436" w:type="dxa"/>
            <w:vAlign w:val="center"/>
            <w:textDirection w:val="lrTb"/>
            <w:noWrap/>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567" w:hRule="exact"/>
        </w:trPr>
        <w:tc>
          <w:tcPr>
            <w:tcW w:w="1717" w:type="dxa"/>
            <w:vAlign w:val="center"/>
            <w:textDirection w:val="lrTb"/>
            <w:noWrap/>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法定代表人</w:t>
            </w:r>
            <w:r/>
          </w:p>
        </w:tc>
        <w:tc>
          <w:tcPr>
            <w:tcW w:w="2560" w:type="dxa"/>
            <w:vAlign w:val="center"/>
            <w:textDirection w:val="lrTb"/>
            <w:noWrap/>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c>
          <w:tcPr>
            <w:tcW w:w="1985" w:type="dxa"/>
            <w:vAlign w:val="center"/>
            <w:textDirection w:val="lrTb"/>
            <w:noWrap/>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联系人</w:t>
            </w:r>
            <w:r/>
          </w:p>
        </w:tc>
        <w:tc>
          <w:tcPr>
            <w:tcW w:w="3436" w:type="dxa"/>
            <w:vAlign w:val="center"/>
            <w:textDirection w:val="lrTb"/>
            <w:noWrap/>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567" w:hRule="exact"/>
        </w:trPr>
        <w:tc>
          <w:tcPr>
            <w:tcW w:w="1717" w:type="dxa"/>
            <w:vAlign w:val="center"/>
            <w:textDirection w:val="lrTb"/>
            <w:noWrap/>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联系地址</w:t>
            </w:r>
            <w:r/>
          </w:p>
        </w:tc>
        <w:tc>
          <w:tcPr>
            <w:tcW w:w="2560" w:type="dxa"/>
            <w:vAlign w:val="center"/>
            <w:textDirection w:val="lrTb"/>
            <w:noWrap/>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c>
          <w:tcPr>
            <w:tcW w:w="1985" w:type="dxa"/>
            <w:vAlign w:val="center"/>
            <w:textDirection w:val="lrTb"/>
            <w:noWrap/>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联系电话</w:t>
            </w:r>
            <w:r/>
          </w:p>
        </w:tc>
        <w:tc>
          <w:tcPr>
            <w:tcW w:w="3436" w:type="dxa"/>
            <w:vAlign w:val="center"/>
            <w:textDirection w:val="lrTb"/>
            <w:noWrap/>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1345"/>
        </w:trPr>
        <w:tc>
          <w:tcPr>
            <w:tcW w:w="1717" w:type="dxa"/>
            <w:vAlign w:val="center"/>
            <w:textDirection w:val="lrTb"/>
            <w:noWrap/>
          </w:tcPr>
          <w:p>
            <w:pPr>
              <w:jc w:val="left"/>
              <w:spacing w:line="400" w:lineRule="exact"/>
              <w:rPr>
                <w:rFonts w:ascii="仿宋" w:hAnsi="仿宋" w:eastAsia="仿宋"/>
                <w:color w:val="auto"/>
                <w:sz w:val="22"/>
                <w:szCs w:val="21"/>
                <w:highlight w:val="none"/>
                <w:lang w:eastAsia="en-US"/>
              </w:rPr>
            </w:pPr>
            <w:r>
              <w:rPr>
                <w:rFonts w:hint="eastAsia" w:ascii="仿宋" w:hAnsi="仿宋" w:eastAsia="仿宋"/>
                <w:b/>
                <w:bCs/>
                <w:color w:val="auto"/>
                <w:sz w:val="22"/>
                <w:szCs w:val="21"/>
                <w:highlight w:val="none"/>
                <w:lang w:eastAsia="en-US"/>
              </w:rPr>
              <w:t xml:space="preserve">诚信档案记录情况</w:t>
            </w:r>
            <w:r/>
          </w:p>
        </w:tc>
        <w:tc>
          <w:tcPr>
            <w:gridSpan w:val="3"/>
            <w:tcW w:w="7981" w:type="dxa"/>
            <w:vAlign w:val="center"/>
            <w:textDirection w:val="lrTb"/>
            <w:noWrap/>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5863"/>
        </w:trPr>
        <w:tc>
          <w:tcPr>
            <w:tcW w:w="1717" w:type="dxa"/>
            <w:vAlign w:val="center"/>
            <w:textDirection w:val="lrTb"/>
            <w:noWrap/>
          </w:tcPr>
          <w:p>
            <w:pPr>
              <w:jc w:val="center"/>
              <w:spacing w:line="400" w:lineRule="exact"/>
              <w:rPr>
                <w:rFonts w:ascii="仿宋" w:hAnsi="仿宋" w:eastAsia="仿宋"/>
                <w:color w:val="auto"/>
                <w:sz w:val="22"/>
                <w:szCs w:val="21"/>
                <w:highlight w:val="none"/>
                <w:lang w:eastAsia="en-US"/>
              </w:rPr>
            </w:pPr>
            <w:r>
              <w:rPr>
                <w:rFonts w:hint="eastAsia" w:ascii="仿宋" w:hAnsi="仿宋" w:eastAsia="仿宋"/>
                <w:b/>
                <w:bCs/>
                <w:color w:val="auto"/>
                <w:sz w:val="22"/>
                <w:szCs w:val="21"/>
                <w:highlight w:val="none"/>
                <w:lang w:eastAsia="en-US"/>
              </w:rPr>
              <w:t xml:space="preserve">信用承诺</w:t>
            </w:r>
            <w:r/>
          </w:p>
        </w:tc>
        <w:tc>
          <w:tcPr>
            <w:gridSpan w:val="3"/>
            <w:tcW w:w="7981" w:type="dxa"/>
            <w:textDirection w:val="lrTb"/>
            <w:noWrap/>
          </w:tcPr>
          <w:p>
            <w:pPr>
              <w:ind w:firstLine="440"/>
              <w:jc w:val="left"/>
              <w:spacing w:line="400" w:lineRule="exact"/>
              <w:rPr>
                <w:rFonts w:ascii="仿宋" w:hAnsi="仿宋" w:eastAsia="仿宋"/>
                <w:color w:val="auto"/>
                <w:sz w:val="22"/>
                <w:szCs w:val="21"/>
                <w:highlight w:val="none"/>
              </w:rPr>
            </w:pPr>
            <w:r>
              <w:rPr>
                <w:rFonts w:ascii="仿宋" w:hAnsi="仿宋" w:eastAsia="仿宋"/>
                <w:color w:val="auto"/>
                <w:sz w:val="22"/>
                <w:szCs w:val="21"/>
                <w:highlight w:val="none"/>
              </w:rPr>
            </w:r>
            <w:r/>
          </w:p>
          <w:p>
            <w:pPr>
              <w:ind w:firstLine="440"/>
              <w:jc w:val="left"/>
              <w:spacing w:line="400" w:lineRule="exact"/>
              <w:rPr>
                <w:rFonts w:ascii="仿宋" w:hAnsi="仿宋" w:eastAsia="仿宋"/>
                <w:color w:val="auto"/>
                <w:sz w:val="22"/>
                <w:szCs w:val="21"/>
                <w:highlight w:val="none"/>
              </w:rPr>
            </w:pPr>
            <w:r>
              <w:rPr>
                <w:rFonts w:hint="eastAsia" w:ascii="仿宋" w:hAnsi="仿宋" w:eastAsia="仿宋"/>
                <w:color w:val="auto"/>
                <w:sz w:val="22"/>
                <w:szCs w:val="21"/>
                <w:highlight w:val="none"/>
              </w:rPr>
              <w:t xml:space="preserve">我公司自愿参加贵中心（公司）组织的本次采购活动，严格遵守《中华人民共和国政府采购法》及相关法律法规，坚守</w:t>
            </w:r>
            <w:r>
              <w:rPr>
                <w:rFonts w:hint="eastAsia" w:ascii="仿宋" w:hAnsi="仿宋" w:eastAsia="仿宋"/>
                <w:color w:val="auto"/>
                <w:sz w:val="22"/>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jc w:val="left"/>
              <w:spacing w:line="400" w:lineRule="exact"/>
              <w:rPr>
                <w:rFonts w:ascii="仿宋" w:hAnsi="仿宋" w:eastAsia="仿宋"/>
                <w:color w:val="auto"/>
                <w:sz w:val="22"/>
                <w:szCs w:val="21"/>
                <w:highlight w:val="none"/>
              </w:rPr>
            </w:pPr>
            <w:r>
              <w:rPr>
                <w:rFonts w:ascii="仿宋" w:hAnsi="仿宋" w:eastAsia="仿宋"/>
                <w:color w:val="auto"/>
                <w:sz w:val="22"/>
                <w:szCs w:val="21"/>
                <w:highlight w:val="none"/>
              </w:rPr>
            </w:r>
            <w:r/>
          </w:p>
          <w:p>
            <w:pPr>
              <w:jc w:val="left"/>
              <w:spacing w:line="400" w:lineRule="exact"/>
              <w:rPr>
                <w:rFonts w:ascii="仿宋" w:hAnsi="仿宋" w:eastAsia="仿宋"/>
                <w:color w:val="auto"/>
                <w:sz w:val="22"/>
                <w:szCs w:val="21"/>
                <w:highlight w:val="none"/>
              </w:rPr>
            </w:pPr>
            <w:r>
              <w:rPr>
                <w:rFonts w:ascii="仿宋" w:hAnsi="仿宋" w:eastAsia="仿宋"/>
                <w:color w:val="auto"/>
                <w:sz w:val="22"/>
                <w:szCs w:val="21"/>
                <w:highlight w:val="none"/>
              </w:rPr>
            </w:r>
            <w:r/>
          </w:p>
          <w:p>
            <w:pPr>
              <w:jc w:val="left"/>
              <w:spacing w:line="400" w:lineRule="exact"/>
              <w:rPr>
                <w:rFonts w:ascii="仿宋" w:hAnsi="仿宋" w:eastAsia="仿宋"/>
                <w:color w:val="auto"/>
                <w:sz w:val="22"/>
                <w:szCs w:val="21"/>
                <w:highlight w:val="none"/>
              </w:rPr>
            </w:pPr>
            <w:r>
              <w:rPr>
                <w:rFonts w:hint="eastAsia" w:ascii="仿宋" w:hAnsi="仿宋" w:eastAsia="仿宋"/>
                <w:color w:val="auto"/>
                <w:sz w:val="22"/>
                <w:szCs w:val="21"/>
                <w:highlight w:val="none"/>
              </w:rPr>
              <w:t xml:space="preserve">供应商名称（盖章）：</w:t>
            </w:r>
            <w:r/>
          </w:p>
          <w:p>
            <w:pPr>
              <w:jc w:val="left"/>
              <w:spacing w:line="400" w:lineRule="exact"/>
              <w:rPr>
                <w:rFonts w:ascii="仿宋" w:hAnsi="仿宋" w:eastAsia="仿宋"/>
                <w:color w:val="auto"/>
                <w:sz w:val="22"/>
                <w:szCs w:val="22"/>
                <w:highlight w:val="none"/>
              </w:rPr>
            </w:pPr>
            <w:r>
              <w:rPr>
                <w:rFonts w:hint="eastAsia" w:ascii="仿宋" w:hAnsi="仿宋" w:eastAsia="仿宋"/>
                <w:color w:val="auto"/>
                <w:sz w:val="22"/>
                <w:szCs w:val="21"/>
                <w:highlight w:val="none"/>
              </w:rPr>
              <w:t xml:space="preserve">法定代表人（签字）：</w:t>
            </w:r>
            <w:r/>
          </w:p>
        </w:tc>
      </w:tr>
    </w:tbl>
    <w:p>
      <w:pPr>
        <w:ind w:firstLine="482"/>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注：供应商参加本次政府采购活动时，在采购文件发布之日起至递交投标文件截止日前，应登录【</w:t>
      </w:r>
      <w:r>
        <w:rPr>
          <w:color w:val="auto"/>
          <w:highlight w:val="none"/>
        </w:rPr>
        <w:fldChar w:fldCharType="begin"/>
      </w:r>
      <w:r>
        <w:rPr>
          <w:color w:val="auto"/>
          <w:highlight w:val="none"/>
        </w:rPr>
        <w:instrText xml:space="preserve"> HYPERLINK "http://180.101.238.212:8280/hodeframe2018_cxda/index.action;jsessionid=3CB06119C93D950CE8917FD0D0AEB15C" </w:instrText>
      </w:r>
      <w:r>
        <w:rPr>
          <w:color w:val="auto"/>
          <w:highlight w:val="none"/>
        </w:rPr>
        <w:fldChar w:fldCharType="separate"/>
      </w:r>
      <w:r>
        <w:rPr>
          <w:rFonts w:hint="eastAsia" w:ascii="宋体" w:hAnsi="宋体"/>
          <w:b/>
          <w:bCs/>
          <w:color w:val="auto"/>
          <w:sz w:val="24"/>
          <w:szCs w:val="24"/>
          <w:highlight w:val="none"/>
        </w:rPr>
        <w:t xml:space="preserve">南京市政府采购供应商诚信档案管理系统</w:t>
      </w:r>
      <w:r>
        <w:rPr>
          <w:rFonts w:hint="eastAsia" w:ascii="宋体" w:hAnsi="宋体"/>
          <w:b/>
          <w:bCs/>
          <w:color w:val="auto"/>
          <w:sz w:val="24"/>
          <w:szCs w:val="24"/>
          <w:highlight w:val="none"/>
        </w:rPr>
        <w:fldChar w:fldCharType="end"/>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u w:val="single"/>
        </w:rPr>
        <w:t xml:space="preserve">在线打印</w:t>
      </w:r>
      <w:r>
        <w:rPr>
          <w:rFonts w:hint="eastAsia" w:ascii="宋体" w:hAnsi="宋体"/>
          <w:b/>
          <w:bCs/>
          <w:color w:val="auto"/>
          <w:sz w:val="24"/>
          <w:szCs w:val="24"/>
          <w:highlight w:val="none"/>
        </w:rPr>
        <w:t xml:space="preserve">“南京市政府采购供应商信用记录表暨信用承诺书”，经</w:t>
      </w:r>
      <w:r>
        <w:rPr>
          <w:rFonts w:hint="eastAsia" w:ascii="宋体" w:hAnsi="宋体"/>
          <w:b/>
          <w:bCs/>
          <w:color w:val="auto"/>
          <w:sz w:val="24"/>
          <w:szCs w:val="24"/>
          <w:highlight w:val="none"/>
          <w:u w:val="single"/>
        </w:rPr>
        <w:t xml:space="preserve">法定代表人签名盖章</w:t>
      </w:r>
      <w:r>
        <w:rPr>
          <w:rFonts w:hint="eastAsia" w:ascii="宋体" w:hAnsi="宋体"/>
          <w:b/>
          <w:bCs/>
          <w:color w:val="auto"/>
          <w:sz w:val="24"/>
          <w:szCs w:val="24"/>
          <w:highlight w:val="none"/>
        </w:rPr>
        <w:t xml:space="preserve">后作为投标文件的组成部分。“南京市政府采购供应商信用记录表暨信用承诺书”是其参加本次政府采购活动的必备材料。</w:t>
      </w:r>
      <w:r/>
    </w:p>
    <w:p>
      <w:pPr>
        <w:jc w:val="left"/>
        <w:spacing w:line="360" w:lineRule="auto"/>
        <w:widowControl/>
        <w:rPr>
          <w:rFonts w:ascii="宋体" w:hAnsi="宋体" w:cs="宋体"/>
          <w:b/>
          <w:color w:val="auto"/>
          <w:sz w:val="24"/>
          <w:szCs w:val="24"/>
          <w:highlight w:val="none"/>
          <w:lang w:val="zh-CN"/>
        </w:rPr>
        <w:outlineLvl w:val="1"/>
      </w:pPr>
      <w:r>
        <w:rPr>
          <w:rFonts w:ascii="宋体" w:hAnsi="宋体" w:cs="宋体"/>
          <w:b/>
          <w:color w:val="auto"/>
          <w:sz w:val="24"/>
          <w:szCs w:val="24"/>
          <w:highlight w:val="none"/>
          <w:lang w:val="zh-CN"/>
        </w:rPr>
        <w:br w:type="page" w:clear="all"/>
      </w:r>
      <w:bookmarkStart w:id="172" w:name="_Toc228350088"/>
      <w:r>
        <w:rPr>
          <w:rFonts w:hint="eastAsia" w:ascii="宋体" w:hAnsi="宋体" w:cs="宋体"/>
          <w:b/>
          <w:color w:val="auto"/>
          <w:sz w:val="24"/>
          <w:szCs w:val="24"/>
          <w:highlight w:val="none"/>
          <w:lang w:val="zh-CN"/>
        </w:rPr>
        <w:t xml:space="preserve">附件十三、</w:t>
      </w:r>
      <w:bookmarkStart w:id="173" w:name="OLE_LINK42"/>
      <w:r/>
      <w:bookmarkStart w:id="174" w:name="OLE_LINK43"/>
      <w:r>
        <w:rPr>
          <w:rFonts w:hint="eastAsia" w:ascii="宋体" w:hAnsi="宋体" w:cs="宋体"/>
          <w:b/>
          <w:color w:val="auto"/>
          <w:sz w:val="24"/>
          <w:szCs w:val="24"/>
          <w:highlight w:val="none"/>
          <w:lang w:val="zh-CN"/>
        </w:rPr>
        <w:t xml:space="preserve">货物质量保证承诺书</w:t>
      </w:r>
      <w:bookmarkEnd w:id="173"/>
      <w:r/>
      <w:bookmarkEnd w:id="174"/>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货物质量保证承诺书</w:t>
      </w:r>
      <w:r/>
    </w:p>
    <w:p>
      <w:pPr>
        <w:jc w:val="left"/>
        <w:spacing w:line="360" w:lineRule="auto"/>
        <w:widowControl/>
        <w:rPr>
          <w:rFonts w:ascii="宋体" w:hAnsi="宋体" w:cs="宋体"/>
          <w:bCs/>
          <w:color w:val="auto"/>
          <w:sz w:val="28"/>
          <w:szCs w:val="28"/>
          <w:highlight w:val="none"/>
          <w:u w:val="single"/>
        </w:rPr>
        <w:outlineLvl w:val="1"/>
      </w:pPr>
      <w:r>
        <w:rPr>
          <w:rFonts w:hint="eastAsia" w:ascii="宋体" w:hAnsi="宋体" w:cs="宋体"/>
          <w:bCs/>
          <w:color w:val="auto"/>
          <w:sz w:val="28"/>
          <w:szCs w:val="28"/>
          <w:highlight w:val="none"/>
          <w:u w:val="single"/>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我公司现向贵单位承诺，我公司在项目名称：实施过程中，保证货物质量符合招标文件质量标准要求，在此服务过程中如出现任何质量问题，均由我公司承担一切责任。</w:t>
      </w:r>
      <w:r/>
    </w:p>
    <w:p>
      <w:pPr>
        <w:ind w:firstLine="480"/>
        <w:jc w:val="left"/>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承诺单位（公章）：</w:t>
      </w:r>
      <w:r/>
    </w:p>
    <w:p>
      <w:pPr>
        <w:ind w:firstLine="480"/>
        <w:jc w:val="lef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法定代表人（签字或盖章）：</w:t>
      </w:r>
      <w:r/>
    </w:p>
    <w:p>
      <w:pPr>
        <w:ind w:firstLine="480"/>
        <w:jc w:val="lef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日期：</w:t>
      </w:r>
      <w:r/>
    </w:p>
    <w:p>
      <w:pPr>
        <w:jc w:val="left"/>
        <w:spacing w:line="360" w:lineRule="auto"/>
        <w:widowControl/>
        <w:rPr>
          <w:rFonts w:ascii="宋体" w:hAnsi="宋体" w:cs="宋体"/>
          <w:b/>
          <w:color w:val="auto"/>
          <w:sz w:val="24"/>
          <w:szCs w:val="24"/>
          <w:highlight w:val="none"/>
          <w:lang w:val="zh-CN"/>
        </w:rPr>
        <w:outlineLvl w:val="1"/>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outlineLvl w:val="1"/>
      </w:pPr>
      <w:r>
        <w:rPr>
          <w:rFonts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outlineLvl w:val="1"/>
      </w:pPr>
      <w:r>
        <w:rPr>
          <w:rFonts w:ascii="宋体" w:hAnsi="宋体" w:cs="宋体"/>
          <w:b/>
          <w:color w:val="auto"/>
          <w:sz w:val="24"/>
          <w:szCs w:val="24"/>
          <w:highlight w:val="none"/>
          <w:lang w:val="zh-CN"/>
        </w:rPr>
        <w:br w:type="page" w:clear="all"/>
      </w:r>
      <w:r>
        <w:rPr>
          <w:rFonts w:hint="eastAsia" w:ascii="宋体" w:hAnsi="宋体" w:cs="宋体"/>
          <w:b/>
          <w:color w:val="auto"/>
          <w:sz w:val="24"/>
          <w:szCs w:val="24"/>
          <w:highlight w:val="none"/>
          <w:lang w:val="zh-CN"/>
        </w:rPr>
        <w:t xml:space="preserve">附件十四、</w:t>
      </w:r>
      <w:bookmarkStart w:id="175" w:name="_Hlk108563738"/>
      <w:r>
        <w:rPr>
          <w:rFonts w:hint="eastAsia" w:ascii="宋体" w:hAnsi="宋体" w:cs="宋体"/>
          <w:b/>
          <w:color w:val="auto"/>
          <w:sz w:val="24"/>
          <w:szCs w:val="24"/>
          <w:highlight w:val="none"/>
          <w:lang w:val="zh-CN"/>
        </w:rPr>
        <w:t xml:space="preserve">供应商资格承诺声明函</w:t>
      </w:r>
      <w:bookmarkEnd w:id="172"/>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供应商资格承诺声明函</w:t>
      </w:r>
      <w:bookmarkEnd w:id="162"/>
      <w:r/>
      <w:r/>
    </w:p>
    <w:p>
      <w:pPr>
        <w:jc w:val="left"/>
        <w:spacing w:line="360" w:lineRule="exact"/>
        <w:rPr>
          <w:rFonts w:ascii="宋体" w:hAnsi="宋体"/>
          <w:color w:val="auto"/>
          <w:sz w:val="22"/>
          <w:szCs w:val="21"/>
          <w:highlight w:val="none"/>
        </w:rPr>
      </w:pPr>
      <w:r/>
      <w:bookmarkStart w:id="176" w:name="_Hlk94112054"/>
      <w:r>
        <w:rPr>
          <w:rFonts w:hint="eastAsia" w:ascii="宋体" w:hAnsi="宋体"/>
          <w:color w:val="auto"/>
          <w:sz w:val="22"/>
          <w:szCs w:val="21"/>
          <w:highlight w:val="none"/>
        </w:rPr>
        <w:t xml:space="preserve">致：</w:t>
      </w:r>
      <w:bookmarkEnd w:id="176"/>
      <w:r>
        <w:rPr>
          <w:rFonts w:hint="eastAsia" w:ascii="宋体" w:hAnsi="宋体"/>
          <w:color w:val="auto"/>
          <w:sz w:val="22"/>
          <w:szCs w:val="21"/>
          <w:highlight w:val="none"/>
          <w:u w:val="single"/>
        </w:rPr>
        <w:t xml:space="preserve">南京江北新区管理委员会教育局</w:t>
      </w:r>
      <w:r/>
    </w:p>
    <w:p>
      <w:pPr>
        <w:ind w:firstLine="440"/>
        <w:spacing w:line="360" w:lineRule="exact"/>
        <w:rPr>
          <w:rFonts w:ascii="宋体" w:hAnsi="宋体"/>
          <w:color w:val="auto"/>
          <w:sz w:val="22"/>
          <w:szCs w:val="21"/>
          <w:highlight w:val="none"/>
        </w:rPr>
      </w:pPr>
      <w:r>
        <w:rPr>
          <w:rFonts w:ascii="宋体" w:hAnsi="宋体"/>
          <w:color w:val="auto"/>
          <w:sz w:val="22"/>
          <w:szCs w:val="21"/>
          <w:highlight w:val="none"/>
        </w:rPr>
        <w:t xml:space="preserve">在参与本次项目</w:t>
      </w:r>
      <w:r>
        <w:rPr>
          <w:rFonts w:hint="eastAsia" w:ascii="宋体" w:hAnsi="宋体"/>
          <w:color w:val="auto"/>
          <w:sz w:val="22"/>
          <w:szCs w:val="21"/>
          <w:highlight w:val="none"/>
        </w:rPr>
        <w:t xml:space="preserve">政府采购活动</w:t>
      </w:r>
      <w:r>
        <w:rPr>
          <w:rFonts w:ascii="宋体" w:hAnsi="宋体"/>
          <w:color w:val="auto"/>
          <w:sz w:val="22"/>
          <w:szCs w:val="21"/>
          <w:highlight w:val="none"/>
        </w:rPr>
        <w:t xml:space="preserve">中，</w:t>
      </w:r>
      <w:r>
        <w:rPr>
          <w:rFonts w:hint="eastAsia" w:ascii="宋体" w:hAnsi="宋体"/>
          <w:color w:val="auto"/>
          <w:sz w:val="22"/>
          <w:szCs w:val="21"/>
          <w:highlight w:val="none"/>
        </w:rPr>
        <w:t xml:space="preserve">我公司（供应商名称）郑重承诺：我公司符合下列要求：</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（一）</w:t>
      </w:r>
      <w:r>
        <w:rPr>
          <w:rFonts w:ascii="宋体" w:hAnsi="宋体"/>
          <w:color w:val="auto"/>
          <w:sz w:val="22"/>
          <w:szCs w:val="21"/>
          <w:highlight w:val="none"/>
        </w:rPr>
        <w:t xml:space="preserve">具有良好的商业信誉和健全的财务会计制度；</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（二）</w:t>
      </w:r>
      <w:r>
        <w:rPr>
          <w:rFonts w:ascii="宋体" w:hAnsi="宋体"/>
          <w:color w:val="auto"/>
          <w:sz w:val="22"/>
          <w:szCs w:val="21"/>
          <w:highlight w:val="none"/>
        </w:rPr>
        <w:t xml:space="preserve">具有履行合同所必需的设备和专业技术能力；</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（三）</w:t>
      </w:r>
      <w:r>
        <w:rPr>
          <w:rFonts w:ascii="宋体" w:hAnsi="宋体"/>
          <w:color w:val="auto"/>
          <w:sz w:val="22"/>
          <w:szCs w:val="21"/>
          <w:highlight w:val="none"/>
        </w:rPr>
        <w:t xml:space="preserve">有依法缴纳税收和社会保障资金的良好记录；</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（四）</w:t>
      </w:r>
      <w:r>
        <w:rPr>
          <w:rFonts w:ascii="宋体" w:hAnsi="宋体"/>
          <w:color w:val="auto"/>
          <w:sz w:val="22"/>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 w:val="22"/>
          <w:szCs w:val="21"/>
          <w:highlight w:val="none"/>
        </w:rPr>
        <w:t xml:space="preserve">2</w:t>
      </w:r>
      <w:r>
        <w:rPr>
          <w:rFonts w:ascii="宋体" w:hAnsi="宋体"/>
          <w:color w:val="auto"/>
          <w:sz w:val="22"/>
          <w:szCs w:val="21"/>
          <w:highlight w:val="none"/>
        </w:rPr>
        <w:t xml:space="preserve">00</w:t>
      </w:r>
      <w:r>
        <w:rPr>
          <w:rFonts w:hint="eastAsia" w:ascii="宋体" w:hAnsi="宋体"/>
          <w:color w:val="auto"/>
          <w:sz w:val="22"/>
          <w:szCs w:val="21"/>
          <w:highlight w:val="none"/>
        </w:rPr>
        <w:t xml:space="preserve">万元以上的</w:t>
      </w:r>
      <w:r>
        <w:rPr>
          <w:rFonts w:ascii="宋体" w:hAnsi="宋体"/>
          <w:color w:val="auto"/>
          <w:sz w:val="22"/>
          <w:szCs w:val="21"/>
          <w:highlight w:val="none"/>
        </w:rPr>
        <w:t xml:space="preserve">较大数额罚款</w:t>
      </w:r>
      <w:r>
        <w:rPr>
          <w:rFonts w:hint="eastAsia" w:ascii="宋体" w:hAnsi="宋体"/>
          <w:color w:val="auto"/>
          <w:sz w:val="22"/>
          <w:szCs w:val="21"/>
          <w:highlight w:val="none"/>
        </w:rPr>
        <w:t xml:space="preserve">等</w:t>
      </w:r>
      <w:r>
        <w:rPr>
          <w:rFonts w:ascii="宋体" w:hAnsi="宋体"/>
          <w:color w:val="auto"/>
          <w:sz w:val="22"/>
          <w:szCs w:val="21"/>
          <w:highlight w:val="none"/>
        </w:rPr>
        <w:t xml:space="preserve">行政处罚，不包括因违法经营被禁止在一定期限内参加政府采购活动，但期限已经届满的情形）</w:t>
      </w:r>
      <w:r>
        <w:rPr>
          <w:rFonts w:hint="eastAsia" w:ascii="宋体" w:hAnsi="宋体"/>
          <w:color w:val="auto"/>
          <w:sz w:val="22"/>
          <w:szCs w:val="21"/>
          <w:highlight w:val="none"/>
        </w:rPr>
        <w:t xml:space="preserve">；</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（五）</w:t>
      </w:r>
      <w:r>
        <w:rPr>
          <w:rFonts w:ascii="宋体" w:hAnsi="宋体"/>
          <w:color w:val="auto"/>
          <w:sz w:val="22"/>
          <w:szCs w:val="21"/>
          <w:highlight w:val="none"/>
        </w:rPr>
        <w:t xml:space="preserve">我单位不属于政府采购法律、行政法规规定的公益一类事业单位、或使用事业编制且由财政拨款保障的群团组织（仅适用于政府购买服务项目）；</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（六）</w:t>
      </w:r>
      <w:r>
        <w:rPr>
          <w:rFonts w:ascii="宋体" w:hAnsi="宋体"/>
          <w:color w:val="auto"/>
          <w:sz w:val="22"/>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（七）我单位未被列入失信被执行人、重大税收违法案件当事人名单、政府采购严重违法失信行为记录名单；</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（八）</w:t>
      </w:r>
      <w:r>
        <w:rPr>
          <w:rFonts w:ascii="宋体" w:hAnsi="宋体"/>
          <w:color w:val="auto"/>
          <w:sz w:val="22"/>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序号</w:t>
            </w:r>
            <w:r/>
          </w:p>
        </w:tc>
        <w:tc>
          <w:tcPr>
            <w:tcW w:w="4574"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单位名称</w:t>
            </w:r>
            <w:r/>
          </w:p>
        </w:tc>
        <w:tc>
          <w:tcPr>
            <w:tcW w:w="2976"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相互关系</w:t>
            </w:r>
            <w:r/>
          </w:p>
        </w:tc>
      </w:tr>
      <w:tr>
        <w:trPr>
          <w:jc w:val="center"/>
          <w:trHeight w:val="430"/>
        </w:trPr>
        <w:tc>
          <w:tcPr>
            <w:tcW w:w="950"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1</w:t>
            </w:r>
            <w:r/>
          </w:p>
        </w:tc>
        <w:tc>
          <w:tcPr>
            <w:tcW w:w="4574"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jc w:val="center"/>
          <w:trHeight w:val="430"/>
        </w:trPr>
        <w:tc>
          <w:tcPr>
            <w:tcW w:w="950"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2</w:t>
            </w:r>
            <w:r/>
          </w:p>
        </w:tc>
        <w:tc>
          <w:tcPr>
            <w:tcW w:w="4574"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jc w:val="center"/>
          <w:trHeight w:val="430"/>
        </w:trPr>
        <w:tc>
          <w:tcPr>
            <w:tcW w:w="950" w:type="dxa"/>
            <w:vAlign w:val="center"/>
            <w:textDirection w:val="lrTb"/>
            <w:noWrap/>
          </w:tcPr>
          <w:p>
            <w:pPr>
              <w:jc w:val="center"/>
              <w:spacing w:line="360" w:lineRule="exact"/>
              <w:rPr>
                <w:rFonts w:ascii="宋体" w:hAnsi="宋体"/>
                <w:color w:val="auto"/>
                <w:sz w:val="22"/>
                <w:szCs w:val="21"/>
                <w:highlight w:val="none"/>
                <w:lang w:eastAsia="en-US"/>
              </w:rPr>
            </w:pPr>
            <w:r>
              <w:rPr>
                <w:rFonts w:hint="eastAsia" w:ascii="宋体" w:hAnsi="宋体"/>
                <w:color w:val="auto"/>
                <w:sz w:val="22"/>
                <w:szCs w:val="21"/>
                <w:highlight w:val="none"/>
                <w:lang w:eastAsia="en-US"/>
              </w:rPr>
              <w:t xml:space="preserve">3</w:t>
            </w:r>
            <w:r/>
          </w:p>
        </w:tc>
        <w:tc>
          <w:tcPr>
            <w:tcW w:w="4574"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jc w:val="center"/>
          <w:trHeight w:val="430"/>
        </w:trPr>
        <w:tc>
          <w:tcPr>
            <w:tcW w:w="950"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w:t>
            </w:r>
            <w:r/>
          </w:p>
        </w:tc>
        <w:tc>
          <w:tcPr>
            <w:tcW w:w="4574"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bl>
    <w:p>
      <w:pPr>
        <w:ind w:firstLine="440"/>
        <w:jc w:val="left"/>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如果我公司成交，将在结果公告发布后</w:t>
      </w:r>
      <w:r>
        <w:rPr>
          <w:rFonts w:ascii="宋体" w:hAnsi="宋体"/>
          <w:color w:val="auto"/>
          <w:sz w:val="22"/>
          <w:szCs w:val="21"/>
          <w:highlight w:val="none"/>
        </w:rPr>
        <w:t xml:space="preserve">7</w:t>
      </w:r>
      <w:r>
        <w:rPr>
          <w:rFonts w:hint="eastAsia" w:ascii="宋体" w:hAnsi="宋体"/>
          <w:color w:val="auto"/>
          <w:sz w:val="22"/>
          <w:szCs w:val="21"/>
          <w:highlight w:val="none"/>
        </w:rPr>
        <w:t xml:space="preserve">个工作日内向（采购代理机构邮箱）提供下列材料核验：</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（1）2025年经审计的财务报告或2025年财务报表，或投标文件提交截止时间前六个月内银行出具的资信证明，成立不满一年无需提供；</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（2）参加本次政府采购活动前半年内至少一个月：</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1）缴纳增值税，或营业税，或企业所得税的凭据；2）缴纳社会保险的凭据（专用收据或社会保险缴纳清单）等，依法享受缓缴、免税或不需要缴纳社会保障资金的供应商应提供相关证明材料；</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（3）履行合同所必需的设备和专业技术能力的书面声明、证明材料；</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（4）参加本次政府采购活动前3年内在经营活动中没有重大违法记录的书面声明。</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本公司对上述承诺的真实性负责，如有虚假，将依法承担相应责任。</w:t>
      </w:r>
      <w:r/>
    </w:p>
    <w:p>
      <w:pPr>
        <w:jc w:val="left"/>
        <w:spacing w:line="360" w:lineRule="exact"/>
        <w:rPr>
          <w:rFonts w:ascii="宋体" w:hAnsi="宋体"/>
          <w:color w:val="auto"/>
          <w:sz w:val="22"/>
          <w:szCs w:val="21"/>
          <w:highlight w:val="none"/>
        </w:rPr>
      </w:pPr>
      <w:r>
        <w:rPr>
          <w:rFonts w:ascii="宋体" w:hAnsi="宋体"/>
          <w:color w:val="auto"/>
          <w:sz w:val="22"/>
          <w:szCs w:val="21"/>
          <w:highlight w:val="none"/>
        </w:rPr>
      </w:r>
      <w:bookmarkEnd w:id="163"/>
      <w:r/>
    </w:p>
    <w:p>
      <w:pPr>
        <w:ind w:right="1480"/>
        <w:jc w:val="left"/>
        <w:spacing w:before="25" w:after="25" w:line="360" w:lineRule="exact"/>
        <w:rPr>
          <w:rFonts w:ascii="宋体" w:hAnsi="宋体"/>
          <w:color w:val="auto"/>
          <w:sz w:val="22"/>
          <w:szCs w:val="21"/>
          <w:highlight w:val="none"/>
        </w:rPr>
      </w:pPr>
      <w:r>
        <w:rPr>
          <w:rFonts w:ascii="宋体" w:hAnsi="宋体"/>
          <w:color w:val="auto"/>
          <w:sz w:val="22"/>
          <w:szCs w:val="21"/>
          <w:highlight w:val="none"/>
        </w:rPr>
        <w:t xml:space="preserve">供应商名称（加盖公章）</w:t>
      </w:r>
      <w:r>
        <w:rPr>
          <w:rFonts w:ascii="宋体" w:hAnsi="宋体"/>
          <w:color w:val="auto"/>
          <w:sz w:val="22"/>
          <w:szCs w:val="21"/>
          <w:highlight w:val="none"/>
          <w:lang w:val="zh-CN"/>
        </w:rPr>
        <w:t xml:space="preserve">：</w:t>
      </w:r>
      <w:r/>
    </w:p>
    <w:p>
      <w:pPr>
        <w:ind w:right="1120"/>
        <w:spacing w:line="360" w:lineRule="exact"/>
        <w:rPr>
          <w:rFonts w:ascii="宋体" w:hAnsi="宋体"/>
          <w:color w:val="auto"/>
          <w:sz w:val="22"/>
          <w:szCs w:val="21"/>
          <w:highlight w:val="none"/>
        </w:rPr>
      </w:pPr>
      <w:r/>
      <w:bookmarkStart w:id="177" w:name="_Hlk112322441"/>
      <w:r>
        <w:rPr>
          <w:rFonts w:hint="eastAsia" w:ascii="宋体" w:hAnsi="宋体"/>
          <w:color w:val="auto"/>
          <w:sz w:val="22"/>
          <w:szCs w:val="21"/>
          <w:highlight w:val="none"/>
        </w:rPr>
        <w:t xml:space="preserve">供应商授权代表（签字）：</w:t>
      </w:r>
      <w:bookmarkEnd w:id="177"/>
      <w:r/>
      <w:r/>
    </w:p>
    <w:p>
      <w:pPr>
        <w:ind w:right="1480"/>
        <w:spacing w:line="360" w:lineRule="exact"/>
        <w:rPr>
          <w:rFonts w:ascii="Arial" w:hAnsi="Arial" w:eastAsia="黑体"/>
          <w:color w:val="auto"/>
          <w:sz w:val="24"/>
          <w:szCs w:val="24"/>
          <w:highlight w:val="none"/>
        </w:rPr>
      </w:pPr>
      <w:r>
        <w:rPr>
          <w:rFonts w:ascii="宋体" w:hAnsi="宋体"/>
          <w:color w:val="auto"/>
          <w:sz w:val="22"/>
          <w:szCs w:val="21"/>
          <w:highlight w:val="none"/>
        </w:rPr>
        <w:t xml:space="preserve">日期：年月日</w:t>
      </w:r>
      <w:bookmarkEnd w:id="175"/>
      <w:r/>
      <w:r/>
    </w:p>
    <w:p>
      <w:pPr>
        <w:jc w:val="left"/>
        <w:spacing w:line="360" w:lineRule="auto"/>
        <w:widowControl/>
        <w:rPr>
          <w:rFonts w:ascii="宋体" w:hAnsi="宋体" w:cs="宋体"/>
          <w:b/>
          <w:color w:val="auto"/>
          <w:sz w:val="24"/>
          <w:szCs w:val="24"/>
          <w:highlight w:val="none"/>
          <w:lang w:val="zh-CN"/>
        </w:rPr>
        <w:outlineLvl w:val="1"/>
      </w:pPr>
      <w:r>
        <w:rPr>
          <w:rFonts w:ascii="宋体" w:hAnsi="宋体" w:cs="宋体"/>
          <w:color w:val="auto"/>
          <w:sz w:val="24"/>
          <w:szCs w:val="24"/>
          <w:highlight w:val="none"/>
        </w:rPr>
        <w:br w:type="page" w:clear="all"/>
      </w:r>
      <w:bookmarkStart w:id="178" w:name="_Toc228350089"/>
      <w:r>
        <w:rPr>
          <w:rFonts w:hint="eastAsia" w:ascii="宋体" w:hAnsi="宋体" w:cs="宋体"/>
          <w:b/>
          <w:color w:val="auto"/>
          <w:sz w:val="24"/>
          <w:szCs w:val="24"/>
          <w:highlight w:val="none"/>
          <w:lang w:val="zh-CN"/>
        </w:rPr>
        <w:t xml:space="preserve">附件十五、联合体协议</w:t>
      </w:r>
      <w:bookmarkEnd w:id="178"/>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参加（单位名称）采购编号为项目（采购包号：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，并指定（供应商名称）为牵头单位。</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供应商名称）实施项目中（工作内容）部分工作，并承担相应的责任；（供应商名称）实施项目中（工作内容）部分工作，并承担相应的责任；……。（注：需明确联合体中各供应商所承担的工作和相应的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ascii="宋体" w:hAnsi="宋体"/>
          <w:color w:val="auto"/>
          <w:sz w:val="24"/>
          <w:highlight w:val="none"/>
        </w:rPr>
      </w:pPr>
      <w:r>
        <w:rPr>
          <w:rFonts w:ascii="宋体" w:hAnsi="宋体"/>
          <w:color w:val="auto"/>
          <w:sz w:val="24"/>
          <w:highlight w:val="none"/>
        </w:rPr>
      </w:r>
      <w:r/>
    </w:p>
    <w:p>
      <w:pPr>
        <w:ind w:firstLine="645"/>
        <w:spacing w:line="360" w:lineRule="auto"/>
        <w:rPr>
          <w:rFonts w:ascii="宋体" w:hAnsi="宋体"/>
          <w:color w:val="auto"/>
          <w:sz w:val="24"/>
          <w:highlight w:val="none"/>
        </w:rPr>
      </w:pPr>
      <w:r>
        <w:rPr>
          <w:rFonts w:ascii="宋体" w:hAnsi="宋体"/>
          <w:color w:val="auto"/>
          <w:sz w:val="24"/>
          <w:highlight w:val="none"/>
        </w:rPr>
      </w:r>
      <w:r/>
    </w:p>
    <w:p>
      <w:pPr>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p>
    <w:p>
      <w:pPr>
        <w:ind w:firstLine="528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jc w:val="left"/>
        <w:spacing w:line="360" w:lineRule="auto"/>
        <w:widowControl/>
        <w:rPr>
          <w:rFonts w:ascii="宋体" w:hAnsi="宋体" w:cs="宋体"/>
          <w:b/>
          <w:color w:val="auto"/>
          <w:sz w:val="24"/>
          <w:szCs w:val="24"/>
          <w:highlight w:val="none"/>
          <w:lang w:val="zh-CN"/>
        </w:rPr>
        <w:outlineLvl w:val="1"/>
      </w:pPr>
      <w:r>
        <w:rPr>
          <w:color w:val="auto"/>
          <w:highlight w:val="none"/>
        </w:rPr>
        <w:br w:type="page" w:clear="all"/>
      </w:r>
      <w:bookmarkStart w:id="179" w:name="_Toc228350090"/>
      <w:r>
        <w:rPr>
          <w:rFonts w:hint="eastAsia" w:ascii="宋体" w:hAnsi="宋体" w:cs="宋体"/>
          <w:b/>
          <w:color w:val="auto"/>
          <w:sz w:val="24"/>
          <w:szCs w:val="24"/>
          <w:highlight w:val="none"/>
          <w:lang w:val="zh-CN"/>
        </w:rPr>
        <w:t xml:space="preserve">附件十六、关于符合本国产品标准的声明函</w:t>
      </w:r>
      <w:bookmarkEnd w:id="179"/>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关于符合本国产品标准的声明函（采购包号：</w:t>
      </w:r>
      <w:r>
        <w:rPr>
          <w:rFonts w:ascii="宋体" w:hAnsi="宋体" w:cs="宋体"/>
          <w:b/>
          <w:bCs/>
          <w:color w:val="auto"/>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 xml:space="preserve">2025</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宋体"/>
          <w:color w:val="auto"/>
          <w:sz w:val="24"/>
          <w:szCs w:val="24"/>
          <w:highlight w:val="none"/>
          <w:shd w:val="clear" w:color="auto" w:fill="ffffff"/>
          <w:lang w:val="zh-CN" w:bidi="zh-CN"/>
        </w:rPr>
        <w:t xml:space="preserve">34</w:t>
      </w:r>
      <w:r>
        <w:rPr>
          <w:rFonts w:hint="eastAsia" w:ascii="宋体" w:hAnsi="宋体" w:cs="微软雅黑"/>
          <w:color w:val="auto"/>
          <w:sz w:val="24"/>
          <w:szCs w:val="24"/>
          <w:highlight w:val="none"/>
          <w:shd w:val="clear" w:color="auto" w:fill="ffffff"/>
          <w:lang w:val="zh-CN" w:bidi="zh-CN"/>
        </w:rPr>
        <w:t xml:space="preserve">号）的规定，本公司（单位）提供的以下产品属于本国产品。具体情况如下：</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宋体"/>
          <w:i/>
          <w:color w:val="auto"/>
          <w:sz w:val="22"/>
          <w:szCs w:val="22"/>
          <w:highlight w:val="none"/>
          <w:shd w:val="clear" w:color="auto" w:fill="ffffff"/>
          <w:vertAlign w:val="superscript"/>
          <w:lang w:val="zh-CN" w:bidi="zh-CN"/>
        </w:rPr>
        <w:t xml:space="preserve">1</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宋体"/>
          <w:i/>
          <w:color w:val="auto"/>
          <w:sz w:val="22"/>
          <w:szCs w:val="22"/>
          <w:highlight w:val="none"/>
          <w:shd w:val="clear" w:color="auto" w:fill="ffffff"/>
          <w:vertAlign w:val="superscript"/>
          <w:lang w:val="zh-CN" w:bidi="zh-CN"/>
        </w:rPr>
        <w:t xml:space="preserve">2</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1</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的中国境内生产的组件成本占比</w:t>
      </w:r>
      <w:r>
        <w:rPr>
          <w:rFonts w:ascii="宋体" w:hAnsi="宋体" w:cs="宋体"/>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（规定比例）</w:t>
      </w:r>
      <w:r>
        <w:rPr>
          <w:rFonts w:hint="eastAsia" w:ascii="宋体" w:hAnsi="宋体" w:cs="宋体"/>
          <w:i/>
          <w:color w:val="auto"/>
          <w:sz w:val="22"/>
          <w:szCs w:val="22"/>
          <w:highlight w:val="none"/>
          <w:shd w:val="clear" w:color="auto" w:fill="ffffff"/>
          <w:vertAlign w:val="superscript"/>
          <w:lang w:val="zh-CN" w:bidi="zh-CN"/>
        </w:rPr>
        <w:t xml:space="preserve">3</w:t>
      </w:r>
      <w:r>
        <w:rPr>
          <w:rFonts w:hint="eastAsia" w:ascii="宋体" w:hAnsi="宋体" w:cs="微软雅黑"/>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1</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（关键组件）</w:t>
      </w:r>
      <w:r>
        <w:rPr>
          <w:rFonts w:hint="eastAsia" w:ascii="宋体" w:hAnsi="宋体" w:cs="宋体"/>
          <w:i/>
          <w:color w:val="auto"/>
          <w:sz w:val="22"/>
          <w:szCs w:val="22"/>
          <w:highlight w:val="none"/>
          <w:shd w:val="clear" w:color="auto" w:fill="ffffff"/>
          <w:vertAlign w:val="superscript"/>
          <w:lang w:val="zh-CN" w:bidi="zh-CN"/>
        </w:rPr>
        <w:t xml:space="preserve">4</w:t>
      </w:r>
      <w:r>
        <w:rPr>
          <w:rFonts w:hint="eastAsia" w:ascii="宋体" w:hAnsi="宋体" w:cs="微软雅黑"/>
          <w:strike/>
          <w:color w:val="auto"/>
          <w:sz w:val="24"/>
          <w:szCs w:val="24"/>
          <w:highlight w:val="none"/>
          <w:shd w:val="clear" w:color="auto" w:fill="ffffff"/>
          <w:lang w:val="zh-CN" w:bidi="zh-CN"/>
        </w:rPr>
        <w:t xml:space="preserve">在中国境内生产。</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1</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（关键工序）</w:t>
      </w:r>
      <w:r>
        <w:rPr>
          <w:rFonts w:hint="eastAsia" w:ascii="宋体" w:hAnsi="宋体" w:cs="宋体"/>
          <w:i/>
          <w:color w:val="auto"/>
          <w:sz w:val="22"/>
          <w:szCs w:val="22"/>
          <w:highlight w:val="none"/>
          <w:shd w:val="clear" w:color="auto" w:fill="ffffff"/>
          <w:vertAlign w:val="superscript"/>
          <w:lang w:val="zh-CN" w:bidi="zh-CN"/>
        </w:rPr>
        <w:t xml:space="preserve">5</w:t>
      </w:r>
      <w:r>
        <w:rPr>
          <w:rFonts w:hint="eastAsia" w:ascii="宋体" w:hAnsi="宋体" w:cs="微软雅黑"/>
          <w:strike/>
          <w:color w:val="auto"/>
          <w:sz w:val="24"/>
          <w:szCs w:val="24"/>
          <w:highlight w:val="none"/>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2</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的中国境内生产的组件成本占比</w:t>
      </w:r>
      <w:r>
        <w:rPr>
          <w:rFonts w:ascii="宋体" w:hAnsi="宋体" w:cs="宋体"/>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（规定比例）</w:t>
      </w:r>
      <w:r>
        <w:rPr>
          <w:rFonts w:hint="eastAsia" w:ascii="宋体" w:hAnsi="宋体" w:cs="微软雅黑"/>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2</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（关键组件）</w:t>
      </w:r>
      <w:r>
        <w:rPr>
          <w:rFonts w:hint="eastAsia" w:ascii="宋体" w:hAnsi="宋体" w:cs="微软雅黑"/>
          <w:strike/>
          <w:color w:val="auto"/>
          <w:sz w:val="24"/>
          <w:szCs w:val="24"/>
          <w:highlight w:val="none"/>
          <w:shd w:val="clear" w:color="auto" w:fill="ffffff"/>
          <w:lang w:val="zh-CN" w:bidi="zh-CN"/>
        </w:rPr>
        <w:t xml:space="preserve">在中国境内生产。</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2</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（关键工序）</w:t>
      </w:r>
      <w:r>
        <w:rPr>
          <w:rFonts w:hint="eastAsia" w:ascii="宋体" w:hAnsi="宋体" w:cs="微软雅黑"/>
          <w:strike/>
          <w:color w:val="auto"/>
          <w:sz w:val="24"/>
          <w:szCs w:val="24"/>
          <w:highlight w:val="none"/>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公司（单位）名称（盖章）：</w:t>
      </w:r>
      <w:r>
        <w:rPr>
          <w:rFonts w:hint="eastAsia" w:ascii="宋体" w:hAnsi="宋体" w:cs="宋体"/>
          <w:color w:val="auto"/>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 xml:space="preserve">日期：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年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月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1.</w:t>
      </w:r>
      <w:r>
        <w:rPr>
          <w:rFonts w:hint="eastAsia" w:ascii="宋体" w:hAnsi="宋体" w:cs="微软雅黑"/>
          <w:color w:val="auto"/>
          <w:szCs w:val="21"/>
          <w:highlight w:val="none"/>
          <w:shd w:val="clear" w:color="auto" w:fill="ffffff"/>
          <w:lang w:val="zh-CN" w:bidi="zh-CN"/>
        </w:rPr>
        <w:t xml:space="preserve">产品如有型号，请在</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产品名称</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2.</w:t>
      </w:r>
      <w:r>
        <w:rPr>
          <w:rFonts w:hint="eastAsia" w:ascii="宋体" w:hAnsi="宋体" w:cs="微软雅黑"/>
          <w:color w:val="auto"/>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 xml:space="preserve">3.</w:t>
      </w:r>
      <w:r>
        <w:rPr>
          <w:rFonts w:hint="eastAsia" w:ascii="宋体" w:hAnsi="宋体" w:cs="微软雅黑"/>
          <w:b/>
          <w:bCs/>
          <w:color w:val="auto"/>
          <w:szCs w:val="21"/>
          <w:highlight w:val="none"/>
          <w:shd w:val="clear" w:color="auto" w:fill="ffffff"/>
          <w:lang w:val="zh-CN" w:bidi="zh-CN"/>
        </w:rPr>
        <w:t xml:space="preserve">该产品的中国境内生产的组件成本占比相关要求实施前，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规定比例</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4.</w:t>
      </w:r>
      <w:r>
        <w:rPr>
          <w:rFonts w:hint="eastAsia" w:ascii="宋体" w:hAnsi="宋体" w:cs="微软雅黑"/>
          <w:b/>
          <w:bCs/>
          <w:color w:val="auto"/>
          <w:szCs w:val="21"/>
          <w:highlight w:val="none"/>
          <w:shd w:val="clear" w:color="auto" w:fill="ffffff"/>
          <w:lang w:val="zh-CN" w:bidi="zh-CN"/>
        </w:rPr>
        <w:t xml:space="preserve">该产品的关键组件要求实施前，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关键组件</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5.</w:t>
      </w:r>
      <w:r>
        <w:rPr>
          <w:rFonts w:hint="eastAsia" w:ascii="宋体" w:hAnsi="宋体" w:cs="微软雅黑"/>
          <w:b/>
          <w:bCs/>
          <w:color w:val="auto"/>
          <w:szCs w:val="21"/>
          <w:highlight w:val="none"/>
          <w:shd w:val="clear" w:color="auto" w:fill="ffffff"/>
          <w:lang w:val="zh-CN" w:bidi="zh-CN"/>
        </w:rPr>
        <w:t xml:space="preserve">该产品的关键工序要求实施前，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关键工序</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 xml:space="preserve">6.</w:t>
      </w:r>
      <w:r>
        <w:rPr>
          <w:rFonts w:hint="eastAsia" w:ascii="宋体" w:hAnsi="宋体" w:cs="微软雅黑"/>
          <w:color w:val="auto"/>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 xml:space="preserve">20%</w:t>
      </w:r>
      <w:r>
        <w:rPr>
          <w:rFonts w:hint="eastAsia" w:ascii="宋体" w:hAnsi="宋体" w:cs="微软雅黑"/>
          <w:color w:val="auto"/>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的，将不享受本国产品价格评审优惠。</w:t>
      </w:r>
      <w:r/>
    </w:p>
    <w:p>
      <w:pPr>
        <w:contextualSpacing/>
        <w:ind w:left="720"/>
        <w:jc w:val="left"/>
        <w:widowControl/>
        <w:rPr>
          <w:rFonts w:ascii="Arial" w:hAnsi="Arial" w:eastAsia="黑体"/>
          <w:color w:val="auto"/>
          <w:sz w:val="24"/>
          <w:szCs w:val="24"/>
          <w:highlight w:val="none"/>
        </w:rPr>
      </w:pPr>
      <w:r>
        <w:rPr>
          <w:rFonts w:ascii="Arial" w:hAnsi="Arial" w:eastAsia="黑体"/>
          <w:color w:val="auto"/>
          <w:sz w:val="24"/>
          <w:szCs w:val="24"/>
          <w:highlight w:val="none"/>
        </w:rPr>
      </w:r>
      <w:r/>
    </w:p>
    <w:p>
      <w:pPr>
        <w:pStyle w:val="680"/>
        <w:rPr>
          <w:color w:val="auto"/>
          <w:highlight w:val="none"/>
        </w:rPr>
      </w:pPr>
      <w:r>
        <w:rPr>
          <w:color w:val="auto"/>
          <w:highlight w:val="none"/>
        </w:rPr>
      </w:r>
      <w:r/>
    </w:p>
    <w:p>
      <w:pPr>
        <w:jc w:val="center"/>
        <w:rPr>
          <w:rFonts w:ascii="方正小标宋简体" w:hAnsi="方正小标宋简体" w:eastAsia="方正小标宋简体" w:cs="方正小标宋简体"/>
          <w:color w:val="auto"/>
          <w:sz w:val="32"/>
          <w:szCs w:val="32"/>
          <w:highlight w:val="none"/>
        </w:rPr>
      </w:pPr>
      <w:r>
        <w:rPr>
          <w:color w:val="auto"/>
          <w:highlight w:val="none"/>
        </w:rPr>
        <w:br w:type="page" w:clear="all"/>
      </w: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授权代表：联系电话：</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项目编号：采购包号：</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360" w:lineRule="auto"/>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ascii="宋体" w:hAnsi="宋体" w:cs="仿宋"/>
          <w:b/>
          <w:bCs/>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Arial Unicode MS">
    <w:panose1 w:val="020B0604020202020204"/>
  </w:font>
  <w:font w:name="Arial">
    <w:panose1 w:val="020B0604020202020204"/>
  </w:font>
  <w:font w:name="Verdana">
    <w:panose1 w:val="020B0604030504040204"/>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0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36"/>
      </w:rPr>
      <w:framePr w:wrap="around" w:vAnchor="text" w:hAnchor="margin" w:xAlign="center" w:y="1"/>
    </w:pPr>
    <w:r>
      <w:fldChar w:fldCharType="begin"/>
    </w:r>
    <w:r>
      <w:rPr>
        <w:rStyle w:val="736"/>
      </w:rPr>
      <w:instrText xml:space="preserve">PAGE  </w:instrText>
    </w:r>
    <w:r>
      <w:fldChar w:fldCharType="separate"/>
    </w:r>
    <w:r>
      <w:rPr>
        <w:rStyle w:val="736"/>
      </w:rPr>
      <w:t xml:space="preserve">1</w:t>
    </w:r>
    <w:r>
      <w:fldChar w:fldCharType="end"/>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0" w:firstLine="0"/>
      </w:pPr>
      <w:rPr>
        <w:rFonts w:hint="eastAsia"/>
      </w:rPr>
    </w:lvl>
    <w:lvl w:ilvl="1">
      <w:start w:val="0"/>
      <w:numFmt w:val="none"/>
      <w:pStyle w:val="1238"/>
      <w:isLgl w:val="false"/>
      <w:suff w:val="tab"/>
      <w:lvlText w:val=""/>
      <w:lvlJc w:val="left"/>
      <w:pPr>
        <w:tabs>
          <w:tab w:val="left" w:pos="360" w:leader="none"/>
        </w:tabs>
      </w:pPr>
    </w:lvl>
    <w:lvl w:ilvl="2">
      <w:start w:val="0"/>
      <w:numFmt w:val="none"/>
      <w:pStyle w:val="1239"/>
      <w:isLgl w:val="false"/>
      <w:suff w:val="tab"/>
      <w:lvlText w:val=""/>
      <w:lvlJc w:val="left"/>
      <w:pPr>
        <w:tabs>
          <w:tab w:val="left" w:pos="360" w:leader="none"/>
        </w:tabs>
      </w:pPr>
    </w:lvl>
    <w:lvl w:ilvl="3">
      <w:start w:val="0"/>
      <w:numFmt w:val="none"/>
      <w:pStyle w:val="1240"/>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1137"/>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62"/>
      <w:isLgl w:val="false"/>
      <w:suff w:val="tab"/>
      <w:lvlText w:val="%1"/>
      <w:lvlJc w:val="left"/>
      <w:pPr>
        <w:ind w:left="567" w:hanging="567"/>
        <w:tabs>
          <w:tab w:val="left" w:pos="567" w:leader="none"/>
        </w:tabs>
      </w:pPr>
      <w:rPr>
        <w:rFonts w:hint="eastAsia"/>
      </w:rPr>
    </w:lvl>
    <w:lvl w:ilvl="1">
      <w:start w:val="0"/>
      <w:numFmt w:val="none"/>
      <w:pStyle w:val="1123"/>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5">
    <w:multiLevelType w:val="hybridMultilevel"/>
    <w:lvl w:ilvl="0">
      <w:start w:val="1"/>
      <w:numFmt w:val="bullet"/>
      <w:pStyle w:val="1103"/>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1112"/>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3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5"/>
  </w:num>
  <w:num w:numId="3">
    <w:abstractNumId w:val="6"/>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uiPriority w:val="0"/>
    <w:qFormat/>
    <w:pPr>
      <w:jc w:val="both"/>
      <w:widowControl w:val="off"/>
    </w:pPr>
    <w:rPr>
      <w:rFonts w:ascii="Times New Roman" w:hAnsi="Times New Roman" w:eastAsia="宋体" w:cs="Times New Roman"/>
      <w:sz w:val="21"/>
      <w:lang w:val="en-US" w:eastAsia="zh-CN" w:bidi="ar-SA"/>
    </w:rPr>
  </w:style>
  <w:style w:type="paragraph" w:styleId="669">
    <w:name w:val="Heading 1"/>
    <w:basedOn w:val="668"/>
    <w:next w:val="668"/>
    <w:uiPriority w:val="9"/>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70">
    <w:name w:val="Heading 2"/>
    <w:basedOn w:val="668"/>
    <w:next w:val="668"/>
    <w:link w:val="751"/>
    <w:uiPriority w:val="9"/>
    <w:qFormat/>
    <w:pPr>
      <w:jc w:val="left"/>
      <w:keepLines/>
      <w:keepNext/>
      <w:spacing w:before="120" w:after="120"/>
      <w:outlineLvl w:val="1"/>
    </w:pPr>
    <w:rPr>
      <w:rFonts w:ascii="宋体" w:hAnsi="宋体"/>
      <w:b/>
      <w:szCs w:val="24"/>
    </w:rPr>
  </w:style>
  <w:style w:type="paragraph" w:styleId="671">
    <w:name w:val="Heading 3"/>
    <w:basedOn w:val="668"/>
    <w:next w:val="683"/>
    <w:link w:val="752"/>
    <w:uiPriority w:val="9"/>
    <w:qFormat/>
    <w:pPr>
      <w:keepLines/>
      <w:keepNext/>
      <w:spacing w:line="390" w:lineRule="atLeast"/>
      <w:shd w:val="clear" w:color="auto" w:fill="ffffff"/>
      <w:outlineLvl w:val="2"/>
    </w:pPr>
    <w:rPr>
      <w:rFonts w:ascii="宋体" w:hAnsi="宋体"/>
      <w:b/>
      <w:szCs w:val="21"/>
    </w:rPr>
  </w:style>
  <w:style w:type="paragraph" w:styleId="672">
    <w:name w:val="Heading 4"/>
    <w:basedOn w:val="668"/>
    <w:next w:val="668"/>
    <w:link w:val="753"/>
    <w:uiPriority w:val="9"/>
    <w:qFormat/>
    <w:pPr>
      <w:keepLines/>
      <w:keepNext/>
      <w:spacing w:before="120" w:after="120"/>
      <w:outlineLvl w:val="3"/>
    </w:pPr>
    <w:rPr>
      <w:rFonts w:ascii="Arial" w:hAnsi="Arial" w:eastAsia="黑体"/>
      <w:b/>
      <w:sz w:val="28"/>
    </w:rPr>
  </w:style>
  <w:style w:type="paragraph" w:styleId="673">
    <w:name w:val="Heading 5"/>
    <w:basedOn w:val="668"/>
    <w:next w:val="683"/>
    <w:link w:val="754"/>
    <w:uiPriority w:val="9"/>
    <w:qFormat/>
    <w:pPr>
      <w:keepNext/>
      <w:spacing w:before="145" w:after="145"/>
      <w:outlineLvl w:val="4"/>
    </w:pPr>
    <w:rPr>
      <w:rFonts w:ascii="黑体" w:eastAsia="黑体"/>
      <w:b/>
      <w:color w:val="000000"/>
      <w:sz w:val="28"/>
    </w:rPr>
  </w:style>
  <w:style w:type="paragraph" w:styleId="674">
    <w:name w:val="Heading 6"/>
    <w:basedOn w:val="668"/>
    <w:next w:val="668"/>
    <w:link w:val="755"/>
    <w:uiPriority w:val="9"/>
    <w:qFormat/>
    <w:pPr>
      <w:keepLines/>
      <w:keepNext/>
      <w:spacing w:before="240" w:after="64" w:line="320" w:lineRule="auto"/>
      <w:outlineLvl w:val="5"/>
    </w:pPr>
    <w:rPr>
      <w:rFonts w:ascii="Arial" w:hAnsi="Arial" w:eastAsia="黑体"/>
      <w:b/>
      <w:bCs/>
      <w:sz w:val="24"/>
      <w:szCs w:val="24"/>
    </w:rPr>
  </w:style>
  <w:style w:type="paragraph" w:styleId="675">
    <w:name w:val="Heading 7"/>
    <w:basedOn w:val="668"/>
    <w:next w:val="668"/>
    <w:link w:val="756"/>
    <w:uiPriority w:val="9"/>
    <w:qFormat/>
    <w:pPr>
      <w:keepLines/>
      <w:keepNext/>
      <w:spacing w:before="240" w:after="64" w:line="320" w:lineRule="auto"/>
      <w:outlineLvl w:val="6"/>
    </w:pPr>
    <w:rPr>
      <w:b/>
      <w:bCs/>
      <w:sz w:val="24"/>
      <w:szCs w:val="24"/>
    </w:rPr>
  </w:style>
  <w:style w:type="paragraph" w:styleId="676">
    <w:name w:val="Heading 8"/>
    <w:basedOn w:val="668"/>
    <w:next w:val="668"/>
    <w:link w:val="757"/>
    <w:uiPriority w:val="9"/>
    <w:qFormat/>
    <w:pPr>
      <w:keepLines/>
      <w:keepNext/>
      <w:spacing w:before="240" w:after="64" w:line="320" w:lineRule="auto"/>
      <w:outlineLvl w:val="7"/>
    </w:pPr>
    <w:rPr>
      <w:rFonts w:ascii="Arial" w:hAnsi="Arial" w:eastAsia="黑体"/>
      <w:sz w:val="24"/>
      <w:szCs w:val="24"/>
    </w:rPr>
  </w:style>
  <w:style w:type="paragraph" w:styleId="677">
    <w:name w:val="Heading 9"/>
    <w:basedOn w:val="668"/>
    <w:next w:val="668"/>
    <w:link w:val="758"/>
    <w:uiPriority w:val="9"/>
    <w:qFormat/>
    <w:pPr>
      <w:keepLines/>
      <w:keepNext/>
      <w:spacing w:before="240" w:after="64" w:line="320" w:lineRule="auto"/>
      <w:outlineLvl w:val="8"/>
    </w:pPr>
    <w:rPr>
      <w:rFonts w:ascii="Arial" w:hAnsi="Arial" w:eastAsia="黑体"/>
      <w:szCs w:val="21"/>
    </w:rPr>
  </w:style>
  <w:style w:type="character" w:styleId="678" w:default="1">
    <w:name w:val="Default Paragraph Font"/>
    <w:uiPriority w:val="1"/>
    <w:semiHidden/>
    <w:unhideWhenUsed/>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Body Text First Indent 2"/>
    <w:basedOn w:val="681"/>
    <w:next w:val="668"/>
    <w:link w:val="749"/>
    <w:uiPriority w:val="99"/>
    <w:qFormat/>
    <w:pPr>
      <w:ind w:firstLine="420"/>
    </w:pPr>
    <w:rPr>
      <w:rFonts w:ascii="Calibri" w:hAnsi="Calibri" w:cs="Calibri"/>
      <w:szCs w:val="24"/>
    </w:rPr>
  </w:style>
  <w:style w:type="paragraph" w:styleId="681">
    <w:name w:val="Body Text Indent"/>
    <w:basedOn w:val="668"/>
    <w:next w:val="682"/>
    <w:link w:val="748"/>
    <w:uiPriority w:val="0"/>
    <w:qFormat/>
    <w:pPr>
      <w:ind w:firstLine="645"/>
    </w:pPr>
    <w:rPr>
      <w:rFonts w:ascii="方正楷体_GB2312" w:eastAsia="方正楷体_GB2312"/>
      <w:sz w:val="32"/>
    </w:rPr>
  </w:style>
  <w:style w:type="paragraph" w:styleId="682">
    <w:name w:val="envelope return"/>
    <w:basedOn w:val="668"/>
    <w:uiPriority w:val="0"/>
    <w:qFormat/>
    <w:rPr>
      <w:rFonts w:ascii="Arial" w:hAnsi="Arial"/>
    </w:rPr>
  </w:style>
  <w:style w:type="paragraph" w:styleId="683">
    <w:name w:val="Normal Indent"/>
    <w:basedOn w:val="668"/>
    <w:uiPriority w:val="0"/>
    <w:qFormat/>
    <w:pPr>
      <w:ind w:firstLine="420"/>
    </w:pPr>
  </w:style>
  <w:style w:type="paragraph" w:styleId="684">
    <w:name w:val="List 3"/>
    <w:basedOn w:val="668"/>
    <w:uiPriority w:val="0"/>
    <w:qFormat/>
    <w:pPr>
      <w:ind w:left="1260" w:hanging="420"/>
    </w:pPr>
  </w:style>
  <w:style w:type="paragraph" w:styleId="685">
    <w:name w:val="toc 7"/>
    <w:basedOn w:val="668"/>
    <w:next w:val="668"/>
    <w:uiPriority w:val="39"/>
    <w:qFormat/>
    <w:pPr>
      <w:ind w:left="1260"/>
      <w:jc w:val="left"/>
    </w:pPr>
    <w:rPr>
      <w:sz w:val="18"/>
    </w:rPr>
  </w:style>
  <w:style w:type="paragraph" w:styleId="686">
    <w:name w:val="List Number 2"/>
    <w:basedOn w:val="668"/>
    <w:uiPriority w:val="0"/>
    <w:qFormat/>
    <w:pPr>
      <w:ind w:left="1440" w:hanging="1440"/>
      <w:spacing w:line="360" w:lineRule="auto"/>
      <w:tabs>
        <w:tab w:val="left" w:pos="1440" w:leader="none"/>
      </w:tabs>
    </w:pPr>
    <w:rPr>
      <w:sz w:val="24"/>
      <w:szCs w:val="24"/>
    </w:rPr>
  </w:style>
  <w:style w:type="paragraph" w:styleId="687">
    <w:name w:val="index 8"/>
    <w:basedOn w:val="668"/>
    <w:next w:val="668"/>
    <w:uiPriority w:val="0"/>
    <w:semiHidden/>
    <w:qFormat/>
    <w:pPr>
      <w:ind w:left="2940"/>
    </w:pPr>
  </w:style>
  <w:style w:type="paragraph" w:styleId="688">
    <w:name w:val="List Number"/>
    <w:basedOn w:val="668"/>
    <w:uiPriority w:val="0"/>
    <w:qFormat/>
    <w:pPr>
      <w:ind w:left="2952" w:hanging="432"/>
      <w:tabs>
        <w:tab w:val="left" w:pos="2952" w:leader="none"/>
      </w:tabs>
    </w:pPr>
    <w:rPr>
      <w:szCs w:val="24"/>
    </w:rPr>
  </w:style>
  <w:style w:type="paragraph" w:styleId="689">
    <w:name w:val="Caption"/>
    <w:basedOn w:val="668"/>
    <w:next w:val="668"/>
    <w:uiPriority w:val="35"/>
    <w:qFormat/>
    <w:pPr>
      <w:spacing w:line="276" w:lineRule="auto"/>
    </w:pPr>
    <w:rPr>
      <w:b/>
      <w:bCs/>
      <w:color w:val="4472c4"/>
      <w:sz w:val="18"/>
      <w:szCs w:val="18"/>
    </w:rPr>
  </w:style>
  <w:style w:type="paragraph" w:styleId="690">
    <w:name w:val="index 5"/>
    <w:basedOn w:val="668"/>
    <w:next w:val="668"/>
    <w:uiPriority w:val="0"/>
    <w:semiHidden/>
    <w:qFormat/>
    <w:pPr>
      <w:ind w:left="1680"/>
    </w:pPr>
  </w:style>
  <w:style w:type="paragraph" w:styleId="691">
    <w:name w:val="Document Map"/>
    <w:basedOn w:val="668"/>
    <w:link w:val="793"/>
    <w:uiPriority w:val="0"/>
    <w:semiHidden/>
    <w:qFormat/>
    <w:pPr>
      <w:shd w:val="clear" w:color="auto" w:fill="000080"/>
    </w:pPr>
  </w:style>
  <w:style w:type="paragraph" w:styleId="692">
    <w:name w:val="annotation text"/>
    <w:basedOn w:val="668"/>
    <w:link w:val="794"/>
    <w:uiPriority w:val="0"/>
    <w:qFormat/>
    <w:pPr>
      <w:jc w:val="left"/>
    </w:pPr>
  </w:style>
  <w:style w:type="paragraph" w:styleId="693">
    <w:name w:val="index 6"/>
    <w:basedOn w:val="668"/>
    <w:next w:val="668"/>
    <w:uiPriority w:val="0"/>
    <w:semiHidden/>
    <w:qFormat/>
    <w:pPr>
      <w:ind w:left="2100"/>
    </w:pPr>
  </w:style>
  <w:style w:type="paragraph" w:styleId="694">
    <w:name w:val="Salutation"/>
    <w:basedOn w:val="668"/>
    <w:next w:val="668"/>
    <w:uiPriority w:val="0"/>
    <w:qFormat/>
    <w:rPr>
      <w:rFonts w:ascii="方正仿宋_GB2312" w:eastAsia="方正仿宋_GB2312"/>
      <w:sz w:val="28"/>
    </w:rPr>
  </w:style>
  <w:style w:type="paragraph" w:styleId="695">
    <w:name w:val="Body Text 3"/>
    <w:basedOn w:val="668"/>
    <w:uiPriority w:val="0"/>
    <w:qFormat/>
    <w:rPr>
      <w:rFonts w:ascii="方正仿宋_GB2312" w:hAnsi="Arial" w:eastAsia="方正仿宋_GB2312"/>
      <w:sz w:val="32"/>
    </w:rPr>
  </w:style>
  <w:style w:type="paragraph" w:styleId="696">
    <w:name w:val="Body Text"/>
    <w:basedOn w:val="668"/>
    <w:next w:val="668"/>
    <w:uiPriority w:val="0"/>
    <w:qFormat/>
    <w:rPr>
      <w:rFonts w:ascii="方正楷体_GB2312" w:hAnsi="Arial" w:eastAsia="方正楷体_GB2312"/>
      <w:sz w:val="28"/>
    </w:rPr>
  </w:style>
  <w:style w:type="paragraph" w:styleId="697">
    <w:name w:val="Block Text"/>
    <w:basedOn w:val="668"/>
    <w:uiPriority w:val="99"/>
    <w:unhideWhenUsed/>
    <w:qFormat/>
    <w:pPr>
      <w:ind w:left="1440" w:right="1440"/>
      <w:spacing w:after="120"/>
    </w:pPr>
  </w:style>
  <w:style w:type="paragraph" w:styleId="698">
    <w:name w:val="index 4"/>
    <w:basedOn w:val="668"/>
    <w:next w:val="668"/>
    <w:uiPriority w:val="0"/>
    <w:semiHidden/>
    <w:qFormat/>
    <w:pPr>
      <w:ind w:left="1260"/>
    </w:pPr>
  </w:style>
  <w:style w:type="paragraph" w:styleId="699">
    <w:name w:val="toc 5"/>
    <w:basedOn w:val="668"/>
    <w:next w:val="668"/>
    <w:uiPriority w:val="39"/>
    <w:qFormat/>
    <w:pPr>
      <w:ind w:left="840"/>
      <w:jc w:val="left"/>
    </w:pPr>
    <w:rPr>
      <w:sz w:val="18"/>
    </w:rPr>
  </w:style>
  <w:style w:type="paragraph" w:styleId="700">
    <w:name w:val="toc 3"/>
    <w:basedOn w:val="668"/>
    <w:next w:val="668"/>
    <w:uiPriority w:val="39"/>
    <w:qFormat/>
    <w:pPr>
      <w:ind w:left="420"/>
      <w:jc w:val="left"/>
    </w:pPr>
    <w:rPr>
      <w:i/>
      <w:sz w:val="20"/>
    </w:rPr>
  </w:style>
  <w:style w:type="paragraph" w:styleId="701">
    <w:name w:val="Plain Text"/>
    <w:basedOn w:val="668"/>
    <w:next w:val="668"/>
    <w:link w:val="795"/>
    <w:uiPriority w:val="0"/>
    <w:qFormat/>
    <w:rPr>
      <w:rFonts w:ascii="宋体" w:hAnsi="Courier New"/>
    </w:rPr>
  </w:style>
  <w:style w:type="paragraph" w:styleId="702">
    <w:name w:val="toc 8"/>
    <w:basedOn w:val="668"/>
    <w:next w:val="668"/>
    <w:uiPriority w:val="39"/>
    <w:qFormat/>
    <w:pPr>
      <w:ind w:left="1470"/>
      <w:jc w:val="left"/>
    </w:pPr>
    <w:rPr>
      <w:sz w:val="18"/>
    </w:rPr>
  </w:style>
  <w:style w:type="paragraph" w:styleId="703">
    <w:name w:val="index 3"/>
    <w:basedOn w:val="668"/>
    <w:next w:val="668"/>
    <w:uiPriority w:val="0"/>
    <w:semiHidden/>
    <w:qFormat/>
    <w:pPr>
      <w:ind w:left="840"/>
    </w:pPr>
  </w:style>
  <w:style w:type="paragraph" w:styleId="704">
    <w:name w:val="Date"/>
    <w:basedOn w:val="668"/>
    <w:next w:val="668"/>
    <w:uiPriority w:val="0"/>
    <w:qFormat/>
    <w:pPr>
      <w:ind w:left="100"/>
    </w:pPr>
    <w:rPr>
      <w:sz w:val="28"/>
    </w:rPr>
  </w:style>
  <w:style w:type="paragraph" w:styleId="705">
    <w:name w:val="Body Text Indent 2"/>
    <w:basedOn w:val="668"/>
    <w:next w:val="668"/>
    <w:link w:val="796"/>
    <w:uiPriority w:val="0"/>
    <w:qFormat/>
    <w:pPr>
      <w:ind w:left="630" w:firstLine="645"/>
    </w:pPr>
    <w:rPr>
      <w:rFonts w:ascii="Arial" w:hAnsi="Arial" w:eastAsia="方正仿宋_GB2312"/>
      <w:sz w:val="32"/>
    </w:rPr>
  </w:style>
  <w:style w:type="paragraph" w:styleId="706">
    <w:name w:val="endnote text"/>
    <w:basedOn w:val="668"/>
    <w:link w:val="792"/>
    <w:uiPriority w:val="99"/>
    <w:qFormat/>
    <w:pPr>
      <w:jc w:val="left"/>
    </w:pPr>
    <w:rPr>
      <w:sz w:val="20"/>
      <w:szCs w:val="24"/>
    </w:rPr>
  </w:style>
  <w:style w:type="paragraph" w:styleId="707">
    <w:name w:val="Balloon Text"/>
    <w:basedOn w:val="668"/>
    <w:uiPriority w:val="0"/>
    <w:semiHidden/>
    <w:qFormat/>
    <w:rPr>
      <w:sz w:val="18"/>
      <w:szCs w:val="18"/>
    </w:rPr>
  </w:style>
  <w:style w:type="paragraph" w:styleId="708">
    <w:name w:val="Footer"/>
    <w:basedOn w:val="668"/>
    <w:link w:val="797"/>
    <w:uiPriority w:val="99"/>
    <w:qFormat/>
    <w:pPr>
      <w:jc w:val="left"/>
      <w:tabs>
        <w:tab w:val="center" w:pos="4153" w:leader="none"/>
        <w:tab w:val="right" w:pos="8306" w:leader="none"/>
      </w:tabs>
    </w:pPr>
    <w:rPr>
      <w:sz w:val="18"/>
    </w:rPr>
  </w:style>
  <w:style w:type="paragraph" w:styleId="709">
    <w:name w:val="Header"/>
    <w:basedOn w:val="668"/>
    <w:uiPriority w:val="99"/>
    <w:qFormat/>
    <w:pPr>
      <w:jc w:val="center"/>
      <w:tabs>
        <w:tab w:val="center" w:pos="4153" w:leader="none"/>
        <w:tab w:val="right" w:pos="8306" w:leader="none"/>
      </w:tabs>
      <w:pBdr>
        <w:bottom w:val="single" w:color="000000" w:sz="6" w:space="1"/>
      </w:pBdr>
    </w:pPr>
    <w:rPr>
      <w:sz w:val="18"/>
    </w:rPr>
  </w:style>
  <w:style w:type="paragraph" w:styleId="710">
    <w:name w:val="Signature"/>
    <w:basedOn w:val="668"/>
    <w:uiPriority w:val="0"/>
    <w:qFormat/>
    <w:pPr>
      <w:jc w:val="center"/>
      <w:spacing w:after="600" w:line="312" w:lineRule="atLeast"/>
    </w:pPr>
    <w:rPr>
      <w:rFonts w:eastAsia="方正仿宋_GB2312"/>
      <w:sz w:val="24"/>
    </w:rPr>
  </w:style>
  <w:style w:type="paragraph" w:styleId="711">
    <w:name w:val="toc 1"/>
    <w:basedOn w:val="668"/>
    <w:next w:val="668"/>
    <w:uiPriority w:val="39"/>
    <w:qFormat/>
    <w:pPr>
      <w:jc w:val="left"/>
      <w:spacing w:before="120" w:after="120"/>
    </w:pPr>
    <w:rPr>
      <w:b/>
      <w:caps/>
      <w:sz w:val="20"/>
    </w:rPr>
  </w:style>
  <w:style w:type="paragraph" w:styleId="712">
    <w:name w:val="toc 4"/>
    <w:basedOn w:val="668"/>
    <w:next w:val="668"/>
    <w:uiPriority w:val="39"/>
    <w:qFormat/>
    <w:pPr>
      <w:ind w:left="630"/>
      <w:jc w:val="left"/>
    </w:pPr>
    <w:rPr>
      <w:sz w:val="18"/>
    </w:rPr>
  </w:style>
  <w:style w:type="paragraph" w:styleId="713">
    <w:name w:val="index heading"/>
    <w:basedOn w:val="668"/>
    <w:next w:val="714"/>
    <w:uiPriority w:val="0"/>
    <w:semiHidden/>
    <w:qFormat/>
  </w:style>
  <w:style w:type="paragraph" w:styleId="714">
    <w:name w:val="index 1"/>
    <w:basedOn w:val="668"/>
    <w:next w:val="668"/>
    <w:uiPriority w:val="0"/>
    <w:semiHidden/>
    <w:qFormat/>
    <w:rPr>
      <w:rFonts w:ascii="方正仿宋_GB2312" w:hAnsi="宋体" w:eastAsia="方正仿宋_GB2312"/>
      <w:sz w:val="30"/>
      <w:szCs w:val="24"/>
    </w:rPr>
  </w:style>
  <w:style w:type="paragraph" w:styleId="715">
    <w:name w:val="Subtitle"/>
    <w:basedOn w:val="668"/>
    <w:next w:val="668"/>
    <w:link w:val="781"/>
    <w:uiPriority w:val="11"/>
    <w:qFormat/>
    <w:pPr>
      <w:jc w:val="left"/>
      <w:spacing w:after="600" w:line="276" w:lineRule="auto"/>
      <w:widowControl/>
    </w:pPr>
    <w:rPr>
      <w:rFonts w:ascii="Cambria" w:hAnsi="Cambria"/>
      <w:i/>
      <w:iCs/>
      <w:spacing w:val="13"/>
      <w:sz w:val="24"/>
      <w:szCs w:val="24"/>
      <w:lang w:eastAsia="en-US" w:bidi="en-US"/>
    </w:rPr>
  </w:style>
  <w:style w:type="paragraph" w:styleId="716">
    <w:name w:val="List"/>
    <w:basedOn w:val="668"/>
    <w:uiPriority w:val="0"/>
    <w:qFormat/>
    <w:pPr>
      <w:contextualSpacing/>
      <w:ind w:left="200" w:hanging="200"/>
    </w:pPr>
  </w:style>
  <w:style w:type="paragraph" w:styleId="717">
    <w:name w:val="footnote text"/>
    <w:basedOn w:val="668"/>
    <w:link w:val="791"/>
    <w:uiPriority w:val="99"/>
    <w:qFormat/>
    <w:pPr>
      <w:jc w:val="left"/>
    </w:pPr>
    <w:rPr>
      <w:sz w:val="18"/>
      <w:szCs w:val="18"/>
    </w:rPr>
  </w:style>
  <w:style w:type="paragraph" w:styleId="718">
    <w:name w:val="toc 6"/>
    <w:basedOn w:val="668"/>
    <w:next w:val="668"/>
    <w:uiPriority w:val="39"/>
    <w:qFormat/>
    <w:pPr>
      <w:ind w:left="1050"/>
      <w:jc w:val="left"/>
    </w:pPr>
    <w:rPr>
      <w:sz w:val="18"/>
    </w:rPr>
  </w:style>
  <w:style w:type="paragraph" w:styleId="719">
    <w:name w:val="Body Text Indent 3"/>
    <w:basedOn w:val="668"/>
    <w:link w:val="798"/>
    <w:uiPriority w:val="0"/>
    <w:qFormat/>
    <w:pPr>
      <w:ind w:left="645" w:firstLine="645"/>
    </w:pPr>
    <w:rPr>
      <w:rFonts w:ascii="Arial" w:hAnsi="Arial" w:eastAsia="方正仿宋_GB2312"/>
      <w:color w:val="ffff00"/>
      <w:sz w:val="32"/>
    </w:rPr>
  </w:style>
  <w:style w:type="paragraph" w:styleId="720">
    <w:name w:val="index 7"/>
    <w:basedOn w:val="668"/>
    <w:next w:val="668"/>
    <w:uiPriority w:val="0"/>
    <w:semiHidden/>
    <w:qFormat/>
    <w:pPr>
      <w:ind w:left="2520"/>
    </w:pPr>
  </w:style>
  <w:style w:type="paragraph" w:styleId="721">
    <w:name w:val="index 9"/>
    <w:basedOn w:val="668"/>
    <w:next w:val="668"/>
    <w:uiPriority w:val="0"/>
    <w:semiHidden/>
    <w:qFormat/>
    <w:pPr>
      <w:ind w:left="3360"/>
    </w:pPr>
  </w:style>
  <w:style w:type="paragraph" w:styleId="722">
    <w:name w:val="table of figures"/>
    <w:basedOn w:val="668"/>
    <w:next w:val="668"/>
    <w:uiPriority w:val="99"/>
    <w:qFormat/>
    <w:pPr>
      <w:ind w:left="840" w:hanging="420"/>
    </w:pPr>
  </w:style>
  <w:style w:type="paragraph" w:styleId="723">
    <w:name w:val="toc 2"/>
    <w:basedOn w:val="668"/>
    <w:next w:val="668"/>
    <w:uiPriority w:val="39"/>
    <w:qFormat/>
    <w:pPr>
      <w:ind w:left="210"/>
      <w:jc w:val="left"/>
    </w:pPr>
    <w:rPr>
      <w:smallCaps/>
      <w:sz w:val="20"/>
    </w:rPr>
  </w:style>
  <w:style w:type="paragraph" w:styleId="724">
    <w:name w:val="toc 9"/>
    <w:basedOn w:val="668"/>
    <w:next w:val="668"/>
    <w:uiPriority w:val="39"/>
    <w:qFormat/>
    <w:pPr>
      <w:ind w:left="1680"/>
      <w:jc w:val="left"/>
    </w:pPr>
    <w:rPr>
      <w:sz w:val="18"/>
    </w:rPr>
  </w:style>
  <w:style w:type="paragraph" w:styleId="725">
    <w:name w:val="Body Text 2"/>
    <w:basedOn w:val="668"/>
    <w:uiPriority w:val="0"/>
    <w:qFormat/>
    <w:pPr>
      <w:jc w:val="center"/>
      <w:widowControl/>
    </w:pPr>
    <w:rPr>
      <w:rFonts w:ascii="方正楷体_GB2312" w:eastAsia="方正楷体_GB2312"/>
      <w:sz w:val="28"/>
    </w:rPr>
  </w:style>
  <w:style w:type="paragraph" w:styleId="726">
    <w:name w:val="Message Header"/>
    <w:basedOn w:val="66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27">
    <w:name w:val="HTML Preformatted"/>
    <w:basedOn w:val="668"/>
    <w:link w:val="7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28">
    <w:name w:val="Normal (Web)"/>
    <w:basedOn w:val="668"/>
    <w:uiPriority w:val="0"/>
    <w:qFormat/>
    <w:pPr>
      <w:jc w:val="left"/>
      <w:spacing w:before="100" w:beforeAutospacing="1" w:after="100" w:afterAutospacing="1"/>
      <w:widowControl/>
    </w:pPr>
    <w:rPr>
      <w:rFonts w:ascii="Arial" w:hAnsi="Arial" w:eastAsia="Arial Unicode MS" w:cs="Arial"/>
      <w:sz w:val="24"/>
      <w:szCs w:val="24"/>
    </w:rPr>
  </w:style>
  <w:style w:type="paragraph" w:styleId="729">
    <w:name w:val="index 2"/>
    <w:basedOn w:val="668"/>
    <w:next w:val="668"/>
    <w:uiPriority w:val="0"/>
    <w:semiHidden/>
    <w:qFormat/>
    <w:pPr>
      <w:ind w:left="420"/>
    </w:pPr>
  </w:style>
  <w:style w:type="paragraph" w:styleId="730">
    <w:name w:val="Title"/>
    <w:basedOn w:val="668"/>
    <w:link w:val="807"/>
    <w:uiPriority w:val="10"/>
    <w:qFormat/>
    <w:pPr>
      <w:jc w:val="center"/>
      <w:spacing w:line="420" w:lineRule="exact"/>
      <w:widowControl/>
    </w:pPr>
    <w:rPr>
      <w:rFonts w:eastAsia="黑体"/>
      <w:b/>
      <w:sz w:val="28"/>
      <w:lang w:val="en-GB"/>
    </w:rPr>
  </w:style>
  <w:style w:type="paragraph" w:styleId="731">
    <w:name w:val="annotation subject"/>
    <w:basedOn w:val="692"/>
    <w:next w:val="692"/>
    <w:link w:val="800"/>
    <w:uiPriority w:val="0"/>
    <w:semiHidden/>
    <w:qFormat/>
    <w:rPr>
      <w:b/>
      <w:bCs/>
    </w:rPr>
  </w:style>
  <w:style w:type="paragraph" w:styleId="732">
    <w:name w:val="Body Text First Indent"/>
    <w:basedOn w:val="696"/>
    <w:next w:val="716"/>
    <w:uiPriority w:val="0"/>
    <w:qFormat/>
    <w:pPr>
      <w:ind w:firstLine="420"/>
      <w:spacing w:after="120"/>
    </w:pPr>
    <w:rPr>
      <w:rFonts w:ascii="Times New Roman" w:hAnsi="Times New Roman" w:eastAsia="宋体"/>
      <w:sz w:val="21"/>
      <w:szCs w:val="24"/>
    </w:rPr>
  </w:style>
  <w:style w:type="table" w:styleId="733">
    <w:name w:val="Table Grid"/>
    <w:basedOn w:val="679"/>
    <w:uiPriority w:val="59"/>
    <w:qFormat/>
    <w:pPr>
      <w:jc w:val="both"/>
      <w:widowControl w:val="off"/>
    </w:pPr>
    <w:tblPr>
      <w:tblCellMar>
        <w:left w:w="108" w:type="dxa"/>
        <w:top w:w="0" w:type="dxa"/>
        <w:right w:w="108" w:type="dxa"/>
        <w:bottom w:w="0" w:type="dxa"/>
      </w:tblCellMar>
    </w:tblPr>
  </w:style>
  <w:style w:type="character" w:styleId="734">
    <w:name w:val="Strong"/>
    <w:uiPriority w:val="0"/>
    <w:qFormat/>
    <w:rPr>
      <w:b/>
      <w:bCs/>
    </w:rPr>
  </w:style>
  <w:style w:type="character" w:styleId="735">
    <w:name w:val="endnote reference"/>
    <w:uiPriority w:val="99"/>
    <w:qFormat/>
    <w:rPr>
      <w:vertAlign w:val="superscript"/>
    </w:rPr>
  </w:style>
  <w:style w:type="character" w:styleId="736">
    <w:name w:val="page number"/>
    <w:uiPriority w:val="0"/>
    <w:qFormat/>
  </w:style>
  <w:style w:type="character" w:styleId="737">
    <w:name w:val="FollowedHyperlink"/>
    <w:uiPriority w:val="99"/>
    <w:qFormat/>
    <w:rPr>
      <w:color w:val="000000"/>
      <w:u w:val="none"/>
    </w:rPr>
  </w:style>
  <w:style w:type="character" w:styleId="738">
    <w:name w:val="Emphasis"/>
    <w:uiPriority w:val="0"/>
    <w:qFormat/>
    <w:rPr>
      <w:b/>
      <w:bCs/>
      <w:i/>
      <w:iCs/>
      <w:spacing w:val="10"/>
      <w:shd w:val="clear" w:color="auto" w:fill="auto"/>
    </w:rPr>
  </w:style>
  <w:style w:type="character" w:styleId="739">
    <w:name w:val="line number"/>
    <w:uiPriority w:val="0"/>
    <w:qFormat/>
  </w:style>
  <w:style w:type="character" w:styleId="740">
    <w:name w:val="HTML Typewriter"/>
    <w:uiPriority w:val="0"/>
    <w:qFormat/>
    <w:rPr>
      <w:rFonts w:ascii="宋体" w:hAnsi="宋体" w:eastAsia="宋体" w:cs="宋体"/>
      <w:sz w:val="24"/>
      <w:szCs w:val="24"/>
    </w:rPr>
  </w:style>
  <w:style w:type="character" w:styleId="741">
    <w:name w:val="HTML Acronym"/>
    <w:uiPriority w:val="0"/>
    <w:qFormat/>
  </w:style>
  <w:style w:type="character" w:styleId="742">
    <w:name w:val="Hyperlink"/>
    <w:uiPriority w:val="99"/>
    <w:qFormat/>
    <w:rPr>
      <w:color w:val="000000"/>
      <w:u w:val="none"/>
    </w:rPr>
  </w:style>
  <w:style w:type="character" w:styleId="743">
    <w:name w:val="HTML Code"/>
    <w:uiPriority w:val="0"/>
    <w:qFormat/>
    <w:rPr>
      <w:rFonts w:ascii="Courier New" w:hAnsi="Courier New"/>
      <w:sz w:val="20"/>
    </w:rPr>
  </w:style>
  <w:style w:type="character" w:styleId="744">
    <w:name w:val="annotation reference"/>
    <w:uiPriority w:val="0"/>
    <w:qFormat/>
    <w:rPr>
      <w:sz w:val="21"/>
    </w:rPr>
  </w:style>
  <w:style w:type="character" w:styleId="745">
    <w:name w:val="footnote reference"/>
    <w:uiPriority w:val="99"/>
    <w:qFormat/>
    <w:rPr>
      <w:vertAlign w:val="superscript"/>
    </w:rPr>
  </w:style>
  <w:style w:type="character" w:styleId="746">
    <w:name w:val="HTML Keyboard"/>
    <w:uiPriority w:val="0"/>
    <w:qFormat/>
    <w:rPr>
      <w:rFonts w:ascii="DejaVu Math TeX Gyre" w:hAnsi="DejaVu Math TeX Gyre" w:eastAsia="DejaVu Math TeX Gyre" w:cs="DejaVu Math TeX Gyre"/>
      <w:sz w:val="20"/>
    </w:rPr>
  </w:style>
  <w:style w:type="character" w:styleId="747">
    <w:name w:val="HTML Sample"/>
    <w:uiPriority w:val="0"/>
    <w:qFormat/>
    <w:rPr>
      <w:rFonts w:ascii="Courier New" w:hAnsi="宋体" w:eastAsia="宋体" w:cs="Courier New"/>
    </w:rPr>
  </w:style>
  <w:style w:type="character" w:styleId="748" w:customStyle="1">
    <w:name w:val="正文文本缩进 Char1"/>
    <w:link w:val="681"/>
    <w:uiPriority w:val="0"/>
    <w:qFormat/>
    <w:rPr>
      <w:rFonts w:ascii="方正楷体_GB2312" w:eastAsia="方正楷体_GB2312"/>
      <w:sz w:val="32"/>
      <w:lang w:val="en-US" w:eastAsia="zh-CN" w:bidi="ar-SA"/>
    </w:rPr>
  </w:style>
  <w:style w:type="character" w:styleId="749" w:customStyle="1">
    <w:name w:val="正文首行缩进 2 Char"/>
    <w:basedOn w:val="750"/>
    <w:link w:val="680"/>
    <w:uiPriority w:val="99"/>
    <w:rPr>
      <w:rFonts w:ascii="Calibri" w:hAnsi="Calibri" w:eastAsia="方正楷体_GB2312" w:cs="Calibri"/>
      <w:sz w:val="32"/>
      <w:szCs w:val="24"/>
    </w:rPr>
  </w:style>
  <w:style w:type="character" w:styleId="750" w:customStyle="1">
    <w:name w:val="正文文本缩进 Char"/>
    <w:basedOn w:val="678"/>
    <w:uiPriority w:val="99"/>
    <w:semiHidden/>
    <w:rPr>
      <w:sz w:val="21"/>
    </w:rPr>
  </w:style>
  <w:style w:type="character" w:styleId="751" w:customStyle="1">
    <w:name w:val="标题 2 Char"/>
    <w:link w:val="670"/>
    <w:uiPriority w:val="0"/>
    <w:qFormat/>
    <w:rPr>
      <w:rFonts w:ascii="宋体" w:hAnsi="宋体" w:eastAsia="宋体"/>
      <w:b/>
      <w:sz w:val="21"/>
      <w:szCs w:val="24"/>
      <w:lang w:val="en-US" w:eastAsia="zh-CN" w:bidi="ar-SA"/>
    </w:rPr>
  </w:style>
  <w:style w:type="character" w:styleId="752" w:customStyle="1">
    <w:name w:val="标题 3 Char1"/>
    <w:link w:val="671"/>
    <w:uiPriority w:val="0"/>
    <w:qFormat/>
    <w:rPr>
      <w:rFonts w:ascii="宋体" w:hAnsi="宋体" w:eastAsia="宋体"/>
      <w:b/>
      <w:sz w:val="21"/>
      <w:szCs w:val="21"/>
      <w:shd w:val="clear" w:color="auto" w:fill="ffffff"/>
    </w:rPr>
  </w:style>
  <w:style w:type="character" w:styleId="753" w:customStyle="1">
    <w:name w:val="标题 4 Char"/>
    <w:link w:val="672"/>
    <w:uiPriority w:val="0"/>
    <w:qFormat/>
    <w:rPr>
      <w:rFonts w:ascii="Arial" w:hAnsi="Arial" w:eastAsia="黑体"/>
      <w:b/>
      <w:sz w:val="28"/>
      <w:lang w:val="en-US" w:eastAsia="zh-CN" w:bidi="ar-SA"/>
    </w:rPr>
  </w:style>
  <w:style w:type="character" w:styleId="754" w:customStyle="1">
    <w:name w:val="标题 5 Char"/>
    <w:link w:val="673"/>
    <w:uiPriority w:val="0"/>
    <w:qFormat/>
    <w:rPr>
      <w:rFonts w:ascii="黑体" w:eastAsia="黑体"/>
      <w:b/>
      <w:color w:val="000000"/>
      <w:sz w:val="28"/>
      <w:lang w:val="en-US" w:eastAsia="zh-CN" w:bidi="ar-SA"/>
    </w:rPr>
  </w:style>
  <w:style w:type="character" w:styleId="755" w:customStyle="1">
    <w:name w:val="标题 6 Char"/>
    <w:link w:val="674"/>
    <w:uiPriority w:val="0"/>
    <w:qFormat/>
    <w:rPr>
      <w:rFonts w:ascii="Arial" w:hAnsi="Arial" w:eastAsia="黑体"/>
      <w:b/>
      <w:bCs/>
      <w:sz w:val="24"/>
      <w:szCs w:val="24"/>
      <w:lang w:val="en-US" w:eastAsia="zh-CN" w:bidi="ar-SA"/>
    </w:rPr>
  </w:style>
  <w:style w:type="character" w:styleId="756" w:customStyle="1">
    <w:name w:val="标题 7 Char"/>
    <w:link w:val="675"/>
    <w:uiPriority w:val="0"/>
    <w:qFormat/>
    <w:rPr>
      <w:rFonts w:eastAsia="宋体"/>
      <w:b/>
      <w:bCs/>
      <w:sz w:val="24"/>
      <w:szCs w:val="24"/>
      <w:lang w:val="en-US" w:eastAsia="zh-CN" w:bidi="ar-SA"/>
    </w:rPr>
  </w:style>
  <w:style w:type="character" w:styleId="757" w:customStyle="1">
    <w:name w:val="标题 8 Char"/>
    <w:link w:val="676"/>
    <w:uiPriority w:val="0"/>
    <w:qFormat/>
    <w:rPr>
      <w:rFonts w:ascii="Arial" w:hAnsi="Arial" w:eastAsia="黑体"/>
      <w:sz w:val="24"/>
      <w:szCs w:val="24"/>
      <w:lang w:val="en-US" w:eastAsia="zh-CN" w:bidi="ar-SA"/>
    </w:rPr>
  </w:style>
  <w:style w:type="character" w:styleId="758" w:customStyle="1">
    <w:name w:val="标题 9 Char"/>
    <w:link w:val="677"/>
    <w:uiPriority w:val="0"/>
    <w:qFormat/>
    <w:rPr>
      <w:rFonts w:ascii="Arial" w:hAnsi="Arial" w:eastAsia="黑体"/>
      <w:sz w:val="21"/>
      <w:szCs w:val="21"/>
      <w:lang w:val="en-US" w:eastAsia="zh-CN" w:bidi="ar-SA"/>
    </w:rPr>
  </w:style>
  <w:style w:type="paragraph" w:styleId="759" w:customStyle="1">
    <w:name w:val="Heading 1"/>
    <w:basedOn w:val="668"/>
    <w:next w:val="668"/>
    <w:link w:val="760"/>
    <w:uiPriority w:val="9"/>
    <w:qFormat/>
    <w:pPr>
      <w:keepLines/>
      <w:keepNext/>
      <w:spacing w:before="480" w:after="200"/>
      <w:outlineLvl w:val="0"/>
    </w:pPr>
    <w:rPr>
      <w:rFonts w:ascii="Arial" w:hAnsi="Arial" w:eastAsia="Arial" w:cs="Arial"/>
      <w:sz w:val="40"/>
      <w:szCs w:val="40"/>
    </w:rPr>
  </w:style>
  <w:style w:type="character" w:styleId="760" w:customStyle="1">
    <w:name w:val="Heading 1 Char"/>
    <w:link w:val="759"/>
    <w:uiPriority w:val="9"/>
    <w:qFormat/>
    <w:rPr>
      <w:rFonts w:ascii="Arial" w:hAnsi="Arial" w:eastAsia="Arial" w:cs="Arial"/>
      <w:sz w:val="40"/>
      <w:szCs w:val="40"/>
    </w:rPr>
  </w:style>
  <w:style w:type="paragraph" w:styleId="761" w:customStyle="1">
    <w:name w:val="Heading 2"/>
    <w:basedOn w:val="668"/>
    <w:next w:val="668"/>
    <w:link w:val="762"/>
    <w:uiPriority w:val="9"/>
    <w:unhideWhenUsed/>
    <w:qFormat/>
    <w:pPr>
      <w:keepLines/>
      <w:keepNext/>
      <w:spacing w:before="360" w:after="200"/>
      <w:outlineLvl w:val="1"/>
    </w:pPr>
    <w:rPr>
      <w:rFonts w:ascii="Arial" w:hAnsi="Arial" w:eastAsia="Arial" w:cs="Arial"/>
      <w:sz w:val="34"/>
    </w:rPr>
  </w:style>
  <w:style w:type="character" w:styleId="762" w:customStyle="1">
    <w:name w:val="Heading 2 Char"/>
    <w:link w:val="761"/>
    <w:uiPriority w:val="9"/>
    <w:qFormat/>
    <w:rPr>
      <w:rFonts w:ascii="Arial" w:hAnsi="Arial" w:eastAsia="Arial" w:cs="Arial"/>
      <w:sz w:val="34"/>
    </w:rPr>
  </w:style>
  <w:style w:type="paragraph" w:styleId="763" w:customStyle="1">
    <w:name w:val="Heading 3"/>
    <w:basedOn w:val="668"/>
    <w:next w:val="668"/>
    <w:link w:val="764"/>
    <w:uiPriority w:val="9"/>
    <w:unhideWhenUsed/>
    <w:qFormat/>
    <w:pPr>
      <w:keepLines/>
      <w:keepNext/>
      <w:spacing w:before="320" w:after="200"/>
      <w:outlineLvl w:val="2"/>
    </w:pPr>
    <w:rPr>
      <w:rFonts w:ascii="Arial" w:hAnsi="Arial" w:eastAsia="Arial" w:cs="Arial"/>
      <w:sz w:val="30"/>
      <w:szCs w:val="30"/>
    </w:rPr>
  </w:style>
  <w:style w:type="character" w:styleId="764" w:customStyle="1">
    <w:name w:val="Heading 3 Char"/>
    <w:link w:val="763"/>
    <w:uiPriority w:val="9"/>
    <w:qFormat/>
    <w:rPr>
      <w:rFonts w:ascii="Arial" w:hAnsi="Arial" w:eastAsia="Arial" w:cs="Arial"/>
      <w:sz w:val="30"/>
      <w:szCs w:val="30"/>
    </w:rPr>
  </w:style>
  <w:style w:type="paragraph" w:styleId="765" w:customStyle="1">
    <w:name w:val="Heading 4"/>
    <w:basedOn w:val="668"/>
    <w:next w:val="668"/>
    <w:link w:val="766"/>
    <w:uiPriority w:val="9"/>
    <w:unhideWhenUsed/>
    <w:qFormat/>
    <w:pPr>
      <w:keepLines/>
      <w:keepNext/>
      <w:spacing w:before="320" w:after="200"/>
      <w:outlineLvl w:val="3"/>
    </w:pPr>
    <w:rPr>
      <w:rFonts w:ascii="Arial" w:hAnsi="Arial" w:eastAsia="Arial" w:cs="Arial"/>
      <w:b/>
      <w:bCs/>
      <w:sz w:val="26"/>
      <w:szCs w:val="26"/>
    </w:rPr>
  </w:style>
  <w:style w:type="character" w:styleId="766" w:customStyle="1">
    <w:name w:val="Heading 4 Char"/>
    <w:link w:val="765"/>
    <w:uiPriority w:val="9"/>
    <w:qFormat/>
    <w:rPr>
      <w:rFonts w:ascii="Arial" w:hAnsi="Arial" w:eastAsia="Arial" w:cs="Arial"/>
      <w:b/>
      <w:bCs/>
      <w:sz w:val="26"/>
      <w:szCs w:val="26"/>
    </w:rPr>
  </w:style>
  <w:style w:type="paragraph" w:styleId="767" w:customStyle="1">
    <w:name w:val="Heading 5"/>
    <w:basedOn w:val="668"/>
    <w:next w:val="668"/>
    <w:link w:val="768"/>
    <w:uiPriority w:val="9"/>
    <w:unhideWhenUsed/>
    <w:qFormat/>
    <w:pPr>
      <w:keepLines/>
      <w:keepNext/>
      <w:spacing w:before="320" w:after="200"/>
      <w:outlineLvl w:val="4"/>
    </w:pPr>
    <w:rPr>
      <w:rFonts w:ascii="Arial" w:hAnsi="Arial" w:eastAsia="Arial" w:cs="Arial"/>
      <w:b/>
      <w:bCs/>
      <w:sz w:val="24"/>
      <w:szCs w:val="24"/>
    </w:rPr>
  </w:style>
  <w:style w:type="character" w:styleId="768" w:customStyle="1">
    <w:name w:val="Heading 5 Char"/>
    <w:link w:val="767"/>
    <w:uiPriority w:val="9"/>
    <w:qFormat/>
    <w:rPr>
      <w:rFonts w:ascii="Arial" w:hAnsi="Arial" w:eastAsia="Arial" w:cs="Arial"/>
      <w:b/>
      <w:bCs/>
      <w:sz w:val="24"/>
      <w:szCs w:val="24"/>
    </w:rPr>
  </w:style>
  <w:style w:type="paragraph" w:styleId="769" w:customStyle="1">
    <w:name w:val="Heading 6"/>
    <w:basedOn w:val="668"/>
    <w:next w:val="668"/>
    <w:link w:val="770"/>
    <w:uiPriority w:val="9"/>
    <w:unhideWhenUsed/>
    <w:qFormat/>
    <w:pPr>
      <w:keepLines/>
      <w:keepNext/>
      <w:spacing w:before="320" w:after="200"/>
      <w:outlineLvl w:val="5"/>
    </w:pPr>
    <w:rPr>
      <w:rFonts w:ascii="Arial" w:hAnsi="Arial" w:eastAsia="Arial" w:cs="Arial"/>
      <w:b/>
      <w:bCs/>
      <w:sz w:val="22"/>
      <w:szCs w:val="22"/>
    </w:rPr>
  </w:style>
  <w:style w:type="character" w:styleId="770" w:customStyle="1">
    <w:name w:val="Heading 6 Char"/>
    <w:link w:val="769"/>
    <w:uiPriority w:val="9"/>
    <w:qFormat/>
    <w:rPr>
      <w:rFonts w:ascii="Arial" w:hAnsi="Arial" w:eastAsia="Arial" w:cs="Arial"/>
      <w:b/>
      <w:bCs/>
      <w:sz w:val="22"/>
      <w:szCs w:val="22"/>
    </w:rPr>
  </w:style>
  <w:style w:type="paragraph" w:styleId="771" w:customStyle="1">
    <w:name w:val="Heading 7"/>
    <w:basedOn w:val="668"/>
    <w:next w:val="668"/>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customStyle="1">
    <w:name w:val="Heading 7 Char"/>
    <w:link w:val="771"/>
    <w:uiPriority w:val="9"/>
    <w:qFormat/>
    <w:rPr>
      <w:rFonts w:ascii="Arial" w:hAnsi="Arial" w:eastAsia="Arial" w:cs="Arial"/>
      <w:b/>
      <w:bCs/>
      <w:i/>
      <w:iCs/>
      <w:sz w:val="22"/>
      <w:szCs w:val="22"/>
    </w:rPr>
  </w:style>
  <w:style w:type="paragraph" w:styleId="773" w:customStyle="1">
    <w:name w:val="Heading 8"/>
    <w:basedOn w:val="668"/>
    <w:next w:val="668"/>
    <w:link w:val="774"/>
    <w:uiPriority w:val="9"/>
    <w:unhideWhenUsed/>
    <w:qFormat/>
    <w:pPr>
      <w:keepLines/>
      <w:keepNext/>
      <w:spacing w:before="320" w:after="200"/>
      <w:outlineLvl w:val="7"/>
    </w:pPr>
    <w:rPr>
      <w:rFonts w:ascii="Arial" w:hAnsi="Arial" w:eastAsia="Arial" w:cs="Arial"/>
      <w:i/>
      <w:iCs/>
      <w:sz w:val="22"/>
      <w:szCs w:val="22"/>
    </w:rPr>
  </w:style>
  <w:style w:type="character" w:styleId="774" w:customStyle="1">
    <w:name w:val="Heading 8 Char"/>
    <w:link w:val="773"/>
    <w:uiPriority w:val="9"/>
    <w:qFormat/>
    <w:rPr>
      <w:rFonts w:ascii="Arial" w:hAnsi="Arial" w:eastAsia="Arial" w:cs="Arial"/>
      <w:i/>
      <w:iCs/>
      <w:sz w:val="22"/>
      <w:szCs w:val="22"/>
    </w:rPr>
  </w:style>
  <w:style w:type="paragraph" w:styleId="775" w:customStyle="1">
    <w:name w:val="Heading 9"/>
    <w:basedOn w:val="668"/>
    <w:next w:val="668"/>
    <w:link w:val="776"/>
    <w:uiPriority w:val="9"/>
    <w:unhideWhenUsed/>
    <w:qFormat/>
    <w:pPr>
      <w:keepLines/>
      <w:keepNext/>
      <w:spacing w:before="320" w:after="200"/>
      <w:outlineLvl w:val="8"/>
    </w:pPr>
    <w:rPr>
      <w:rFonts w:ascii="Arial" w:hAnsi="Arial" w:eastAsia="Arial" w:cs="Arial"/>
      <w:i/>
      <w:iCs/>
      <w:szCs w:val="21"/>
    </w:rPr>
  </w:style>
  <w:style w:type="character" w:styleId="776" w:customStyle="1">
    <w:name w:val="Heading 9 Char"/>
    <w:link w:val="775"/>
    <w:uiPriority w:val="9"/>
    <w:qFormat/>
    <w:rPr>
      <w:rFonts w:ascii="Arial" w:hAnsi="Arial" w:eastAsia="Arial" w:cs="Arial"/>
      <w:i/>
      <w:iCs/>
      <w:sz w:val="21"/>
      <w:szCs w:val="21"/>
    </w:rPr>
  </w:style>
  <w:style w:type="paragraph" w:styleId="777">
    <w:name w:val="List Paragraph"/>
    <w:basedOn w:val="668"/>
    <w:uiPriority w:val="34"/>
    <w:qFormat/>
    <w:pPr>
      <w:ind w:firstLine="420"/>
    </w:pPr>
    <w:rPr>
      <w:szCs w:val="24"/>
    </w:rPr>
  </w:style>
  <w:style w:type="paragraph" w:styleId="778">
    <w:name w:val="No Spacing"/>
    <w:link w:val="779"/>
    <w:uiPriority w:val="1"/>
    <w:qFormat/>
    <w:pPr>
      <w:jc w:val="both"/>
      <w:widowControl w:val="off"/>
    </w:pPr>
    <w:rPr>
      <w:rFonts w:ascii="Times New Roman" w:hAnsi="Times New Roman" w:eastAsia="微软雅黑" w:cs="Times New Roman"/>
      <w:sz w:val="24"/>
      <w:szCs w:val="22"/>
      <w:lang w:val="en-US" w:eastAsia="zh-CN" w:bidi="ar-SA"/>
    </w:rPr>
  </w:style>
  <w:style w:type="character" w:styleId="779" w:customStyle="1">
    <w:name w:val="无间隔 Char"/>
    <w:link w:val="778"/>
    <w:uiPriority w:val="0"/>
    <w:qFormat/>
    <w:rPr>
      <w:rFonts w:eastAsia="微软雅黑"/>
      <w:sz w:val="24"/>
      <w:szCs w:val="22"/>
      <w:lang w:val="en-US" w:eastAsia="zh-CN" w:bidi="ar-SA"/>
    </w:rPr>
  </w:style>
  <w:style w:type="character" w:styleId="780" w:customStyle="1">
    <w:name w:val="标题 Char"/>
    <w:link w:val="730"/>
    <w:uiPriority w:val="0"/>
    <w:qFormat/>
    <w:rPr>
      <w:rFonts w:eastAsia="黑体"/>
      <w:b/>
      <w:sz w:val="28"/>
      <w:lang w:val="en-GB" w:eastAsia="zh-CN" w:bidi="ar-SA"/>
    </w:rPr>
  </w:style>
  <w:style w:type="character" w:styleId="781" w:customStyle="1">
    <w:name w:val="副标题 Char"/>
    <w:link w:val="715"/>
    <w:uiPriority w:val="11"/>
    <w:qFormat/>
    <w:rPr>
      <w:sz w:val="24"/>
      <w:szCs w:val="24"/>
    </w:rPr>
  </w:style>
  <w:style w:type="paragraph" w:styleId="782">
    <w:name w:val="Quote"/>
    <w:basedOn w:val="668"/>
    <w:next w:val="668"/>
    <w:link w:val="808"/>
    <w:uiPriority w:val="29"/>
    <w:qFormat/>
    <w:pPr>
      <w:ind w:left="360" w:right="360"/>
      <w:jc w:val="left"/>
      <w:spacing w:before="200" w:line="276" w:lineRule="auto"/>
      <w:widowControl/>
    </w:pPr>
    <w:rPr>
      <w:rFonts w:ascii="Calibri" w:hAnsi="Calibri"/>
      <w:i/>
      <w:iCs/>
      <w:sz w:val="22"/>
      <w:szCs w:val="22"/>
      <w:lang w:eastAsia="en-US" w:bidi="en-US"/>
    </w:rPr>
  </w:style>
  <w:style w:type="character" w:styleId="783" w:customStyle="1">
    <w:name w:val="引用 Char"/>
    <w:link w:val="782"/>
    <w:uiPriority w:val="0"/>
    <w:qFormat/>
    <w:rPr>
      <w:rFonts w:ascii="Calibri" w:hAnsi="Calibri" w:eastAsia="宋体"/>
      <w:i/>
      <w:iCs/>
      <w:sz w:val="22"/>
      <w:szCs w:val="22"/>
      <w:lang w:val="en-US" w:eastAsia="en-US" w:bidi="en-US"/>
    </w:rPr>
  </w:style>
  <w:style w:type="paragraph" w:styleId="784">
    <w:name w:val="Intense Quote"/>
    <w:basedOn w:val="668"/>
    <w:next w:val="668"/>
    <w:link w:val="809"/>
    <w:uiPriority w:val="3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785" w:customStyle="1">
    <w:name w:val="明显引用 Char"/>
    <w:link w:val="784"/>
    <w:uiPriority w:val="0"/>
    <w:qFormat/>
    <w:rPr>
      <w:rFonts w:ascii="Calibri" w:hAnsi="Calibri" w:eastAsia="宋体"/>
      <w:b/>
      <w:bCs/>
      <w:i/>
      <w:iCs/>
      <w:sz w:val="22"/>
      <w:szCs w:val="22"/>
      <w:lang w:val="en-US" w:eastAsia="en-US" w:bidi="en-US"/>
    </w:rPr>
  </w:style>
  <w:style w:type="paragraph" w:styleId="786" w:customStyle="1">
    <w:name w:val="Header"/>
    <w:basedOn w:val="668"/>
    <w:link w:val="787"/>
    <w:uiPriority w:val="99"/>
    <w:unhideWhenUsed/>
    <w:qFormat/>
    <w:pPr>
      <w:tabs>
        <w:tab w:val="center" w:pos="7143" w:leader="none"/>
        <w:tab w:val="right" w:pos="14287" w:leader="none"/>
      </w:tabs>
    </w:pPr>
  </w:style>
  <w:style w:type="character" w:styleId="787" w:customStyle="1">
    <w:name w:val="Header Char"/>
    <w:link w:val="786"/>
    <w:uiPriority w:val="99"/>
    <w:qFormat/>
  </w:style>
  <w:style w:type="paragraph" w:styleId="788" w:customStyle="1">
    <w:name w:val="Footer"/>
    <w:basedOn w:val="668"/>
    <w:link w:val="789"/>
    <w:uiPriority w:val="99"/>
    <w:unhideWhenUsed/>
    <w:qFormat/>
    <w:pPr>
      <w:tabs>
        <w:tab w:val="center" w:pos="7143" w:leader="none"/>
        <w:tab w:val="right" w:pos="14287" w:leader="none"/>
      </w:tabs>
    </w:pPr>
  </w:style>
  <w:style w:type="character" w:styleId="789" w:customStyle="1">
    <w:name w:val="Caption Char"/>
    <w:link w:val="788"/>
    <w:uiPriority w:val="99"/>
    <w:qFormat/>
  </w:style>
  <w:style w:type="paragraph" w:styleId="790" w:customStyle="1">
    <w:name w:val="Caption"/>
    <w:basedOn w:val="668"/>
    <w:next w:val="668"/>
    <w:uiPriority w:val="35"/>
    <w:semiHidden/>
    <w:unhideWhenUsed/>
    <w:qFormat/>
    <w:pPr>
      <w:spacing w:line="276" w:lineRule="auto"/>
    </w:pPr>
    <w:rPr>
      <w:b/>
      <w:bCs/>
      <w:color w:val="4f81bd" w:themeColor="accent1"/>
      <w:sz w:val="18"/>
      <w:szCs w:val="18"/>
    </w:rPr>
  </w:style>
  <w:style w:type="character" w:styleId="791" w:customStyle="1">
    <w:name w:val="脚注文本 Char"/>
    <w:link w:val="717"/>
    <w:uiPriority w:val="99"/>
    <w:qFormat/>
    <w:rPr>
      <w:sz w:val="18"/>
    </w:rPr>
  </w:style>
  <w:style w:type="character" w:styleId="792" w:customStyle="1">
    <w:name w:val="尾注文本 Char"/>
    <w:link w:val="706"/>
    <w:uiPriority w:val="99"/>
    <w:qFormat/>
    <w:rPr>
      <w:sz w:val="20"/>
    </w:rPr>
  </w:style>
  <w:style w:type="character" w:styleId="793" w:customStyle="1">
    <w:name w:val="文档结构图 Char"/>
    <w:link w:val="691"/>
    <w:uiPriority w:val="0"/>
    <w:qFormat/>
    <w:rPr>
      <w:rFonts w:eastAsia="宋体"/>
      <w:sz w:val="21"/>
      <w:lang w:val="en-US" w:eastAsia="zh-CN" w:bidi="ar-SA"/>
    </w:rPr>
  </w:style>
  <w:style w:type="character" w:styleId="794" w:customStyle="1">
    <w:name w:val="批注文字 Char"/>
    <w:link w:val="692"/>
    <w:uiPriority w:val="0"/>
    <w:qFormat/>
    <w:rPr>
      <w:rFonts w:eastAsia="宋体"/>
      <w:sz w:val="21"/>
      <w:lang w:val="en-US" w:eastAsia="zh-CN" w:bidi="ar-SA"/>
    </w:rPr>
  </w:style>
  <w:style w:type="character" w:styleId="795" w:customStyle="1">
    <w:name w:val="纯文本 Char"/>
    <w:link w:val="701"/>
    <w:uiPriority w:val="0"/>
    <w:qFormat/>
    <w:rPr>
      <w:rFonts w:ascii="宋体" w:hAnsi="Courier New" w:eastAsia="宋体"/>
      <w:sz w:val="21"/>
      <w:lang w:val="en-US" w:eastAsia="zh-CN" w:bidi="ar-SA"/>
    </w:rPr>
  </w:style>
  <w:style w:type="character" w:styleId="796" w:customStyle="1">
    <w:name w:val="正文文本缩进 2 Char"/>
    <w:link w:val="705"/>
    <w:uiPriority w:val="0"/>
    <w:qFormat/>
    <w:rPr>
      <w:rFonts w:ascii="Arial" w:hAnsi="Arial" w:eastAsia="方正仿宋_GB2312"/>
      <w:sz w:val="32"/>
      <w:lang w:val="en-US" w:eastAsia="zh-CN" w:bidi="ar-SA"/>
    </w:rPr>
  </w:style>
  <w:style w:type="character" w:styleId="797" w:customStyle="1">
    <w:name w:val="页脚 Char"/>
    <w:link w:val="708"/>
    <w:uiPriority w:val="0"/>
    <w:qFormat/>
    <w:rPr>
      <w:sz w:val="18"/>
    </w:rPr>
  </w:style>
  <w:style w:type="character" w:styleId="798" w:customStyle="1">
    <w:name w:val="正文文本缩进 3 Char"/>
    <w:link w:val="719"/>
    <w:uiPriority w:val="0"/>
    <w:qFormat/>
    <w:rPr>
      <w:rFonts w:ascii="Arial" w:hAnsi="Arial" w:eastAsia="方正仿宋_GB2312"/>
      <w:color w:val="ffff00"/>
      <w:sz w:val="32"/>
      <w:lang w:val="en-US" w:eastAsia="zh-CN" w:bidi="ar-SA"/>
    </w:rPr>
  </w:style>
  <w:style w:type="character" w:styleId="799" w:customStyle="1">
    <w:name w:val="HTML 预设格式 Char"/>
    <w:link w:val="727"/>
    <w:uiPriority w:val="99"/>
    <w:qFormat/>
    <w:rPr>
      <w:rFonts w:ascii="黑体" w:hAnsi="Courier New" w:eastAsia="黑体" w:cs="Courier New"/>
      <w:lang w:val="en-US" w:eastAsia="zh-CN" w:bidi="ar-SA"/>
    </w:rPr>
  </w:style>
  <w:style w:type="character" w:styleId="800" w:customStyle="1">
    <w:name w:val="批注主题 Char"/>
    <w:link w:val="731"/>
    <w:uiPriority w:val="0"/>
    <w:qFormat/>
    <w:rPr>
      <w:rFonts w:eastAsia="宋体"/>
      <w:b/>
      <w:bCs/>
      <w:sz w:val="21"/>
      <w:lang w:val="en-US" w:eastAsia="zh-CN" w:bidi="ar-SA"/>
    </w:rPr>
  </w:style>
  <w:style w:type="paragraph" w:styleId="801" w:customStyle="1">
    <w:name w:val="正文文本缩进11"/>
    <w:basedOn w:val="802"/>
    <w:next w:val="806"/>
    <w:uiPriority w:val="0"/>
    <w:qFormat/>
    <w:pPr>
      <w:ind w:firstLine="301"/>
      <w:spacing w:line="200" w:lineRule="exact"/>
    </w:pPr>
    <w:rPr>
      <w:rFonts w:ascii="宋体" w:hAnsi="宋体"/>
      <w:spacing w:val="-4"/>
      <w:sz w:val="18"/>
      <w:szCs w:val="20"/>
    </w:rPr>
  </w:style>
  <w:style w:type="paragraph" w:styleId="802" w:customStyle="1">
    <w:name w:val="正文112"/>
    <w:next w:val="803"/>
    <w:uiPriority w:val="0"/>
    <w:qFormat/>
    <w:pPr>
      <w:jc w:val="both"/>
      <w:widowControl w:val="off"/>
    </w:pPr>
    <w:rPr>
      <w:rFonts w:ascii="Times New Roman" w:hAnsi="Times New Roman" w:eastAsia="宋体" w:cs="Times New Roman"/>
      <w:sz w:val="21"/>
      <w:szCs w:val="24"/>
      <w:lang w:val="en-US" w:eastAsia="zh-CN" w:bidi="ar-SA"/>
    </w:rPr>
  </w:style>
  <w:style w:type="paragraph" w:styleId="803" w:customStyle="1">
    <w:name w:val="正文首行缩进1"/>
    <w:basedOn w:val="804"/>
    <w:uiPriority w:val="0"/>
    <w:semiHidden/>
    <w:qFormat/>
    <w:pPr>
      <w:ind w:firstLine="420"/>
    </w:pPr>
    <w:rPr>
      <w:rFonts w:cs="宋体"/>
      <w:szCs w:val="28"/>
    </w:rPr>
  </w:style>
  <w:style w:type="paragraph" w:styleId="804" w:customStyle="1">
    <w:name w:val="正文文本1"/>
    <w:basedOn w:val="805"/>
    <w:next w:val="668"/>
    <w:uiPriority w:val="0"/>
    <w:qFormat/>
    <w:pPr>
      <w:spacing w:after="120"/>
    </w:pPr>
  </w:style>
  <w:style w:type="paragraph" w:styleId="805" w:customStyle="1">
    <w:name w:val="正文1"/>
    <w:basedOn w:val="668"/>
    <w:next w:val="804"/>
    <w:uiPriority w:val="0"/>
    <w:qFormat/>
    <w:pPr>
      <w:ind w:firstLine="510"/>
      <w:spacing w:before="156" w:line="360" w:lineRule="auto"/>
    </w:pPr>
    <w:rPr>
      <w:sz w:val="24"/>
    </w:rPr>
  </w:style>
  <w:style w:type="paragraph" w:styleId="806" w:customStyle="1">
    <w:name w:val="寄信人地址1"/>
    <w:basedOn w:val="668"/>
    <w:uiPriority w:val="0"/>
    <w:qFormat/>
    <w:rPr>
      <w:rFonts w:ascii="Arial" w:hAnsi="Arial" w:cs="宋体"/>
      <w:szCs w:val="24"/>
    </w:rPr>
  </w:style>
  <w:style w:type="character" w:styleId="807" w:customStyle="1">
    <w:name w:val="Title Char"/>
    <w:link w:val="730"/>
    <w:uiPriority w:val="10"/>
    <w:qFormat/>
    <w:rPr>
      <w:sz w:val="48"/>
      <w:szCs w:val="48"/>
    </w:rPr>
  </w:style>
  <w:style w:type="character" w:styleId="808" w:customStyle="1">
    <w:name w:val="Quote Char"/>
    <w:link w:val="782"/>
    <w:uiPriority w:val="29"/>
    <w:qFormat/>
    <w:rPr>
      <w:i/>
    </w:rPr>
  </w:style>
  <w:style w:type="character" w:styleId="809" w:customStyle="1">
    <w:name w:val="Intense Quote Char"/>
    <w:link w:val="784"/>
    <w:uiPriority w:val="30"/>
    <w:qFormat/>
    <w:rPr>
      <w:i/>
    </w:rPr>
  </w:style>
  <w:style w:type="character" w:styleId="810" w:customStyle="1">
    <w:name w:val="Footer Char"/>
    <w:uiPriority w:val="99"/>
    <w:qFormat/>
  </w:style>
  <w:style w:type="table" w:styleId="811" w:customStyle="1">
    <w:name w:val="Table Grid Light"/>
    <w:basedOn w:val="679"/>
    <w:uiPriority w:val="59"/>
    <w:qFormat/>
    <w:tblPr>
      <w:tblCellMar>
        <w:left w:w="108" w:type="dxa"/>
        <w:top w:w="0" w:type="dxa"/>
        <w:right w:w="108" w:type="dxa"/>
        <w:bottom w:w="0" w:type="dxa"/>
      </w:tblCellMar>
    </w:tblPr>
  </w:style>
  <w:style w:type="table" w:styleId="812" w:customStyle="1">
    <w:name w:val="Plain Table 1"/>
    <w:basedOn w:val="679"/>
    <w:uiPriority w:val="59"/>
    <w:qFormat/>
    <w:tblPr>
      <w:tblCellMar>
        <w:left w:w="108" w:type="dxa"/>
        <w:top w:w="0" w:type="dxa"/>
        <w:right w:w="108" w:type="dxa"/>
        <w:bottom w:w="0" w:type="dxa"/>
      </w:tblCellMar>
    </w:tblPr>
  </w:style>
  <w:style w:type="table" w:styleId="813" w:customStyle="1">
    <w:name w:val="Plain Table 2"/>
    <w:basedOn w:val="679"/>
    <w:uiPriority w:val="59"/>
    <w:qFormat/>
    <w:tblPr>
      <w:tblCellMar>
        <w:left w:w="108" w:type="dxa"/>
        <w:top w:w="0" w:type="dxa"/>
        <w:right w:w="108" w:type="dxa"/>
        <w:bottom w:w="0" w:type="dxa"/>
      </w:tblCellMar>
    </w:tblPr>
  </w:style>
  <w:style w:type="table" w:styleId="814" w:customStyle="1">
    <w:name w:val="Plain Table 3"/>
    <w:basedOn w:val="679"/>
    <w:uiPriority w:val="99"/>
    <w:qFormat/>
    <w:tblPr>
      <w:tblCellMar>
        <w:left w:w="108" w:type="dxa"/>
        <w:top w:w="0" w:type="dxa"/>
        <w:right w:w="108" w:type="dxa"/>
        <w:bottom w:w="0" w:type="dxa"/>
      </w:tblCellMar>
    </w:tblPr>
  </w:style>
  <w:style w:type="table" w:styleId="815" w:customStyle="1">
    <w:name w:val="Plain Table 4"/>
    <w:basedOn w:val="679"/>
    <w:uiPriority w:val="99"/>
    <w:qFormat/>
    <w:tblPr>
      <w:tblCellMar>
        <w:left w:w="108" w:type="dxa"/>
        <w:top w:w="0" w:type="dxa"/>
        <w:right w:w="108" w:type="dxa"/>
        <w:bottom w:w="0" w:type="dxa"/>
      </w:tblCellMar>
    </w:tblPr>
  </w:style>
  <w:style w:type="table" w:styleId="816" w:customStyle="1">
    <w:name w:val="Plain Table 5"/>
    <w:basedOn w:val="679"/>
    <w:uiPriority w:val="99"/>
    <w:qFormat/>
    <w:tblPr>
      <w:tblCellMar>
        <w:left w:w="108" w:type="dxa"/>
        <w:top w:w="0" w:type="dxa"/>
        <w:right w:w="108" w:type="dxa"/>
        <w:bottom w:w="0" w:type="dxa"/>
      </w:tblCellMar>
    </w:tblPr>
  </w:style>
  <w:style w:type="table" w:styleId="817" w:customStyle="1">
    <w:name w:val="Grid Table 1 Light"/>
    <w:basedOn w:val="679"/>
    <w:uiPriority w:val="99"/>
    <w:qFormat/>
    <w:tblPr>
      <w:tblCellMar>
        <w:left w:w="108" w:type="dxa"/>
        <w:top w:w="0" w:type="dxa"/>
        <w:right w:w="108" w:type="dxa"/>
        <w:bottom w:w="0" w:type="dxa"/>
      </w:tblCellMar>
    </w:tblPr>
  </w:style>
  <w:style w:type="table" w:styleId="818" w:customStyle="1">
    <w:name w:val="Grid Table 1 Light - Accent 1"/>
    <w:basedOn w:val="679"/>
    <w:uiPriority w:val="99"/>
    <w:qFormat/>
    <w:tblPr>
      <w:tblCellMar>
        <w:left w:w="108" w:type="dxa"/>
        <w:top w:w="0" w:type="dxa"/>
        <w:right w:w="108" w:type="dxa"/>
        <w:bottom w:w="0" w:type="dxa"/>
      </w:tblCellMar>
    </w:tblPr>
  </w:style>
  <w:style w:type="table" w:styleId="819" w:customStyle="1">
    <w:name w:val="Grid Table 1 Light - Accent 2"/>
    <w:basedOn w:val="679"/>
    <w:uiPriority w:val="99"/>
    <w:qFormat/>
    <w:tblPr>
      <w:tblCellMar>
        <w:left w:w="108" w:type="dxa"/>
        <w:top w:w="0" w:type="dxa"/>
        <w:right w:w="108" w:type="dxa"/>
        <w:bottom w:w="0" w:type="dxa"/>
      </w:tblCellMar>
    </w:tblPr>
  </w:style>
  <w:style w:type="table" w:styleId="820" w:customStyle="1">
    <w:name w:val="Grid Table 1 Light - Accent 3"/>
    <w:basedOn w:val="679"/>
    <w:uiPriority w:val="99"/>
    <w:qFormat/>
    <w:tblPr>
      <w:tblCellMar>
        <w:left w:w="108" w:type="dxa"/>
        <w:top w:w="0" w:type="dxa"/>
        <w:right w:w="108" w:type="dxa"/>
        <w:bottom w:w="0" w:type="dxa"/>
      </w:tblCellMar>
    </w:tblPr>
  </w:style>
  <w:style w:type="table" w:styleId="821" w:customStyle="1">
    <w:name w:val="Grid Table 1 Light - Accent 4"/>
    <w:basedOn w:val="679"/>
    <w:uiPriority w:val="99"/>
    <w:qFormat/>
    <w:tblPr>
      <w:tblCellMar>
        <w:left w:w="108" w:type="dxa"/>
        <w:top w:w="0" w:type="dxa"/>
        <w:right w:w="108" w:type="dxa"/>
        <w:bottom w:w="0" w:type="dxa"/>
      </w:tblCellMar>
    </w:tblPr>
  </w:style>
  <w:style w:type="table" w:styleId="822" w:customStyle="1">
    <w:name w:val="Grid Table 1 Light - Accent 5"/>
    <w:basedOn w:val="679"/>
    <w:uiPriority w:val="99"/>
    <w:qFormat/>
    <w:tblPr>
      <w:tblCellMar>
        <w:left w:w="108" w:type="dxa"/>
        <w:top w:w="0" w:type="dxa"/>
        <w:right w:w="108" w:type="dxa"/>
        <w:bottom w:w="0" w:type="dxa"/>
      </w:tblCellMar>
    </w:tblPr>
  </w:style>
  <w:style w:type="table" w:styleId="823" w:customStyle="1">
    <w:name w:val="Grid Table 1 Light - Accent 6"/>
    <w:basedOn w:val="679"/>
    <w:uiPriority w:val="99"/>
    <w:qFormat/>
    <w:tblPr>
      <w:tblCellMar>
        <w:left w:w="108" w:type="dxa"/>
        <w:top w:w="0" w:type="dxa"/>
        <w:right w:w="108" w:type="dxa"/>
        <w:bottom w:w="0" w:type="dxa"/>
      </w:tblCellMar>
    </w:tblPr>
  </w:style>
  <w:style w:type="table" w:styleId="824" w:customStyle="1">
    <w:name w:val="Grid Table 2"/>
    <w:basedOn w:val="679"/>
    <w:uiPriority w:val="99"/>
    <w:qFormat/>
    <w:tblPr>
      <w:tblCellMar>
        <w:left w:w="108" w:type="dxa"/>
        <w:top w:w="0" w:type="dxa"/>
        <w:right w:w="108" w:type="dxa"/>
        <w:bottom w:w="0" w:type="dxa"/>
      </w:tblCellMar>
    </w:tblPr>
  </w:style>
  <w:style w:type="table" w:styleId="825" w:customStyle="1">
    <w:name w:val="Grid Table 2 - Accent 1"/>
    <w:basedOn w:val="679"/>
    <w:uiPriority w:val="99"/>
    <w:qFormat/>
    <w:tblPr>
      <w:tblCellMar>
        <w:left w:w="108" w:type="dxa"/>
        <w:top w:w="0" w:type="dxa"/>
        <w:right w:w="108" w:type="dxa"/>
        <w:bottom w:w="0" w:type="dxa"/>
      </w:tblCellMar>
    </w:tblPr>
  </w:style>
  <w:style w:type="table" w:styleId="826" w:customStyle="1">
    <w:name w:val="Grid Table 2 - Accent 2"/>
    <w:basedOn w:val="679"/>
    <w:uiPriority w:val="99"/>
    <w:qFormat/>
    <w:tblPr>
      <w:tblCellMar>
        <w:left w:w="108" w:type="dxa"/>
        <w:top w:w="0" w:type="dxa"/>
        <w:right w:w="108" w:type="dxa"/>
        <w:bottom w:w="0" w:type="dxa"/>
      </w:tblCellMar>
    </w:tblPr>
  </w:style>
  <w:style w:type="table" w:styleId="827" w:customStyle="1">
    <w:name w:val="Grid Table 2 - Accent 3"/>
    <w:basedOn w:val="679"/>
    <w:uiPriority w:val="99"/>
    <w:qFormat/>
    <w:tblPr>
      <w:tblCellMar>
        <w:left w:w="108" w:type="dxa"/>
        <w:top w:w="0" w:type="dxa"/>
        <w:right w:w="108" w:type="dxa"/>
        <w:bottom w:w="0" w:type="dxa"/>
      </w:tblCellMar>
    </w:tblPr>
  </w:style>
  <w:style w:type="table" w:styleId="828" w:customStyle="1">
    <w:name w:val="Grid Table 2 - Accent 4"/>
    <w:basedOn w:val="679"/>
    <w:uiPriority w:val="99"/>
    <w:qFormat/>
    <w:tblPr>
      <w:tblCellMar>
        <w:left w:w="108" w:type="dxa"/>
        <w:top w:w="0" w:type="dxa"/>
        <w:right w:w="108" w:type="dxa"/>
        <w:bottom w:w="0" w:type="dxa"/>
      </w:tblCellMar>
    </w:tblPr>
  </w:style>
  <w:style w:type="table" w:styleId="829" w:customStyle="1">
    <w:name w:val="Grid Table 2 - Accent 5"/>
    <w:basedOn w:val="679"/>
    <w:uiPriority w:val="99"/>
    <w:qFormat/>
    <w:tblPr>
      <w:tblCellMar>
        <w:left w:w="108" w:type="dxa"/>
        <w:top w:w="0" w:type="dxa"/>
        <w:right w:w="108" w:type="dxa"/>
        <w:bottom w:w="0" w:type="dxa"/>
      </w:tblCellMar>
    </w:tblPr>
  </w:style>
  <w:style w:type="table" w:styleId="830" w:customStyle="1">
    <w:name w:val="Grid Table 2 - Accent 6"/>
    <w:basedOn w:val="679"/>
    <w:uiPriority w:val="99"/>
    <w:qFormat/>
    <w:tblPr>
      <w:tblCellMar>
        <w:left w:w="108" w:type="dxa"/>
        <w:top w:w="0" w:type="dxa"/>
        <w:right w:w="108" w:type="dxa"/>
        <w:bottom w:w="0" w:type="dxa"/>
      </w:tblCellMar>
    </w:tblPr>
  </w:style>
  <w:style w:type="table" w:styleId="831" w:customStyle="1">
    <w:name w:val="Grid Table 3"/>
    <w:basedOn w:val="679"/>
    <w:uiPriority w:val="99"/>
    <w:qFormat/>
    <w:tblPr>
      <w:tblCellMar>
        <w:left w:w="108" w:type="dxa"/>
        <w:top w:w="0" w:type="dxa"/>
        <w:right w:w="108" w:type="dxa"/>
        <w:bottom w:w="0" w:type="dxa"/>
      </w:tblCellMar>
    </w:tblPr>
  </w:style>
  <w:style w:type="table" w:styleId="832" w:customStyle="1">
    <w:name w:val="Grid Table 3 - Accent 1"/>
    <w:basedOn w:val="679"/>
    <w:uiPriority w:val="99"/>
    <w:qFormat/>
    <w:tblPr>
      <w:tblCellMar>
        <w:left w:w="108" w:type="dxa"/>
        <w:top w:w="0" w:type="dxa"/>
        <w:right w:w="108" w:type="dxa"/>
        <w:bottom w:w="0" w:type="dxa"/>
      </w:tblCellMar>
    </w:tblPr>
  </w:style>
  <w:style w:type="table" w:styleId="833" w:customStyle="1">
    <w:name w:val="Grid Table 3 - Accent 2"/>
    <w:basedOn w:val="679"/>
    <w:uiPriority w:val="99"/>
    <w:qFormat/>
    <w:tblPr>
      <w:tblCellMar>
        <w:left w:w="108" w:type="dxa"/>
        <w:top w:w="0" w:type="dxa"/>
        <w:right w:w="108" w:type="dxa"/>
        <w:bottom w:w="0" w:type="dxa"/>
      </w:tblCellMar>
    </w:tblPr>
  </w:style>
  <w:style w:type="table" w:styleId="834" w:customStyle="1">
    <w:name w:val="Grid Table 3 - Accent 3"/>
    <w:basedOn w:val="679"/>
    <w:uiPriority w:val="99"/>
    <w:qFormat/>
    <w:tblPr>
      <w:tblCellMar>
        <w:left w:w="108" w:type="dxa"/>
        <w:top w:w="0" w:type="dxa"/>
        <w:right w:w="108" w:type="dxa"/>
        <w:bottom w:w="0" w:type="dxa"/>
      </w:tblCellMar>
    </w:tblPr>
  </w:style>
  <w:style w:type="table" w:styleId="835" w:customStyle="1">
    <w:name w:val="Grid Table 3 - Accent 4"/>
    <w:basedOn w:val="679"/>
    <w:uiPriority w:val="99"/>
    <w:qFormat/>
    <w:tblPr>
      <w:tblCellMar>
        <w:left w:w="108" w:type="dxa"/>
        <w:top w:w="0" w:type="dxa"/>
        <w:right w:w="108" w:type="dxa"/>
        <w:bottom w:w="0" w:type="dxa"/>
      </w:tblCellMar>
    </w:tblPr>
  </w:style>
  <w:style w:type="table" w:styleId="836" w:customStyle="1">
    <w:name w:val="Grid Table 3 - Accent 5"/>
    <w:basedOn w:val="679"/>
    <w:uiPriority w:val="99"/>
    <w:qFormat/>
    <w:tblPr>
      <w:tblCellMar>
        <w:left w:w="108" w:type="dxa"/>
        <w:top w:w="0" w:type="dxa"/>
        <w:right w:w="108" w:type="dxa"/>
        <w:bottom w:w="0" w:type="dxa"/>
      </w:tblCellMar>
    </w:tblPr>
  </w:style>
  <w:style w:type="table" w:styleId="837" w:customStyle="1">
    <w:name w:val="Grid Table 3 - Accent 6"/>
    <w:basedOn w:val="679"/>
    <w:uiPriority w:val="99"/>
    <w:qFormat/>
    <w:tblPr>
      <w:tblCellMar>
        <w:left w:w="108" w:type="dxa"/>
        <w:top w:w="0" w:type="dxa"/>
        <w:right w:w="108" w:type="dxa"/>
        <w:bottom w:w="0" w:type="dxa"/>
      </w:tblCellMar>
    </w:tblPr>
  </w:style>
  <w:style w:type="table" w:styleId="838" w:customStyle="1">
    <w:name w:val="Grid Table 4"/>
    <w:basedOn w:val="679"/>
    <w:uiPriority w:val="59"/>
    <w:qFormat/>
    <w:tblPr>
      <w:tblCellMar>
        <w:left w:w="108" w:type="dxa"/>
        <w:top w:w="0" w:type="dxa"/>
        <w:right w:w="108" w:type="dxa"/>
        <w:bottom w:w="0" w:type="dxa"/>
      </w:tblCellMar>
    </w:tblPr>
  </w:style>
  <w:style w:type="table" w:styleId="839" w:customStyle="1">
    <w:name w:val="Grid Table 4 - Accent 1"/>
    <w:basedOn w:val="679"/>
    <w:uiPriority w:val="59"/>
    <w:qFormat/>
    <w:tblPr>
      <w:tblCellMar>
        <w:left w:w="108" w:type="dxa"/>
        <w:top w:w="0" w:type="dxa"/>
        <w:right w:w="108" w:type="dxa"/>
        <w:bottom w:w="0" w:type="dxa"/>
      </w:tblCellMar>
    </w:tblPr>
  </w:style>
  <w:style w:type="table" w:styleId="840" w:customStyle="1">
    <w:name w:val="Grid Table 4 - Accent 2"/>
    <w:basedOn w:val="679"/>
    <w:uiPriority w:val="59"/>
    <w:qFormat/>
    <w:tblPr>
      <w:tblCellMar>
        <w:left w:w="108" w:type="dxa"/>
        <w:top w:w="0" w:type="dxa"/>
        <w:right w:w="108" w:type="dxa"/>
        <w:bottom w:w="0" w:type="dxa"/>
      </w:tblCellMar>
    </w:tblPr>
  </w:style>
  <w:style w:type="table" w:styleId="841" w:customStyle="1">
    <w:name w:val="Grid Table 4 - Accent 3"/>
    <w:basedOn w:val="679"/>
    <w:uiPriority w:val="59"/>
    <w:qFormat/>
    <w:tblPr>
      <w:tblCellMar>
        <w:left w:w="108" w:type="dxa"/>
        <w:top w:w="0" w:type="dxa"/>
        <w:right w:w="108" w:type="dxa"/>
        <w:bottom w:w="0" w:type="dxa"/>
      </w:tblCellMar>
    </w:tblPr>
  </w:style>
  <w:style w:type="table" w:styleId="842" w:customStyle="1">
    <w:name w:val="Grid Table 4 - Accent 4"/>
    <w:basedOn w:val="679"/>
    <w:uiPriority w:val="59"/>
    <w:qFormat/>
    <w:tblPr>
      <w:tblCellMar>
        <w:left w:w="108" w:type="dxa"/>
        <w:top w:w="0" w:type="dxa"/>
        <w:right w:w="108" w:type="dxa"/>
        <w:bottom w:w="0" w:type="dxa"/>
      </w:tblCellMar>
    </w:tblPr>
  </w:style>
  <w:style w:type="table" w:styleId="843" w:customStyle="1">
    <w:name w:val="Grid Table 4 - Accent 5"/>
    <w:basedOn w:val="679"/>
    <w:uiPriority w:val="59"/>
    <w:qFormat/>
    <w:tblPr>
      <w:tblCellMar>
        <w:left w:w="108" w:type="dxa"/>
        <w:top w:w="0" w:type="dxa"/>
        <w:right w:w="108" w:type="dxa"/>
        <w:bottom w:w="0" w:type="dxa"/>
      </w:tblCellMar>
    </w:tblPr>
  </w:style>
  <w:style w:type="table" w:styleId="844" w:customStyle="1">
    <w:name w:val="Grid Table 4 - Accent 6"/>
    <w:basedOn w:val="679"/>
    <w:uiPriority w:val="59"/>
    <w:qFormat/>
    <w:tblPr>
      <w:tblCellMar>
        <w:left w:w="108" w:type="dxa"/>
        <w:top w:w="0" w:type="dxa"/>
        <w:right w:w="108" w:type="dxa"/>
        <w:bottom w:w="0" w:type="dxa"/>
      </w:tblCellMar>
    </w:tblPr>
  </w:style>
  <w:style w:type="table" w:styleId="845" w:customStyle="1">
    <w:name w:val="Grid Table 5 Dark"/>
    <w:basedOn w:val="679"/>
    <w:uiPriority w:val="99"/>
    <w:qFormat/>
    <w:tblPr>
      <w:tblCellMar>
        <w:left w:w="108" w:type="dxa"/>
        <w:top w:w="0" w:type="dxa"/>
        <w:right w:w="108" w:type="dxa"/>
        <w:bottom w:w="0" w:type="dxa"/>
      </w:tblCellMar>
    </w:tblPr>
  </w:style>
  <w:style w:type="table" w:styleId="846" w:customStyle="1">
    <w:name w:val="Grid Table 5 Dark- Accent 1"/>
    <w:basedOn w:val="679"/>
    <w:uiPriority w:val="99"/>
    <w:qFormat/>
    <w:tblPr>
      <w:tblCellMar>
        <w:left w:w="108" w:type="dxa"/>
        <w:top w:w="0" w:type="dxa"/>
        <w:right w:w="108" w:type="dxa"/>
        <w:bottom w:w="0" w:type="dxa"/>
      </w:tblCellMar>
    </w:tblPr>
  </w:style>
  <w:style w:type="table" w:styleId="847" w:customStyle="1">
    <w:name w:val="Grid Table 5 Dark - Accent 2"/>
    <w:basedOn w:val="679"/>
    <w:uiPriority w:val="99"/>
    <w:qFormat/>
    <w:tblPr>
      <w:tblCellMar>
        <w:left w:w="108" w:type="dxa"/>
        <w:top w:w="0" w:type="dxa"/>
        <w:right w:w="108" w:type="dxa"/>
        <w:bottom w:w="0" w:type="dxa"/>
      </w:tblCellMar>
    </w:tblPr>
  </w:style>
  <w:style w:type="table" w:styleId="848" w:customStyle="1">
    <w:name w:val="Grid Table 5 Dark - Accent 3"/>
    <w:basedOn w:val="679"/>
    <w:uiPriority w:val="99"/>
    <w:qFormat/>
    <w:tblPr>
      <w:tblCellMar>
        <w:left w:w="108" w:type="dxa"/>
        <w:top w:w="0" w:type="dxa"/>
        <w:right w:w="108" w:type="dxa"/>
        <w:bottom w:w="0" w:type="dxa"/>
      </w:tblCellMar>
    </w:tblPr>
  </w:style>
  <w:style w:type="table" w:styleId="849" w:customStyle="1">
    <w:name w:val="Grid Table 5 Dark- Accent 4"/>
    <w:basedOn w:val="679"/>
    <w:uiPriority w:val="99"/>
    <w:qFormat/>
    <w:tblPr>
      <w:tblCellMar>
        <w:left w:w="108" w:type="dxa"/>
        <w:top w:w="0" w:type="dxa"/>
        <w:right w:w="108" w:type="dxa"/>
        <w:bottom w:w="0" w:type="dxa"/>
      </w:tblCellMar>
    </w:tblPr>
  </w:style>
  <w:style w:type="table" w:styleId="850" w:customStyle="1">
    <w:name w:val="Grid Table 5 Dark - Accent 5"/>
    <w:basedOn w:val="679"/>
    <w:uiPriority w:val="99"/>
    <w:qFormat/>
    <w:tblPr>
      <w:tblCellMar>
        <w:left w:w="108" w:type="dxa"/>
        <w:top w:w="0" w:type="dxa"/>
        <w:right w:w="108" w:type="dxa"/>
        <w:bottom w:w="0" w:type="dxa"/>
      </w:tblCellMar>
    </w:tblPr>
  </w:style>
  <w:style w:type="table" w:styleId="851" w:customStyle="1">
    <w:name w:val="Grid Table 5 Dark - Accent 6"/>
    <w:basedOn w:val="679"/>
    <w:uiPriority w:val="99"/>
    <w:qFormat/>
    <w:tblPr>
      <w:tblCellMar>
        <w:left w:w="108" w:type="dxa"/>
        <w:top w:w="0" w:type="dxa"/>
        <w:right w:w="108" w:type="dxa"/>
        <w:bottom w:w="0" w:type="dxa"/>
      </w:tblCellMar>
    </w:tblPr>
  </w:style>
  <w:style w:type="table" w:styleId="852" w:customStyle="1">
    <w:name w:val="Grid Table 6 Colorful"/>
    <w:basedOn w:val="679"/>
    <w:uiPriority w:val="99"/>
    <w:qFormat/>
    <w:tblPr>
      <w:tblCellMar>
        <w:left w:w="108" w:type="dxa"/>
        <w:top w:w="0" w:type="dxa"/>
        <w:right w:w="108" w:type="dxa"/>
        <w:bottom w:w="0" w:type="dxa"/>
      </w:tblCellMar>
    </w:tblPr>
  </w:style>
  <w:style w:type="table" w:styleId="853" w:customStyle="1">
    <w:name w:val="Grid Table 6 Colorful - Accent 1"/>
    <w:basedOn w:val="679"/>
    <w:uiPriority w:val="99"/>
    <w:qFormat/>
    <w:tblPr>
      <w:tblCellMar>
        <w:left w:w="108" w:type="dxa"/>
        <w:top w:w="0" w:type="dxa"/>
        <w:right w:w="108" w:type="dxa"/>
        <w:bottom w:w="0" w:type="dxa"/>
      </w:tblCellMar>
    </w:tblPr>
  </w:style>
  <w:style w:type="table" w:styleId="854" w:customStyle="1">
    <w:name w:val="Grid Table 6 Colorful - Accent 2"/>
    <w:basedOn w:val="679"/>
    <w:uiPriority w:val="99"/>
    <w:qFormat/>
    <w:tblPr>
      <w:tblCellMar>
        <w:left w:w="108" w:type="dxa"/>
        <w:top w:w="0" w:type="dxa"/>
        <w:right w:w="108" w:type="dxa"/>
        <w:bottom w:w="0" w:type="dxa"/>
      </w:tblCellMar>
    </w:tblPr>
  </w:style>
  <w:style w:type="table" w:styleId="855" w:customStyle="1">
    <w:name w:val="Grid Table 6 Colorful - Accent 3"/>
    <w:basedOn w:val="679"/>
    <w:uiPriority w:val="99"/>
    <w:qFormat/>
    <w:tblPr>
      <w:tblCellMar>
        <w:left w:w="108" w:type="dxa"/>
        <w:top w:w="0" w:type="dxa"/>
        <w:right w:w="108" w:type="dxa"/>
        <w:bottom w:w="0" w:type="dxa"/>
      </w:tblCellMar>
    </w:tblPr>
  </w:style>
  <w:style w:type="table" w:styleId="856" w:customStyle="1">
    <w:name w:val="Grid Table 6 Colorful - Accent 4"/>
    <w:basedOn w:val="679"/>
    <w:uiPriority w:val="99"/>
    <w:qFormat/>
    <w:tblPr>
      <w:tblCellMar>
        <w:left w:w="108" w:type="dxa"/>
        <w:top w:w="0" w:type="dxa"/>
        <w:right w:w="108" w:type="dxa"/>
        <w:bottom w:w="0" w:type="dxa"/>
      </w:tblCellMar>
    </w:tblPr>
  </w:style>
  <w:style w:type="table" w:styleId="857" w:customStyle="1">
    <w:name w:val="Grid Table 6 Colorful - Accent 5"/>
    <w:basedOn w:val="679"/>
    <w:uiPriority w:val="99"/>
    <w:qFormat/>
    <w:tblPr>
      <w:tblCellMar>
        <w:left w:w="108" w:type="dxa"/>
        <w:top w:w="0" w:type="dxa"/>
        <w:right w:w="108" w:type="dxa"/>
        <w:bottom w:w="0" w:type="dxa"/>
      </w:tblCellMar>
    </w:tblPr>
  </w:style>
  <w:style w:type="table" w:styleId="858" w:customStyle="1">
    <w:name w:val="Grid Table 6 Colorful - Accent 6"/>
    <w:basedOn w:val="679"/>
    <w:uiPriority w:val="99"/>
    <w:qFormat/>
    <w:tblPr>
      <w:tblCellMar>
        <w:left w:w="108" w:type="dxa"/>
        <w:top w:w="0" w:type="dxa"/>
        <w:right w:w="108" w:type="dxa"/>
        <w:bottom w:w="0" w:type="dxa"/>
      </w:tblCellMar>
    </w:tblPr>
  </w:style>
  <w:style w:type="table" w:styleId="859" w:customStyle="1">
    <w:name w:val="Grid Table 7 Colorful"/>
    <w:basedOn w:val="679"/>
    <w:uiPriority w:val="99"/>
    <w:qFormat/>
    <w:tblPr>
      <w:tblCellMar>
        <w:left w:w="108" w:type="dxa"/>
        <w:top w:w="0" w:type="dxa"/>
        <w:right w:w="108" w:type="dxa"/>
        <w:bottom w:w="0" w:type="dxa"/>
      </w:tblCellMar>
    </w:tblPr>
  </w:style>
  <w:style w:type="table" w:styleId="860" w:customStyle="1">
    <w:name w:val="Grid Table 7 Colorful - Accent 1"/>
    <w:basedOn w:val="679"/>
    <w:uiPriority w:val="99"/>
    <w:qFormat/>
    <w:tblPr>
      <w:tblCellMar>
        <w:left w:w="108" w:type="dxa"/>
        <w:top w:w="0" w:type="dxa"/>
        <w:right w:w="108" w:type="dxa"/>
        <w:bottom w:w="0" w:type="dxa"/>
      </w:tblCellMar>
    </w:tblPr>
  </w:style>
  <w:style w:type="table" w:styleId="861" w:customStyle="1">
    <w:name w:val="Grid Table 7 Colorful - Accent 2"/>
    <w:basedOn w:val="679"/>
    <w:uiPriority w:val="99"/>
    <w:qFormat/>
    <w:tblPr>
      <w:tblCellMar>
        <w:left w:w="108" w:type="dxa"/>
        <w:top w:w="0" w:type="dxa"/>
        <w:right w:w="108" w:type="dxa"/>
        <w:bottom w:w="0" w:type="dxa"/>
      </w:tblCellMar>
    </w:tblPr>
  </w:style>
  <w:style w:type="table" w:styleId="862" w:customStyle="1">
    <w:name w:val="Grid Table 7 Colorful - Accent 3"/>
    <w:basedOn w:val="679"/>
    <w:uiPriority w:val="99"/>
    <w:qFormat/>
    <w:tblPr>
      <w:tblCellMar>
        <w:left w:w="108" w:type="dxa"/>
        <w:top w:w="0" w:type="dxa"/>
        <w:right w:w="108" w:type="dxa"/>
        <w:bottom w:w="0" w:type="dxa"/>
      </w:tblCellMar>
    </w:tblPr>
  </w:style>
  <w:style w:type="table" w:styleId="863" w:customStyle="1">
    <w:name w:val="Grid Table 7 Colorful - Accent 4"/>
    <w:basedOn w:val="679"/>
    <w:uiPriority w:val="99"/>
    <w:qFormat/>
    <w:tblPr>
      <w:tblCellMar>
        <w:left w:w="108" w:type="dxa"/>
        <w:top w:w="0" w:type="dxa"/>
        <w:right w:w="108" w:type="dxa"/>
        <w:bottom w:w="0" w:type="dxa"/>
      </w:tblCellMar>
    </w:tblPr>
  </w:style>
  <w:style w:type="table" w:styleId="864" w:customStyle="1">
    <w:name w:val="Grid Table 7 Colorful - Accent 5"/>
    <w:basedOn w:val="679"/>
    <w:uiPriority w:val="99"/>
    <w:qFormat/>
    <w:tblPr>
      <w:tblCellMar>
        <w:left w:w="108" w:type="dxa"/>
        <w:top w:w="0" w:type="dxa"/>
        <w:right w:w="108" w:type="dxa"/>
        <w:bottom w:w="0" w:type="dxa"/>
      </w:tblCellMar>
    </w:tblPr>
  </w:style>
  <w:style w:type="table" w:styleId="865" w:customStyle="1">
    <w:name w:val="Grid Table 7 Colorful - Accent 6"/>
    <w:basedOn w:val="679"/>
    <w:uiPriority w:val="99"/>
    <w:qFormat/>
    <w:tblPr>
      <w:tblCellMar>
        <w:left w:w="108" w:type="dxa"/>
        <w:top w:w="0" w:type="dxa"/>
        <w:right w:w="108" w:type="dxa"/>
        <w:bottom w:w="0" w:type="dxa"/>
      </w:tblCellMar>
    </w:tblPr>
  </w:style>
  <w:style w:type="table" w:styleId="866" w:customStyle="1">
    <w:name w:val="List Table 1 Light"/>
    <w:basedOn w:val="679"/>
    <w:uiPriority w:val="99"/>
    <w:qFormat/>
    <w:tblPr>
      <w:tblCellMar>
        <w:left w:w="108" w:type="dxa"/>
        <w:top w:w="0" w:type="dxa"/>
        <w:right w:w="108" w:type="dxa"/>
        <w:bottom w:w="0" w:type="dxa"/>
      </w:tblCellMar>
    </w:tblPr>
  </w:style>
  <w:style w:type="table" w:styleId="867" w:customStyle="1">
    <w:name w:val="List Table 1 Light - Accent 1"/>
    <w:basedOn w:val="679"/>
    <w:uiPriority w:val="99"/>
    <w:qFormat/>
    <w:tblPr>
      <w:tblCellMar>
        <w:left w:w="108" w:type="dxa"/>
        <w:top w:w="0" w:type="dxa"/>
        <w:right w:w="108" w:type="dxa"/>
        <w:bottom w:w="0" w:type="dxa"/>
      </w:tblCellMar>
    </w:tblPr>
  </w:style>
  <w:style w:type="table" w:styleId="868" w:customStyle="1">
    <w:name w:val="List Table 1 Light - Accent 2"/>
    <w:basedOn w:val="679"/>
    <w:uiPriority w:val="99"/>
    <w:qFormat/>
    <w:tblPr>
      <w:tblCellMar>
        <w:left w:w="108" w:type="dxa"/>
        <w:top w:w="0" w:type="dxa"/>
        <w:right w:w="108" w:type="dxa"/>
        <w:bottom w:w="0" w:type="dxa"/>
      </w:tblCellMar>
    </w:tblPr>
  </w:style>
  <w:style w:type="table" w:styleId="869" w:customStyle="1">
    <w:name w:val="List Table 1 Light - Accent 3"/>
    <w:basedOn w:val="679"/>
    <w:uiPriority w:val="99"/>
    <w:qFormat/>
    <w:tblPr>
      <w:tblCellMar>
        <w:left w:w="108" w:type="dxa"/>
        <w:top w:w="0" w:type="dxa"/>
        <w:right w:w="108" w:type="dxa"/>
        <w:bottom w:w="0" w:type="dxa"/>
      </w:tblCellMar>
    </w:tblPr>
  </w:style>
  <w:style w:type="table" w:styleId="870" w:customStyle="1">
    <w:name w:val="List Table 1 Light - Accent 4"/>
    <w:basedOn w:val="679"/>
    <w:uiPriority w:val="99"/>
    <w:qFormat/>
    <w:tblPr>
      <w:tblCellMar>
        <w:left w:w="108" w:type="dxa"/>
        <w:top w:w="0" w:type="dxa"/>
        <w:right w:w="108" w:type="dxa"/>
        <w:bottom w:w="0" w:type="dxa"/>
      </w:tblCellMar>
    </w:tblPr>
  </w:style>
  <w:style w:type="table" w:styleId="871" w:customStyle="1">
    <w:name w:val="List Table 1 Light - Accent 5"/>
    <w:basedOn w:val="679"/>
    <w:uiPriority w:val="99"/>
    <w:qFormat/>
    <w:tblPr>
      <w:tblCellMar>
        <w:left w:w="108" w:type="dxa"/>
        <w:top w:w="0" w:type="dxa"/>
        <w:right w:w="108" w:type="dxa"/>
        <w:bottom w:w="0" w:type="dxa"/>
      </w:tblCellMar>
    </w:tblPr>
  </w:style>
  <w:style w:type="table" w:styleId="872" w:customStyle="1">
    <w:name w:val="List Table 1 Light - Accent 6"/>
    <w:basedOn w:val="679"/>
    <w:uiPriority w:val="99"/>
    <w:qFormat/>
    <w:tblPr>
      <w:tblCellMar>
        <w:left w:w="108" w:type="dxa"/>
        <w:top w:w="0" w:type="dxa"/>
        <w:right w:w="108" w:type="dxa"/>
        <w:bottom w:w="0" w:type="dxa"/>
      </w:tblCellMar>
    </w:tblPr>
  </w:style>
  <w:style w:type="table" w:styleId="873" w:customStyle="1">
    <w:name w:val="List Table 2"/>
    <w:basedOn w:val="679"/>
    <w:uiPriority w:val="99"/>
    <w:qFormat/>
    <w:tblPr>
      <w:tblCellMar>
        <w:left w:w="108" w:type="dxa"/>
        <w:top w:w="0" w:type="dxa"/>
        <w:right w:w="108" w:type="dxa"/>
        <w:bottom w:w="0" w:type="dxa"/>
      </w:tblCellMar>
    </w:tblPr>
  </w:style>
  <w:style w:type="table" w:styleId="874" w:customStyle="1">
    <w:name w:val="List Table 2 - Accent 1"/>
    <w:basedOn w:val="679"/>
    <w:uiPriority w:val="99"/>
    <w:qFormat/>
    <w:tblPr>
      <w:tblCellMar>
        <w:left w:w="108" w:type="dxa"/>
        <w:top w:w="0" w:type="dxa"/>
        <w:right w:w="108" w:type="dxa"/>
        <w:bottom w:w="0" w:type="dxa"/>
      </w:tblCellMar>
    </w:tblPr>
  </w:style>
  <w:style w:type="table" w:styleId="875" w:customStyle="1">
    <w:name w:val="List Table 2 - Accent 2"/>
    <w:basedOn w:val="679"/>
    <w:uiPriority w:val="99"/>
    <w:qFormat/>
    <w:tblPr>
      <w:tblCellMar>
        <w:left w:w="108" w:type="dxa"/>
        <w:top w:w="0" w:type="dxa"/>
        <w:right w:w="108" w:type="dxa"/>
        <w:bottom w:w="0" w:type="dxa"/>
      </w:tblCellMar>
    </w:tblPr>
  </w:style>
  <w:style w:type="table" w:styleId="876" w:customStyle="1">
    <w:name w:val="List Table 2 - Accent 3"/>
    <w:basedOn w:val="679"/>
    <w:uiPriority w:val="99"/>
    <w:qFormat/>
    <w:tblPr>
      <w:tblCellMar>
        <w:left w:w="108" w:type="dxa"/>
        <w:top w:w="0" w:type="dxa"/>
        <w:right w:w="108" w:type="dxa"/>
        <w:bottom w:w="0" w:type="dxa"/>
      </w:tblCellMar>
    </w:tblPr>
  </w:style>
  <w:style w:type="table" w:styleId="877" w:customStyle="1">
    <w:name w:val="List Table 2 - Accent 4"/>
    <w:basedOn w:val="679"/>
    <w:uiPriority w:val="99"/>
    <w:qFormat/>
    <w:tblPr>
      <w:tblCellMar>
        <w:left w:w="108" w:type="dxa"/>
        <w:top w:w="0" w:type="dxa"/>
        <w:right w:w="108" w:type="dxa"/>
        <w:bottom w:w="0" w:type="dxa"/>
      </w:tblCellMar>
    </w:tblPr>
  </w:style>
  <w:style w:type="table" w:styleId="878" w:customStyle="1">
    <w:name w:val="List Table 2 - Accent 5"/>
    <w:basedOn w:val="679"/>
    <w:uiPriority w:val="99"/>
    <w:qFormat/>
    <w:tblPr>
      <w:tblCellMar>
        <w:left w:w="108" w:type="dxa"/>
        <w:top w:w="0" w:type="dxa"/>
        <w:right w:w="108" w:type="dxa"/>
        <w:bottom w:w="0" w:type="dxa"/>
      </w:tblCellMar>
    </w:tblPr>
  </w:style>
  <w:style w:type="table" w:styleId="879" w:customStyle="1">
    <w:name w:val="List Table 2 - Accent 6"/>
    <w:basedOn w:val="679"/>
    <w:uiPriority w:val="99"/>
    <w:qFormat/>
    <w:tblPr>
      <w:tblCellMar>
        <w:left w:w="108" w:type="dxa"/>
        <w:top w:w="0" w:type="dxa"/>
        <w:right w:w="108" w:type="dxa"/>
        <w:bottom w:w="0" w:type="dxa"/>
      </w:tblCellMar>
    </w:tblPr>
  </w:style>
  <w:style w:type="table" w:styleId="880" w:customStyle="1">
    <w:name w:val="List Table 3"/>
    <w:basedOn w:val="679"/>
    <w:uiPriority w:val="99"/>
    <w:qFormat/>
    <w:tblPr>
      <w:tblCellMar>
        <w:left w:w="108" w:type="dxa"/>
        <w:top w:w="0" w:type="dxa"/>
        <w:right w:w="108" w:type="dxa"/>
        <w:bottom w:w="0" w:type="dxa"/>
      </w:tblCellMar>
    </w:tblPr>
  </w:style>
  <w:style w:type="table" w:styleId="881" w:customStyle="1">
    <w:name w:val="List Table 3 - Accent 1"/>
    <w:basedOn w:val="679"/>
    <w:uiPriority w:val="99"/>
    <w:qFormat/>
    <w:tblPr>
      <w:tblCellMar>
        <w:left w:w="108" w:type="dxa"/>
        <w:top w:w="0" w:type="dxa"/>
        <w:right w:w="108" w:type="dxa"/>
        <w:bottom w:w="0" w:type="dxa"/>
      </w:tblCellMar>
    </w:tblPr>
  </w:style>
  <w:style w:type="table" w:styleId="882" w:customStyle="1">
    <w:name w:val="List Table 3 - Accent 2"/>
    <w:basedOn w:val="679"/>
    <w:uiPriority w:val="99"/>
    <w:qFormat/>
    <w:tblPr>
      <w:tblCellMar>
        <w:left w:w="108" w:type="dxa"/>
        <w:top w:w="0" w:type="dxa"/>
        <w:right w:w="108" w:type="dxa"/>
        <w:bottom w:w="0" w:type="dxa"/>
      </w:tblCellMar>
    </w:tblPr>
  </w:style>
  <w:style w:type="table" w:styleId="883" w:customStyle="1">
    <w:name w:val="List Table 3 - Accent 3"/>
    <w:basedOn w:val="679"/>
    <w:uiPriority w:val="99"/>
    <w:qFormat/>
    <w:tblPr>
      <w:tblCellMar>
        <w:left w:w="108" w:type="dxa"/>
        <w:top w:w="0" w:type="dxa"/>
        <w:right w:w="108" w:type="dxa"/>
        <w:bottom w:w="0" w:type="dxa"/>
      </w:tblCellMar>
    </w:tblPr>
  </w:style>
  <w:style w:type="table" w:styleId="884" w:customStyle="1">
    <w:name w:val="List Table 3 - Accent 4"/>
    <w:basedOn w:val="679"/>
    <w:uiPriority w:val="99"/>
    <w:qFormat/>
    <w:tblPr>
      <w:tblCellMar>
        <w:left w:w="108" w:type="dxa"/>
        <w:top w:w="0" w:type="dxa"/>
        <w:right w:w="108" w:type="dxa"/>
        <w:bottom w:w="0" w:type="dxa"/>
      </w:tblCellMar>
    </w:tblPr>
  </w:style>
  <w:style w:type="table" w:styleId="885" w:customStyle="1">
    <w:name w:val="List Table 3 - Accent 5"/>
    <w:basedOn w:val="679"/>
    <w:uiPriority w:val="99"/>
    <w:qFormat/>
    <w:tblPr>
      <w:tblCellMar>
        <w:left w:w="108" w:type="dxa"/>
        <w:top w:w="0" w:type="dxa"/>
        <w:right w:w="108" w:type="dxa"/>
        <w:bottom w:w="0" w:type="dxa"/>
      </w:tblCellMar>
    </w:tblPr>
  </w:style>
  <w:style w:type="table" w:styleId="886" w:customStyle="1">
    <w:name w:val="List Table 3 - Accent 6"/>
    <w:basedOn w:val="679"/>
    <w:uiPriority w:val="99"/>
    <w:qFormat/>
    <w:tblPr>
      <w:tblCellMar>
        <w:left w:w="108" w:type="dxa"/>
        <w:top w:w="0" w:type="dxa"/>
        <w:right w:w="108" w:type="dxa"/>
        <w:bottom w:w="0" w:type="dxa"/>
      </w:tblCellMar>
    </w:tblPr>
  </w:style>
  <w:style w:type="table" w:styleId="887" w:customStyle="1">
    <w:name w:val="List Table 4"/>
    <w:basedOn w:val="679"/>
    <w:uiPriority w:val="99"/>
    <w:qFormat/>
    <w:tblPr>
      <w:tblCellMar>
        <w:left w:w="108" w:type="dxa"/>
        <w:top w:w="0" w:type="dxa"/>
        <w:right w:w="108" w:type="dxa"/>
        <w:bottom w:w="0" w:type="dxa"/>
      </w:tblCellMar>
    </w:tblPr>
  </w:style>
  <w:style w:type="table" w:styleId="888" w:customStyle="1">
    <w:name w:val="List Table 4 - Accent 1"/>
    <w:basedOn w:val="679"/>
    <w:uiPriority w:val="99"/>
    <w:qFormat/>
    <w:tblPr>
      <w:tblCellMar>
        <w:left w:w="108" w:type="dxa"/>
        <w:top w:w="0" w:type="dxa"/>
        <w:right w:w="108" w:type="dxa"/>
        <w:bottom w:w="0" w:type="dxa"/>
      </w:tblCellMar>
    </w:tblPr>
  </w:style>
  <w:style w:type="table" w:styleId="889" w:customStyle="1">
    <w:name w:val="List Table 4 - Accent 2"/>
    <w:basedOn w:val="679"/>
    <w:uiPriority w:val="99"/>
    <w:qFormat/>
    <w:tblPr>
      <w:tblCellMar>
        <w:left w:w="108" w:type="dxa"/>
        <w:top w:w="0" w:type="dxa"/>
        <w:right w:w="108" w:type="dxa"/>
        <w:bottom w:w="0" w:type="dxa"/>
      </w:tblCellMar>
    </w:tblPr>
  </w:style>
  <w:style w:type="table" w:styleId="890" w:customStyle="1">
    <w:name w:val="List Table 4 - Accent 3"/>
    <w:basedOn w:val="679"/>
    <w:uiPriority w:val="99"/>
    <w:qFormat/>
    <w:tblPr>
      <w:tblCellMar>
        <w:left w:w="108" w:type="dxa"/>
        <w:top w:w="0" w:type="dxa"/>
        <w:right w:w="108" w:type="dxa"/>
        <w:bottom w:w="0" w:type="dxa"/>
      </w:tblCellMar>
    </w:tblPr>
  </w:style>
  <w:style w:type="table" w:styleId="891" w:customStyle="1">
    <w:name w:val="List Table 4 - Accent 4"/>
    <w:basedOn w:val="679"/>
    <w:uiPriority w:val="99"/>
    <w:qFormat/>
    <w:tblPr>
      <w:tblCellMar>
        <w:left w:w="108" w:type="dxa"/>
        <w:top w:w="0" w:type="dxa"/>
        <w:right w:w="108" w:type="dxa"/>
        <w:bottom w:w="0" w:type="dxa"/>
      </w:tblCellMar>
    </w:tblPr>
  </w:style>
  <w:style w:type="table" w:styleId="892" w:customStyle="1">
    <w:name w:val="List Table 4 - Accent 5"/>
    <w:basedOn w:val="679"/>
    <w:uiPriority w:val="99"/>
    <w:qFormat/>
    <w:tblPr>
      <w:tblCellMar>
        <w:left w:w="108" w:type="dxa"/>
        <w:top w:w="0" w:type="dxa"/>
        <w:right w:w="108" w:type="dxa"/>
        <w:bottom w:w="0" w:type="dxa"/>
      </w:tblCellMar>
    </w:tblPr>
  </w:style>
  <w:style w:type="table" w:styleId="893" w:customStyle="1">
    <w:name w:val="List Table 4 - Accent 6"/>
    <w:basedOn w:val="679"/>
    <w:uiPriority w:val="99"/>
    <w:qFormat/>
    <w:tblPr>
      <w:tblCellMar>
        <w:left w:w="108" w:type="dxa"/>
        <w:top w:w="0" w:type="dxa"/>
        <w:right w:w="108" w:type="dxa"/>
        <w:bottom w:w="0" w:type="dxa"/>
      </w:tblCellMar>
    </w:tblPr>
  </w:style>
  <w:style w:type="table" w:styleId="894" w:customStyle="1">
    <w:name w:val="List Table 5 Dark"/>
    <w:basedOn w:val="679"/>
    <w:uiPriority w:val="99"/>
    <w:qFormat/>
    <w:tblPr>
      <w:tblCellMar>
        <w:left w:w="108" w:type="dxa"/>
        <w:top w:w="0" w:type="dxa"/>
        <w:right w:w="108" w:type="dxa"/>
        <w:bottom w:w="0" w:type="dxa"/>
      </w:tblCellMar>
    </w:tblPr>
  </w:style>
  <w:style w:type="table" w:styleId="895" w:customStyle="1">
    <w:name w:val="List Table 5 Dark - Accent 1"/>
    <w:basedOn w:val="679"/>
    <w:uiPriority w:val="99"/>
    <w:qFormat/>
    <w:tblPr>
      <w:tblCellMar>
        <w:left w:w="108" w:type="dxa"/>
        <w:top w:w="0" w:type="dxa"/>
        <w:right w:w="108" w:type="dxa"/>
        <w:bottom w:w="0" w:type="dxa"/>
      </w:tblCellMar>
    </w:tblPr>
  </w:style>
  <w:style w:type="table" w:styleId="896" w:customStyle="1">
    <w:name w:val="List Table 5 Dark - Accent 2"/>
    <w:basedOn w:val="679"/>
    <w:uiPriority w:val="99"/>
    <w:qFormat/>
    <w:tblPr>
      <w:tblCellMar>
        <w:left w:w="108" w:type="dxa"/>
        <w:top w:w="0" w:type="dxa"/>
        <w:right w:w="108" w:type="dxa"/>
        <w:bottom w:w="0" w:type="dxa"/>
      </w:tblCellMar>
    </w:tblPr>
  </w:style>
  <w:style w:type="table" w:styleId="897" w:customStyle="1">
    <w:name w:val="List Table 5 Dark - Accent 3"/>
    <w:basedOn w:val="679"/>
    <w:uiPriority w:val="99"/>
    <w:qFormat/>
    <w:tblPr>
      <w:tblCellMar>
        <w:left w:w="108" w:type="dxa"/>
        <w:top w:w="0" w:type="dxa"/>
        <w:right w:w="108" w:type="dxa"/>
        <w:bottom w:w="0" w:type="dxa"/>
      </w:tblCellMar>
    </w:tblPr>
  </w:style>
  <w:style w:type="table" w:styleId="898" w:customStyle="1">
    <w:name w:val="List Table 5 Dark - Accent 4"/>
    <w:basedOn w:val="679"/>
    <w:uiPriority w:val="99"/>
    <w:qFormat/>
    <w:tblPr>
      <w:tblCellMar>
        <w:left w:w="108" w:type="dxa"/>
        <w:top w:w="0" w:type="dxa"/>
        <w:right w:w="108" w:type="dxa"/>
        <w:bottom w:w="0" w:type="dxa"/>
      </w:tblCellMar>
    </w:tblPr>
  </w:style>
  <w:style w:type="table" w:styleId="899" w:customStyle="1">
    <w:name w:val="List Table 5 Dark - Accent 5"/>
    <w:basedOn w:val="679"/>
    <w:uiPriority w:val="99"/>
    <w:qFormat/>
    <w:tblPr>
      <w:tblCellMar>
        <w:left w:w="108" w:type="dxa"/>
        <w:top w:w="0" w:type="dxa"/>
        <w:right w:w="108" w:type="dxa"/>
        <w:bottom w:w="0" w:type="dxa"/>
      </w:tblCellMar>
    </w:tblPr>
  </w:style>
  <w:style w:type="table" w:styleId="900" w:customStyle="1">
    <w:name w:val="List Table 5 Dark - Accent 6"/>
    <w:basedOn w:val="679"/>
    <w:uiPriority w:val="99"/>
    <w:qFormat/>
    <w:tblPr>
      <w:tblCellMar>
        <w:left w:w="108" w:type="dxa"/>
        <w:top w:w="0" w:type="dxa"/>
        <w:right w:w="108" w:type="dxa"/>
        <w:bottom w:w="0" w:type="dxa"/>
      </w:tblCellMar>
    </w:tblPr>
  </w:style>
  <w:style w:type="table" w:styleId="901" w:customStyle="1">
    <w:name w:val="List Table 6 Colorful"/>
    <w:basedOn w:val="679"/>
    <w:uiPriority w:val="99"/>
    <w:qFormat/>
    <w:tblPr>
      <w:tblCellMar>
        <w:left w:w="108" w:type="dxa"/>
        <w:top w:w="0" w:type="dxa"/>
        <w:right w:w="108" w:type="dxa"/>
        <w:bottom w:w="0" w:type="dxa"/>
      </w:tblCellMar>
    </w:tblPr>
  </w:style>
  <w:style w:type="table" w:styleId="902" w:customStyle="1">
    <w:name w:val="List Table 6 Colorful - Accent 1"/>
    <w:basedOn w:val="679"/>
    <w:uiPriority w:val="99"/>
    <w:qFormat/>
    <w:tblPr>
      <w:tblCellMar>
        <w:left w:w="108" w:type="dxa"/>
        <w:top w:w="0" w:type="dxa"/>
        <w:right w:w="108" w:type="dxa"/>
        <w:bottom w:w="0" w:type="dxa"/>
      </w:tblCellMar>
    </w:tblPr>
  </w:style>
  <w:style w:type="table" w:styleId="903" w:customStyle="1">
    <w:name w:val="List Table 6 Colorful - Accent 2"/>
    <w:basedOn w:val="679"/>
    <w:uiPriority w:val="99"/>
    <w:qFormat/>
    <w:tblPr>
      <w:tblCellMar>
        <w:left w:w="108" w:type="dxa"/>
        <w:top w:w="0" w:type="dxa"/>
        <w:right w:w="108" w:type="dxa"/>
        <w:bottom w:w="0" w:type="dxa"/>
      </w:tblCellMar>
    </w:tblPr>
  </w:style>
  <w:style w:type="table" w:styleId="904" w:customStyle="1">
    <w:name w:val="List Table 6 Colorful - Accent 3"/>
    <w:basedOn w:val="679"/>
    <w:uiPriority w:val="99"/>
    <w:qFormat/>
    <w:tblPr>
      <w:tblCellMar>
        <w:left w:w="108" w:type="dxa"/>
        <w:top w:w="0" w:type="dxa"/>
        <w:right w:w="108" w:type="dxa"/>
        <w:bottom w:w="0" w:type="dxa"/>
      </w:tblCellMar>
    </w:tblPr>
  </w:style>
  <w:style w:type="table" w:styleId="905" w:customStyle="1">
    <w:name w:val="List Table 6 Colorful - Accent 4"/>
    <w:basedOn w:val="679"/>
    <w:uiPriority w:val="99"/>
    <w:qFormat/>
    <w:tblPr>
      <w:tblCellMar>
        <w:left w:w="108" w:type="dxa"/>
        <w:top w:w="0" w:type="dxa"/>
        <w:right w:w="108" w:type="dxa"/>
        <w:bottom w:w="0" w:type="dxa"/>
      </w:tblCellMar>
    </w:tblPr>
  </w:style>
  <w:style w:type="table" w:styleId="906" w:customStyle="1">
    <w:name w:val="List Table 6 Colorful - Accent 5"/>
    <w:basedOn w:val="679"/>
    <w:uiPriority w:val="99"/>
    <w:qFormat/>
    <w:tblPr>
      <w:tblCellMar>
        <w:left w:w="108" w:type="dxa"/>
        <w:top w:w="0" w:type="dxa"/>
        <w:right w:w="108" w:type="dxa"/>
        <w:bottom w:w="0" w:type="dxa"/>
      </w:tblCellMar>
    </w:tblPr>
  </w:style>
  <w:style w:type="table" w:styleId="907" w:customStyle="1">
    <w:name w:val="List Table 6 Colorful - Accent 6"/>
    <w:basedOn w:val="679"/>
    <w:uiPriority w:val="99"/>
    <w:qFormat/>
    <w:tblPr>
      <w:tblCellMar>
        <w:left w:w="108" w:type="dxa"/>
        <w:top w:w="0" w:type="dxa"/>
        <w:right w:w="108" w:type="dxa"/>
        <w:bottom w:w="0" w:type="dxa"/>
      </w:tblCellMar>
    </w:tblPr>
  </w:style>
  <w:style w:type="table" w:styleId="908" w:customStyle="1">
    <w:name w:val="List Table 7 Colorful"/>
    <w:basedOn w:val="679"/>
    <w:uiPriority w:val="99"/>
    <w:qFormat/>
    <w:tblPr>
      <w:tblCellMar>
        <w:left w:w="108" w:type="dxa"/>
        <w:top w:w="0" w:type="dxa"/>
        <w:right w:w="108" w:type="dxa"/>
        <w:bottom w:w="0" w:type="dxa"/>
      </w:tblCellMar>
    </w:tblPr>
  </w:style>
  <w:style w:type="table" w:styleId="909" w:customStyle="1">
    <w:name w:val="List Table 7 Colorful - Accent 1"/>
    <w:basedOn w:val="679"/>
    <w:uiPriority w:val="99"/>
    <w:qFormat/>
    <w:tblPr>
      <w:tblCellMar>
        <w:left w:w="108" w:type="dxa"/>
        <w:top w:w="0" w:type="dxa"/>
        <w:right w:w="108" w:type="dxa"/>
        <w:bottom w:w="0" w:type="dxa"/>
      </w:tblCellMar>
    </w:tblPr>
  </w:style>
  <w:style w:type="table" w:styleId="910" w:customStyle="1">
    <w:name w:val="List Table 7 Colorful - Accent 2"/>
    <w:basedOn w:val="679"/>
    <w:uiPriority w:val="99"/>
    <w:qFormat/>
    <w:tblPr>
      <w:tblCellMar>
        <w:left w:w="108" w:type="dxa"/>
        <w:top w:w="0" w:type="dxa"/>
        <w:right w:w="108" w:type="dxa"/>
        <w:bottom w:w="0" w:type="dxa"/>
      </w:tblCellMar>
    </w:tblPr>
  </w:style>
  <w:style w:type="table" w:styleId="911" w:customStyle="1">
    <w:name w:val="List Table 7 Colorful - Accent 3"/>
    <w:basedOn w:val="679"/>
    <w:uiPriority w:val="99"/>
    <w:qFormat/>
    <w:tblPr>
      <w:tblCellMar>
        <w:left w:w="108" w:type="dxa"/>
        <w:top w:w="0" w:type="dxa"/>
        <w:right w:w="108" w:type="dxa"/>
        <w:bottom w:w="0" w:type="dxa"/>
      </w:tblCellMar>
    </w:tblPr>
  </w:style>
  <w:style w:type="table" w:styleId="912" w:customStyle="1">
    <w:name w:val="List Table 7 Colorful - Accent 4"/>
    <w:basedOn w:val="679"/>
    <w:uiPriority w:val="99"/>
    <w:qFormat/>
    <w:tblPr>
      <w:tblCellMar>
        <w:left w:w="108" w:type="dxa"/>
        <w:top w:w="0" w:type="dxa"/>
        <w:right w:w="108" w:type="dxa"/>
        <w:bottom w:w="0" w:type="dxa"/>
      </w:tblCellMar>
    </w:tblPr>
  </w:style>
  <w:style w:type="table" w:styleId="913" w:customStyle="1">
    <w:name w:val="List Table 7 Colorful - Accent 5"/>
    <w:basedOn w:val="679"/>
    <w:uiPriority w:val="99"/>
    <w:qFormat/>
    <w:tblPr>
      <w:tblCellMar>
        <w:left w:w="108" w:type="dxa"/>
        <w:top w:w="0" w:type="dxa"/>
        <w:right w:w="108" w:type="dxa"/>
        <w:bottom w:w="0" w:type="dxa"/>
      </w:tblCellMar>
    </w:tblPr>
  </w:style>
  <w:style w:type="table" w:styleId="914" w:customStyle="1">
    <w:name w:val="List Table 7 Colorful - Accent 6"/>
    <w:basedOn w:val="679"/>
    <w:uiPriority w:val="99"/>
    <w:qFormat/>
    <w:tblPr>
      <w:tblCellMar>
        <w:left w:w="108" w:type="dxa"/>
        <w:top w:w="0" w:type="dxa"/>
        <w:right w:w="108" w:type="dxa"/>
        <w:bottom w:w="0" w:type="dxa"/>
      </w:tblCellMar>
    </w:tblPr>
  </w:style>
  <w:style w:type="table" w:styleId="915" w:customStyle="1">
    <w:name w:val="Lined - Accent"/>
    <w:basedOn w:val="679"/>
    <w:uiPriority w:val="99"/>
    <w:qFormat/>
    <w:rPr>
      <w:color w:val="404040"/>
    </w:rPr>
    <w:tblPr>
      <w:tblCellMar>
        <w:left w:w="108" w:type="dxa"/>
        <w:top w:w="0" w:type="dxa"/>
        <w:right w:w="108" w:type="dxa"/>
        <w:bottom w:w="0" w:type="dxa"/>
      </w:tblCellMar>
    </w:tblPr>
  </w:style>
  <w:style w:type="table" w:styleId="916" w:customStyle="1">
    <w:name w:val="Lined - Accent 1"/>
    <w:basedOn w:val="679"/>
    <w:uiPriority w:val="99"/>
    <w:qFormat/>
    <w:rPr>
      <w:color w:val="404040"/>
    </w:rPr>
    <w:tblPr>
      <w:tblCellMar>
        <w:left w:w="108" w:type="dxa"/>
        <w:top w:w="0" w:type="dxa"/>
        <w:right w:w="108" w:type="dxa"/>
        <w:bottom w:w="0" w:type="dxa"/>
      </w:tblCellMar>
    </w:tblPr>
  </w:style>
  <w:style w:type="table" w:styleId="917" w:customStyle="1">
    <w:name w:val="Lined - Accent 2"/>
    <w:basedOn w:val="679"/>
    <w:uiPriority w:val="99"/>
    <w:qFormat/>
    <w:rPr>
      <w:color w:val="404040"/>
    </w:rPr>
    <w:tblPr>
      <w:tblCellMar>
        <w:left w:w="108" w:type="dxa"/>
        <w:top w:w="0" w:type="dxa"/>
        <w:right w:w="108" w:type="dxa"/>
        <w:bottom w:w="0" w:type="dxa"/>
      </w:tblCellMar>
    </w:tblPr>
  </w:style>
  <w:style w:type="table" w:styleId="918" w:customStyle="1">
    <w:name w:val="Lined - Accent 3"/>
    <w:basedOn w:val="679"/>
    <w:uiPriority w:val="99"/>
    <w:qFormat/>
    <w:rPr>
      <w:color w:val="404040"/>
    </w:rPr>
    <w:tblPr>
      <w:tblCellMar>
        <w:left w:w="108" w:type="dxa"/>
        <w:top w:w="0" w:type="dxa"/>
        <w:right w:w="108" w:type="dxa"/>
        <w:bottom w:w="0" w:type="dxa"/>
      </w:tblCellMar>
    </w:tblPr>
  </w:style>
  <w:style w:type="table" w:styleId="919" w:customStyle="1">
    <w:name w:val="Lined - Accent 4"/>
    <w:basedOn w:val="679"/>
    <w:uiPriority w:val="99"/>
    <w:qFormat/>
    <w:rPr>
      <w:color w:val="404040"/>
    </w:rPr>
    <w:tblPr>
      <w:tblCellMar>
        <w:left w:w="108" w:type="dxa"/>
        <w:top w:w="0" w:type="dxa"/>
        <w:right w:w="108" w:type="dxa"/>
        <w:bottom w:w="0" w:type="dxa"/>
      </w:tblCellMar>
    </w:tblPr>
  </w:style>
  <w:style w:type="table" w:styleId="920" w:customStyle="1">
    <w:name w:val="Lined - Accent 5"/>
    <w:basedOn w:val="679"/>
    <w:uiPriority w:val="99"/>
    <w:qFormat/>
    <w:rPr>
      <w:color w:val="404040"/>
    </w:rPr>
    <w:tblPr>
      <w:tblCellMar>
        <w:left w:w="108" w:type="dxa"/>
        <w:top w:w="0" w:type="dxa"/>
        <w:right w:w="108" w:type="dxa"/>
        <w:bottom w:w="0" w:type="dxa"/>
      </w:tblCellMar>
    </w:tblPr>
  </w:style>
  <w:style w:type="table" w:styleId="921" w:customStyle="1">
    <w:name w:val="Lined - Accent 6"/>
    <w:basedOn w:val="679"/>
    <w:uiPriority w:val="99"/>
    <w:qFormat/>
    <w:rPr>
      <w:color w:val="404040"/>
    </w:rPr>
    <w:tblPr>
      <w:tblCellMar>
        <w:left w:w="108" w:type="dxa"/>
        <w:top w:w="0" w:type="dxa"/>
        <w:right w:w="108" w:type="dxa"/>
        <w:bottom w:w="0" w:type="dxa"/>
      </w:tblCellMar>
    </w:tblPr>
  </w:style>
  <w:style w:type="table" w:styleId="922" w:customStyle="1">
    <w:name w:val="Bordered &amp; Lined - Accent"/>
    <w:basedOn w:val="679"/>
    <w:uiPriority w:val="99"/>
    <w:qFormat/>
    <w:rPr>
      <w:color w:val="404040"/>
    </w:rPr>
    <w:tblPr>
      <w:tblCellMar>
        <w:left w:w="108" w:type="dxa"/>
        <w:top w:w="0" w:type="dxa"/>
        <w:right w:w="108" w:type="dxa"/>
        <w:bottom w:w="0" w:type="dxa"/>
      </w:tblCellMar>
    </w:tblPr>
  </w:style>
  <w:style w:type="table" w:styleId="923" w:customStyle="1">
    <w:name w:val="Bordered &amp; Lined - Accent 1"/>
    <w:basedOn w:val="679"/>
    <w:uiPriority w:val="99"/>
    <w:qFormat/>
    <w:rPr>
      <w:color w:val="404040"/>
    </w:rPr>
    <w:tblPr>
      <w:tblCellMar>
        <w:left w:w="108" w:type="dxa"/>
        <w:top w:w="0" w:type="dxa"/>
        <w:right w:w="108" w:type="dxa"/>
        <w:bottom w:w="0" w:type="dxa"/>
      </w:tblCellMar>
    </w:tblPr>
  </w:style>
  <w:style w:type="table" w:styleId="924" w:customStyle="1">
    <w:name w:val="Bordered &amp; Lined - Accent 2"/>
    <w:basedOn w:val="679"/>
    <w:uiPriority w:val="99"/>
    <w:qFormat/>
    <w:rPr>
      <w:color w:val="404040"/>
    </w:rPr>
    <w:tblPr>
      <w:tblCellMar>
        <w:left w:w="108" w:type="dxa"/>
        <w:top w:w="0" w:type="dxa"/>
        <w:right w:w="108" w:type="dxa"/>
        <w:bottom w:w="0" w:type="dxa"/>
      </w:tblCellMar>
    </w:tblPr>
  </w:style>
  <w:style w:type="table" w:styleId="925" w:customStyle="1">
    <w:name w:val="Bordered &amp; Lined - Accent 3"/>
    <w:basedOn w:val="679"/>
    <w:uiPriority w:val="99"/>
    <w:qFormat/>
    <w:rPr>
      <w:color w:val="404040"/>
    </w:rPr>
    <w:tblPr>
      <w:tblCellMar>
        <w:left w:w="108" w:type="dxa"/>
        <w:top w:w="0" w:type="dxa"/>
        <w:right w:w="108" w:type="dxa"/>
        <w:bottom w:w="0" w:type="dxa"/>
      </w:tblCellMar>
    </w:tblPr>
  </w:style>
  <w:style w:type="table" w:styleId="926" w:customStyle="1">
    <w:name w:val="Bordered &amp; Lined - Accent 4"/>
    <w:basedOn w:val="679"/>
    <w:uiPriority w:val="99"/>
    <w:qFormat/>
    <w:rPr>
      <w:color w:val="404040"/>
    </w:rPr>
    <w:tblPr>
      <w:tblCellMar>
        <w:left w:w="108" w:type="dxa"/>
        <w:top w:w="0" w:type="dxa"/>
        <w:right w:w="108" w:type="dxa"/>
        <w:bottom w:w="0" w:type="dxa"/>
      </w:tblCellMar>
    </w:tblPr>
  </w:style>
  <w:style w:type="table" w:styleId="927" w:customStyle="1">
    <w:name w:val="Bordered &amp; Lined - Accent 5"/>
    <w:basedOn w:val="679"/>
    <w:uiPriority w:val="99"/>
    <w:qFormat/>
    <w:rPr>
      <w:color w:val="404040"/>
    </w:rPr>
    <w:tblPr>
      <w:tblCellMar>
        <w:left w:w="108" w:type="dxa"/>
        <w:top w:w="0" w:type="dxa"/>
        <w:right w:w="108" w:type="dxa"/>
        <w:bottom w:w="0" w:type="dxa"/>
      </w:tblCellMar>
    </w:tblPr>
  </w:style>
  <w:style w:type="table" w:styleId="928" w:customStyle="1">
    <w:name w:val="Bordered &amp; Lined - Accent 6"/>
    <w:basedOn w:val="679"/>
    <w:uiPriority w:val="99"/>
    <w:qFormat/>
    <w:rPr>
      <w:color w:val="404040"/>
    </w:rPr>
    <w:tblPr>
      <w:tblCellMar>
        <w:left w:w="108" w:type="dxa"/>
        <w:top w:w="0" w:type="dxa"/>
        <w:right w:w="108" w:type="dxa"/>
        <w:bottom w:w="0" w:type="dxa"/>
      </w:tblCellMar>
    </w:tblPr>
  </w:style>
  <w:style w:type="table" w:styleId="929" w:customStyle="1">
    <w:name w:val="Bordered"/>
    <w:basedOn w:val="679"/>
    <w:uiPriority w:val="99"/>
    <w:qFormat/>
    <w:tblPr>
      <w:tblCellMar>
        <w:left w:w="108" w:type="dxa"/>
        <w:top w:w="0" w:type="dxa"/>
        <w:right w:w="108" w:type="dxa"/>
        <w:bottom w:w="0" w:type="dxa"/>
      </w:tblCellMar>
    </w:tblPr>
  </w:style>
  <w:style w:type="table" w:styleId="930" w:customStyle="1">
    <w:name w:val="Bordered - Accent 1"/>
    <w:basedOn w:val="679"/>
    <w:uiPriority w:val="99"/>
    <w:qFormat/>
    <w:tblPr>
      <w:tblCellMar>
        <w:left w:w="108" w:type="dxa"/>
        <w:top w:w="0" w:type="dxa"/>
        <w:right w:w="108" w:type="dxa"/>
        <w:bottom w:w="0" w:type="dxa"/>
      </w:tblCellMar>
    </w:tblPr>
  </w:style>
  <w:style w:type="table" w:styleId="931" w:customStyle="1">
    <w:name w:val="Bordered - Accent 2"/>
    <w:basedOn w:val="679"/>
    <w:uiPriority w:val="99"/>
    <w:qFormat/>
    <w:tblPr>
      <w:tblCellMar>
        <w:left w:w="108" w:type="dxa"/>
        <w:top w:w="0" w:type="dxa"/>
        <w:right w:w="108" w:type="dxa"/>
        <w:bottom w:w="0" w:type="dxa"/>
      </w:tblCellMar>
    </w:tblPr>
  </w:style>
  <w:style w:type="table" w:styleId="932" w:customStyle="1">
    <w:name w:val="Bordered - Accent 3"/>
    <w:basedOn w:val="679"/>
    <w:uiPriority w:val="99"/>
    <w:qFormat/>
    <w:tblPr>
      <w:tblCellMar>
        <w:left w:w="108" w:type="dxa"/>
        <w:top w:w="0" w:type="dxa"/>
        <w:right w:w="108" w:type="dxa"/>
        <w:bottom w:w="0" w:type="dxa"/>
      </w:tblCellMar>
    </w:tblPr>
  </w:style>
  <w:style w:type="table" w:styleId="933" w:customStyle="1">
    <w:name w:val="Bordered - Accent 4"/>
    <w:basedOn w:val="679"/>
    <w:uiPriority w:val="99"/>
    <w:qFormat/>
    <w:tblPr>
      <w:tblCellMar>
        <w:left w:w="108" w:type="dxa"/>
        <w:top w:w="0" w:type="dxa"/>
        <w:right w:w="108" w:type="dxa"/>
        <w:bottom w:w="0" w:type="dxa"/>
      </w:tblCellMar>
    </w:tblPr>
  </w:style>
  <w:style w:type="table" w:styleId="934" w:customStyle="1">
    <w:name w:val="Bordered - Accent 5"/>
    <w:basedOn w:val="679"/>
    <w:uiPriority w:val="99"/>
    <w:qFormat/>
    <w:tblPr>
      <w:tblCellMar>
        <w:left w:w="108" w:type="dxa"/>
        <w:top w:w="0" w:type="dxa"/>
        <w:right w:w="108" w:type="dxa"/>
        <w:bottom w:w="0" w:type="dxa"/>
      </w:tblCellMar>
    </w:tblPr>
  </w:style>
  <w:style w:type="table" w:styleId="935" w:customStyle="1">
    <w:name w:val="Bordered - Accent 6"/>
    <w:basedOn w:val="679"/>
    <w:uiPriority w:val="99"/>
    <w:qFormat/>
    <w:tblPr>
      <w:tblCellMar>
        <w:left w:w="108" w:type="dxa"/>
        <w:top w:w="0" w:type="dxa"/>
        <w:right w:w="108" w:type="dxa"/>
        <w:bottom w:w="0" w:type="dxa"/>
      </w:tblCellMar>
    </w:tblPr>
  </w:style>
  <w:style w:type="paragraph" w:styleId="936" w:customStyle="1">
    <w:name w:val="TOC Heading"/>
    <w:uiPriority w:val="39"/>
    <w:unhideWhenUsed/>
    <w:qFormat/>
    <w:rPr>
      <w:rFonts w:ascii="Times New Roman" w:hAnsi="Times New Roman" w:eastAsia="宋体" w:cs="Times New Roman"/>
      <w:lang w:val="en-US" w:eastAsia="zh-CN" w:bidi="ar-SA"/>
    </w:rPr>
  </w:style>
  <w:style w:type="character" w:styleId="937" w:customStyle="1">
    <w:name w:val="标题 1 字符"/>
    <w:link w:val="938"/>
    <w:uiPriority w:val="0"/>
    <w:qFormat/>
    <w:rPr>
      <w:b/>
      <w:bCs/>
      <w:sz w:val="32"/>
      <w:szCs w:val="44"/>
    </w:rPr>
  </w:style>
  <w:style w:type="paragraph" w:styleId="938" w:customStyle="1">
    <w:name w:val="标题 11"/>
    <w:basedOn w:val="668"/>
    <w:next w:val="668"/>
    <w:link w:val="937"/>
    <w:uiPriority w:val="0"/>
    <w:qFormat/>
    <w:pPr>
      <w:keepLines/>
      <w:keepNext/>
      <w:spacing w:before="340" w:after="330" w:line="578" w:lineRule="auto"/>
      <w:outlineLvl w:val="0"/>
    </w:pPr>
    <w:rPr>
      <w:b/>
      <w:bCs/>
      <w:sz w:val="32"/>
      <w:szCs w:val="44"/>
    </w:rPr>
  </w:style>
  <w:style w:type="character" w:styleId="939" w:customStyle="1">
    <w:name w:val="111111 Char"/>
    <w:link w:val="940"/>
    <w:uiPriority w:val="0"/>
    <w:qFormat/>
    <w:rPr>
      <w:rFonts w:ascii="宋体" w:hAnsi="宋体" w:eastAsia="黑体" w:cs="宋体"/>
      <w:b/>
      <w:bCs/>
      <w:sz w:val="21"/>
      <w:szCs w:val="21"/>
      <w:lang w:val="en-US" w:eastAsia="zh-CN" w:bidi="ar-SA"/>
    </w:rPr>
  </w:style>
  <w:style w:type="paragraph" w:styleId="940" w:customStyle="1">
    <w:name w:val="111111"/>
    <w:basedOn w:val="668"/>
    <w:link w:val="939"/>
    <w:uiPriority w:val="0"/>
    <w:qFormat/>
    <w:pPr>
      <w:jc w:val="center"/>
      <w:spacing w:before="120" w:after="120"/>
    </w:pPr>
    <w:rPr>
      <w:rFonts w:ascii="宋体" w:hAnsi="宋体" w:eastAsia="黑体" w:cs="宋体"/>
      <w:b/>
      <w:bCs/>
      <w:szCs w:val="21"/>
    </w:rPr>
  </w:style>
  <w:style w:type="character" w:styleId="941" w:customStyle="1">
    <w:name w:val="样式 非加粗"/>
    <w:uiPriority w:val="0"/>
    <w:qFormat/>
    <w:rPr>
      <w:rFonts w:eastAsia="宋体"/>
      <w:sz w:val="28"/>
    </w:rPr>
  </w:style>
  <w:style w:type="character" w:styleId="942" w:customStyle="1">
    <w:name w:val="case31"/>
    <w:uiPriority w:val="0"/>
    <w:qFormat/>
    <w:rPr>
      <w:sz w:val="21"/>
      <w:szCs w:val="21"/>
    </w:rPr>
  </w:style>
  <w:style w:type="character" w:styleId="943" w:customStyle="1">
    <w:name w:val="小四 段落 宋体 Char Char Char Char Char Char"/>
    <w:uiPriority w:val="0"/>
    <w:qFormat/>
    <w:rPr>
      <w:rFonts w:eastAsia="宋体"/>
      <w:sz w:val="24"/>
      <w:szCs w:val="24"/>
      <w:lang w:val="en-US" w:eastAsia="zh-CN" w:bidi="ar-SA"/>
    </w:rPr>
  </w:style>
  <w:style w:type="character" w:styleId="944" w:customStyle="1">
    <w:name w:val="华宇段落1 Char Char"/>
    <w:uiPriority w:val="0"/>
    <w:qFormat/>
    <w:rPr>
      <w:rFonts w:eastAsia="宋体"/>
      <w:bCs/>
      <w:sz w:val="24"/>
      <w:szCs w:val="24"/>
      <w:lang w:val="en-US" w:eastAsia="zh-CN" w:bidi="ar-SA"/>
    </w:rPr>
  </w:style>
  <w:style w:type="character" w:styleId="945" w:customStyle="1">
    <w:name w:val="Char Char24"/>
    <w:uiPriority w:val="0"/>
    <w:qFormat/>
    <w:rPr>
      <w:b/>
      <w:bCs/>
      <w:sz w:val="28"/>
      <w:szCs w:val="28"/>
    </w:rPr>
  </w:style>
  <w:style w:type="character" w:styleId="946" w:customStyle="1">
    <w:name w:val="para_small"/>
    <w:uiPriority w:val="0"/>
    <w:qFormat/>
  </w:style>
  <w:style w:type="character" w:styleId="947" w:customStyle="1">
    <w:name w:val="listbenefit"/>
    <w:uiPriority w:val="0"/>
    <w:qFormat/>
  </w:style>
  <w:style w:type="character" w:styleId="948" w:customStyle="1">
    <w:name w:val="小四 段落 宋体 Char Char Char Char1"/>
    <w:uiPriority w:val="0"/>
    <w:qFormat/>
    <w:rPr>
      <w:rFonts w:eastAsia="宋体"/>
      <w:sz w:val="24"/>
      <w:szCs w:val="24"/>
      <w:lang w:val="en-US" w:eastAsia="zh-CN" w:bidi="ar-SA"/>
    </w:rPr>
  </w:style>
  <w:style w:type="character" w:styleId="949" w:customStyle="1">
    <w:name w:val="textcontents"/>
    <w:uiPriority w:val="0"/>
    <w:qFormat/>
  </w:style>
  <w:style w:type="character" w:styleId="950" w:customStyle="1">
    <w:name w:val="Char Char25"/>
    <w:uiPriority w:val="0"/>
    <w:qFormat/>
    <w:rPr>
      <w:rFonts w:ascii="Arial" w:hAnsi="Arial" w:eastAsia="黑体"/>
      <w:b/>
      <w:sz w:val="28"/>
    </w:rPr>
  </w:style>
  <w:style w:type="character" w:styleId="951" w:customStyle="1">
    <w:name w:val="param-value"/>
    <w:uiPriority w:val="0"/>
    <w:qFormat/>
  </w:style>
  <w:style w:type="character" w:styleId="952" w:customStyle="1">
    <w:name w:val="Book Title"/>
    <w:uiPriority w:val="0"/>
    <w:qFormat/>
    <w:rPr>
      <w:i/>
      <w:iCs/>
      <w:smallCaps/>
      <w:spacing w:val="5"/>
    </w:rPr>
  </w:style>
  <w:style w:type="character" w:styleId="953" w:customStyle="1">
    <w:name w:val="已访问的超链接1"/>
    <w:uiPriority w:val="0"/>
    <w:qFormat/>
    <w:rPr>
      <w:color w:val="000000"/>
      <w:u w:val="none"/>
    </w:rPr>
  </w:style>
  <w:style w:type="character" w:styleId="954" w:customStyle="1">
    <w:name w:val="Subtle Reference"/>
    <w:uiPriority w:val="0"/>
    <w:qFormat/>
    <w:rPr>
      <w:smallCaps/>
    </w:rPr>
  </w:style>
  <w:style w:type="character" w:styleId="955" w:customStyle="1">
    <w:name w:val="华宇段落1 Char Char Char"/>
    <w:uiPriority w:val="0"/>
    <w:qFormat/>
    <w:rPr>
      <w:rFonts w:eastAsia="宋体"/>
      <w:bCs/>
      <w:sz w:val="24"/>
      <w:szCs w:val="24"/>
      <w:lang w:val="en-US" w:eastAsia="zh-CN" w:bidi="ar-SA"/>
    </w:rPr>
  </w:style>
  <w:style w:type="character" w:styleId="956" w:customStyle="1">
    <w:name w:val="标题 3 Char"/>
    <w:uiPriority w:val="0"/>
    <w:qFormat/>
    <w:rPr>
      <w:rFonts w:ascii="宋体" w:hAnsi="宋体" w:eastAsia="宋体"/>
      <w:b/>
      <w:bCs/>
      <w:sz w:val="24"/>
      <w:szCs w:val="32"/>
      <w:lang w:val="en-US" w:eastAsia="zh-CN" w:bidi="ar-SA"/>
    </w:rPr>
  </w:style>
  <w:style w:type="character" w:styleId="957" w:customStyle="1">
    <w:name w:val="style13"/>
    <w:uiPriority w:val="0"/>
    <w:qFormat/>
    <w:rPr>
      <w:sz w:val="18"/>
      <w:szCs w:val="18"/>
    </w:rPr>
  </w:style>
  <w:style w:type="character" w:styleId="958" w:customStyle="1">
    <w:name w:val="Char Char27"/>
    <w:uiPriority w:val="0"/>
    <w:qFormat/>
    <w:rPr>
      <w:b/>
      <w:bCs/>
      <w:sz w:val="44"/>
      <w:szCs w:val="44"/>
    </w:rPr>
  </w:style>
  <w:style w:type="character" w:styleId="959" w:customStyle="1">
    <w:name w:val="Char Char28"/>
    <w:uiPriority w:val="0"/>
    <w:qFormat/>
    <w:rPr>
      <w:rFonts w:ascii="Arial" w:hAnsi="Arial" w:eastAsia="黑体" w:cs="Arial"/>
      <w:b/>
      <w:bCs/>
      <w:sz w:val="32"/>
      <w:szCs w:val="32"/>
    </w:rPr>
  </w:style>
  <w:style w:type="character" w:styleId="960" w:customStyle="1">
    <w:name w:val="style131"/>
    <w:uiPriority w:val="0"/>
    <w:qFormat/>
    <w:rPr>
      <w:rFonts w:cs="Times New Roman"/>
      <w:sz w:val="18"/>
      <w:szCs w:val="18"/>
    </w:rPr>
  </w:style>
  <w:style w:type="character" w:styleId="961" w:customStyle="1">
    <w:name w:val="concon"/>
    <w:uiPriority w:val="0"/>
    <w:qFormat/>
  </w:style>
  <w:style w:type="character" w:styleId="962" w:customStyle="1">
    <w:name w:val="subtitle1"/>
    <w:uiPriority w:val="0"/>
    <w:qFormat/>
    <w:rPr>
      <w:rFonts w:ascii="Georgia" w:hAnsi="Georgia"/>
      <w:b/>
      <w:bCs/>
      <w:color w:val="666666"/>
      <w:sz w:val="18"/>
      <w:szCs w:val="18"/>
    </w:rPr>
  </w:style>
  <w:style w:type="character" w:styleId="96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64" w:customStyle="1">
    <w:name w:val="纯文本 Char1"/>
    <w:uiPriority w:val="0"/>
    <w:qFormat/>
    <w:rPr>
      <w:rFonts w:ascii="宋体" w:hAnsi="Courier New" w:cs="Courier New"/>
      <w:sz w:val="21"/>
      <w:szCs w:val="21"/>
    </w:rPr>
  </w:style>
  <w:style w:type="character" w:styleId="965" w:customStyle="1">
    <w:name w:val="小四 段落 宋体 Char Char Char Char Char"/>
    <w:uiPriority w:val="0"/>
    <w:qFormat/>
    <w:rPr>
      <w:rFonts w:eastAsia="宋体"/>
      <w:sz w:val="24"/>
      <w:szCs w:val="24"/>
      <w:lang w:val="en-US" w:eastAsia="zh-CN" w:bidi="ar-SA"/>
    </w:rPr>
  </w:style>
  <w:style w:type="character" w:styleId="966" w:customStyle="1">
    <w:name w:val="t1"/>
    <w:uiPriority w:val="0"/>
    <w:qFormat/>
  </w:style>
  <w:style w:type="character" w:styleId="967" w:customStyle="1">
    <w:name w:val="Title1 Char"/>
    <w:uiPriority w:val="0"/>
    <w:qFormat/>
    <w:rPr>
      <w:rFonts w:eastAsia="宋体"/>
      <w:b/>
      <w:bCs/>
      <w:sz w:val="44"/>
      <w:szCs w:val="44"/>
      <w:lang w:val="en-US" w:eastAsia="zh-CN" w:bidi="ar-SA"/>
    </w:rPr>
  </w:style>
  <w:style w:type="character" w:styleId="968" w:customStyle="1">
    <w:name w:val="2nd level Char"/>
    <w:uiPriority w:val="0"/>
    <w:qFormat/>
    <w:rPr>
      <w:rFonts w:ascii="Arial" w:hAnsi="Arial" w:eastAsia="黑体"/>
      <w:b/>
      <w:bCs/>
      <w:sz w:val="32"/>
      <w:szCs w:val="32"/>
      <w:lang w:val="en-US" w:eastAsia="zh-CN" w:bidi="ar-SA"/>
    </w:rPr>
  </w:style>
  <w:style w:type="character" w:styleId="969" w:customStyle="1">
    <w:name w:val="彩色列表 - 强调文字颜色 1 Char"/>
    <w:link w:val="970"/>
    <w:uiPriority w:val="0"/>
    <w:qFormat/>
    <w:rPr>
      <w:rFonts w:ascii="Calibri" w:hAnsi="Calibri"/>
      <w:sz w:val="21"/>
      <w:szCs w:val="22"/>
    </w:rPr>
  </w:style>
  <w:style w:type="paragraph" w:styleId="970" w:customStyle="1">
    <w:name w:val="彩色列表 - 强调文字颜色 11"/>
    <w:basedOn w:val="668"/>
    <w:link w:val="969"/>
    <w:uiPriority w:val="0"/>
    <w:qFormat/>
    <w:pPr>
      <w:ind w:firstLine="420"/>
    </w:pPr>
    <w:rPr>
      <w:rFonts w:ascii="Calibri" w:hAnsi="Calibri"/>
      <w:szCs w:val="22"/>
    </w:rPr>
  </w:style>
  <w:style w:type="character" w:styleId="971" w:customStyle="1">
    <w:name w:val="ih151"/>
    <w:uiPriority w:val="0"/>
    <w:qFormat/>
    <w:rPr>
      <w:color w:val="666666"/>
      <w:sz w:val="18"/>
      <w:szCs w:val="18"/>
      <w:u w:val="none"/>
    </w:rPr>
  </w:style>
  <w:style w:type="character" w:styleId="972" w:customStyle="1">
    <w:name w:val="Char Char26"/>
    <w:uiPriority w:val="0"/>
    <w:qFormat/>
    <w:rPr>
      <w:b/>
      <w:bCs/>
      <w:sz w:val="32"/>
      <w:szCs w:val="32"/>
    </w:rPr>
  </w:style>
  <w:style w:type="character" w:styleId="973" w:customStyle="1">
    <w:name w:val="标题 Char1"/>
    <w:uiPriority w:val="0"/>
    <w:qFormat/>
    <w:rPr>
      <w:rFonts w:ascii="Cambria" w:eastAsia="宋体" w:cs="Times New Roman"/>
      <w:b/>
      <w:bCs/>
      <w:sz w:val="32"/>
      <w:szCs w:val="32"/>
    </w:rPr>
  </w:style>
  <w:style w:type="character" w:styleId="974" w:customStyle="1">
    <w:name w:val="纯文本 Char Char"/>
    <w:uiPriority w:val="0"/>
    <w:qFormat/>
    <w:rPr>
      <w:rFonts w:ascii="宋体" w:hAnsi="Courier New" w:eastAsia="宋体"/>
      <w:sz w:val="21"/>
      <w:szCs w:val="21"/>
      <w:lang w:val="en-US" w:eastAsia="zh-CN" w:bidi="ar-SA"/>
    </w:rPr>
  </w:style>
  <w:style w:type="character" w:styleId="975" w:customStyle="1">
    <w:name w:val="Char Char2"/>
    <w:uiPriority w:val="0"/>
    <w:qFormat/>
    <w:rPr>
      <w:rFonts w:ascii="宋体" w:hAnsi="Courier New" w:eastAsia="宋体"/>
      <w:sz w:val="21"/>
      <w:szCs w:val="21"/>
      <w:lang w:val="en-US" w:eastAsia="zh-CN" w:bidi="ar-SA"/>
    </w:rPr>
  </w:style>
  <w:style w:type="character" w:styleId="976" w:customStyle="1">
    <w:name w:val="Char Char23"/>
    <w:uiPriority w:val="0"/>
    <w:qFormat/>
    <w:rPr>
      <w:rFonts w:ascii="Arial" w:hAnsi="Arial" w:eastAsia="黑体"/>
      <w:b/>
      <w:bCs/>
      <w:sz w:val="24"/>
      <w:szCs w:val="24"/>
    </w:rPr>
  </w:style>
  <w:style w:type="character" w:styleId="977" w:customStyle="1">
    <w:name w:val="表格抬头 Char"/>
    <w:link w:val="978"/>
    <w:uiPriority w:val="0"/>
    <w:qFormat/>
    <w:rPr>
      <w:rFonts w:ascii="黑体" w:eastAsia="黑体"/>
      <w:b/>
      <w:sz w:val="21"/>
      <w:lang w:bidi="ar-SA"/>
    </w:rPr>
  </w:style>
  <w:style w:type="paragraph" w:styleId="978" w:customStyle="1">
    <w:name w:val="表格抬头"/>
    <w:basedOn w:val="668"/>
    <w:link w:val="977"/>
    <w:uiPriority w:val="0"/>
    <w:qFormat/>
    <w:pPr>
      <w:jc w:val="center"/>
    </w:pPr>
    <w:rPr>
      <w:rFonts w:ascii="黑体" w:eastAsia="黑体"/>
      <w:b/>
    </w:rPr>
  </w:style>
  <w:style w:type="character" w:styleId="979" w:customStyle="1">
    <w:name w:val="样式 首行缩进:  2 字符 Char Char"/>
    <w:link w:val="980"/>
    <w:uiPriority w:val="0"/>
    <w:qFormat/>
    <w:rPr>
      <w:rFonts w:eastAsia="宋体" w:cs="宋体"/>
      <w:sz w:val="24"/>
      <w:lang w:val="en-US" w:eastAsia="zh-CN" w:bidi="ar-SA"/>
    </w:rPr>
  </w:style>
  <w:style w:type="paragraph" w:styleId="980" w:customStyle="1">
    <w:name w:val="样式 首行缩进:  2 字符"/>
    <w:basedOn w:val="668"/>
    <w:link w:val="979"/>
    <w:uiPriority w:val="0"/>
    <w:qFormat/>
    <w:pPr>
      <w:ind w:firstLine="480"/>
      <w:spacing w:line="360" w:lineRule="auto"/>
    </w:pPr>
    <w:rPr>
      <w:rFonts w:cs="宋体"/>
      <w:sz w:val="24"/>
    </w:rPr>
  </w:style>
  <w:style w:type="character" w:styleId="981" w:customStyle="1">
    <w:name w:val="apple-converted-space"/>
    <w:uiPriority w:val="0"/>
    <w:qFormat/>
  </w:style>
  <w:style w:type="character" w:styleId="982" w:customStyle="1">
    <w:name w:val="A2"/>
    <w:uiPriority w:val="0"/>
    <w:qFormat/>
    <w:rPr>
      <w:rFonts w:cs="Helvetica LT Pro"/>
      <w:color w:val="000000"/>
      <w:sz w:val="18"/>
      <w:szCs w:val="18"/>
    </w:rPr>
  </w:style>
  <w:style w:type="character" w:styleId="983" w:customStyle="1">
    <w:name w:val="h Char Char"/>
    <w:uiPriority w:val="0"/>
    <w:qFormat/>
    <w:rPr>
      <w:rFonts w:eastAsia="宋体"/>
      <w:sz w:val="18"/>
      <w:szCs w:val="18"/>
      <w:lang w:val="en-US" w:eastAsia="zh-CN" w:bidi="ar-SA"/>
    </w:rPr>
  </w:style>
  <w:style w:type="character" w:styleId="984" w:customStyle="1">
    <w:name w:val="小四 段落 宋体 Char Char Char1"/>
    <w:uiPriority w:val="0"/>
    <w:qFormat/>
    <w:rPr>
      <w:rFonts w:ascii="宋体" w:hAnsi="宋体" w:eastAsia="宋体"/>
      <w:sz w:val="24"/>
      <w:szCs w:val="24"/>
      <w:lang w:val="en-US" w:eastAsia="zh-CN" w:bidi="ar-SA"/>
    </w:rPr>
  </w:style>
  <w:style w:type="character" w:styleId="985" w:customStyle="1">
    <w:name w:val="标准小四 Char Char"/>
    <w:uiPriority w:val="0"/>
    <w:qFormat/>
    <w:rPr>
      <w:rFonts w:ascii="Arial" w:hAnsi="Arial" w:eastAsia="宋体"/>
      <w:sz w:val="24"/>
      <w:szCs w:val="21"/>
      <w:lang w:val="en-US" w:eastAsia="zh-CN" w:bidi="ar-SA"/>
    </w:rPr>
  </w:style>
  <w:style w:type="character" w:styleId="986" w:customStyle="1">
    <w:name w:val="标准小四 Char"/>
    <w:uiPriority w:val="0"/>
    <w:qFormat/>
    <w:rPr>
      <w:rFonts w:ascii="Arial" w:hAnsi="Arial" w:eastAsia="宋体"/>
      <w:sz w:val="24"/>
      <w:szCs w:val="21"/>
      <w:lang w:val="en-US" w:eastAsia="zh-CN" w:bidi="ar-SA"/>
    </w:rPr>
  </w:style>
  <w:style w:type="character" w:styleId="987" w:customStyle="1">
    <w:name w:val="point_normal1"/>
    <w:uiPriority w:val="0"/>
    <w:qFormat/>
    <w:rPr>
      <w:rFonts w:ascii="Arial" w:hAnsi="Arial" w:cs="Arial"/>
      <w:sz w:val="18"/>
      <w:szCs w:val="18"/>
    </w:rPr>
  </w:style>
  <w:style w:type="character" w:styleId="988" w:customStyle="1">
    <w:name w:val="Char Char21"/>
    <w:uiPriority w:val="0"/>
    <w:qFormat/>
    <w:rPr>
      <w:rFonts w:ascii="Arial" w:hAnsi="Arial" w:eastAsia="黑体"/>
      <w:sz w:val="24"/>
      <w:szCs w:val="24"/>
    </w:rPr>
  </w:style>
  <w:style w:type="character" w:styleId="989" w:customStyle="1">
    <w:name w:val="content_lineheight1"/>
    <w:uiPriority w:val="0"/>
    <w:qFormat/>
  </w:style>
  <w:style w:type="character" w:styleId="990" w:customStyle="1">
    <w:name w:val="content"/>
    <w:uiPriority w:val="0"/>
    <w:qFormat/>
  </w:style>
  <w:style w:type="character" w:styleId="991" w:customStyle="1">
    <w:name w:val="小四 段落 宋体 Char1"/>
    <w:uiPriority w:val="0"/>
    <w:qFormat/>
    <w:rPr>
      <w:rFonts w:eastAsia="宋体"/>
      <w:sz w:val="24"/>
      <w:szCs w:val="24"/>
      <w:lang w:val="en-US" w:eastAsia="zh-CN" w:bidi="ar-SA"/>
    </w:rPr>
  </w:style>
  <w:style w:type="character" w:styleId="992" w:customStyle="1">
    <w:name w:val="标准文本 Char Char"/>
    <w:uiPriority w:val="0"/>
    <w:qFormat/>
    <w:rPr>
      <w:rFonts w:eastAsia="宋体" w:cs="宋体"/>
      <w:sz w:val="24"/>
      <w:szCs w:val="24"/>
      <w:lang w:val="en-US" w:eastAsia="zh-CN" w:bidi="ar-SA"/>
    </w:rPr>
  </w:style>
  <w:style w:type="character" w:styleId="993" w:customStyle="1">
    <w:name w:val="3zw"/>
    <w:uiPriority w:val="0"/>
    <w:qFormat/>
  </w:style>
  <w:style w:type="character" w:styleId="994" w:customStyle="1">
    <w:name w:val="正文缩进 Char1"/>
    <w:link w:val="995"/>
    <w:uiPriority w:val="0"/>
    <w:qFormat/>
    <w:rPr>
      <w:rFonts w:eastAsia="宋体"/>
      <w:lang w:bidi="ar-SA"/>
    </w:rPr>
  </w:style>
  <w:style w:type="paragraph" w:styleId="995" w:customStyle="1">
    <w:name w:val="Normal Indent0"/>
    <w:basedOn w:val="668"/>
    <w:link w:val="994"/>
    <w:uiPriority w:val="0"/>
    <w:qFormat/>
    <w:pPr>
      <w:ind w:firstLine="420"/>
    </w:pPr>
    <w:rPr>
      <w:sz w:val="20"/>
    </w:rPr>
  </w:style>
  <w:style w:type="character" w:styleId="996" w:customStyle="1">
    <w:name w:val="纯文本 Char Char Char1"/>
    <w:uiPriority w:val="0"/>
    <w:qFormat/>
    <w:rPr>
      <w:rFonts w:ascii="宋体" w:hAnsi="Courier New" w:eastAsia="宋体"/>
      <w:sz w:val="21"/>
      <w:szCs w:val="21"/>
      <w:lang w:val="en-US" w:eastAsia="zh-CN" w:bidi="ar-SA"/>
    </w:rPr>
  </w:style>
  <w:style w:type="character" w:styleId="997" w:customStyle="1">
    <w:name w:val="Char Char20"/>
    <w:uiPriority w:val="0"/>
    <w:qFormat/>
    <w:rPr>
      <w:rFonts w:ascii="Arial" w:hAnsi="Arial" w:eastAsia="黑体"/>
      <w:sz w:val="21"/>
      <w:szCs w:val="21"/>
    </w:rPr>
  </w:style>
  <w:style w:type="character" w:styleId="998" w:customStyle="1">
    <w:name w:val="Subtle Emphasis"/>
    <w:uiPriority w:val="0"/>
    <w:qFormat/>
    <w:rPr>
      <w:i/>
      <w:iCs/>
    </w:rPr>
  </w:style>
  <w:style w:type="character" w:styleId="999" w:customStyle="1">
    <w:name w:val="小四 段落 宋体 Char Char Char Char Char Char Char Char"/>
    <w:uiPriority w:val="0"/>
    <w:qFormat/>
    <w:rPr>
      <w:rFonts w:eastAsia="宋体"/>
      <w:sz w:val="24"/>
      <w:szCs w:val="24"/>
      <w:lang w:val="en-US" w:eastAsia="zh-CN" w:bidi="ar-SA"/>
    </w:rPr>
  </w:style>
  <w:style w:type="character" w:styleId="1000" w:customStyle="1">
    <w:name w:val="Intense Emphasis"/>
    <w:uiPriority w:val="0"/>
    <w:qFormat/>
    <w:rPr>
      <w:b/>
      <w:bCs/>
    </w:rPr>
  </w:style>
  <w:style w:type="character" w:styleId="1001" w:customStyle="1">
    <w:name w:val="Intense Reference"/>
    <w:uiPriority w:val="0"/>
    <w:qFormat/>
    <w:rPr>
      <w:smallCaps/>
      <w:spacing w:val="5"/>
      <w:u w:val="single"/>
    </w:rPr>
  </w:style>
  <w:style w:type="character" w:styleId="1002" w:customStyle="1">
    <w:name w:val="标准文本 Char"/>
    <w:uiPriority w:val="0"/>
    <w:qFormat/>
    <w:rPr>
      <w:rFonts w:eastAsia="宋体" w:cs="宋体"/>
      <w:sz w:val="24"/>
      <w:szCs w:val="24"/>
      <w:lang w:val="en-US" w:eastAsia="zh-CN" w:bidi="ar-SA"/>
    </w:rPr>
  </w:style>
  <w:style w:type="character" w:styleId="1003" w:customStyle="1">
    <w:name w:val="标题 3 Char Char"/>
    <w:uiPriority w:val="0"/>
    <w:qFormat/>
    <w:rPr>
      <w:rFonts w:eastAsia="方正仿宋_GB2312"/>
      <w:b/>
      <w:bCs/>
      <w:sz w:val="28"/>
      <w:szCs w:val="32"/>
      <w:lang w:val="en-US" w:eastAsia="zh-CN" w:bidi="ar-SA"/>
    </w:rPr>
  </w:style>
  <w:style w:type="character" w:styleId="1004" w:customStyle="1">
    <w:name w:val="Char Char22"/>
    <w:uiPriority w:val="0"/>
    <w:qFormat/>
    <w:rPr>
      <w:b/>
      <w:bCs/>
      <w:sz w:val="24"/>
      <w:szCs w:val="24"/>
    </w:rPr>
  </w:style>
  <w:style w:type="character" w:styleId="1005" w:customStyle="1">
    <w:name w:val="Char Char17"/>
    <w:uiPriority w:val="0"/>
    <w:qFormat/>
    <w:rPr>
      <w:rFonts w:ascii="宋体" w:hAnsi="Courier New"/>
      <w:sz w:val="21"/>
      <w:szCs w:val="21"/>
    </w:rPr>
  </w:style>
  <w:style w:type="character" w:styleId="1006" w:customStyle="1">
    <w:name w:val="样式 宋体 小四"/>
    <w:uiPriority w:val="0"/>
    <w:qFormat/>
    <w:rPr>
      <w:rFonts w:ascii="宋体" w:hAnsi="宋体"/>
      <w:sz w:val="24"/>
    </w:rPr>
  </w:style>
  <w:style w:type="character" w:styleId="1007" w:customStyle="1">
    <w:name w:val="Char Char29"/>
    <w:uiPriority w:val="0"/>
    <w:qFormat/>
    <w:rPr>
      <w:rFonts w:ascii="Times New Roman" w:hAnsi="Times New Roman" w:eastAsia="宋体" w:cs="Times New Roman"/>
      <w:b/>
      <w:bCs/>
      <w:sz w:val="44"/>
      <w:szCs w:val="44"/>
    </w:rPr>
  </w:style>
  <w:style w:type="character" w:styleId="1008" w:customStyle="1">
    <w:name w:val="normalfont1"/>
    <w:uiPriority w:val="0"/>
    <w:qFormat/>
    <w:rPr>
      <w:rFonts w:ascii="DejaVu Math TeX Gyre" w:hAnsi="DejaVu Math TeX Gyre"/>
      <w:sz w:val="18"/>
      <w:szCs w:val="18"/>
      <w:u w:val="none"/>
    </w:rPr>
  </w:style>
  <w:style w:type="character" w:styleId="1009" w:customStyle="1">
    <w:name w:val="title_emph1"/>
    <w:uiPriority w:val="0"/>
    <w:qFormat/>
    <w:rPr>
      <w:rFonts w:ascii="Arial" w:cs="Arial"/>
      <w:b/>
      <w:bCs/>
      <w:sz w:val="18"/>
      <w:szCs w:val="18"/>
    </w:rPr>
  </w:style>
  <w:style w:type="character" w:styleId="1010" w:customStyle="1">
    <w:name w:val="正文 + 宋体 Char"/>
    <w:uiPriority w:val="0"/>
    <w:qFormat/>
    <w:rPr>
      <w:rFonts w:eastAsia="宋体"/>
      <w:sz w:val="21"/>
      <w:szCs w:val="24"/>
      <w:lang w:val="en-US" w:eastAsia="zh-CN" w:bidi="ar-SA"/>
    </w:rPr>
  </w:style>
  <w:style w:type="character" w:styleId="1011" w:customStyle="1">
    <w:name w:val="普通文字1 Char"/>
    <w:uiPriority w:val="0"/>
    <w:qFormat/>
    <w:rPr>
      <w:rFonts w:ascii="宋体" w:eastAsia="宋体"/>
      <w:sz w:val="21"/>
      <w:szCs w:val="21"/>
      <w:lang w:val="en-US" w:eastAsia="zh-CN" w:bidi="ar-SA"/>
    </w:rPr>
  </w:style>
  <w:style w:type="character" w:styleId="1012" w:customStyle="1">
    <w:name w:val="新图表正文 Char Char"/>
    <w:link w:val="1013"/>
    <w:uiPriority w:val="0"/>
    <w:qFormat/>
    <w:rPr>
      <w:rFonts w:ascii="宋体" w:hAnsi="宋体"/>
      <w:sz w:val="18"/>
      <w:szCs w:val="21"/>
      <w:lang w:val="en-US" w:eastAsia="zh-CN" w:bidi="ar-SA"/>
    </w:rPr>
  </w:style>
  <w:style w:type="paragraph" w:styleId="1013" w:customStyle="1">
    <w:name w:val="新图表正文"/>
    <w:link w:val="1012"/>
    <w:uiPriority w:val="0"/>
    <w:qFormat/>
    <w:pPr>
      <w:jc w:val="both"/>
    </w:pPr>
    <w:rPr>
      <w:rFonts w:ascii="宋体" w:hAnsi="宋体" w:eastAsia="宋体" w:cs="Times New Roman"/>
      <w:sz w:val="18"/>
      <w:szCs w:val="21"/>
      <w:lang w:val="en-US" w:eastAsia="zh-CN" w:bidi="ar-SA"/>
    </w:rPr>
  </w:style>
  <w:style w:type="character" w:styleId="1014" w:customStyle="1">
    <w:name w:val="样式 首行缩进:  2 字符 Char"/>
    <w:uiPriority w:val="0"/>
    <w:qFormat/>
    <w:rPr>
      <w:rFonts w:eastAsia="宋体" w:cs="宋体"/>
      <w:sz w:val="24"/>
      <w:lang w:val="en-US" w:eastAsia="zh-CN" w:bidi="ar-SA"/>
    </w:rPr>
  </w:style>
  <w:style w:type="character" w:styleId="1015" w:customStyle="1">
    <w:name w:val="纯文本 Char Char Char"/>
    <w:uiPriority w:val="0"/>
    <w:qFormat/>
    <w:rPr>
      <w:rFonts w:ascii="宋体" w:hAnsi="Courier New" w:eastAsia="宋体"/>
      <w:sz w:val="21"/>
      <w:szCs w:val="21"/>
      <w:lang w:val="en-US" w:eastAsia="zh-CN" w:bidi="ar-SA"/>
    </w:rPr>
  </w:style>
  <w:style w:type="character" w:styleId="1016" w:customStyle="1">
    <w:name w:val="特点 Char1"/>
    <w:uiPriority w:val="0"/>
    <w:qFormat/>
    <w:rPr>
      <w:rFonts w:eastAsia="宋体"/>
      <w:sz w:val="21"/>
      <w:lang w:val="en-US" w:eastAsia="zh-CN" w:bidi="ar-SA"/>
    </w:rPr>
  </w:style>
  <w:style w:type="paragraph" w:styleId="1017" w:customStyle="1">
    <w:name w:val="Char"/>
    <w:basedOn w:val="668"/>
    <w:uiPriority w:val="0"/>
    <w:qFormat/>
    <w:pPr>
      <w:spacing w:after="156" w:line="360" w:lineRule="auto"/>
    </w:pPr>
    <w:rPr>
      <w:rFonts w:ascii="Tahoma" w:hAnsi="Tahoma"/>
      <w:sz w:val="24"/>
    </w:rPr>
  </w:style>
  <w:style w:type="paragraph" w:styleId="101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19" w:customStyle="1">
    <w:name w:val="样式 样式 标题 3H3sect1.2.3BOD 0Heading 3 - oldh3l3CTLevel 3 Head... +..."/>
    <w:basedOn w:val="668"/>
    <w:uiPriority w:val="0"/>
    <w:qFormat/>
    <w:pPr>
      <w:jc w:val="left"/>
      <w:keepLines/>
      <w:keepNext/>
      <w:spacing w:before="156" w:after="156"/>
      <w:outlineLvl w:val="2"/>
    </w:pPr>
    <w:rPr>
      <w:rFonts w:cs="宋体"/>
      <w:b/>
      <w:bCs/>
      <w:sz w:val="24"/>
    </w:rPr>
  </w:style>
  <w:style w:type="paragraph" w:styleId="1020" w:customStyle="1">
    <w:name w:val="Body Text 20"/>
    <w:basedOn w:val="668"/>
    <w:uiPriority w:val="0"/>
    <w:qFormat/>
    <w:pPr>
      <w:ind w:left="720" w:hanging="720"/>
      <w:widowControl/>
    </w:pPr>
    <w:rPr>
      <w:sz w:val="24"/>
      <w:lang w:val="en-GB"/>
    </w:rPr>
  </w:style>
  <w:style w:type="paragraph" w:styleId="1021" w:customStyle="1">
    <w:name w:val="默认段落字体 Para Char Char Char Char Char Char Char Char Char1 Char Char Char Char Char Char Char"/>
    <w:basedOn w:val="691"/>
    <w:uiPriority w:val="0"/>
    <w:qFormat/>
  </w:style>
  <w:style w:type="paragraph" w:styleId="1022" w:customStyle="1">
    <w:name w:val="Normal1"/>
    <w:basedOn w:val="668"/>
    <w:uiPriority w:val="0"/>
    <w:qFormat/>
    <w:rPr>
      <w:rFonts w:ascii="Calibri" w:hAnsi="Calibri" w:eastAsia="Calibri" w:cs="宋体"/>
      <w:lang w:val="zh-CN"/>
    </w:rPr>
  </w:style>
  <w:style w:type="paragraph" w:styleId="1023" w:customStyle="1">
    <w:name w:val="xl46"/>
    <w:basedOn w:val="66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24" w:customStyle="1">
    <w:name w:val="Char Char Char Char Char Char Char Char Char Char Char Char Char Char Char Char Char Char Char Char Char Char Char"/>
    <w:basedOn w:val="668"/>
    <w:uiPriority w:val="0"/>
    <w:qFormat/>
    <w:rPr>
      <w:rFonts w:ascii="Tahoma" w:hAnsi="Tahoma"/>
      <w:sz w:val="24"/>
    </w:rPr>
  </w:style>
  <w:style w:type="paragraph" w:styleId="1025" w:customStyle="1">
    <w:name w:val="马刚标题1"/>
    <w:basedOn w:val="669"/>
    <w:next w:val="668"/>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26" w:customStyle="1">
    <w:name w:val="7"/>
    <w:basedOn w:val="668"/>
    <w:next w:val="728"/>
    <w:uiPriority w:val="0"/>
    <w:qFormat/>
    <w:pPr>
      <w:jc w:val="left"/>
      <w:spacing w:before="100" w:beforeAutospacing="1" w:after="100" w:afterAutospacing="1"/>
      <w:widowControl/>
    </w:pPr>
    <w:rPr>
      <w:rFonts w:ascii="宋体" w:hAnsi="宋体"/>
      <w:sz w:val="24"/>
    </w:rPr>
  </w:style>
  <w:style w:type="paragraph" w:styleId="1027" w:customStyle="1">
    <w:name w:val="样式 样式 首行缩进:  2 字符 + 行距: 1.5 倍行距"/>
    <w:basedOn w:val="668"/>
    <w:uiPriority w:val="0"/>
    <w:qFormat/>
    <w:pPr>
      <w:ind w:firstLine="470"/>
      <w:spacing w:line="360" w:lineRule="auto"/>
    </w:pPr>
    <w:rPr>
      <w:sz w:val="24"/>
    </w:rPr>
  </w:style>
  <w:style w:type="paragraph" w:styleId="1028" w:customStyle="1">
    <w:name w:val="xl44"/>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29" w:customStyle="1">
    <w:name w:val="中等深浅网格 1 - 强调文字颜色 21"/>
    <w:basedOn w:val="668"/>
    <w:uiPriority w:val="0"/>
    <w:qFormat/>
    <w:pPr>
      <w:ind w:firstLine="420"/>
    </w:pPr>
    <w:rPr>
      <w:rFonts w:ascii="Calibri" w:hAnsi="Calibri"/>
      <w:szCs w:val="22"/>
    </w:rPr>
  </w:style>
  <w:style w:type="paragraph" w:styleId="1030" w:customStyle="1">
    <w:name w:val="greytypebeni"/>
    <w:basedOn w:val="668"/>
    <w:uiPriority w:val="0"/>
    <w:qFormat/>
    <w:pPr>
      <w:jc w:val="left"/>
      <w:widowControl/>
    </w:pPr>
    <w:rPr>
      <w:rFonts w:ascii="宋体" w:hAnsi="宋体" w:cs="宋体"/>
      <w:sz w:val="24"/>
      <w:szCs w:val="24"/>
    </w:rPr>
  </w:style>
  <w:style w:type="paragraph" w:styleId="1031" w:customStyle="1">
    <w:name w:val="font14"/>
    <w:basedOn w:val="668"/>
    <w:uiPriority w:val="0"/>
    <w:qFormat/>
    <w:pPr>
      <w:jc w:val="left"/>
      <w:spacing w:before="100" w:beforeAutospacing="1" w:after="100" w:afterAutospacing="1"/>
      <w:widowControl/>
    </w:pPr>
    <w:rPr>
      <w:sz w:val="36"/>
      <w:szCs w:val="36"/>
    </w:rPr>
  </w:style>
  <w:style w:type="paragraph" w:styleId="1032" w:customStyle="1">
    <w:name w:val="xl3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3" w:customStyle="1">
    <w:name w:val="Char Char Char Char Char Char Char Char Char Char Char Char Char Char"/>
    <w:basedOn w:val="668"/>
    <w:uiPriority w:val="0"/>
    <w:qFormat/>
    <w:rPr>
      <w:rFonts w:ascii="Tahoma" w:hAnsi="Tahoma"/>
      <w:sz w:val="24"/>
    </w:rPr>
  </w:style>
  <w:style w:type="paragraph" w:styleId="1034" w:customStyle="1">
    <w:name w:val="标准小四"/>
    <w:basedOn w:val="668"/>
    <w:uiPriority w:val="0"/>
    <w:qFormat/>
    <w:pPr>
      <w:ind w:firstLine="480"/>
      <w:spacing w:line="360" w:lineRule="auto"/>
    </w:pPr>
    <w:rPr>
      <w:rFonts w:ascii="Arial" w:hAnsi="Arial"/>
      <w:sz w:val="24"/>
      <w:szCs w:val="21"/>
    </w:rPr>
  </w:style>
  <w:style w:type="paragraph" w:styleId="1035" w:customStyle="1">
    <w:name w:val="样式 段后: 0.25 行"/>
    <w:basedOn w:val="668"/>
    <w:uiPriority w:val="0"/>
    <w:qFormat/>
    <w:pPr>
      <w:ind w:firstLine="420"/>
      <w:jc w:val="left"/>
      <w:spacing w:after="78" w:line="300" w:lineRule="auto"/>
      <w:widowControl/>
    </w:pPr>
    <w:rPr>
      <w:rFonts w:ascii="Arial" w:hAnsi="Arial" w:cs="宋体"/>
      <w:sz w:val="22"/>
      <w:lang w:eastAsia="en-US" w:bidi="en-US"/>
    </w:rPr>
  </w:style>
  <w:style w:type="paragraph" w:styleId="1036" w:customStyle="1">
    <w:name w:val="Char Char1"/>
    <w:basedOn w:val="668"/>
    <w:uiPriority w:val="0"/>
    <w:qFormat/>
    <w:rPr>
      <w:rFonts w:ascii="Tahoma" w:hAnsi="Tahoma"/>
      <w:sz w:val="24"/>
    </w:rPr>
  </w:style>
  <w:style w:type="paragraph" w:styleId="1037" w:customStyle="1">
    <w:name w:val="样式3"/>
    <w:basedOn w:val="668"/>
    <w:next w:val="668"/>
    <w:uiPriority w:val="0"/>
    <w:qFormat/>
    <w:pPr>
      <w:spacing w:line="360" w:lineRule="auto"/>
    </w:pPr>
  </w:style>
  <w:style w:type="paragraph" w:styleId="1038" w:customStyle="1">
    <w:name w:val="_Style 42"/>
    <w:basedOn w:val="668"/>
    <w:next w:val="696"/>
    <w:uiPriority w:val="0"/>
    <w:qFormat/>
    <w:rPr>
      <w:rFonts w:ascii="方正楷体_GB2312" w:hAnsi="Arial" w:eastAsia="方正楷体_GB2312"/>
      <w:sz w:val="28"/>
    </w:rPr>
  </w:style>
  <w:style w:type="paragraph" w:styleId="1039" w:customStyle="1">
    <w:name w:val="Char1 Char Char Char"/>
    <w:basedOn w:val="668"/>
    <w:uiPriority w:val="0"/>
    <w:qFormat/>
    <w:rPr>
      <w:rFonts w:ascii="Tahoma" w:hAnsi="Tahoma" w:cs="Tahoma"/>
      <w:sz w:val="24"/>
    </w:rPr>
  </w:style>
  <w:style w:type="paragraph" w:styleId="1040"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41" w:customStyle="1">
    <w:name w:val="Char Char1 Char Char Char Char"/>
    <w:basedOn w:val="691"/>
    <w:uiPriority w:val="0"/>
    <w:qFormat/>
    <w:pPr>
      <w:ind w:left="357"/>
      <w:jc w:val="left"/>
      <w:spacing w:line="436" w:lineRule="exact"/>
      <w:outlineLvl w:val="3"/>
    </w:pPr>
    <w:rPr>
      <w:rFonts w:ascii="Tahoma" w:hAnsi="Tahoma" w:cs="Tahoma"/>
      <w:b/>
      <w:sz w:val="24"/>
      <w:szCs w:val="24"/>
    </w:rPr>
  </w:style>
  <w:style w:type="paragraph" w:styleId="1042" w:customStyle="1">
    <w:name w:val="标题 4宋体"/>
    <w:basedOn w:val="672"/>
    <w:uiPriority w:val="0"/>
    <w:qFormat/>
    <w:pPr>
      <w:jc w:val="left"/>
      <w:keepLines w:val="0"/>
      <w:spacing w:before="0" w:after="0" w:line="360" w:lineRule="auto"/>
    </w:pPr>
    <w:rPr>
      <w:rFonts w:ascii="宋体" w:hAnsi="宋体" w:eastAsia="宋体"/>
      <w:bCs/>
      <w:color w:val="000000"/>
      <w:sz w:val="24"/>
    </w:rPr>
  </w:style>
  <w:style w:type="paragraph" w:styleId="1043" w:customStyle="1">
    <w:name w:val="xl57"/>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44" w:customStyle="1">
    <w:name w:val="Char Char Char Char Char Char Char Char Char Char Char Char Char Char Char Char Char Char Char Char Char"/>
    <w:basedOn w:val="668"/>
    <w:uiPriority w:val="0"/>
    <w:qFormat/>
    <w:rPr>
      <w:rFonts w:ascii="Tahoma" w:hAnsi="Tahoma" w:cs="Tahoma"/>
      <w:sz w:val="24"/>
    </w:rPr>
  </w:style>
  <w:style w:type="paragraph" w:styleId="1045" w:customStyle="1">
    <w:name w:val="xl45"/>
    <w:basedOn w:val="66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46" w:customStyle="1">
    <w:name w:val="xl25"/>
    <w:basedOn w:val="668"/>
    <w:uiPriority w:val="0"/>
    <w:qFormat/>
    <w:pPr>
      <w:jc w:val="center"/>
      <w:spacing w:before="100" w:beforeAutospacing="1" w:after="100" w:afterAutospacing="1"/>
      <w:widowControl/>
      <w:pBdr>
        <w:right w:val="single" w:color="000000" w:sz="4" w:space="0"/>
      </w:pBdr>
    </w:pPr>
    <w:rPr>
      <w:szCs w:val="21"/>
    </w:rPr>
  </w:style>
  <w:style w:type="paragraph" w:styleId="1047" w:customStyle="1">
    <w:name w:val="丁华正文"/>
    <w:basedOn w:val="719"/>
    <w:uiPriority w:val="0"/>
    <w:qFormat/>
    <w:pPr>
      <w:ind w:left="0" w:firstLine="510"/>
      <w:spacing w:line="360" w:lineRule="auto"/>
    </w:pPr>
    <w:rPr>
      <w:rFonts w:ascii="Times New Roman" w:hAnsi="Times New Roman" w:eastAsia="宋体"/>
      <w:color w:val="000000"/>
      <w:sz w:val="24"/>
      <w:szCs w:val="16"/>
    </w:rPr>
  </w:style>
  <w:style w:type="paragraph" w:styleId="1048" w:customStyle="1">
    <w:name w:val="小四 段落 宋体 Char Char"/>
    <w:basedOn w:val="668"/>
    <w:uiPriority w:val="0"/>
    <w:qFormat/>
    <w:pPr>
      <w:ind w:firstLine="480"/>
      <w:spacing w:line="360" w:lineRule="auto"/>
    </w:pPr>
    <w:rPr>
      <w:rFonts w:ascii="宋体" w:hAnsi="宋体"/>
      <w:sz w:val="24"/>
      <w:szCs w:val="24"/>
    </w:rPr>
  </w:style>
  <w:style w:type="paragraph" w:styleId="1049" w:customStyle="1">
    <w:name w:val="样式 标题 2第一章 标题 2Heading 2 HiddenHeading 2 CCBSheading 2H2h2..."/>
    <w:basedOn w:val="670"/>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50" w:customStyle="1">
    <w:name w:val="段落"/>
    <w:basedOn w:val="668"/>
    <w:uiPriority w:val="0"/>
    <w:qFormat/>
    <w:pPr>
      <w:ind w:firstLine="480"/>
      <w:spacing w:line="460" w:lineRule="exact"/>
    </w:pPr>
    <w:rPr>
      <w:sz w:val="24"/>
    </w:rPr>
  </w:style>
  <w:style w:type="paragraph" w:styleId="1051" w:customStyle="1">
    <w:name w:val="Char Char Char Char Char Char Char Char Char Char Char Char Char Char1"/>
    <w:basedOn w:val="668"/>
    <w:uiPriority w:val="0"/>
    <w:qFormat/>
    <w:rPr>
      <w:rFonts w:ascii="Tahoma" w:hAnsi="Tahoma" w:cs="Tahoma"/>
      <w:sz w:val="24"/>
    </w:rPr>
  </w:style>
  <w:style w:type="paragraph" w:styleId="1052" w:customStyle="1">
    <w:name w:val="默认段落字体 Para Char Char Char Char Char Char Char"/>
    <w:basedOn w:val="668"/>
    <w:uiPriority w:val="0"/>
    <w:qFormat/>
  </w:style>
  <w:style w:type="paragraph" w:styleId="105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54" w:customStyle="1">
    <w:name w:val="正文 + Arial Char"/>
    <w:basedOn w:val="668"/>
    <w:uiPriority w:val="0"/>
    <w:qFormat/>
    <w:pPr>
      <w:ind w:left="315" w:hanging="315"/>
      <w:spacing w:line="300" w:lineRule="auto"/>
      <w:widowControl/>
      <w:tabs>
        <w:tab w:val="left" w:pos="315" w:leader="none"/>
      </w:tabs>
    </w:pPr>
    <w:rPr>
      <w:rFonts w:ascii="Arial" w:hAnsi="Arial" w:cs="Arial"/>
      <w:b/>
      <w:color w:val="000000"/>
    </w:rPr>
  </w:style>
  <w:style w:type="paragraph" w:styleId="1055" w:customStyle="1">
    <w:name w:val="Char1"/>
    <w:basedOn w:val="668"/>
    <w:uiPriority w:val="0"/>
    <w:qFormat/>
    <w:pPr>
      <w:jc w:val="left"/>
      <w:spacing w:after="160" w:line="240" w:lineRule="exact"/>
      <w:widowControl/>
    </w:pPr>
    <w:rPr>
      <w:rFonts w:ascii="Verdana" w:hAnsi="Verdana" w:eastAsia="方正仿宋_GB2312"/>
      <w:sz w:val="24"/>
      <w:lang w:eastAsia="en-US"/>
    </w:rPr>
  </w:style>
  <w:style w:type="paragraph" w:styleId="1056" w:customStyle="1">
    <w:name w:val="Pa6"/>
    <w:basedOn w:val="668"/>
    <w:next w:val="668"/>
    <w:uiPriority w:val="0"/>
    <w:qFormat/>
    <w:pPr>
      <w:jc w:val="left"/>
      <w:spacing w:line="241" w:lineRule="atLeast"/>
    </w:pPr>
    <w:rPr>
      <w:rFonts w:ascii="DejaVu Math TeX Gyre" w:eastAsia="DejaVu Math TeX Gyre"/>
      <w:sz w:val="24"/>
      <w:szCs w:val="24"/>
    </w:rPr>
  </w:style>
  <w:style w:type="paragraph" w:styleId="1057" w:customStyle="1">
    <w:name w:val="马刚标题3"/>
    <w:basedOn w:val="668"/>
    <w:next w:val="66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58" w:customStyle="1">
    <w:name w:val="content_lineheight"/>
    <w:basedOn w:val="668"/>
    <w:uiPriority w:val="0"/>
    <w:qFormat/>
    <w:pPr>
      <w:jc w:val="left"/>
      <w:spacing w:before="100" w:beforeAutospacing="1" w:after="100" w:afterAutospacing="1"/>
      <w:widowControl/>
    </w:pPr>
    <w:rPr>
      <w:rFonts w:ascii="宋体" w:hAnsi="宋体"/>
      <w:sz w:val="24"/>
      <w:szCs w:val="24"/>
    </w:rPr>
  </w:style>
  <w:style w:type="paragraph" w:styleId="1059" w:customStyle="1">
    <w:name w:val="默认段落字体 Para Char"/>
    <w:basedOn w:val="668"/>
    <w:uiPriority w:val="0"/>
    <w:qFormat/>
    <w:rPr>
      <w:sz w:val="24"/>
      <w:szCs w:val="24"/>
    </w:rPr>
  </w:style>
  <w:style w:type="paragraph" w:styleId="1060" w:customStyle="1">
    <w:name w:val="表格"/>
    <w:basedOn w:val="668"/>
    <w:uiPriority w:val="0"/>
    <w:qFormat/>
    <w:pPr>
      <w:ind w:firstLine="21"/>
    </w:pPr>
    <w:rPr>
      <w:rFonts w:ascii="宋体" w:hAnsi="宋体" w:cs="宋体"/>
      <w:sz w:val="20"/>
    </w:rPr>
  </w:style>
  <w:style w:type="paragraph" w:styleId="1061" w:customStyle="1">
    <w:name w:val="Char Char Char Char Char Char Char Char Char Char Char"/>
    <w:basedOn w:val="668"/>
    <w:uiPriority w:val="0"/>
    <w:qFormat/>
    <w:rPr>
      <w:rFonts w:ascii="Tahoma" w:hAnsi="Tahoma" w:cs="Tahoma"/>
      <w:sz w:val="24"/>
    </w:rPr>
  </w:style>
  <w:style w:type="paragraph" w:styleId="1062" w:customStyle="1">
    <w:name w:val="丁华标题1"/>
    <w:basedOn w:val="669"/>
    <w:next w:val="1047"/>
    <w:uiPriority w:val="0"/>
    <w:qFormat/>
    <w:pPr>
      <w:numPr>
        <w:ilvl w:val="0"/>
        <w:numId w:val="1"/>
      </w:numPr>
      <w:ind w:firstLine="0"/>
      <w:jc w:val="left"/>
      <w:keepLines/>
      <w:spacing w:before="600" w:after="120" w:line="578" w:lineRule="auto"/>
    </w:pPr>
    <w:rPr>
      <w:rFonts w:ascii="Times New Roman"/>
      <w:b w:val="0"/>
      <w:sz w:val="32"/>
      <w:szCs w:val="20"/>
    </w:rPr>
  </w:style>
  <w:style w:type="paragraph" w:styleId="1063" w:customStyle="1">
    <w:name w:val="正文表标题"/>
    <w:next w:val="106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64" w:customStyle="1">
    <w:name w:val="段"/>
    <w:next w:val="668"/>
    <w:uiPriority w:val="0"/>
    <w:qFormat/>
    <w:pPr>
      <w:ind w:firstLine="200"/>
      <w:jc w:val="both"/>
    </w:pPr>
    <w:rPr>
      <w:rFonts w:ascii="宋体" w:hAnsi="Times New Roman" w:eastAsia="宋体" w:cs="Times New Roman"/>
      <w:sz w:val="21"/>
      <w:lang w:val="en-US" w:eastAsia="zh-CN" w:bidi="ar-SA"/>
    </w:rPr>
  </w:style>
  <w:style w:type="paragraph" w:styleId="1065" w:customStyle="1">
    <w:name w:val="样式"/>
    <w:basedOn w:val="668"/>
    <w:uiPriority w:val="0"/>
    <w:qFormat/>
    <w:pPr>
      <w:spacing w:before="120" w:after="120" w:line="360" w:lineRule="auto"/>
    </w:pPr>
    <w:rPr>
      <w:rFonts w:ascii="宋体"/>
      <w:sz w:val="24"/>
    </w:rPr>
  </w:style>
  <w:style w:type="paragraph" w:styleId="1066" w:customStyle="1">
    <w:name w:val="Char2"/>
    <w:basedOn w:val="668"/>
    <w:uiPriority w:val="0"/>
    <w:semiHidden/>
    <w:qFormat/>
    <w:rPr>
      <w:rFonts w:ascii="Tahoma" w:hAnsi="Tahoma" w:cs="方正仿宋_GB2312"/>
      <w:sz w:val="24"/>
      <w:szCs w:val="28"/>
    </w:rPr>
  </w:style>
  <w:style w:type="paragraph" w:styleId="1067" w:customStyle="1">
    <w:name w:val="xl43"/>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68" w:customStyle="1">
    <w:name w:val="font13"/>
    <w:basedOn w:val="668"/>
    <w:uiPriority w:val="0"/>
    <w:qFormat/>
    <w:pPr>
      <w:jc w:val="left"/>
      <w:spacing w:before="100" w:beforeAutospacing="1" w:after="100" w:afterAutospacing="1"/>
      <w:widowControl/>
    </w:pPr>
    <w:rPr>
      <w:i/>
      <w:iCs/>
      <w:sz w:val="36"/>
      <w:szCs w:val="36"/>
    </w:rPr>
  </w:style>
  <w:style w:type="paragraph" w:styleId="1069" w:customStyle="1">
    <w:name w:val="a0"/>
    <w:basedOn w:val="668"/>
    <w:uiPriority w:val="0"/>
    <w:qFormat/>
    <w:pPr>
      <w:spacing w:before="100" w:beforeAutospacing="1" w:after="100" w:afterAutospacing="1"/>
      <w:widowControl/>
    </w:pPr>
    <w:rPr>
      <w:rFonts w:ascii="宋体" w:hAnsi="宋体" w:cs="宋体"/>
      <w:sz w:val="24"/>
      <w:szCs w:val="24"/>
    </w:rPr>
  </w:style>
  <w:style w:type="paragraph" w:styleId="1070" w:customStyle="1">
    <w:name w:val="项目符号，一级"/>
    <w:basedOn w:val="1071"/>
    <w:next w:val="1071"/>
    <w:uiPriority w:val="0"/>
    <w:qFormat/>
    <w:pPr>
      <w:ind w:left="376" w:firstLine="0"/>
      <w:spacing w:line="240" w:lineRule="atLeast"/>
      <w:tabs>
        <w:tab w:val="left" w:pos="1320" w:leader="none"/>
      </w:tabs>
    </w:pPr>
    <w:rPr>
      <w:bCs w:val="0"/>
      <w:color w:val="000000"/>
      <w:szCs w:val="24"/>
    </w:rPr>
  </w:style>
  <w:style w:type="paragraph" w:styleId="1071" w:customStyle="1">
    <w:name w:val="正文格式"/>
    <w:basedOn w:val="668"/>
    <w:uiPriority w:val="0"/>
    <w:qFormat/>
    <w:pPr>
      <w:ind w:left="178" w:right="44" w:hanging="178"/>
      <w:jc w:val="left"/>
      <w:spacing w:before="78" w:line="360" w:lineRule="auto"/>
      <w:widowControl/>
    </w:pPr>
    <w:rPr>
      <w:rFonts w:ascii="宋体" w:hAnsi="宋体"/>
      <w:bCs/>
      <w:szCs w:val="21"/>
    </w:rPr>
  </w:style>
  <w:style w:type="paragraph" w:styleId="1072" w:customStyle="1">
    <w:name w:val="Char Char Char Char Char Char Char"/>
    <w:basedOn w:val="668"/>
    <w:uiPriority w:val="0"/>
    <w:qFormat/>
    <w:rPr>
      <w:rFonts w:ascii="Tahoma" w:hAnsi="Tahoma"/>
      <w:sz w:val="24"/>
    </w:rPr>
  </w:style>
  <w:style w:type="paragraph" w:styleId="1073" w:customStyle="1">
    <w:name w:val="xl6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74" w:customStyle="1">
    <w:name w:val="Char Char11"/>
    <w:basedOn w:val="668"/>
    <w:uiPriority w:val="0"/>
    <w:qFormat/>
    <w:rPr>
      <w:rFonts w:ascii="Tahoma" w:hAnsi="Tahoma" w:cs="Tahoma"/>
      <w:sz w:val="24"/>
    </w:rPr>
  </w:style>
  <w:style w:type="paragraph" w:styleId="1075" w:customStyle="1">
    <w:name w:val="Char Char Char Char Char"/>
    <w:basedOn w:val="668"/>
    <w:uiPriority w:val="0"/>
    <w:qFormat/>
    <w:rPr>
      <w:rFonts w:ascii="Tahoma" w:hAnsi="Tahoma"/>
      <w:sz w:val="24"/>
    </w:rPr>
  </w:style>
  <w:style w:type="paragraph" w:styleId="1076" w:customStyle="1">
    <w:name w:val="正文lzq"/>
    <w:basedOn w:val="668"/>
    <w:uiPriority w:val="0"/>
    <w:qFormat/>
    <w:pPr>
      <w:ind w:firstLine="480"/>
      <w:spacing w:line="360" w:lineRule="auto"/>
    </w:pPr>
    <w:rPr>
      <w:sz w:val="24"/>
    </w:rPr>
  </w:style>
  <w:style w:type="paragraph" w:styleId="1077" w:customStyle="1">
    <w:name w:val="xl52"/>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78" w:customStyle="1">
    <w:name w:val="xl56"/>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79" w:customStyle="1">
    <w:name w:val="xl62"/>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80" w:customStyle="1">
    <w:name w:val="列表内容"/>
    <w:basedOn w:val="668"/>
    <w:next w:val="668"/>
    <w:uiPriority w:val="0"/>
    <w:qFormat/>
    <w:pPr>
      <w:ind w:left="840" w:hanging="420"/>
      <w:jc w:val="left"/>
      <w:widowControl/>
      <w:tabs>
        <w:tab w:val="left" w:pos="840" w:leader="none"/>
      </w:tabs>
    </w:pPr>
    <w:rPr>
      <w:sz w:val="18"/>
      <w:szCs w:val="24"/>
    </w:rPr>
  </w:style>
  <w:style w:type="paragraph" w:styleId="1081" w:customStyle="1">
    <w:name w:val="xl4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82" w:customStyle="1">
    <w:name w:val="xl4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3" w:customStyle="1">
    <w:name w:val="xl53"/>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84" w:customStyle="1">
    <w:name w:val="Default"/>
    <w:next w:val="668"/>
    <w:uiPriority w:val="0"/>
    <w:qFormat/>
    <w:pPr>
      <w:widowControl w:val="off"/>
    </w:pPr>
    <w:rPr>
      <w:rFonts w:ascii="宋体" w:hAnsi="Times New Roman" w:eastAsia="宋体" w:cs="宋体"/>
      <w:color w:val="000000"/>
      <w:sz w:val="24"/>
      <w:szCs w:val="24"/>
      <w:lang w:val="en-US" w:eastAsia="zh-CN" w:bidi="ar-SA"/>
    </w:rPr>
  </w:style>
  <w:style w:type="paragraph" w:styleId="1085" w:customStyle="1">
    <w:name w:val="Char Char Char Char Char Char Char Char Char"/>
    <w:basedOn w:val="668"/>
    <w:uiPriority w:val="0"/>
    <w:qFormat/>
    <w:pPr>
      <w:ind w:left="200" w:hanging="200"/>
      <w:tabs>
        <w:tab w:val="left" w:pos="360" w:leader="none"/>
      </w:tabs>
    </w:pPr>
    <w:rPr>
      <w:sz w:val="24"/>
      <w:szCs w:val="24"/>
    </w:rPr>
  </w:style>
  <w:style w:type="paragraph" w:styleId="1086" w:customStyle="1">
    <w:name w:val="font9"/>
    <w:basedOn w:val="668"/>
    <w:uiPriority w:val="0"/>
    <w:qFormat/>
    <w:pPr>
      <w:jc w:val="left"/>
      <w:spacing w:before="100" w:beforeAutospacing="1" w:after="100" w:afterAutospacing="1"/>
      <w:widowControl/>
    </w:pPr>
    <w:rPr>
      <w:b/>
      <w:bCs/>
      <w:sz w:val="20"/>
    </w:rPr>
  </w:style>
  <w:style w:type="paragraph" w:styleId="1087" w:customStyle="1">
    <w:name w:val="华宇段落1 Char"/>
    <w:basedOn w:val="668"/>
    <w:uiPriority w:val="0"/>
    <w:qFormat/>
    <w:pPr>
      <w:ind w:firstLine="200"/>
      <w:spacing w:line="360" w:lineRule="auto"/>
    </w:pPr>
    <w:rPr>
      <w:bCs/>
      <w:sz w:val="24"/>
      <w:szCs w:val="24"/>
    </w:rPr>
  </w:style>
  <w:style w:type="paragraph" w:styleId="108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89" w:customStyle="1">
    <w:name w:val="xl3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90" w:customStyle="1">
    <w:name w:val="表头_5"/>
    <w:basedOn w:val="668"/>
    <w:uiPriority w:val="0"/>
    <w:qFormat/>
    <w:pPr>
      <w:spacing w:line="360" w:lineRule="auto"/>
    </w:pPr>
    <w:rPr>
      <w:b/>
      <w:bCs/>
      <w:sz w:val="28"/>
      <w:szCs w:val="21"/>
    </w:rPr>
  </w:style>
  <w:style w:type="paragraph" w:styleId="1091" w:customStyle="1">
    <w:name w:val="xl39"/>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2" w:customStyle="1">
    <w:name w:val="样式 样式 首行缩进:  0.74 厘米 行距: 1.5 倍行距 + 段后: 0.5 行"/>
    <w:basedOn w:val="668"/>
    <w:uiPriority w:val="0"/>
    <w:qFormat/>
    <w:pPr>
      <w:ind w:firstLine="420"/>
      <w:spacing w:line="360" w:lineRule="auto"/>
    </w:pPr>
    <w:rPr>
      <w:rFonts w:ascii="方正楷体_GB2312" w:eastAsia="方正楷体_GB2312"/>
      <w:bCs/>
      <w:sz w:val="24"/>
    </w:rPr>
  </w:style>
  <w:style w:type="paragraph" w:styleId="1093" w:customStyle="1">
    <w:name w:val="小四 段落 宋体 Char"/>
    <w:basedOn w:val="688"/>
    <w:uiPriority w:val="0"/>
    <w:qFormat/>
    <w:pPr>
      <w:ind w:left="0" w:right="-33" w:firstLine="600"/>
      <w:jc w:val="left"/>
      <w:tabs>
        <w:tab w:val="clear" w:pos="2952" w:leader="none"/>
      </w:tabs>
    </w:pPr>
    <w:rPr>
      <w:rFonts w:ascii="方正仿宋_GB2312" w:eastAsia="方正仿宋_GB2312"/>
      <w:sz w:val="30"/>
      <w:szCs w:val="30"/>
    </w:rPr>
  </w:style>
  <w:style w:type="paragraph" w:styleId="1094" w:customStyle="1">
    <w:name w:val="Char Char Char"/>
    <w:basedOn w:val="668"/>
    <w:uiPriority w:val="0"/>
    <w:qFormat/>
    <w:rPr>
      <w:rFonts w:ascii="Tahoma" w:hAnsi="Tahoma"/>
      <w:sz w:val="24"/>
    </w:rPr>
  </w:style>
  <w:style w:type="paragraph" w:styleId="1095" w:customStyle="1">
    <w:name w:val="No Spacing0"/>
    <w:uiPriority w:val="0"/>
    <w:qFormat/>
    <w:pPr>
      <w:jc w:val="both"/>
      <w:widowControl w:val="off"/>
    </w:pPr>
    <w:rPr>
      <w:rFonts w:ascii="Times New Roman" w:hAnsi="Times New Roman" w:eastAsia="微软雅黑" w:cs="Times New Roman"/>
      <w:sz w:val="24"/>
      <w:szCs w:val="22"/>
      <w:lang w:val="en-US" w:eastAsia="zh-CN" w:bidi="ar-SA"/>
    </w:rPr>
  </w:style>
  <w:style w:type="paragraph" w:styleId="1096" w:customStyle="1">
    <w:name w:val="纯文本1"/>
    <w:basedOn w:val="668"/>
    <w:uiPriority w:val="0"/>
    <w:qFormat/>
    <w:rPr>
      <w:rFonts w:ascii="宋体" w:hAnsi="宋体" w:eastAsia="方正楷体_GB2312" w:cs="宋体"/>
      <w:sz w:val="28"/>
    </w:rPr>
  </w:style>
  <w:style w:type="paragraph" w:styleId="1097" w:customStyle="1">
    <w:name w:val="Char Char Char Char"/>
    <w:basedOn w:val="691"/>
    <w:uiPriority w:val="0"/>
    <w:qFormat/>
    <w:pPr>
      <w:spacing w:line="360" w:lineRule="auto"/>
    </w:pPr>
    <w:rPr>
      <w:rFonts w:ascii="Tahoma" w:hAnsi="Tahoma"/>
      <w:sz w:val="24"/>
      <w:szCs w:val="24"/>
    </w:rPr>
  </w:style>
  <w:style w:type="paragraph" w:styleId="1098" w:customStyle="1">
    <w:name w:val="符号与编号 Char Char"/>
    <w:basedOn w:val="668"/>
    <w:uiPriority w:val="0"/>
    <w:qFormat/>
    <w:pPr>
      <w:ind w:left="839" w:hanging="419"/>
      <w:spacing w:after="156" w:line="400" w:lineRule="atLeast"/>
      <w:tabs>
        <w:tab w:val="left" w:pos="840" w:leader="none"/>
      </w:tabs>
    </w:pPr>
    <w:rPr>
      <w:sz w:val="24"/>
      <w:szCs w:val="24"/>
    </w:rPr>
  </w:style>
  <w:style w:type="paragraph" w:styleId="1099" w:customStyle="1">
    <w:name w:val="Pa5"/>
    <w:basedOn w:val="668"/>
    <w:next w:val="668"/>
    <w:uiPriority w:val="0"/>
    <w:qFormat/>
    <w:pPr>
      <w:jc w:val="left"/>
      <w:spacing w:line="241" w:lineRule="atLeast"/>
    </w:pPr>
    <w:rPr>
      <w:rFonts w:ascii="DejaVu Math TeX Gyre" w:eastAsia="DejaVu Math TeX Gyre"/>
      <w:sz w:val="24"/>
      <w:szCs w:val="24"/>
    </w:rPr>
  </w:style>
  <w:style w:type="paragraph" w:styleId="1100" w:customStyle="1">
    <w:name w:val="Table Paragraph"/>
    <w:basedOn w:val="668"/>
    <w:uiPriority w:val="1"/>
    <w:qFormat/>
    <w:rPr>
      <w:rFonts w:ascii="宋体" w:hAnsi="宋体" w:cs="宋体"/>
      <w:lang w:val="zh-CN" w:bidi="zh-CN"/>
    </w:rPr>
  </w:style>
  <w:style w:type="paragraph" w:styleId="1101" w:customStyle="1">
    <w:name w:val="列出段落1"/>
    <w:basedOn w:val="668"/>
    <w:uiPriority w:val="0"/>
    <w:qFormat/>
    <w:pPr>
      <w:contextualSpacing/>
      <w:ind w:left="720"/>
      <w:jc w:val="left"/>
      <w:widowControl/>
    </w:pPr>
    <w:rPr>
      <w:rFonts w:ascii="Arial" w:hAnsi="Arial" w:eastAsia="黑体"/>
      <w:sz w:val="24"/>
      <w:szCs w:val="24"/>
      <w:lang w:eastAsia="en-US"/>
    </w:rPr>
  </w:style>
  <w:style w:type="paragraph" w:styleId="1102" w:customStyle="1">
    <w:name w:val="xl37"/>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03" w:customStyle="1">
    <w:name w:val="Bullets L1"/>
    <w:basedOn w:val="668"/>
    <w:uiPriority w:val="0"/>
    <w:qFormat/>
    <w:pPr>
      <w:numPr>
        <w:ilvl w:val="0"/>
        <w:numId w:val="2"/>
      </w:numPr>
      <w:jc w:val="left"/>
      <w:spacing w:before="60" w:after="60"/>
      <w:widowControl/>
    </w:pPr>
    <w:rPr>
      <w:rFonts w:ascii="Arial" w:hAnsi="Arial"/>
      <w:sz w:val="20"/>
    </w:rPr>
  </w:style>
  <w:style w:type="paragraph" w:styleId="1104" w:customStyle="1">
    <w:name w:val="xl3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05" w:customStyle="1">
    <w:name w:val="表格1"/>
    <w:basedOn w:val="668"/>
    <w:uiPriority w:val="0"/>
    <w:qFormat/>
    <w:rPr>
      <w:rFonts w:ascii="宋体"/>
      <w:szCs w:val="21"/>
    </w:rPr>
  </w:style>
  <w:style w:type="paragraph" w:styleId="1106" w:customStyle="1">
    <w:name w:val="标题3"/>
    <w:basedOn w:val="671"/>
    <w:uiPriority w:val="0"/>
    <w:qFormat/>
    <w:pPr>
      <w:keepLines w:val="0"/>
      <w:keepNext w:val="0"/>
      <w:spacing w:line="360" w:lineRule="auto"/>
    </w:pPr>
    <w:rPr>
      <w:rFonts w:eastAsia="方正仿宋_GB2312"/>
      <w:b w:val="0"/>
      <w:bCs/>
      <w:sz w:val="30"/>
      <w:szCs w:val="32"/>
    </w:rPr>
  </w:style>
  <w:style w:type="paragraph" w:styleId="1107" w:customStyle="1">
    <w:name w:val="xl49"/>
    <w:basedOn w:val="66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08" w:customStyle="1">
    <w:name w:val="正文 首行缩进:  2 字符 Char"/>
    <w:basedOn w:val="668"/>
    <w:uiPriority w:val="0"/>
    <w:qFormat/>
    <w:pPr>
      <w:ind w:firstLine="480"/>
      <w:spacing w:line="360" w:lineRule="auto"/>
    </w:pPr>
    <w:rPr>
      <w:rFonts w:cs="宋体"/>
      <w:sz w:val="24"/>
    </w:rPr>
  </w:style>
  <w:style w:type="paragraph" w:styleId="1109" w:customStyle="1">
    <w:name w:val="Char Char Char Char Char Char Char1 Char"/>
    <w:basedOn w:val="668"/>
    <w:uiPriority w:val="0"/>
    <w:qFormat/>
    <w:rPr>
      <w:rFonts w:ascii="Tahoma" w:hAnsi="Tahoma" w:cs="Tahoma"/>
      <w:sz w:val="24"/>
    </w:rPr>
  </w:style>
  <w:style w:type="paragraph" w:styleId="1110" w:customStyle="1">
    <w:name w:val="标题3，章节第三层"/>
    <w:basedOn w:val="668"/>
    <w:next w:val="1071"/>
    <w:uiPriority w:val="0"/>
    <w:qFormat/>
    <w:pPr>
      <w:spacing w:before="78" w:line="300" w:lineRule="auto"/>
      <w:outlineLvl w:val="2"/>
    </w:pPr>
    <w:rPr>
      <w:rFonts w:ascii="Arial" w:hAnsi="Arial" w:eastAsia="华文细黑"/>
      <w:sz w:val="30"/>
      <w:szCs w:val="24"/>
    </w:rPr>
  </w:style>
  <w:style w:type="paragraph" w:styleId="1111" w:customStyle="1">
    <w:name w:val="font6"/>
    <w:basedOn w:val="668"/>
    <w:uiPriority w:val="0"/>
    <w:qFormat/>
    <w:pPr>
      <w:jc w:val="left"/>
      <w:spacing w:before="100" w:beforeAutospacing="1" w:after="100" w:afterAutospacing="1"/>
      <w:widowControl/>
    </w:pPr>
    <w:rPr>
      <w:rFonts w:ascii="宋体" w:hAnsi="宋体" w:cs="宋体"/>
      <w:b/>
      <w:bCs/>
      <w:sz w:val="20"/>
    </w:rPr>
  </w:style>
  <w:style w:type="paragraph" w:styleId="1112"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113" w:customStyle="1">
    <w:name w:val="Char Char Char Char Char Char Char Char Char Char Char Char Char"/>
    <w:basedOn w:val="668"/>
    <w:uiPriority w:val="0"/>
    <w:qFormat/>
    <w:pPr>
      <w:jc w:val="left"/>
      <w:spacing w:after="160" w:line="240" w:lineRule="exact"/>
      <w:widowControl/>
    </w:pPr>
    <w:rPr>
      <w:szCs w:val="24"/>
    </w:rPr>
  </w:style>
  <w:style w:type="paragraph" w:styleId="1114" w:customStyle="1">
    <w:name w:val="Char Char Char Char Char Char Char Char Char1"/>
    <w:basedOn w:val="668"/>
    <w:uiPriority w:val="0"/>
    <w:qFormat/>
    <w:pPr>
      <w:ind w:left="360" w:hanging="360"/>
      <w:tabs>
        <w:tab w:val="left" w:pos="360" w:leader="none"/>
      </w:tabs>
    </w:pPr>
    <w:rPr>
      <w:sz w:val="24"/>
      <w:szCs w:val="24"/>
    </w:rPr>
  </w:style>
  <w:style w:type="paragraph" w:styleId="1115" w:customStyle="1">
    <w:name w:val="列出段落2"/>
    <w:basedOn w:val="668"/>
    <w:uiPriority w:val="0"/>
    <w:qFormat/>
    <w:pPr>
      <w:ind w:left="720"/>
      <w:jc w:val="left"/>
      <w:widowControl/>
    </w:pPr>
    <w:rPr>
      <w:rFonts w:ascii="Arial" w:hAnsi="Arial" w:eastAsia="黑体" w:cs="Arial"/>
      <w:sz w:val="24"/>
      <w:szCs w:val="24"/>
      <w:lang w:eastAsia="en-US"/>
    </w:rPr>
  </w:style>
  <w:style w:type="paragraph" w:styleId="1116" w:customStyle="1">
    <w:name w:val="font5"/>
    <w:basedOn w:val="668"/>
    <w:uiPriority w:val="0"/>
    <w:qFormat/>
    <w:pPr>
      <w:jc w:val="left"/>
      <w:spacing w:before="100" w:beforeAutospacing="1" w:after="100" w:afterAutospacing="1"/>
      <w:widowControl/>
    </w:pPr>
    <w:rPr>
      <w:rFonts w:ascii="宋体" w:hAnsi="宋体" w:cs="宋体"/>
      <w:sz w:val="18"/>
      <w:szCs w:val="18"/>
    </w:rPr>
  </w:style>
  <w:style w:type="paragraph" w:styleId="1117" w:customStyle="1">
    <w:name w:val="xl59"/>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18" w:customStyle="1">
    <w:name w:val="Char Char"/>
    <w:basedOn w:val="668"/>
    <w:uiPriority w:val="0"/>
    <w:qFormat/>
    <w:rPr>
      <w:rFonts w:ascii="Tahoma" w:hAnsi="Tahoma" w:cs="Tahoma"/>
      <w:sz w:val="24"/>
    </w:rPr>
  </w:style>
  <w:style w:type="paragraph" w:styleId="1119" w:customStyle="1">
    <w:name w:val="样式2"/>
    <w:basedOn w:val="668"/>
    <w:uiPriority w:val="0"/>
    <w:qFormat/>
    <w:pPr>
      <w:ind w:left="200"/>
      <w:spacing w:line="360" w:lineRule="auto"/>
    </w:pPr>
    <w:rPr>
      <w:rFonts w:ascii="宋体" w:hAnsi="宋体"/>
      <w:b/>
      <w:sz w:val="24"/>
      <w:szCs w:val="24"/>
    </w:rPr>
  </w:style>
  <w:style w:type="paragraph" w:styleId="1120" w:customStyle="1">
    <w:name w:val="正文 居中"/>
    <w:basedOn w:val="668"/>
    <w:uiPriority w:val="0"/>
    <w:qFormat/>
    <w:pPr>
      <w:jc w:val="center"/>
      <w:spacing w:line="360" w:lineRule="auto"/>
    </w:pPr>
    <w:rPr>
      <w:sz w:val="24"/>
    </w:rPr>
  </w:style>
  <w:style w:type="paragraph" w:styleId="1121" w:customStyle="1">
    <w:name w:val="xl3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2" w:customStyle="1">
    <w:name w:val="Char Char Char Char Char Char Char Char"/>
    <w:basedOn w:val="668"/>
    <w:uiPriority w:val="0"/>
    <w:qFormat/>
    <w:rPr>
      <w:rFonts w:ascii="Tahoma" w:hAnsi="Tahoma" w:cs="Tahoma"/>
      <w:sz w:val="24"/>
    </w:rPr>
  </w:style>
  <w:style w:type="paragraph" w:styleId="1123" w:customStyle="1">
    <w:name w:val="丁华标题2"/>
    <w:basedOn w:val="670"/>
    <w:next w:val="1047"/>
    <w:uiPriority w:val="0"/>
    <w:qFormat/>
    <w:pPr>
      <w:numPr>
        <w:ilvl w:val="1"/>
        <w:numId w:val="1"/>
      </w:numPr>
      <w:spacing w:line="415" w:lineRule="auto"/>
      <w:tabs>
        <w:tab w:val="left" w:pos="1004" w:leader="none"/>
      </w:tabs>
    </w:pPr>
    <w:rPr>
      <w:rFonts w:ascii="Arial" w:hAnsi="Arial" w:eastAsia="黑体"/>
      <w:b w:val="0"/>
      <w:sz w:val="28"/>
      <w:szCs w:val="20"/>
    </w:rPr>
  </w:style>
  <w:style w:type="paragraph" w:styleId="1124" w:customStyle="1">
    <w:name w:val="flName"/>
    <w:basedOn w:val="1125"/>
    <w:uiPriority w:val="0"/>
    <w:qFormat/>
    <w:pPr>
      <w:spacing w:before="0" w:line="113" w:lineRule="atLeast"/>
    </w:pPr>
  </w:style>
  <w:style w:type="paragraph" w:styleId="1125" w:customStyle="1">
    <w:name w:val="flNote"/>
    <w:basedOn w:val="668"/>
    <w:uiPriority w:val="0"/>
    <w:qFormat/>
    <w:pPr>
      <w:jc w:val="center"/>
      <w:spacing w:before="567" w:line="360" w:lineRule="atLeast"/>
    </w:pPr>
    <w:rPr>
      <w:rFonts w:eastAsia="黑体"/>
      <w:b/>
      <w:sz w:val="24"/>
    </w:rPr>
  </w:style>
  <w:style w:type="paragraph" w:styleId="1126" w:customStyle="1">
    <w:name w:val="font7"/>
    <w:basedOn w:val="668"/>
    <w:uiPriority w:val="0"/>
    <w:qFormat/>
    <w:pPr>
      <w:jc w:val="left"/>
      <w:spacing w:before="100" w:beforeAutospacing="1" w:after="100" w:afterAutospacing="1"/>
      <w:widowControl/>
    </w:pPr>
    <w:rPr>
      <w:rFonts w:hint="eastAsia" w:ascii="宋体" w:hAnsi="宋体"/>
      <w:b/>
      <w:bCs/>
      <w:sz w:val="24"/>
      <w:szCs w:val="24"/>
    </w:rPr>
  </w:style>
  <w:style w:type="paragraph" w:styleId="1127" w:customStyle="1">
    <w:name w:val="xl4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28" w:customStyle="1">
    <w:name w:val="Char Char Char Char Char Char Char Char Char Char Char1"/>
    <w:basedOn w:val="668"/>
    <w:uiPriority w:val="0"/>
    <w:qFormat/>
    <w:rPr>
      <w:rFonts w:ascii="Tahoma" w:hAnsi="Tahoma"/>
      <w:sz w:val="24"/>
    </w:rPr>
  </w:style>
  <w:style w:type="paragraph" w:styleId="1129" w:customStyle="1">
    <w:name w:val="xl61"/>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0" w:customStyle="1">
    <w:name w:val="Test2"/>
    <w:basedOn w:val="670"/>
    <w:uiPriority w:val="0"/>
    <w:qFormat/>
    <w:pPr>
      <w:jc w:val="center"/>
      <w:spacing w:before="156" w:after="156" w:line="480" w:lineRule="exact"/>
      <w:widowControl/>
    </w:pPr>
    <w:rPr>
      <w:rFonts w:ascii="黑体" w:hAnsi="Arial" w:eastAsia="黑体"/>
      <w:bCs/>
      <w:sz w:val="24"/>
    </w:rPr>
  </w:style>
  <w:style w:type="paragraph" w:styleId="1131" w:customStyle="1">
    <w:name w:val="插图"/>
    <w:basedOn w:val="668"/>
    <w:uiPriority w:val="0"/>
    <w:qFormat/>
    <w:pPr>
      <w:jc w:val="center"/>
      <w:tabs>
        <w:tab w:val="left" w:pos="1620" w:leader="none"/>
      </w:tabs>
    </w:pPr>
    <w:rPr>
      <w:bCs/>
      <w:color w:val="000000"/>
      <w:szCs w:val="22"/>
    </w:rPr>
  </w:style>
  <w:style w:type="paragraph" w:styleId="1132" w:customStyle="1">
    <w:name w:val="tableau"/>
    <w:basedOn w:val="668"/>
    <w:uiPriority w:val="0"/>
    <w:qFormat/>
    <w:pPr>
      <w:jc w:val="center"/>
      <w:spacing w:before="20" w:after="20"/>
      <w:widowControl/>
    </w:pPr>
    <w:rPr>
      <w:rFonts w:ascii="Arial" w:hAnsi="Arial"/>
      <w:sz w:val="16"/>
      <w:lang w:val="en-GB" w:eastAsia="en-US"/>
    </w:rPr>
  </w:style>
  <w:style w:type="paragraph" w:styleId="1133" w:customStyle="1">
    <w:name w:val="正文 首行缩进:  2 字符 Char Char"/>
    <w:basedOn w:val="668"/>
    <w:uiPriority w:val="0"/>
    <w:qFormat/>
    <w:pPr>
      <w:ind w:firstLine="480"/>
      <w:spacing w:line="360" w:lineRule="auto"/>
    </w:pPr>
    <w:rPr>
      <w:rFonts w:ascii="方正楷体_GB2312" w:eastAsia="方正楷体_GB2312"/>
      <w:bCs/>
      <w:sz w:val="24"/>
      <w:szCs w:val="24"/>
    </w:rPr>
  </w:style>
  <w:style w:type="paragraph" w:styleId="1134" w:customStyle="1">
    <w:name w:val="标题2，章节第二层"/>
    <w:basedOn w:val="668"/>
    <w:next w:val="1071"/>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35" w:customStyle="1">
    <w:name w:val="Char Char Char Char Char Char Char Char Char Char Char Char Char1"/>
    <w:basedOn w:val="691"/>
    <w:uiPriority w:val="0"/>
    <w:qFormat/>
    <w:rPr>
      <w:rFonts w:ascii="Tahoma" w:hAnsi="Tahoma"/>
      <w:sz w:val="24"/>
      <w:szCs w:val="24"/>
    </w:rPr>
  </w:style>
  <w:style w:type="paragraph" w:styleId="1136" w:customStyle="1">
    <w:name w:val="二级条标题"/>
    <w:basedOn w:val="668"/>
    <w:next w:val="1064"/>
    <w:uiPriority w:val="0"/>
    <w:qFormat/>
    <w:pPr>
      <w:ind w:hanging="420"/>
      <w:widowControl/>
      <w:tabs>
        <w:tab w:val="left" w:pos="2240" w:leader="none"/>
      </w:tabs>
      <w:outlineLvl w:val="3"/>
    </w:pPr>
    <w:rPr>
      <w:rFonts w:eastAsia="黑体"/>
    </w:rPr>
  </w:style>
  <w:style w:type="paragraph" w:styleId="1137" w:customStyle="1">
    <w:name w:val="样式 加点正文 + 段前: 0.5 行 段后: 0.5 行1"/>
    <w:basedOn w:val="668"/>
    <w:uiPriority w:val="0"/>
    <w:qFormat/>
    <w:pPr>
      <w:numPr>
        <w:ilvl w:val="0"/>
        <w:numId w:val="4"/>
      </w:numPr>
      <w:ind w:left="1268"/>
      <w:spacing w:before="156" w:after="156" w:line="300" w:lineRule="auto"/>
      <w:tabs>
        <w:tab w:val="left" w:pos="1268" w:leader="none"/>
      </w:tabs>
    </w:pPr>
    <w:rPr>
      <w:sz w:val="24"/>
    </w:rPr>
  </w:style>
  <w:style w:type="paragraph" w:styleId="1138" w:customStyle="1">
    <w:name w:val="Char Char Char Char Char Char"/>
    <w:basedOn w:val="668"/>
    <w:uiPriority w:val="0"/>
    <w:qFormat/>
    <w:rPr>
      <w:rFonts w:ascii="Tahoma" w:hAnsi="Tahoma" w:cs="Tahoma"/>
      <w:sz w:val="24"/>
    </w:rPr>
  </w:style>
  <w:style w:type="paragraph" w:styleId="1139" w:customStyle="1">
    <w:name w:val="Char Char1 Char Char Char Char Char Char Char"/>
    <w:basedOn w:val="668"/>
    <w:uiPriority w:val="0"/>
    <w:qFormat/>
    <w:rPr>
      <w:rFonts w:ascii="Tahoma" w:hAnsi="Tahoma" w:cs="Tahoma"/>
      <w:sz w:val="24"/>
    </w:rPr>
  </w:style>
  <w:style w:type="paragraph" w:styleId="1140" w:customStyle="1">
    <w:name w:val="xl30"/>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1" w:customStyle="1">
    <w:name w:val="部分1"/>
    <w:basedOn w:val="668"/>
    <w:uiPriority w:val="0"/>
    <w:qFormat/>
    <w:pPr>
      <w:jc w:val="center"/>
      <w:keepNext/>
      <w:pageBreakBefore/>
      <w:spacing w:line="360" w:lineRule="auto"/>
      <w:tabs>
        <w:tab w:val="left" w:pos="360" w:leader="none"/>
      </w:tabs>
      <w:outlineLvl w:val="0"/>
    </w:pPr>
    <w:rPr>
      <w:rFonts w:eastAsia="黑体"/>
      <w:b/>
      <w:sz w:val="36"/>
    </w:rPr>
  </w:style>
  <w:style w:type="paragraph" w:styleId="1142" w:customStyle="1">
    <w:name w:val="font12"/>
    <w:basedOn w:val="668"/>
    <w:uiPriority w:val="0"/>
    <w:qFormat/>
    <w:pPr>
      <w:jc w:val="left"/>
      <w:spacing w:before="100" w:beforeAutospacing="1" w:after="100" w:afterAutospacing="1"/>
      <w:widowControl/>
    </w:pPr>
    <w:rPr>
      <w:rFonts w:ascii="宋体" w:hAnsi="宋体" w:cs="宋体"/>
      <w:sz w:val="36"/>
      <w:szCs w:val="36"/>
    </w:rPr>
  </w:style>
  <w:style w:type="paragraph" w:styleId="1143" w:customStyle="1">
    <w:name w:val="List Paragraph0"/>
    <w:basedOn w:val="668"/>
    <w:uiPriority w:val="0"/>
    <w:qFormat/>
    <w:pPr>
      <w:contextualSpacing/>
      <w:ind w:left="720"/>
      <w:jc w:val="left"/>
      <w:widowControl/>
    </w:pPr>
    <w:rPr>
      <w:rFonts w:ascii="Arial" w:hAnsi="Arial" w:eastAsia="黑体"/>
      <w:sz w:val="24"/>
      <w:szCs w:val="24"/>
      <w:lang w:eastAsia="en-US"/>
    </w:rPr>
  </w:style>
  <w:style w:type="paragraph" w:styleId="1144" w:customStyle="1">
    <w:name w:val="xl40"/>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5" w:customStyle="1">
    <w:name w:val="Default Text"/>
    <w:basedOn w:val="668"/>
    <w:uiPriority w:val="0"/>
    <w:qFormat/>
    <w:pPr>
      <w:jc w:val="left"/>
      <w:widowControl/>
    </w:pPr>
    <w:rPr>
      <w:sz w:val="24"/>
      <w:lang w:eastAsia="en-US"/>
    </w:rPr>
  </w:style>
  <w:style w:type="paragraph" w:styleId="1146" w:customStyle="1">
    <w:name w:val="Char1 Char Char Char1"/>
    <w:basedOn w:val="668"/>
    <w:uiPriority w:val="0"/>
    <w:qFormat/>
    <w:rPr>
      <w:rFonts w:ascii="Tahoma" w:hAnsi="Tahoma"/>
      <w:sz w:val="24"/>
    </w:rPr>
  </w:style>
  <w:style w:type="paragraph" w:styleId="1147" w:customStyle="1">
    <w:name w:val="retrait3"/>
    <w:basedOn w:val="668"/>
    <w:uiPriority w:val="0"/>
    <w:qFormat/>
    <w:pPr>
      <w:ind w:left="851"/>
      <w:jc w:val="left"/>
      <w:spacing w:before="20" w:after="20"/>
      <w:widowControl/>
    </w:pPr>
    <w:rPr>
      <w:rFonts w:ascii="Arial" w:hAnsi="Arial"/>
      <w:sz w:val="24"/>
      <w:lang w:val="en-GB"/>
    </w:rPr>
  </w:style>
  <w:style w:type="paragraph" w:styleId="1148" w:customStyle="1">
    <w:name w:val="一级标题"/>
    <w:basedOn w:val="668"/>
    <w:uiPriority w:val="0"/>
    <w:qFormat/>
    <w:pPr>
      <w:ind w:left="900" w:hanging="420"/>
      <w:spacing w:line="360" w:lineRule="auto"/>
      <w:tabs>
        <w:tab w:val="left" w:pos="903" w:leader="none"/>
      </w:tabs>
    </w:pPr>
    <w:rPr>
      <w:rFonts w:ascii="Arial" w:hAnsi="Arial" w:cs="Arial"/>
      <w:sz w:val="24"/>
    </w:rPr>
  </w:style>
  <w:style w:type="paragraph" w:styleId="1149" w:customStyle="1">
    <w:name w:val="正文缩进2字符"/>
    <w:basedOn w:val="668"/>
    <w:uiPriority w:val="0"/>
    <w:qFormat/>
    <w:pPr>
      <w:ind w:firstLine="200"/>
      <w:spacing w:line="300" w:lineRule="auto"/>
    </w:pPr>
    <w:rPr>
      <w:rFonts w:ascii="方正仿宋_GB2312" w:eastAsia="方正仿宋_GB2312"/>
      <w:sz w:val="32"/>
      <w:szCs w:val="32"/>
    </w:rPr>
  </w:style>
  <w:style w:type="paragraph" w:styleId="1150" w:customStyle="1">
    <w:name w:val="xl60"/>
    <w:basedOn w:val="66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51" w:customStyle="1">
    <w:name w:val="xl27"/>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52" w:customStyle="1">
    <w:name w:val="表蕊"/>
    <w:basedOn w:val="668"/>
    <w:uiPriority w:val="0"/>
    <w:qFormat/>
    <w:pPr>
      <w:jc w:val="left"/>
      <w:spacing w:line="320" w:lineRule="atLeast"/>
    </w:pPr>
    <w:rPr>
      <w:rFonts w:eastAsia="方正楷体_GB2312"/>
      <w:spacing w:val="-10"/>
    </w:rPr>
  </w:style>
  <w:style w:type="paragraph" w:styleId="1153" w:customStyle="1">
    <w:name w:val="样式 段后: 0.5 行 左  0.75 字符"/>
    <w:basedOn w:val="668"/>
    <w:uiPriority w:val="0"/>
    <w:qFormat/>
    <w:pPr>
      <w:ind w:firstLine="420"/>
      <w:spacing w:line="360" w:lineRule="auto"/>
      <w:widowControl/>
    </w:pPr>
    <w:rPr>
      <w:rFonts w:hAnsi="Arial" w:cs="Arial"/>
      <w:szCs w:val="21"/>
    </w:rPr>
  </w:style>
  <w:style w:type="paragraph" w:styleId="1154" w:customStyle="1">
    <w:name w:val="符号与编号 Char"/>
    <w:basedOn w:val="668"/>
    <w:uiPriority w:val="0"/>
    <w:qFormat/>
    <w:pPr>
      <w:ind w:left="720"/>
      <w:spacing w:after="156" w:line="400" w:lineRule="atLeast"/>
      <w:tabs>
        <w:tab w:val="left" w:pos="720" w:leader="none"/>
      </w:tabs>
    </w:pPr>
    <w:rPr>
      <w:sz w:val="24"/>
      <w:szCs w:val="24"/>
    </w:rPr>
  </w:style>
  <w:style w:type="paragraph" w:styleId="1155" w:customStyle="1">
    <w:name w:val="xl34"/>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56" w:customStyle="1">
    <w:name w:val="文档正文"/>
    <w:basedOn w:val="668"/>
    <w:uiPriority w:val="0"/>
    <w:qFormat/>
    <w:pPr>
      <w:spacing w:line="360" w:lineRule="auto"/>
    </w:pPr>
    <w:rPr>
      <w:rFonts w:ascii="宋体" w:hAnsi="宋体"/>
      <w:b/>
      <w:bCs/>
      <w:szCs w:val="24"/>
    </w:rPr>
  </w:style>
  <w:style w:type="paragraph" w:styleId="1157" w:customStyle="1">
    <w:name w:val="丁华标题3"/>
    <w:basedOn w:val="1123"/>
    <w:next w:val="1047"/>
    <w:uiPriority w:val="0"/>
    <w:qFormat/>
    <w:pPr>
      <w:numPr>
        <w:ilvl w:val="0"/>
        <w:numId w:val="0"/>
      </w:numPr>
      <w:ind w:left="1980" w:hanging="420"/>
      <w:spacing w:after="0"/>
      <w:tabs>
        <w:tab w:val="left" w:pos="1470" w:leader="none"/>
        <w:tab w:val="left" w:pos="1647" w:leader="none"/>
        <w:tab w:val="left" w:pos="1980" w:leader="none"/>
      </w:tabs>
      <w:outlineLvl w:val="2"/>
    </w:pPr>
    <w:rPr>
      <w:sz w:val="24"/>
    </w:rPr>
  </w:style>
  <w:style w:type="paragraph" w:styleId="1158" w:customStyle="1">
    <w:name w:val="我的正文"/>
    <w:basedOn w:val="668"/>
    <w:uiPriority w:val="0"/>
    <w:qFormat/>
    <w:pPr>
      <w:ind w:firstLine="420"/>
      <w:jc w:val="left"/>
      <w:spacing w:line="360" w:lineRule="auto"/>
      <w:widowControl/>
    </w:pPr>
    <w:rPr>
      <w:rFonts w:ascii="宋体" w:hAnsi="宋体" w:cs="宋体"/>
      <w:szCs w:val="21"/>
    </w:rPr>
  </w:style>
  <w:style w:type="paragraph" w:styleId="1159" w:customStyle="1">
    <w:name w:val="公文标题 2"/>
    <w:basedOn w:val="668"/>
    <w:next w:val="1160"/>
    <w:uiPriority w:val="0"/>
    <w:qFormat/>
    <w:pPr>
      <w:outlineLvl w:val="1"/>
    </w:pPr>
    <w:rPr>
      <w:rFonts w:ascii="方正仿宋_GB2312" w:hAnsi="宋体" w:eastAsia="方正仿宋_GB2312"/>
      <w:sz w:val="28"/>
      <w:szCs w:val="24"/>
    </w:rPr>
  </w:style>
  <w:style w:type="paragraph" w:styleId="1160" w:customStyle="1">
    <w:name w:val="公文正文"/>
    <w:basedOn w:val="681"/>
    <w:uiPriority w:val="0"/>
    <w:qFormat/>
    <w:pPr>
      <w:ind w:firstLine="200"/>
    </w:pPr>
    <w:rPr>
      <w:rFonts w:ascii="方正仿宋_GB2312" w:hAnsi="宋体" w:eastAsia="方正仿宋_GB2312"/>
      <w:sz w:val="28"/>
      <w:szCs w:val="24"/>
    </w:rPr>
  </w:style>
  <w:style w:type="paragraph" w:styleId="1161" w:customStyle="1">
    <w:name w:val="Char Char1 Char"/>
    <w:basedOn w:val="668"/>
    <w:uiPriority w:val="0"/>
    <w:qFormat/>
    <w:pPr>
      <w:jc w:val="left"/>
      <w:spacing w:after="160" w:line="240" w:lineRule="exact"/>
      <w:widowControl/>
    </w:pPr>
    <w:rPr>
      <w:rFonts w:ascii="Verdana" w:hAnsi="Verdana"/>
      <w:sz w:val="20"/>
      <w:lang w:eastAsia="en-US"/>
    </w:rPr>
  </w:style>
  <w:style w:type="paragraph" w:styleId="1162" w:customStyle="1">
    <w:name w:val="xl50"/>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63" w:customStyle="1">
    <w:name w:val="zw"/>
    <w:basedOn w:val="668"/>
    <w:uiPriority w:val="0"/>
    <w:qFormat/>
    <w:pPr>
      <w:ind w:firstLine="480"/>
      <w:jc w:val="left"/>
      <w:spacing w:line="360" w:lineRule="auto"/>
      <w:widowControl/>
    </w:pPr>
    <w:rPr>
      <w:rFonts w:ascii="宋体" w:hAnsi="宋体"/>
      <w:bCs/>
      <w:sz w:val="24"/>
    </w:rPr>
  </w:style>
  <w:style w:type="paragraph" w:styleId="1164" w:customStyle="1">
    <w:name w:val="xl29"/>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65" w:customStyle="1">
    <w:name w:val="马刚标题4"/>
    <w:basedOn w:val="1057"/>
    <w:next w:val="668"/>
    <w:uiPriority w:val="0"/>
    <w:qFormat/>
    <w:pPr>
      <w:spacing w:before="100" w:after="40"/>
      <w:tabs>
        <w:tab w:val="left" w:pos="1050" w:leader="none"/>
      </w:tabs>
      <w:outlineLvl w:val="3"/>
    </w:pPr>
    <w:rPr>
      <w:b w:val="0"/>
    </w:rPr>
  </w:style>
  <w:style w:type="paragraph" w:styleId="1166" w:customStyle="1">
    <w:name w:val="标准文本"/>
    <w:basedOn w:val="668"/>
    <w:uiPriority w:val="0"/>
    <w:qFormat/>
    <w:pPr>
      <w:ind w:firstLine="480"/>
      <w:spacing w:line="360" w:lineRule="auto"/>
    </w:pPr>
    <w:rPr>
      <w:rFonts w:cs="宋体"/>
      <w:sz w:val="24"/>
      <w:szCs w:val="24"/>
    </w:rPr>
  </w:style>
  <w:style w:type="paragraph" w:styleId="1167" w:customStyle="1">
    <w:name w:val="正文2"/>
    <w:basedOn w:val="668"/>
    <w:uiPriority w:val="0"/>
    <w:qFormat/>
    <w:pPr>
      <w:ind w:firstLine="510"/>
      <w:spacing w:before="156" w:line="360" w:lineRule="auto"/>
    </w:pPr>
    <w:rPr>
      <w:sz w:val="24"/>
    </w:rPr>
  </w:style>
  <w:style w:type="paragraph" w:styleId="1168" w:customStyle="1">
    <w:name w:val="样式1"/>
    <w:basedOn w:val="668"/>
    <w:uiPriority w:val="0"/>
    <w:qFormat/>
    <w:pPr>
      <w:ind w:firstLine="480"/>
      <w:spacing w:line="300" w:lineRule="auto"/>
    </w:pPr>
    <w:rPr>
      <w:sz w:val="24"/>
      <w:szCs w:val="24"/>
    </w:rPr>
  </w:style>
  <w:style w:type="paragraph" w:styleId="1169" w:customStyle="1">
    <w:name w:val="大标题"/>
    <w:basedOn w:val="668"/>
    <w:next w:val="668"/>
    <w:uiPriority w:val="0"/>
    <w:qFormat/>
    <w:pPr>
      <w:ind w:hanging="420"/>
      <w:pageBreakBefore/>
      <w:spacing w:line="360" w:lineRule="auto"/>
      <w:tabs>
        <w:tab w:val="left" w:pos="420" w:leader="none"/>
      </w:tabs>
      <w:outlineLvl w:val="0"/>
    </w:pPr>
    <w:rPr>
      <w:b/>
      <w:iCs/>
      <w:sz w:val="44"/>
      <w:szCs w:val="24"/>
    </w:rPr>
  </w:style>
  <w:style w:type="paragraph" w:styleId="1170" w:customStyle="1">
    <w:name w:val="Char Char Char Char Char Char Char Char1"/>
    <w:basedOn w:val="668"/>
    <w:uiPriority w:val="0"/>
    <w:qFormat/>
    <w:rPr>
      <w:rFonts w:ascii="Tahoma" w:hAnsi="Tahoma"/>
      <w:sz w:val="24"/>
    </w:rPr>
  </w:style>
  <w:style w:type="paragraph" w:styleId="1171" w:customStyle="1">
    <w:name w:val="1"/>
    <w:basedOn w:val="668"/>
    <w:next w:val="725"/>
    <w:uiPriority w:val="0"/>
    <w:qFormat/>
    <w:pPr>
      <w:spacing w:line="360" w:lineRule="auto"/>
    </w:pPr>
    <w:rPr>
      <w:rFonts w:eastAsia="方正仿宋_GB2312"/>
      <w:sz w:val="24"/>
      <w:szCs w:val="24"/>
    </w:rPr>
  </w:style>
  <w:style w:type="paragraph" w:styleId="1172" w:customStyle="1">
    <w:name w:val="标题6"/>
    <w:basedOn w:val="673"/>
    <w:uiPriority w:val="0"/>
    <w:qFormat/>
    <w:pPr>
      <w:ind w:left="420" w:hanging="420"/>
      <w:keepLines/>
      <w:tabs>
        <w:tab w:val="left" w:pos="420" w:leader="none"/>
      </w:tabs>
    </w:pPr>
    <w:rPr>
      <w:rFonts w:ascii="Times New Roman"/>
      <w:b w:val="0"/>
      <w:bCs/>
      <w:sz w:val="24"/>
      <w:szCs w:val="28"/>
    </w:rPr>
  </w:style>
  <w:style w:type="paragraph" w:styleId="1173" w:customStyle="1">
    <w:name w:val="Char Char Char Char1"/>
    <w:basedOn w:val="668"/>
    <w:uiPriority w:val="0"/>
    <w:qFormat/>
    <w:pPr>
      <w:jc w:val="center"/>
      <w:spacing w:after="160" w:line="240" w:lineRule="exact"/>
      <w:widowControl/>
    </w:pPr>
    <w:rPr>
      <w:rFonts w:ascii="黑体" w:hAnsi="Verdana" w:eastAsia="黑体"/>
      <w:sz w:val="32"/>
      <w:szCs w:val="32"/>
      <w:lang w:eastAsia="en-US"/>
    </w:rPr>
  </w:style>
  <w:style w:type="paragraph" w:styleId="117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75" w:customStyle="1">
    <w:name w:val="正文文本 21"/>
    <w:basedOn w:val="668"/>
    <w:uiPriority w:val="0"/>
    <w:qFormat/>
    <w:pPr>
      <w:ind w:left="720" w:hanging="720"/>
      <w:widowControl/>
    </w:pPr>
    <w:rPr>
      <w:sz w:val="24"/>
      <w:lang w:val="en-GB"/>
    </w:rPr>
  </w:style>
  <w:style w:type="paragraph" w:styleId="1176" w:customStyle="1">
    <w:name w:val="xl41"/>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7" w:customStyle="1">
    <w:name w:val="标题1，章节第一层"/>
    <w:basedOn w:val="1071"/>
    <w:next w:val="1071"/>
    <w:uiPriority w:val="0"/>
    <w:qFormat/>
    <w:pPr>
      <w:ind w:left="482"/>
      <w:spacing w:before="0"/>
      <w:tabs>
        <w:tab w:val="left" w:pos="693" w:leader="none"/>
      </w:tabs>
      <w:outlineLvl w:val="0"/>
    </w:pPr>
    <w:rPr>
      <w:color w:val="000000"/>
      <w:sz w:val="24"/>
      <w:szCs w:val="24"/>
    </w:rPr>
  </w:style>
  <w:style w:type="paragraph" w:styleId="1178" w:customStyle="1">
    <w:name w:val="小四 段落 宋体 Char Char Char Char"/>
    <w:basedOn w:val="668"/>
    <w:uiPriority w:val="0"/>
    <w:qFormat/>
    <w:pPr>
      <w:ind w:right="-33" w:firstLine="480"/>
      <w:jc w:val="left"/>
      <w:spacing w:line="360" w:lineRule="auto"/>
    </w:pPr>
    <w:rPr>
      <w:sz w:val="24"/>
      <w:szCs w:val="24"/>
    </w:rPr>
  </w:style>
  <w:style w:type="paragraph" w:styleId="1179" w:customStyle="1">
    <w:name w:val="Char2 Char Char Char Char Char Char1"/>
    <w:basedOn w:val="668"/>
    <w:uiPriority w:val="0"/>
    <w:qFormat/>
    <w:pPr>
      <w:ind w:hanging="425"/>
      <w:keepNext/>
      <w:spacing w:before="80" w:after="80"/>
      <w:widowControl/>
      <w:tabs>
        <w:tab w:val="left" w:pos="425" w:leader="none"/>
      </w:tabs>
    </w:pPr>
    <w:rPr>
      <w:rFonts w:ascii="Arial" w:hAnsi="Arial" w:cs="Arial"/>
      <w:sz w:val="20"/>
    </w:rPr>
  </w:style>
  <w:style w:type="paragraph" w:styleId="1180" w:customStyle="1">
    <w:name w:val="小四 段落 宋体"/>
    <w:basedOn w:val="688"/>
    <w:uiPriority w:val="0"/>
    <w:qFormat/>
    <w:pPr>
      <w:ind w:left="113" w:right="113" w:firstLine="425"/>
      <w:jc w:val="left"/>
      <w:spacing w:line="360" w:lineRule="auto"/>
      <w:tabs>
        <w:tab w:val="clear" w:pos="2952" w:leader="none"/>
      </w:tabs>
    </w:pPr>
    <w:rPr>
      <w:sz w:val="24"/>
    </w:rPr>
  </w:style>
  <w:style w:type="paragraph" w:styleId="1181" w:customStyle="1">
    <w:name w:val="Char Char1 Char Char Char Char1 Char Char Char Char Char Char"/>
    <w:basedOn w:val="668"/>
    <w:uiPriority w:val="0"/>
    <w:qFormat/>
    <w:rPr>
      <w:rFonts w:ascii="Tahoma" w:hAnsi="Tahoma"/>
      <w:sz w:val="24"/>
    </w:rPr>
  </w:style>
  <w:style w:type="paragraph" w:styleId="1182" w:customStyle="1">
    <w:name w:val="font8"/>
    <w:basedOn w:val="668"/>
    <w:uiPriority w:val="0"/>
    <w:qFormat/>
    <w:pPr>
      <w:jc w:val="left"/>
      <w:spacing w:before="100" w:beforeAutospacing="1" w:after="100" w:afterAutospacing="1"/>
      <w:widowControl/>
    </w:pPr>
    <w:rPr>
      <w:rFonts w:ascii="宋体" w:hAnsi="宋体" w:cs="宋体"/>
      <w:b/>
      <w:bCs/>
      <w:i/>
      <w:iCs/>
      <w:sz w:val="20"/>
    </w:rPr>
  </w:style>
  <w:style w:type="paragraph" w:styleId="1183" w:customStyle="1">
    <w:name w:val="表格内文字"/>
    <w:basedOn w:val="668"/>
    <w:uiPriority w:val="0"/>
    <w:qFormat/>
    <w:pPr>
      <w:spacing w:line="300" w:lineRule="atLeast"/>
    </w:pPr>
    <w:rPr>
      <w:sz w:val="18"/>
      <w:szCs w:val="24"/>
    </w:rPr>
  </w:style>
  <w:style w:type="paragraph" w:styleId="1184" w:customStyle="1">
    <w:name w:val="_Style 1"/>
    <w:basedOn w:val="681"/>
    <w:next w:val="680"/>
    <w:uiPriority w:val="0"/>
    <w:qFormat/>
    <w:pPr>
      <w:ind w:firstLine="420"/>
      <w:spacing w:line="360" w:lineRule="auto"/>
    </w:pPr>
    <w:rPr>
      <w:rFonts w:ascii="Calibri" w:hAnsi="Calibri" w:eastAsia="宋体"/>
      <w:sz w:val="24"/>
    </w:rPr>
  </w:style>
  <w:style w:type="paragraph" w:styleId="1185" w:customStyle="1">
    <w:name w:val="xl31"/>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86" w:customStyle="1">
    <w:name w:val="标题4，章节第四层"/>
    <w:basedOn w:val="668"/>
    <w:next w:val="668"/>
    <w:uiPriority w:val="0"/>
    <w:qFormat/>
    <w:pPr>
      <w:spacing w:line="360" w:lineRule="auto"/>
      <w:tabs>
        <w:tab w:val="left" w:pos="0" w:leader="none"/>
      </w:tabs>
      <w:outlineLvl w:val="3"/>
    </w:pPr>
    <w:rPr>
      <w:rFonts w:ascii="宋体" w:hAnsi="宋体"/>
      <w:b/>
      <w:sz w:val="24"/>
      <w:szCs w:val="24"/>
    </w:rPr>
  </w:style>
  <w:style w:type="paragraph" w:styleId="1187" w:customStyle="1">
    <w:name w:val="xl54"/>
    <w:basedOn w:val="66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88" w:customStyle="1">
    <w:name w:val="正文 + 宋体"/>
    <w:basedOn w:val="668"/>
    <w:uiPriority w:val="0"/>
    <w:qFormat/>
    <w:pPr>
      <w:ind w:firstLine="420"/>
      <w:spacing w:line="360" w:lineRule="auto"/>
    </w:pPr>
    <w:rPr>
      <w:szCs w:val="24"/>
    </w:rPr>
  </w:style>
  <w:style w:type="paragraph" w:styleId="1189" w:customStyle="1">
    <w:name w:val="Char Char Char Char Char Char Char Char Char Char Char1 Char Char Char1"/>
    <w:basedOn w:val="668"/>
    <w:uiPriority w:val="0"/>
    <w:semiHidden/>
    <w:qFormat/>
    <w:pPr>
      <w:ind w:firstLine="200"/>
      <w:jc w:val="left"/>
    </w:pPr>
    <w:rPr>
      <w:rFonts w:ascii="Tahoma" w:hAnsi="Tahoma"/>
      <w:sz w:val="24"/>
      <w:szCs w:val="24"/>
    </w:rPr>
  </w:style>
  <w:style w:type="paragraph" w:styleId="1190" w:customStyle="1">
    <w:name w:val="flType"/>
    <w:basedOn w:val="1124"/>
    <w:uiPriority w:val="0"/>
    <w:qFormat/>
    <w:pPr>
      <w:spacing w:after="284"/>
    </w:pPr>
    <w:rPr>
      <w:rFonts w:eastAsia="宋体"/>
      <w:b w:val="0"/>
    </w:rPr>
  </w:style>
  <w:style w:type="paragraph" w:styleId="1191" w:customStyle="1">
    <w:name w:val="正文--表格内正文"/>
    <w:basedOn w:val="668"/>
    <w:uiPriority w:val="0"/>
    <w:qFormat/>
    <w:pPr>
      <w:jc w:val="center"/>
      <w:spacing w:before="156" w:line="0" w:lineRule="atLeast"/>
    </w:pPr>
    <w:rPr>
      <w:rFonts w:ascii="宋体" w:hAnsi="宋体"/>
      <w:color w:val="000000"/>
      <w:sz w:val="24"/>
      <w:szCs w:val="24"/>
    </w:rPr>
  </w:style>
  <w:style w:type="paragraph" w:styleId="1192" w:customStyle="1">
    <w:name w:val="小四 段落 宋体 Char Char Char"/>
    <w:basedOn w:val="688"/>
    <w:uiPriority w:val="0"/>
    <w:qFormat/>
    <w:pPr>
      <w:ind w:left="0" w:right="-33" w:firstLine="545"/>
      <w:jc w:val="left"/>
      <w:spacing w:line="360" w:lineRule="auto"/>
      <w:tabs>
        <w:tab w:val="clear" w:pos="2952" w:leader="none"/>
      </w:tabs>
    </w:pPr>
    <w:rPr>
      <w:sz w:val="24"/>
    </w:rPr>
  </w:style>
  <w:style w:type="paragraph" w:styleId="1193" w:customStyle="1">
    <w:name w:val="a"/>
    <w:basedOn w:val="668"/>
    <w:uiPriority w:val="0"/>
    <w:qFormat/>
    <w:pPr>
      <w:spacing w:before="100" w:beforeAutospacing="1" w:after="100" w:afterAutospacing="1"/>
      <w:widowControl/>
    </w:pPr>
    <w:rPr>
      <w:rFonts w:ascii="宋体" w:hAnsi="宋体" w:cs="宋体"/>
      <w:sz w:val="24"/>
      <w:szCs w:val="24"/>
    </w:rPr>
  </w:style>
  <w:style w:type="paragraph" w:styleId="1194" w:customStyle="1">
    <w:name w:val="font10"/>
    <w:basedOn w:val="668"/>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195" w:customStyle="1">
    <w:name w:val="Char Char Char Char Char Char Char Char Char Char Char Char Char Char Char Char Char Char Char Char Char Char Char1"/>
    <w:basedOn w:val="668"/>
    <w:uiPriority w:val="0"/>
    <w:qFormat/>
    <w:rPr>
      <w:rFonts w:ascii="Tahoma" w:hAnsi="Tahoma" w:cs="Tahoma"/>
      <w:sz w:val="24"/>
    </w:rPr>
  </w:style>
  <w:style w:type="paragraph" w:styleId="1196" w:customStyle="1">
    <w:name w:val="样式 标题 3H3sect1.2.3BOD 0Heading 3 - oldh3l3CTLevel 3 Head..."/>
    <w:basedOn w:val="671"/>
    <w:uiPriority w:val="0"/>
    <w:qFormat/>
    <w:pPr>
      <w:jc w:val="left"/>
      <w:spacing w:before="156" w:after="156"/>
    </w:pPr>
    <w:rPr>
      <w:rFonts w:cs="宋体"/>
      <w:bCs/>
      <w:sz w:val="30"/>
    </w:rPr>
  </w:style>
  <w:style w:type="paragraph" w:styleId="1197" w:customStyle="1">
    <w:name w:val="正文文本 New New"/>
    <w:basedOn w:val="668"/>
    <w:uiPriority w:val="0"/>
    <w:qFormat/>
    <w:pPr>
      <w:ind w:firstLine="200"/>
      <w:spacing w:before="60" w:after="60" w:line="360" w:lineRule="auto"/>
      <w:widowControl/>
    </w:pPr>
    <w:rPr>
      <w:rFonts w:eastAsia="华文楷体"/>
      <w:sz w:val="24"/>
      <w:szCs w:val="24"/>
    </w:rPr>
  </w:style>
  <w:style w:type="paragraph" w:styleId="1198" w:customStyle="1">
    <w:name w:val="xl51"/>
    <w:basedOn w:val="66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99" w:customStyle="1">
    <w:name w:val="p0"/>
    <w:basedOn w:val="668"/>
    <w:uiPriority w:val="0"/>
    <w:qFormat/>
    <w:pPr>
      <w:jc w:val="left"/>
      <w:spacing w:before="100" w:beforeAutospacing="1" w:after="100" w:afterAutospacing="1"/>
      <w:widowControl/>
    </w:pPr>
    <w:rPr>
      <w:rFonts w:ascii="宋体" w:hAnsi="宋体" w:cs="宋体"/>
      <w:sz w:val="24"/>
      <w:szCs w:val="24"/>
    </w:rPr>
  </w:style>
  <w:style w:type="paragraph" w:styleId="1200" w:customStyle="1">
    <w:name w:val="正文文本缩进1"/>
    <w:basedOn w:val="668"/>
    <w:uiPriority w:val="0"/>
    <w:qFormat/>
    <w:pPr>
      <w:ind w:left="420"/>
      <w:spacing w:after="120"/>
    </w:pPr>
    <w:rPr>
      <w:szCs w:val="24"/>
    </w:rPr>
  </w:style>
  <w:style w:type="paragraph" w:styleId="1201" w:customStyle="1">
    <w:name w:val="标题5，章节第五层"/>
    <w:basedOn w:val="668"/>
    <w:next w:val="66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02" w:customStyle="1">
    <w:name w:val="表格文字"/>
    <w:basedOn w:val="668"/>
    <w:uiPriority w:val="0"/>
    <w:qFormat/>
    <w:pPr>
      <w:ind w:firstLine="200"/>
      <w:jc w:val="left"/>
      <w:spacing w:line="360" w:lineRule="auto"/>
    </w:pPr>
    <w:rPr>
      <w:rFonts w:ascii="Arial" w:hAnsi="Arial"/>
      <w:sz w:val="24"/>
    </w:rPr>
  </w:style>
  <w:style w:type="paragraph" w:styleId="1203" w:customStyle="1">
    <w:name w:val="项目符号：一级"/>
    <w:basedOn w:val="1071"/>
    <w:next w:val="1071"/>
    <w:uiPriority w:val="0"/>
    <w:qFormat/>
    <w:pPr>
      <w:ind w:right="-134"/>
    </w:pPr>
    <w:rPr>
      <w:bCs w:val="0"/>
    </w:rPr>
  </w:style>
  <w:style w:type="paragraph" w:styleId="1204" w:customStyle="1">
    <w:name w:val="Char Char Char Char Char1"/>
    <w:basedOn w:val="668"/>
    <w:uiPriority w:val="0"/>
    <w:qFormat/>
    <w:rPr>
      <w:rFonts w:ascii="Tahoma" w:hAnsi="Tahoma" w:cs="Tahoma"/>
      <w:sz w:val="24"/>
    </w:rPr>
  </w:style>
  <w:style w:type="paragraph" w:styleId="1205" w:customStyle="1">
    <w:name w:val="符号与编号"/>
    <w:basedOn w:val="668"/>
    <w:uiPriority w:val="0"/>
    <w:qFormat/>
    <w:pPr>
      <w:ind w:left="900" w:hanging="420"/>
      <w:spacing w:after="156" w:line="400" w:lineRule="atLeast"/>
      <w:tabs>
        <w:tab w:val="left" w:pos="900" w:leader="none"/>
      </w:tabs>
    </w:pPr>
    <w:rPr>
      <w:sz w:val="24"/>
      <w:szCs w:val="24"/>
    </w:rPr>
  </w:style>
  <w:style w:type="paragraph" w:styleId="1206" w:customStyle="1">
    <w:name w:val="font11"/>
    <w:basedOn w:val="668"/>
    <w:uiPriority w:val="0"/>
    <w:qFormat/>
    <w:pPr>
      <w:jc w:val="left"/>
      <w:spacing w:before="100" w:beforeAutospacing="1" w:after="100" w:afterAutospacing="1"/>
      <w:widowControl/>
    </w:pPr>
    <w:rPr>
      <w:b/>
      <w:bCs/>
      <w:sz w:val="18"/>
      <w:szCs w:val="18"/>
    </w:rPr>
  </w:style>
  <w:style w:type="paragraph" w:styleId="1207" w:customStyle="1">
    <w:name w:val="普通文字"/>
    <w:basedOn w:val="668"/>
    <w:next w:val="668"/>
    <w:uiPriority w:val="0"/>
    <w:qFormat/>
    <w:rPr>
      <w:rFonts w:ascii="宋体" w:hAnsi="宋体" w:cs="宋体"/>
      <w:sz w:val="24"/>
    </w:rPr>
  </w:style>
  <w:style w:type="paragraph" w:styleId="1208" w:customStyle="1">
    <w:name w:val="论文正文"/>
    <w:basedOn w:val="705"/>
    <w:uiPriority w:val="0"/>
    <w:qFormat/>
    <w:pPr>
      <w:ind w:left="0" w:firstLine="200"/>
      <w:jc w:val="left"/>
      <w:spacing w:line="360" w:lineRule="auto"/>
    </w:pPr>
    <w:rPr>
      <w:rFonts w:ascii="Times New Roman" w:hAnsi="Times New Roman"/>
      <w:sz w:val="28"/>
      <w:szCs w:val="24"/>
    </w:rPr>
  </w:style>
  <w:style w:type="paragraph" w:styleId="1209" w:customStyle="1">
    <w:name w:val="Revision"/>
    <w:uiPriority w:val="0"/>
    <w:semiHidden/>
    <w:qFormat/>
    <w:rPr>
      <w:rFonts w:ascii="Times New Roman" w:hAnsi="Times New Roman" w:eastAsia="宋体" w:cs="Times New Roman"/>
      <w:sz w:val="21"/>
      <w:szCs w:val="24"/>
      <w:lang w:val="en-US" w:eastAsia="zh-CN" w:bidi="ar-SA"/>
    </w:rPr>
  </w:style>
  <w:style w:type="paragraph" w:styleId="1210" w:customStyle="1">
    <w:name w:val="Char Char Char Char Char Char Char Char Char Char Char Char Char Char Char Char Char Char Char Char Char1"/>
    <w:basedOn w:val="668"/>
    <w:uiPriority w:val="0"/>
    <w:qFormat/>
    <w:rPr>
      <w:rFonts w:ascii="Tahoma" w:hAnsi="Tahoma"/>
      <w:sz w:val="24"/>
    </w:rPr>
  </w:style>
  <w:style w:type="paragraph" w:styleId="1211" w:customStyle="1">
    <w:name w:val="Table Text Char"/>
    <w:uiPriority w:val="0"/>
    <w:qFormat/>
    <w:pPr>
      <w:spacing w:before="80" w:after="80"/>
    </w:pPr>
    <w:rPr>
      <w:rFonts w:ascii="Arial" w:hAnsi="Arial" w:eastAsia="宋体" w:cs="Arial"/>
      <w:sz w:val="18"/>
      <w:szCs w:val="28"/>
      <w:lang w:val="en-US" w:eastAsia="zh-CN" w:bidi="ar-SA"/>
    </w:rPr>
  </w:style>
  <w:style w:type="paragraph" w:styleId="1212" w:customStyle="1">
    <w:name w:val="Char Char1 Char1"/>
    <w:basedOn w:val="668"/>
    <w:uiPriority w:val="0"/>
    <w:qFormat/>
    <w:pPr>
      <w:jc w:val="left"/>
      <w:spacing w:after="160" w:line="240" w:lineRule="exact"/>
      <w:widowControl/>
    </w:pPr>
    <w:rPr>
      <w:rFonts w:ascii="Verdana" w:hAnsi="Verdana"/>
      <w:sz w:val="20"/>
      <w:lang w:eastAsia="en-US"/>
    </w:rPr>
  </w:style>
  <w:style w:type="paragraph" w:styleId="1213" w:customStyle="1">
    <w:name w:val="条1"/>
    <w:basedOn w:val="668"/>
    <w:uiPriority w:val="0"/>
    <w:qFormat/>
    <w:pPr>
      <w:ind w:left="780" w:hanging="360"/>
      <w:spacing w:before="156" w:line="360" w:lineRule="auto"/>
      <w:tabs>
        <w:tab w:val="left" w:pos="780" w:leader="none"/>
      </w:tabs>
    </w:pPr>
    <w:rPr>
      <w:rFonts w:eastAsia="黑体"/>
      <w:sz w:val="24"/>
    </w:rPr>
  </w:style>
  <w:style w:type="paragraph" w:styleId="1214" w:customStyle="1">
    <w:name w:val="Char Char Char Char Char Char Char1"/>
    <w:basedOn w:val="668"/>
    <w:uiPriority w:val="0"/>
    <w:qFormat/>
    <w:pPr>
      <w:jc w:val="left"/>
    </w:pPr>
    <w:rPr>
      <w:rFonts w:ascii="Tahoma" w:hAnsi="Tahoma"/>
      <w:sz w:val="24"/>
    </w:rPr>
  </w:style>
  <w:style w:type="paragraph" w:styleId="1215"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16" w:customStyle="1">
    <w:name w:val="方案正文"/>
    <w:basedOn w:val="668"/>
    <w:uiPriority w:val="0"/>
    <w:qFormat/>
    <w:pPr>
      <w:ind w:firstLine="359"/>
      <w:jc w:val="left"/>
      <w:spacing w:before="156" w:line="360" w:lineRule="auto"/>
    </w:pPr>
    <w:rPr>
      <w:rFonts w:ascii="Arial" w:hAnsi="Arial" w:cs="宋体"/>
      <w:sz w:val="24"/>
      <w:szCs w:val="21"/>
    </w:rPr>
  </w:style>
  <w:style w:type="paragraph" w:styleId="1217" w:customStyle="1">
    <w:name w:val="章标题"/>
    <w:next w:val="1064"/>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18" w:customStyle="1">
    <w:name w:val="xl32"/>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9" w:customStyle="1">
    <w:name w:val="项目符号，二级"/>
    <w:basedOn w:val="1071"/>
    <w:next w:val="1071"/>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20" w:customStyle="1">
    <w:name w:val="xl55"/>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21" w:customStyle="1">
    <w:name w:val="Normal0"/>
    <w:basedOn w:val="668"/>
    <w:uiPriority w:val="0"/>
    <w:qFormat/>
    <w:rPr>
      <w:rFonts w:ascii="Calibri" w:hAnsi="Calibri" w:eastAsia="Calibri" w:cs="宋体"/>
      <w:lang w:val="zh-CN"/>
    </w:rPr>
  </w:style>
  <w:style w:type="paragraph" w:styleId="1222"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1223"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4" w:customStyle="1">
    <w:name w:val="样式4 Char"/>
    <w:basedOn w:val="668"/>
    <w:uiPriority w:val="0"/>
    <w:qFormat/>
    <w:pPr>
      <w:ind w:firstLine="480"/>
      <w:jc w:val="left"/>
      <w:spacing w:line="360" w:lineRule="auto"/>
      <w:widowControl/>
    </w:pPr>
    <w:rPr>
      <w:rFonts w:cs="宋体"/>
      <w:color w:val="000000"/>
      <w:sz w:val="24"/>
      <w:szCs w:val="24"/>
    </w:rPr>
  </w:style>
  <w:style w:type="paragraph" w:styleId="1225" w:customStyle="1">
    <w:name w:val="Char11"/>
    <w:basedOn w:val="668"/>
    <w:uiPriority w:val="0"/>
    <w:qFormat/>
    <w:rPr>
      <w:rFonts w:ascii="方正仿宋_GB2312" w:hAnsi="宋体" w:eastAsia="方正仿宋_GB2312" w:cs="宋体"/>
      <w:b/>
      <w:sz w:val="32"/>
      <w:szCs w:val="32"/>
    </w:rPr>
  </w:style>
  <w:style w:type="paragraph" w:styleId="1226" w:customStyle="1">
    <w:name w:val="表格内容"/>
    <w:basedOn w:val="668"/>
    <w:uiPriority w:val="0"/>
    <w:qFormat/>
    <w:pPr>
      <w:jc w:val="center"/>
      <w:spacing w:before="60" w:line="300" w:lineRule="auto"/>
      <w:widowControl/>
    </w:pPr>
  </w:style>
  <w:style w:type="paragraph" w:styleId="1227" w:customStyle="1">
    <w:name w:val="xl26"/>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8" w:customStyle="1">
    <w:name w:val="Char Char Char1"/>
    <w:basedOn w:val="691"/>
    <w:uiPriority w:val="0"/>
    <w:qFormat/>
    <w:pPr>
      <w:spacing w:line="436" w:lineRule="exact"/>
    </w:pPr>
    <w:rPr>
      <w:szCs w:val="24"/>
    </w:rPr>
  </w:style>
  <w:style w:type="paragraph" w:styleId="1229" w:customStyle="1">
    <w:name w:val="xl58"/>
    <w:basedOn w:val="66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30" w:customStyle="1">
    <w:name w:val="Body Text 21"/>
    <w:basedOn w:val="668"/>
    <w:uiPriority w:val="0"/>
    <w:qFormat/>
    <w:pPr>
      <w:ind w:left="720" w:hanging="720"/>
      <w:widowControl/>
    </w:pPr>
    <w:rPr>
      <w:sz w:val="24"/>
      <w:lang w:val="en-GB"/>
    </w:rPr>
  </w:style>
  <w:style w:type="paragraph" w:styleId="1231" w:customStyle="1">
    <w:name w:val="Char Char3"/>
    <w:basedOn w:val="668"/>
    <w:uiPriority w:val="0"/>
    <w:qFormat/>
    <w:rPr>
      <w:rFonts w:ascii="Tahoma" w:hAnsi="Tahoma"/>
      <w:sz w:val="24"/>
    </w:rPr>
  </w:style>
  <w:style w:type="paragraph" w:styleId="1232" w:customStyle="1">
    <w:name w:val="reader-word-layer"/>
    <w:basedOn w:val="668"/>
    <w:uiPriority w:val="99"/>
    <w:qFormat/>
    <w:pPr>
      <w:jc w:val="left"/>
      <w:spacing w:before="100" w:beforeAutospacing="1" w:after="100" w:afterAutospacing="1"/>
      <w:widowControl/>
    </w:pPr>
    <w:rPr>
      <w:rFonts w:ascii="宋体" w:hAnsi="宋体" w:cs="宋体"/>
      <w:sz w:val="24"/>
      <w:szCs w:val="24"/>
    </w:rPr>
  </w:style>
  <w:style w:type="paragraph" w:styleId="1233" w:customStyle="1">
    <w:name w:val="xl2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34" w:customStyle="1">
    <w:name w:val="font31"/>
    <w:uiPriority w:val="0"/>
    <w:qFormat/>
    <w:rPr>
      <w:rFonts w:ascii="等线" w:hAnsi="等线" w:eastAsia="等线" w:cs="等线"/>
      <w:color w:val="000000"/>
      <w:sz w:val="21"/>
      <w:szCs w:val="21"/>
      <w:u w:val="none"/>
    </w:rPr>
  </w:style>
  <w:style w:type="character" w:styleId="1235" w:customStyle="1">
    <w:name w:val="NormalCharacter1"/>
    <w:uiPriority w:val="0"/>
    <w:semiHidden/>
    <w:qFormat/>
  </w:style>
  <w:style w:type="character" w:styleId="1236" w:customStyle="1">
    <w:name w:val="font51"/>
    <w:uiPriority w:val="0"/>
    <w:qFormat/>
    <w:rPr>
      <w:rFonts w:hint="eastAsia" w:ascii="宋体" w:hAnsi="宋体" w:eastAsia="宋体" w:cs="宋体"/>
      <w:color w:val="ff0000"/>
      <w:sz w:val="22"/>
      <w:szCs w:val="22"/>
      <w:u w:val="none"/>
    </w:rPr>
  </w:style>
  <w:style w:type="table" w:styleId="1237"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38" w:customStyle="1">
    <w:name w:val="二级标题"/>
    <w:next w:val="668"/>
    <w:uiPriority w:val="0"/>
    <w:qFormat/>
    <w:pPr>
      <w:numPr>
        <w:ilvl w:val="1"/>
        <w:numId w:val="5"/>
      </w:numPr>
      <w:spacing w:line="360" w:lineRule="auto"/>
      <w:outlineLvl w:val="1"/>
    </w:pPr>
    <w:rPr>
      <w:rFonts w:ascii="宋体" w:hAnsi="宋体" w:eastAsia="宋体" w:cs="宋体"/>
      <w:b/>
      <w:bCs/>
      <w:sz w:val="28"/>
      <w:szCs w:val="30"/>
      <w:lang w:val="en-US" w:eastAsia="zh-CN" w:bidi="ar-SA"/>
    </w:rPr>
  </w:style>
  <w:style w:type="paragraph" w:styleId="1239" w:customStyle="1">
    <w:name w:val="三级标题"/>
    <w:next w:val="668"/>
    <w:uiPriority w:val="0"/>
    <w:qFormat/>
    <w:pPr>
      <w:numPr>
        <w:ilvl w:val="2"/>
        <w:numId w:val="5"/>
      </w:numPr>
      <w:spacing w:line="360" w:lineRule="auto"/>
      <w:outlineLvl w:val="2"/>
    </w:pPr>
    <w:rPr>
      <w:rFonts w:ascii="宋体" w:hAnsi="宋体" w:eastAsia="宋体" w:cs="宋体"/>
      <w:bCs/>
      <w:sz w:val="21"/>
      <w:szCs w:val="30"/>
      <w:lang w:val="en-US" w:eastAsia="zh-CN" w:bidi="ar-SA"/>
    </w:rPr>
  </w:style>
  <w:style w:type="paragraph" w:styleId="1240" w:customStyle="1">
    <w:name w:val="四级标题"/>
    <w:next w:val="668"/>
    <w:uiPriority w:val="0"/>
    <w:qFormat/>
    <w:pPr>
      <w:numPr>
        <w:ilvl w:val="3"/>
        <w:numId w:val="5"/>
      </w:numPr>
      <w:spacing w:line="360" w:lineRule="auto"/>
      <w:outlineLvl w:val="3"/>
    </w:pPr>
    <w:rPr>
      <w:rFonts w:ascii="宋体" w:hAnsi="宋体" w:eastAsia="宋体" w:cs="宋体"/>
      <w:bCs/>
      <w:sz w:val="21"/>
      <w:szCs w:val="30"/>
      <w:lang w:val="en-US" w:eastAsia="zh-CN" w:bidi="ar-SA"/>
    </w:rPr>
  </w:style>
  <w:style w:type="paragraph" w:styleId="1241" w:customStyle="1">
    <w:name w:val="msonormal"/>
    <w:basedOn w:val="668"/>
    <w:uiPriority w:val="0"/>
    <w:qFormat/>
    <w:pPr>
      <w:jc w:val="left"/>
      <w:spacing w:before="100" w:beforeAutospacing="1" w:after="100" w:afterAutospacing="1"/>
      <w:widowControl/>
    </w:pPr>
    <w:rPr>
      <w:rFonts w:ascii="宋体" w:hAnsi="宋体" w:cs="宋体"/>
      <w:sz w:val="24"/>
      <w:szCs w:val="24"/>
    </w:rPr>
  </w:style>
  <w:style w:type="paragraph" w:styleId="1242" w:customStyle="1">
    <w:name w:val="xl71"/>
    <w:basedOn w:val="668"/>
    <w:uiPriority w:val="0"/>
    <w:qFormat/>
    <w:pPr>
      <w:jc w:val="left"/>
      <w:spacing w:before="100" w:beforeAutospacing="1" w:after="100" w:afterAutospacing="1"/>
      <w:widowControl/>
    </w:pPr>
    <w:rPr>
      <w:rFonts w:ascii="宋体" w:hAnsi="宋体" w:cs="宋体"/>
      <w:sz w:val="24"/>
      <w:szCs w:val="24"/>
    </w:rPr>
  </w:style>
  <w:style w:type="paragraph" w:styleId="1243" w:customStyle="1">
    <w:name w:val="xl72"/>
    <w:basedOn w:val="668"/>
    <w:uiPriority w:val="0"/>
    <w:qFormat/>
    <w:pPr>
      <w:jc w:val="center"/>
      <w:spacing w:before="100" w:beforeAutospacing="1" w:after="100" w:afterAutospacing="1"/>
      <w:widowControl/>
    </w:pPr>
    <w:rPr>
      <w:rFonts w:ascii="宋体" w:hAnsi="宋体" w:cs="宋体"/>
      <w:sz w:val="24"/>
      <w:szCs w:val="24"/>
    </w:rPr>
  </w:style>
  <w:style w:type="paragraph" w:styleId="1244" w:customStyle="1">
    <w:name w:val="xl73"/>
    <w:basedOn w:val="668"/>
    <w:uiPriority w:val="0"/>
    <w:qFormat/>
    <w:pPr>
      <w:jc w:val="center"/>
      <w:spacing w:before="100" w:beforeAutospacing="1" w:after="100" w:afterAutospacing="1"/>
      <w:widowControl/>
    </w:pPr>
    <w:rPr>
      <w:rFonts w:ascii="宋体" w:hAnsi="宋体" w:cs="宋体"/>
      <w:sz w:val="24"/>
      <w:szCs w:val="24"/>
    </w:rPr>
  </w:style>
  <w:style w:type="paragraph" w:styleId="1245" w:customStyle="1">
    <w:name w:val="xl74"/>
    <w:basedOn w:val="668"/>
    <w:uiPriority w:val="0"/>
    <w:qFormat/>
    <w:pPr>
      <w:jc w:val="center"/>
      <w:spacing w:before="100" w:beforeAutospacing="1" w:after="100" w:afterAutospacing="1"/>
      <w:widowControl/>
    </w:pPr>
    <w:rPr>
      <w:rFonts w:ascii="宋体" w:hAnsi="宋体" w:cs="宋体"/>
      <w:sz w:val="20"/>
    </w:rPr>
  </w:style>
  <w:style w:type="paragraph" w:styleId="1246" w:customStyle="1">
    <w:name w:val="xl75"/>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7" w:customStyle="1">
    <w:name w:val="xl76"/>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8" w:customStyle="1">
    <w:name w:val="xl77"/>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9" w:customStyle="1">
    <w:name w:val="xl78"/>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0" w:customStyle="1">
    <w:name w:val="xl79"/>
    <w:basedOn w:val="668"/>
    <w:uiPriority w:val="0"/>
    <w:qFormat/>
    <w:pPr>
      <w:jc w:val="center"/>
      <w:spacing w:before="100" w:beforeAutospacing="1" w:after="100" w:afterAutospacing="1"/>
      <w:shd w:val="clear" w:color="000000" w:fill="ffffff"/>
      <w:widowControl/>
    </w:pPr>
    <w:rPr>
      <w:rFonts w:ascii="宋体" w:hAnsi="宋体" w:cs="宋体"/>
      <w:sz w:val="20"/>
    </w:rPr>
  </w:style>
  <w:style w:type="paragraph" w:styleId="1251" w:customStyle="1">
    <w:name w:val="xl80"/>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2" w:customStyle="1">
    <w:name w:val="xl81"/>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3" w:customStyle="1">
    <w:name w:val="xl82"/>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4" w:customStyle="1">
    <w:name w:val="xl83"/>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5" w:customStyle="1">
    <w:name w:val="xl84"/>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6" w:customStyle="1">
    <w:name w:val="xl85"/>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7" w:customStyle="1">
    <w:name w:val="纯文本11"/>
    <w:basedOn w:val="668"/>
    <w:uiPriority w:val="0"/>
    <w:qFormat/>
    <w:rPr>
      <w:rFonts w:ascii="宋体" w:hAnsi="Courier New"/>
    </w:rPr>
  </w:style>
  <w:style w:type="paragraph" w:styleId="1258" w:customStyle="1">
    <w:name w:val="_Style 78"/>
    <w:basedOn w:val="668"/>
    <w:next w:val="668"/>
    <w:uiPriority w:val="39"/>
    <w:qFormat/>
    <w:pPr>
      <w:ind w:left="1470"/>
      <w:jc w:val="left"/>
    </w:pPr>
    <w:rPr>
      <w:szCs w:val="21"/>
    </w:rPr>
  </w:style>
  <w:style w:type="paragraph" w:styleId="1259" w:customStyle="1">
    <w:name w:val="页脚1"/>
    <w:basedOn w:val="668"/>
    <w:uiPriority w:val="0"/>
    <w:qFormat/>
    <w:pPr>
      <w:jc w:val="left"/>
      <w:tabs>
        <w:tab w:val="center" w:pos="4153" w:leader="none"/>
        <w:tab w:val="right" w:pos="8306" w:leader="none"/>
      </w:tabs>
    </w:pPr>
    <w:rPr>
      <w:sz w:val="18"/>
      <w:szCs w:val="18"/>
    </w:rPr>
  </w:style>
  <w:style w:type="character" w:styleId="1260" w:customStyle="1">
    <w:name w:val="font61"/>
    <w:uiPriority w:val="0"/>
    <w:qFormat/>
    <w:rPr>
      <w:rFonts w:hint="eastAsia" w:ascii="宋体" w:hAnsi="宋体" w:eastAsia="宋体" w:cs="宋体"/>
      <w:color w:val="000000"/>
      <w:sz w:val="20"/>
      <w:szCs w:val="20"/>
      <w:u w:val="none"/>
    </w:rPr>
  </w:style>
  <w:style w:type="character" w:styleId="1261" w:customStyle="1">
    <w:name w:val="font231"/>
    <w:uiPriority w:val="0"/>
    <w:qFormat/>
    <w:rPr>
      <w:rFonts w:ascii="Calibri" w:hAnsi="Calibri" w:cs="Calibri"/>
      <w:color w:val="000000"/>
      <w:sz w:val="20"/>
      <w:szCs w:val="20"/>
      <w:u w:val="none"/>
    </w:rPr>
  </w:style>
  <w:style w:type="character" w:styleId="1262" w:customStyle="1">
    <w:name w:val="font241"/>
    <w:uiPriority w:val="0"/>
    <w:qFormat/>
    <w:rPr>
      <w:rFonts w:ascii="Calibri" w:hAnsi="Calibri" w:cs="Calibri"/>
      <w:color w:val="000000"/>
      <w:sz w:val="20"/>
      <w:szCs w:val="20"/>
      <w:u w:val="none"/>
    </w:rPr>
  </w:style>
  <w:style w:type="character" w:styleId="1263" w:customStyle="1">
    <w:name w:val="font81"/>
    <w:uiPriority w:val="0"/>
    <w:qFormat/>
    <w:rPr>
      <w:rFonts w:ascii="宋体" w:hAnsi="宋体" w:eastAsia="宋体" w:cs="宋体"/>
      <w:color w:val="000000"/>
      <w:sz w:val="20"/>
      <w:szCs w:val="20"/>
      <w:u w:val="none"/>
    </w:rPr>
  </w:style>
  <w:style w:type="character" w:styleId="1264" w:customStyle="1">
    <w:name w:val="font251"/>
    <w:uiPriority w:val="0"/>
    <w:qFormat/>
    <w:rPr>
      <w:rFonts w:ascii="宋体" w:hAnsi="宋体" w:eastAsia="宋体" w:cs="宋体"/>
      <w:b/>
      <w:bCs/>
      <w:color w:val="000000"/>
      <w:sz w:val="20"/>
      <w:szCs w:val="20"/>
      <w:u w:val="none"/>
    </w:rPr>
  </w:style>
  <w:style w:type="character" w:styleId="1265" w:customStyle="1">
    <w:name w:val="font112"/>
    <w:uiPriority w:val="0"/>
    <w:qFormat/>
    <w:rPr>
      <w:rFonts w:hint="eastAsia" w:ascii="宋体" w:hAnsi="宋体" w:eastAsia="宋体" w:cs="宋体"/>
      <w:b/>
      <w:bCs/>
      <w:color w:val="000000"/>
      <w:sz w:val="20"/>
      <w:szCs w:val="20"/>
      <w:u w:val="none"/>
    </w:rPr>
  </w:style>
  <w:style w:type="character" w:styleId="1266" w:customStyle="1">
    <w:name w:val="font261"/>
    <w:uiPriority w:val="0"/>
    <w:qFormat/>
    <w:rPr>
      <w:rFonts w:ascii="微软雅黑" w:hAnsi="微软雅黑" w:eastAsia="微软雅黑" w:cs="微软雅黑"/>
      <w:color w:val="000000"/>
      <w:sz w:val="18"/>
      <w:szCs w:val="18"/>
      <w:u w:val="none"/>
    </w:rPr>
  </w:style>
  <w:style w:type="character" w:styleId="1267" w:customStyle="1">
    <w:name w:val="font271"/>
    <w:uiPriority w:val="0"/>
    <w:qFormat/>
    <w:rPr>
      <w:rFonts w:ascii="Arial" w:hAnsi="Arial" w:cs="Arial"/>
      <w:color w:val="000000"/>
      <w:sz w:val="20"/>
      <w:szCs w:val="20"/>
      <w:u w:val="none"/>
    </w:rPr>
  </w:style>
  <w:style w:type="character" w:styleId="1268" w:customStyle="1">
    <w:name w:val="font141"/>
    <w:uiPriority w:val="0"/>
    <w:qFormat/>
    <w:rPr>
      <w:rFonts w:ascii="宋体" w:hAnsi="宋体" w:eastAsia="宋体" w:cs="宋体"/>
      <w:color w:val="000000"/>
      <w:sz w:val="20"/>
      <w:szCs w:val="20"/>
      <w:u w:val="none"/>
    </w:rPr>
  </w:style>
  <w:style w:type="character" w:styleId="1269" w:customStyle="1">
    <w:name w:val="font91"/>
    <w:uiPriority w:val="0"/>
    <w:qFormat/>
    <w:rPr>
      <w:rFonts w:hint="eastAsia" w:ascii="宋体" w:hAnsi="宋体" w:eastAsia="宋体" w:cs="宋体"/>
      <w:color w:val="000000"/>
      <w:sz w:val="20"/>
      <w:szCs w:val="20"/>
      <w:u w:val="none"/>
    </w:rPr>
  </w:style>
  <w:style w:type="character" w:styleId="1270" w:customStyle="1">
    <w:name w:val="font281"/>
    <w:uiPriority w:val="0"/>
    <w:qFormat/>
    <w:rPr>
      <w:rFonts w:ascii="Calibri" w:hAnsi="Calibri" w:cs="Calibri"/>
      <w:color w:val="000000"/>
      <w:sz w:val="20"/>
      <w:szCs w:val="20"/>
      <w:u w:val="none"/>
    </w:rPr>
  </w:style>
  <w:style w:type="table" w:styleId="1271" w:customStyle="1">
    <w:name w:val="Table Normal"/>
    <w:basedOn w:val="679"/>
    <w:uiPriority w:val="2"/>
    <w:unhideWhenUsed/>
    <w:qFormat/>
    <w:tblPr>
      <w:tblCellMar>
        <w:left w:w="108" w:type="dxa"/>
        <w:top w:w="0" w:type="dxa"/>
        <w:right w:w="108" w:type="dxa"/>
        <w:bottom w:w="0" w:type="dxa"/>
      </w:tblCellMar>
    </w:tblPr>
  </w:style>
  <w:style w:type="paragraph" w:styleId="1272" w:customStyle="1">
    <w:name w:val="正文首行缩进 21"/>
    <w:basedOn w:val="1273"/>
    <w:next w:val="668"/>
    <w:uiPriority w:val="99"/>
    <w:qFormat/>
    <w:pPr>
      <w:ind w:firstLine="420"/>
    </w:pPr>
    <w:rPr>
      <w:rFonts w:ascii="Calibri" w:hAnsi="Calibri" w:cs="Calibri"/>
      <w:szCs w:val="24"/>
    </w:rPr>
  </w:style>
  <w:style w:type="paragraph" w:styleId="1273" w:customStyle="1">
    <w:name w:val="正文文本缩进12"/>
    <w:basedOn w:val="668"/>
    <w:next w:val="1274"/>
    <w:uiPriority w:val="0"/>
    <w:qFormat/>
    <w:pPr>
      <w:ind w:firstLine="645"/>
    </w:pPr>
    <w:rPr>
      <w:rFonts w:ascii="方正楷体_GB2312" w:eastAsia="方正楷体_GB2312"/>
      <w:sz w:val="32"/>
    </w:rPr>
  </w:style>
  <w:style w:type="paragraph" w:styleId="1274" w:customStyle="1">
    <w:name w:val="寄信人地址11"/>
    <w:basedOn w:val="668"/>
    <w:uiPriority w:val="0"/>
    <w:qFormat/>
    <w:rPr>
      <w:rFonts w:ascii="Arial" w:hAnsi="Arial"/>
    </w:rPr>
  </w:style>
  <w:style w:type="paragraph" w:styleId="1275" w:customStyle="1">
    <w:name w:val="标题 111"/>
    <w:basedOn w:val="668"/>
    <w:next w:val="668"/>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1276" w:customStyle="1">
    <w:name w:val="标题 21"/>
    <w:basedOn w:val="668"/>
    <w:next w:val="668"/>
    <w:uiPriority w:val="0"/>
    <w:qFormat/>
    <w:pPr>
      <w:jc w:val="left"/>
      <w:keepLines/>
      <w:keepNext/>
      <w:spacing w:before="120" w:after="120"/>
      <w:outlineLvl w:val="1"/>
    </w:pPr>
    <w:rPr>
      <w:rFonts w:ascii="宋体" w:hAnsi="宋体"/>
      <w:b/>
      <w:szCs w:val="24"/>
    </w:rPr>
  </w:style>
  <w:style w:type="paragraph" w:styleId="1277" w:customStyle="1">
    <w:name w:val="标题 31"/>
    <w:basedOn w:val="668"/>
    <w:next w:val="1278"/>
    <w:uiPriority w:val="0"/>
    <w:qFormat/>
    <w:pPr>
      <w:keepLines/>
      <w:keepNext/>
      <w:spacing w:line="390" w:lineRule="atLeast"/>
      <w:shd w:val="clear" w:color="auto" w:fill="ffffff"/>
      <w:outlineLvl w:val="2"/>
    </w:pPr>
    <w:rPr>
      <w:rFonts w:ascii="宋体" w:hAnsi="宋体"/>
      <w:b/>
      <w:szCs w:val="21"/>
    </w:rPr>
  </w:style>
  <w:style w:type="paragraph" w:styleId="1278" w:customStyle="1">
    <w:name w:val="正文缩进1"/>
    <w:basedOn w:val="668"/>
    <w:uiPriority w:val="0"/>
    <w:qFormat/>
    <w:pPr>
      <w:ind w:firstLine="420"/>
    </w:pPr>
  </w:style>
  <w:style w:type="paragraph" w:styleId="1279" w:customStyle="1">
    <w:name w:val="标题 41"/>
    <w:basedOn w:val="668"/>
    <w:next w:val="668"/>
    <w:uiPriority w:val="0"/>
    <w:qFormat/>
    <w:pPr>
      <w:keepLines/>
      <w:keepNext/>
      <w:spacing w:before="120" w:after="120"/>
      <w:outlineLvl w:val="3"/>
    </w:pPr>
    <w:rPr>
      <w:rFonts w:ascii="Arial" w:hAnsi="Arial" w:eastAsia="黑体"/>
      <w:b/>
      <w:sz w:val="28"/>
    </w:rPr>
  </w:style>
  <w:style w:type="paragraph" w:styleId="1280" w:customStyle="1">
    <w:name w:val="标题 51"/>
    <w:basedOn w:val="668"/>
    <w:next w:val="1278"/>
    <w:uiPriority w:val="0"/>
    <w:qFormat/>
    <w:pPr>
      <w:keepNext/>
      <w:spacing w:before="145" w:after="145"/>
      <w:outlineLvl w:val="4"/>
    </w:pPr>
    <w:rPr>
      <w:rFonts w:ascii="黑体" w:eastAsia="黑体"/>
      <w:b/>
      <w:color w:val="000000"/>
      <w:sz w:val="28"/>
    </w:rPr>
  </w:style>
  <w:style w:type="paragraph" w:styleId="1281" w:customStyle="1">
    <w:name w:val="标题 61"/>
    <w:basedOn w:val="668"/>
    <w:next w:val="668"/>
    <w:uiPriority w:val="0"/>
    <w:qFormat/>
    <w:pPr>
      <w:keepLines/>
      <w:keepNext/>
      <w:spacing w:before="240" w:after="64" w:line="320" w:lineRule="auto"/>
      <w:outlineLvl w:val="5"/>
    </w:pPr>
    <w:rPr>
      <w:rFonts w:ascii="Arial" w:hAnsi="Arial" w:eastAsia="黑体"/>
      <w:b/>
      <w:bCs/>
      <w:sz w:val="24"/>
      <w:szCs w:val="24"/>
    </w:rPr>
  </w:style>
  <w:style w:type="paragraph" w:styleId="1282" w:customStyle="1">
    <w:name w:val="标题 71"/>
    <w:basedOn w:val="668"/>
    <w:next w:val="668"/>
    <w:uiPriority w:val="0"/>
    <w:qFormat/>
    <w:pPr>
      <w:keepLines/>
      <w:keepNext/>
      <w:spacing w:before="240" w:after="64" w:line="320" w:lineRule="auto"/>
      <w:outlineLvl w:val="6"/>
    </w:pPr>
    <w:rPr>
      <w:b/>
      <w:bCs/>
      <w:sz w:val="24"/>
      <w:szCs w:val="24"/>
    </w:rPr>
  </w:style>
  <w:style w:type="paragraph" w:styleId="1283" w:customStyle="1">
    <w:name w:val="标题 81"/>
    <w:basedOn w:val="668"/>
    <w:next w:val="668"/>
    <w:uiPriority w:val="0"/>
    <w:qFormat/>
    <w:pPr>
      <w:keepLines/>
      <w:keepNext/>
      <w:spacing w:before="240" w:after="64" w:line="320" w:lineRule="auto"/>
      <w:outlineLvl w:val="7"/>
    </w:pPr>
    <w:rPr>
      <w:rFonts w:ascii="Arial" w:hAnsi="Arial" w:eastAsia="黑体"/>
      <w:sz w:val="24"/>
      <w:szCs w:val="24"/>
    </w:rPr>
  </w:style>
  <w:style w:type="paragraph" w:styleId="1284" w:customStyle="1">
    <w:name w:val="标题 91"/>
    <w:basedOn w:val="668"/>
    <w:next w:val="668"/>
    <w:uiPriority w:val="0"/>
    <w:qFormat/>
    <w:pPr>
      <w:keepLines/>
      <w:keepNext/>
      <w:spacing w:before="240" w:after="64" w:line="320" w:lineRule="auto"/>
      <w:outlineLvl w:val="8"/>
    </w:pPr>
    <w:rPr>
      <w:rFonts w:ascii="Arial" w:hAnsi="Arial" w:eastAsia="黑体"/>
      <w:szCs w:val="21"/>
    </w:rPr>
  </w:style>
  <w:style w:type="character" w:styleId="1285" w:customStyle="1">
    <w:name w:val="默认段落字体1"/>
    <w:uiPriority w:val="1"/>
    <w:unhideWhenUsed/>
    <w:qFormat/>
  </w:style>
  <w:style w:type="table" w:styleId="1286" w:customStyle="1">
    <w:name w:val="普通表格1"/>
    <w:uiPriority w:val="99"/>
    <w:unhideWhenUsed/>
    <w:qFormat/>
    <w:tblPr>
      <w:tblCellMar>
        <w:left w:w="0" w:type="dxa"/>
        <w:top w:w="0" w:type="dxa"/>
        <w:right w:w="0" w:type="dxa"/>
        <w:bottom w:w="0" w:type="dxa"/>
      </w:tblCellMar>
    </w:tblPr>
  </w:style>
  <w:style w:type="paragraph" w:styleId="1287" w:customStyle="1">
    <w:name w:val="列表 31"/>
    <w:basedOn w:val="668"/>
    <w:uiPriority w:val="0"/>
    <w:qFormat/>
    <w:pPr>
      <w:ind w:left="1260" w:hanging="420"/>
    </w:pPr>
  </w:style>
  <w:style w:type="paragraph" w:styleId="1288" w:customStyle="1">
    <w:name w:val="列表编号 21"/>
    <w:basedOn w:val="668"/>
    <w:uiPriority w:val="0"/>
    <w:qFormat/>
    <w:pPr>
      <w:ind w:left="1440" w:hanging="1440"/>
      <w:spacing w:line="360" w:lineRule="auto"/>
      <w:tabs>
        <w:tab w:val="left" w:pos="1440" w:leader="none"/>
      </w:tabs>
    </w:pPr>
    <w:rPr>
      <w:sz w:val="24"/>
      <w:szCs w:val="24"/>
    </w:rPr>
  </w:style>
  <w:style w:type="paragraph" w:styleId="1289" w:customStyle="1">
    <w:name w:val="列表编号1"/>
    <w:basedOn w:val="668"/>
    <w:uiPriority w:val="0"/>
    <w:qFormat/>
    <w:pPr>
      <w:ind w:left="2952" w:hanging="432"/>
      <w:tabs>
        <w:tab w:val="left" w:pos="2952" w:leader="none"/>
      </w:tabs>
    </w:pPr>
    <w:rPr>
      <w:szCs w:val="24"/>
    </w:rPr>
  </w:style>
  <w:style w:type="paragraph" w:styleId="1290" w:customStyle="1">
    <w:name w:val="题注1"/>
    <w:basedOn w:val="668"/>
    <w:next w:val="668"/>
    <w:uiPriority w:val="35"/>
    <w:qFormat/>
    <w:pPr>
      <w:spacing w:line="276" w:lineRule="auto"/>
    </w:pPr>
    <w:rPr>
      <w:b/>
      <w:bCs/>
      <w:color w:val="4472c4"/>
      <w:sz w:val="18"/>
      <w:szCs w:val="18"/>
    </w:rPr>
  </w:style>
  <w:style w:type="paragraph" w:styleId="1291" w:customStyle="1">
    <w:name w:val="批注文字1"/>
    <w:basedOn w:val="668"/>
    <w:uiPriority w:val="0"/>
    <w:qFormat/>
    <w:pPr>
      <w:jc w:val="left"/>
    </w:pPr>
  </w:style>
  <w:style w:type="paragraph" w:styleId="1292" w:customStyle="1">
    <w:name w:val="称呼1"/>
    <w:basedOn w:val="668"/>
    <w:next w:val="668"/>
    <w:uiPriority w:val="0"/>
    <w:qFormat/>
    <w:rPr>
      <w:rFonts w:ascii="方正仿宋_GB2312" w:eastAsia="方正仿宋_GB2312"/>
      <w:sz w:val="28"/>
    </w:rPr>
  </w:style>
  <w:style w:type="paragraph" w:styleId="1293" w:customStyle="1">
    <w:name w:val="正文文本 31"/>
    <w:basedOn w:val="668"/>
    <w:uiPriority w:val="0"/>
    <w:qFormat/>
    <w:rPr>
      <w:rFonts w:ascii="方正仿宋_GB2312" w:hAnsi="Arial" w:eastAsia="方正仿宋_GB2312"/>
      <w:sz w:val="32"/>
    </w:rPr>
  </w:style>
  <w:style w:type="paragraph" w:styleId="1294" w:customStyle="1">
    <w:name w:val="正文文本11"/>
    <w:basedOn w:val="668"/>
    <w:next w:val="668"/>
    <w:uiPriority w:val="0"/>
    <w:qFormat/>
    <w:rPr>
      <w:rFonts w:ascii="方正楷体_GB2312" w:hAnsi="Arial" w:eastAsia="方正楷体_GB2312"/>
      <w:sz w:val="28"/>
    </w:rPr>
  </w:style>
  <w:style w:type="paragraph" w:styleId="1295" w:customStyle="1">
    <w:name w:val="文本块1"/>
    <w:basedOn w:val="668"/>
    <w:uiPriority w:val="99"/>
    <w:unhideWhenUsed/>
    <w:qFormat/>
    <w:pPr>
      <w:ind w:left="1440" w:right="1440"/>
      <w:spacing w:after="120"/>
    </w:pPr>
  </w:style>
  <w:style w:type="paragraph" w:styleId="1296" w:customStyle="1">
    <w:name w:val="目录 31"/>
    <w:basedOn w:val="668"/>
    <w:next w:val="668"/>
    <w:uiPriority w:val="39"/>
    <w:qFormat/>
    <w:pPr>
      <w:ind w:left="420"/>
      <w:jc w:val="left"/>
    </w:pPr>
    <w:rPr>
      <w:i/>
      <w:sz w:val="20"/>
    </w:rPr>
  </w:style>
  <w:style w:type="paragraph" w:styleId="1297" w:customStyle="1">
    <w:name w:val="纯文本111"/>
    <w:basedOn w:val="668"/>
    <w:next w:val="668"/>
    <w:uiPriority w:val="0"/>
    <w:qFormat/>
    <w:rPr>
      <w:rFonts w:ascii="宋体" w:hAnsi="Courier New"/>
    </w:rPr>
  </w:style>
  <w:style w:type="paragraph" w:styleId="1298" w:customStyle="1">
    <w:name w:val="日期1"/>
    <w:basedOn w:val="668"/>
    <w:next w:val="668"/>
    <w:uiPriority w:val="0"/>
    <w:qFormat/>
    <w:pPr>
      <w:ind w:left="100"/>
    </w:pPr>
    <w:rPr>
      <w:sz w:val="28"/>
    </w:rPr>
  </w:style>
  <w:style w:type="paragraph" w:styleId="1299" w:customStyle="1">
    <w:name w:val="正文文本缩进 21"/>
    <w:basedOn w:val="668"/>
    <w:next w:val="668"/>
    <w:uiPriority w:val="0"/>
    <w:qFormat/>
    <w:pPr>
      <w:ind w:left="630" w:firstLine="645"/>
    </w:pPr>
    <w:rPr>
      <w:rFonts w:ascii="Arial" w:hAnsi="Arial" w:eastAsia="方正仿宋_GB2312"/>
      <w:sz w:val="32"/>
    </w:rPr>
  </w:style>
  <w:style w:type="paragraph" w:styleId="1300" w:customStyle="1">
    <w:name w:val="尾注文本1"/>
    <w:basedOn w:val="668"/>
    <w:uiPriority w:val="0"/>
    <w:qFormat/>
    <w:pPr>
      <w:jc w:val="left"/>
    </w:pPr>
    <w:rPr>
      <w:sz w:val="20"/>
      <w:szCs w:val="24"/>
    </w:rPr>
  </w:style>
  <w:style w:type="paragraph" w:styleId="1301" w:customStyle="1">
    <w:name w:val="页脚11"/>
    <w:basedOn w:val="668"/>
    <w:uiPriority w:val="0"/>
    <w:qFormat/>
    <w:pPr>
      <w:jc w:val="left"/>
      <w:tabs>
        <w:tab w:val="center" w:pos="4153" w:leader="none"/>
        <w:tab w:val="right" w:pos="8306" w:leader="none"/>
      </w:tabs>
    </w:pPr>
    <w:rPr>
      <w:sz w:val="18"/>
    </w:rPr>
  </w:style>
  <w:style w:type="paragraph" w:styleId="1302" w:customStyle="1">
    <w:name w:val="页眉1"/>
    <w:basedOn w:val="668"/>
    <w:uiPriority w:val="0"/>
    <w:qFormat/>
    <w:pPr>
      <w:jc w:val="center"/>
      <w:tabs>
        <w:tab w:val="center" w:pos="4153" w:leader="none"/>
        <w:tab w:val="right" w:pos="8306" w:leader="none"/>
      </w:tabs>
      <w:pBdr>
        <w:bottom w:val="single" w:color="000000" w:sz="6" w:space="1"/>
      </w:pBdr>
    </w:pPr>
    <w:rPr>
      <w:sz w:val="18"/>
    </w:rPr>
  </w:style>
  <w:style w:type="paragraph" w:styleId="1303" w:customStyle="1">
    <w:name w:val="签名1"/>
    <w:basedOn w:val="668"/>
    <w:uiPriority w:val="0"/>
    <w:qFormat/>
    <w:pPr>
      <w:jc w:val="center"/>
      <w:spacing w:after="600" w:line="312" w:lineRule="atLeast"/>
    </w:pPr>
    <w:rPr>
      <w:rFonts w:eastAsia="方正仿宋_GB2312"/>
      <w:sz w:val="24"/>
    </w:rPr>
  </w:style>
  <w:style w:type="paragraph" w:styleId="1304" w:customStyle="1">
    <w:name w:val="目录 11"/>
    <w:basedOn w:val="668"/>
    <w:next w:val="668"/>
    <w:uiPriority w:val="39"/>
    <w:qFormat/>
    <w:pPr>
      <w:jc w:val="left"/>
      <w:spacing w:before="120" w:after="120"/>
    </w:pPr>
    <w:rPr>
      <w:b/>
      <w:caps/>
      <w:sz w:val="20"/>
    </w:rPr>
  </w:style>
  <w:style w:type="paragraph" w:styleId="1305" w:customStyle="1">
    <w:name w:val="副标题1"/>
    <w:basedOn w:val="668"/>
    <w:next w:val="668"/>
    <w:uiPriority w:val="0"/>
    <w:qFormat/>
    <w:pPr>
      <w:jc w:val="left"/>
      <w:spacing w:after="600" w:line="276" w:lineRule="auto"/>
      <w:widowControl/>
    </w:pPr>
    <w:rPr>
      <w:rFonts w:ascii="Cambria" w:hAnsi="Cambria"/>
      <w:i/>
      <w:iCs/>
      <w:spacing w:val="13"/>
      <w:sz w:val="24"/>
      <w:szCs w:val="24"/>
      <w:lang w:eastAsia="en-US" w:bidi="en-US"/>
    </w:rPr>
  </w:style>
  <w:style w:type="paragraph" w:styleId="1306" w:customStyle="1">
    <w:name w:val="列表1"/>
    <w:basedOn w:val="668"/>
    <w:uiPriority w:val="0"/>
    <w:qFormat/>
    <w:pPr>
      <w:contextualSpacing/>
      <w:ind w:left="200" w:hanging="200"/>
    </w:pPr>
  </w:style>
  <w:style w:type="paragraph" w:styleId="1307" w:customStyle="1">
    <w:name w:val="脚注文本1"/>
    <w:basedOn w:val="668"/>
    <w:uiPriority w:val="0"/>
    <w:qFormat/>
    <w:pPr>
      <w:jc w:val="left"/>
    </w:pPr>
    <w:rPr>
      <w:sz w:val="18"/>
      <w:szCs w:val="18"/>
    </w:rPr>
  </w:style>
  <w:style w:type="paragraph" w:styleId="1308" w:customStyle="1">
    <w:name w:val="正文文本缩进 31"/>
    <w:basedOn w:val="668"/>
    <w:uiPriority w:val="0"/>
    <w:qFormat/>
    <w:pPr>
      <w:ind w:left="645" w:firstLine="645"/>
    </w:pPr>
    <w:rPr>
      <w:rFonts w:ascii="Arial" w:hAnsi="Arial" w:eastAsia="方正仿宋_GB2312"/>
      <w:color w:val="ffff00"/>
      <w:sz w:val="32"/>
    </w:rPr>
  </w:style>
  <w:style w:type="paragraph" w:styleId="1309" w:customStyle="1">
    <w:name w:val="目录 21"/>
    <w:basedOn w:val="668"/>
    <w:next w:val="668"/>
    <w:uiPriority w:val="39"/>
    <w:qFormat/>
    <w:pPr>
      <w:ind w:left="210"/>
      <w:jc w:val="left"/>
    </w:pPr>
    <w:rPr>
      <w:smallCaps/>
      <w:sz w:val="20"/>
    </w:rPr>
  </w:style>
  <w:style w:type="paragraph" w:styleId="1310" w:customStyle="1">
    <w:name w:val="正文文本 211"/>
    <w:basedOn w:val="668"/>
    <w:uiPriority w:val="0"/>
    <w:qFormat/>
    <w:pPr>
      <w:jc w:val="center"/>
      <w:widowControl/>
    </w:pPr>
    <w:rPr>
      <w:rFonts w:ascii="方正楷体_GB2312" w:eastAsia="方正楷体_GB2312"/>
      <w:sz w:val="28"/>
    </w:rPr>
  </w:style>
  <w:style w:type="paragraph" w:styleId="1311" w:customStyle="1">
    <w:name w:val="信息标题1"/>
    <w:basedOn w:val="66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312" w:customStyle="1">
    <w:name w:val="HTML 预设格式1"/>
    <w:basedOn w:val="66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313" w:customStyle="1">
    <w:name w:val="普通(网站)1"/>
    <w:basedOn w:val="668"/>
    <w:uiPriority w:val="0"/>
    <w:qFormat/>
    <w:pPr>
      <w:jc w:val="left"/>
      <w:spacing w:before="100" w:beforeAutospacing="1" w:after="100" w:afterAutospacing="1"/>
      <w:widowControl/>
    </w:pPr>
    <w:rPr>
      <w:rFonts w:ascii="Arial" w:hAnsi="Arial" w:eastAsia="Arial Unicode MS" w:cs="Arial"/>
      <w:sz w:val="24"/>
      <w:szCs w:val="24"/>
    </w:rPr>
  </w:style>
  <w:style w:type="paragraph" w:styleId="1314" w:customStyle="1">
    <w:name w:val="标题1"/>
    <w:basedOn w:val="668"/>
    <w:uiPriority w:val="0"/>
    <w:qFormat/>
    <w:pPr>
      <w:jc w:val="center"/>
      <w:spacing w:line="420" w:lineRule="exact"/>
      <w:widowControl/>
    </w:pPr>
    <w:rPr>
      <w:rFonts w:eastAsia="黑体"/>
      <w:b/>
      <w:sz w:val="28"/>
      <w:lang w:val="en-GB"/>
    </w:rPr>
  </w:style>
  <w:style w:type="paragraph" w:styleId="1315" w:customStyle="1">
    <w:name w:val="正文首行缩进11"/>
    <w:basedOn w:val="1294"/>
    <w:next w:val="1306"/>
    <w:uiPriority w:val="0"/>
    <w:qFormat/>
    <w:pPr>
      <w:ind w:firstLine="420"/>
      <w:spacing w:after="120"/>
    </w:pPr>
    <w:rPr>
      <w:rFonts w:ascii="Times New Roman" w:hAnsi="Times New Roman" w:eastAsia="宋体"/>
      <w:sz w:val="21"/>
      <w:szCs w:val="24"/>
    </w:rPr>
  </w:style>
  <w:style w:type="table" w:styleId="1316" w:customStyle="1">
    <w:name w:val="网格型1"/>
    <w:basedOn w:val="1286"/>
    <w:uiPriority w:val="0"/>
    <w:qFormat/>
    <w:pPr>
      <w:jc w:val="both"/>
      <w:widowControl w:val="off"/>
    </w:pPr>
    <w:tblPr>
      <w:tblCellMar>
        <w:left w:w="0" w:type="dxa"/>
        <w:top w:w="0" w:type="dxa"/>
        <w:right w:w="0" w:type="dxa"/>
        <w:bottom w:w="0" w:type="dxa"/>
      </w:tblCellMar>
    </w:tblPr>
  </w:style>
  <w:style w:type="character" w:styleId="1317" w:customStyle="1">
    <w:name w:val="要点1"/>
    <w:uiPriority w:val="0"/>
    <w:qFormat/>
    <w:rPr>
      <w:b/>
      <w:bCs/>
    </w:rPr>
  </w:style>
  <w:style w:type="character" w:styleId="1318" w:customStyle="1">
    <w:name w:val="尾注引用1"/>
    <w:uiPriority w:val="0"/>
    <w:qFormat/>
    <w:rPr>
      <w:vertAlign w:val="superscript"/>
    </w:rPr>
  </w:style>
  <w:style w:type="character" w:styleId="1319" w:customStyle="1">
    <w:name w:val="页码1"/>
    <w:uiPriority w:val="0"/>
    <w:qFormat/>
  </w:style>
  <w:style w:type="character" w:styleId="1320" w:customStyle="1">
    <w:name w:val="已访问的超链接11"/>
    <w:uiPriority w:val="99"/>
    <w:qFormat/>
    <w:rPr>
      <w:color w:val="000000"/>
      <w:u w:val="none"/>
    </w:rPr>
  </w:style>
  <w:style w:type="character" w:styleId="1321" w:customStyle="1">
    <w:name w:val="强调1"/>
    <w:uiPriority w:val="0"/>
    <w:qFormat/>
    <w:rPr>
      <w:b/>
      <w:bCs/>
      <w:i/>
      <w:iCs/>
      <w:spacing w:val="10"/>
      <w:shd w:val="clear" w:color="auto" w:fill="auto"/>
    </w:rPr>
  </w:style>
  <w:style w:type="character" w:styleId="1322" w:customStyle="1">
    <w:name w:val="行号1"/>
    <w:uiPriority w:val="0"/>
    <w:qFormat/>
  </w:style>
  <w:style w:type="character" w:styleId="1323" w:customStyle="1">
    <w:name w:val="HTML 打字机1"/>
    <w:uiPriority w:val="0"/>
    <w:qFormat/>
    <w:rPr>
      <w:rFonts w:ascii="宋体" w:hAnsi="宋体" w:eastAsia="宋体" w:cs="宋体"/>
      <w:sz w:val="24"/>
      <w:szCs w:val="24"/>
    </w:rPr>
  </w:style>
  <w:style w:type="character" w:styleId="1324" w:customStyle="1">
    <w:name w:val="HTML 缩写1"/>
    <w:uiPriority w:val="0"/>
    <w:qFormat/>
  </w:style>
  <w:style w:type="character" w:styleId="1325" w:customStyle="1">
    <w:name w:val="超链接1"/>
    <w:uiPriority w:val="99"/>
    <w:qFormat/>
    <w:rPr>
      <w:color w:val="000000"/>
      <w:u w:val="none"/>
    </w:rPr>
  </w:style>
  <w:style w:type="character" w:styleId="1326" w:customStyle="1">
    <w:name w:val="HTML 代码1"/>
    <w:uiPriority w:val="0"/>
    <w:qFormat/>
    <w:rPr>
      <w:rFonts w:ascii="Courier New" w:hAnsi="Courier New"/>
      <w:sz w:val="20"/>
    </w:rPr>
  </w:style>
  <w:style w:type="character" w:styleId="1327" w:customStyle="1">
    <w:name w:val="批注引用1"/>
    <w:uiPriority w:val="0"/>
    <w:qFormat/>
    <w:rPr>
      <w:sz w:val="21"/>
    </w:rPr>
  </w:style>
  <w:style w:type="character" w:styleId="1328" w:customStyle="1">
    <w:name w:val="脚注引用1"/>
    <w:uiPriority w:val="0"/>
    <w:qFormat/>
    <w:rPr>
      <w:vertAlign w:val="superscript"/>
    </w:rPr>
  </w:style>
  <w:style w:type="character" w:styleId="1329" w:customStyle="1">
    <w:name w:val="HTML 键盘1"/>
    <w:uiPriority w:val="0"/>
    <w:qFormat/>
    <w:rPr>
      <w:rFonts w:ascii="DejaVu Math TeX Gyre" w:hAnsi="DejaVu Math TeX Gyre" w:eastAsia="DejaVu Math TeX Gyre" w:cs="DejaVu Math TeX Gyre"/>
      <w:sz w:val="20"/>
    </w:rPr>
  </w:style>
  <w:style w:type="character" w:styleId="1330" w:customStyle="1">
    <w:name w:val="HTML 样本1"/>
    <w:uiPriority w:val="0"/>
    <w:qFormat/>
    <w:rPr>
      <w:rFonts w:ascii="Courier New" w:hAnsi="宋体" w:eastAsia="宋体" w:cs="Courier New"/>
    </w:rPr>
  </w:style>
  <w:style w:type="character" w:styleId="1331" w:customStyle="1">
    <w:name w:val="Subtitle Char"/>
    <w:uiPriority w:val="11"/>
    <w:qFormat/>
    <w:rPr>
      <w:sz w:val="24"/>
      <w:szCs w:val="24"/>
    </w:rPr>
  </w:style>
  <w:style w:type="character" w:styleId="1332" w:customStyle="1">
    <w:name w:val="Footnote Text Char"/>
    <w:uiPriority w:val="99"/>
    <w:qFormat/>
    <w:rPr>
      <w:sz w:val="18"/>
    </w:rPr>
  </w:style>
  <w:style w:type="character" w:styleId="1333" w:customStyle="1">
    <w:name w:val="Endnote Text Char"/>
    <w:uiPriority w:val="99"/>
    <w:qFormat/>
    <w:rPr>
      <w:sz w:val="20"/>
    </w:rPr>
  </w:style>
  <w:style w:type="paragraph" w:styleId="1334" w:customStyle="1">
    <w:name w:val="TOC 标题1"/>
    <w:uiPriority w:val="39"/>
    <w:unhideWhenUsed/>
    <w:qFormat/>
    <w:rPr>
      <w:rFonts w:ascii="Times New Roman" w:hAnsi="Times New Roman" w:eastAsia="宋体" w:cs="Times New Roman"/>
      <w:lang w:val="en-US" w:eastAsia="zh-CN" w:bidi="ar-SA"/>
    </w:rPr>
  </w:style>
  <w:style w:type="paragraph" w:styleId="1335" w:customStyle="1">
    <w:name w:val="引用1"/>
    <w:basedOn w:val="668"/>
    <w:next w:val="668"/>
    <w:uiPriority w:val="0"/>
    <w:qFormat/>
    <w:pPr>
      <w:ind w:left="360" w:right="360"/>
      <w:jc w:val="left"/>
      <w:spacing w:before="200" w:line="276" w:lineRule="auto"/>
      <w:widowControl/>
    </w:pPr>
    <w:rPr>
      <w:rFonts w:ascii="Calibri" w:hAnsi="Calibri"/>
      <w:i/>
      <w:iCs/>
      <w:sz w:val="22"/>
      <w:szCs w:val="22"/>
      <w:lang w:eastAsia="en-US" w:bidi="en-US"/>
    </w:rPr>
  </w:style>
  <w:style w:type="character" w:styleId="1336" w:customStyle="1">
    <w:name w:val="书籍标题1"/>
    <w:uiPriority w:val="0"/>
    <w:qFormat/>
    <w:rPr>
      <w:i/>
      <w:iCs/>
      <w:smallCaps/>
      <w:spacing w:val="5"/>
    </w:rPr>
  </w:style>
  <w:style w:type="character" w:styleId="1337" w:customStyle="1">
    <w:name w:val="不明显参考1"/>
    <w:uiPriority w:val="0"/>
    <w:qFormat/>
    <w:rPr>
      <w:smallCaps/>
    </w:rPr>
  </w:style>
  <w:style w:type="paragraph" w:styleId="1338" w:customStyle="1">
    <w:name w:val="明显引用1"/>
    <w:basedOn w:val="668"/>
    <w:next w:val="668"/>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339" w:customStyle="1">
    <w:name w:val="不明显强调1"/>
    <w:uiPriority w:val="0"/>
    <w:qFormat/>
    <w:rPr>
      <w:i/>
      <w:iCs/>
    </w:rPr>
  </w:style>
  <w:style w:type="character" w:styleId="1340" w:customStyle="1">
    <w:name w:val="明显强调1"/>
    <w:uiPriority w:val="0"/>
    <w:qFormat/>
    <w:rPr>
      <w:b/>
      <w:bCs/>
    </w:rPr>
  </w:style>
  <w:style w:type="character" w:styleId="1341" w:customStyle="1">
    <w:name w:val="明显参考1"/>
    <w:uiPriority w:val="0"/>
    <w:qFormat/>
    <w:rPr>
      <w:smallCaps/>
      <w:spacing w:val="5"/>
      <w:u w:val="single"/>
    </w:rPr>
  </w:style>
  <w:style w:type="paragraph" w:styleId="1342"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43" w:customStyle="1">
    <w:name w:val="目录 71"/>
    <w:basedOn w:val="668"/>
    <w:next w:val="668"/>
    <w:uiPriority w:val="0"/>
    <w:semiHidden/>
    <w:qFormat/>
    <w:pPr>
      <w:ind w:left="1260"/>
      <w:jc w:val="left"/>
    </w:pPr>
    <w:rPr>
      <w:sz w:val="18"/>
    </w:rPr>
  </w:style>
  <w:style w:type="paragraph" w:styleId="1344" w:customStyle="1">
    <w:name w:val="索引 81"/>
    <w:basedOn w:val="668"/>
    <w:next w:val="668"/>
    <w:uiPriority w:val="0"/>
    <w:semiHidden/>
    <w:qFormat/>
    <w:pPr>
      <w:ind w:left="2940"/>
    </w:pPr>
  </w:style>
  <w:style w:type="paragraph" w:styleId="1345" w:customStyle="1">
    <w:name w:val="索引 51"/>
    <w:basedOn w:val="668"/>
    <w:next w:val="668"/>
    <w:uiPriority w:val="0"/>
    <w:semiHidden/>
    <w:qFormat/>
    <w:pPr>
      <w:ind w:left="1680"/>
    </w:pPr>
  </w:style>
  <w:style w:type="paragraph" w:styleId="1346" w:customStyle="1">
    <w:name w:val="文档结构图1"/>
    <w:basedOn w:val="668"/>
    <w:uiPriority w:val="0"/>
    <w:semiHidden/>
    <w:qFormat/>
    <w:pPr>
      <w:shd w:val="clear" w:color="auto" w:fill="000080"/>
    </w:pPr>
  </w:style>
  <w:style w:type="paragraph" w:styleId="1347" w:customStyle="1">
    <w:name w:val="索引 61"/>
    <w:basedOn w:val="668"/>
    <w:next w:val="668"/>
    <w:uiPriority w:val="0"/>
    <w:semiHidden/>
    <w:qFormat/>
    <w:pPr>
      <w:ind w:left="2100"/>
    </w:pPr>
  </w:style>
  <w:style w:type="paragraph" w:styleId="1348" w:customStyle="1">
    <w:name w:val="索引 41"/>
    <w:basedOn w:val="668"/>
    <w:next w:val="668"/>
    <w:uiPriority w:val="0"/>
    <w:semiHidden/>
    <w:qFormat/>
    <w:pPr>
      <w:ind w:left="1260"/>
    </w:pPr>
  </w:style>
  <w:style w:type="paragraph" w:styleId="1349" w:customStyle="1">
    <w:name w:val="目录 51"/>
    <w:basedOn w:val="668"/>
    <w:next w:val="668"/>
    <w:uiPriority w:val="0"/>
    <w:semiHidden/>
    <w:qFormat/>
    <w:pPr>
      <w:ind w:left="840"/>
      <w:jc w:val="left"/>
    </w:pPr>
    <w:rPr>
      <w:sz w:val="18"/>
    </w:rPr>
  </w:style>
  <w:style w:type="paragraph" w:styleId="1350" w:customStyle="1">
    <w:name w:val="目录 81"/>
    <w:basedOn w:val="668"/>
    <w:next w:val="668"/>
    <w:uiPriority w:val="0"/>
    <w:semiHidden/>
    <w:qFormat/>
    <w:pPr>
      <w:ind w:left="1470"/>
      <w:jc w:val="left"/>
    </w:pPr>
    <w:rPr>
      <w:sz w:val="18"/>
    </w:rPr>
  </w:style>
  <w:style w:type="paragraph" w:styleId="1351" w:customStyle="1">
    <w:name w:val="索引 31"/>
    <w:basedOn w:val="668"/>
    <w:next w:val="668"/>
    <w:uiPriority w:val="0"/>
    <w:semiHidden/>
    <w:qFormat/>
    <w:pPr>
      <w:ind w:left="840"/>
    </w:pPr>
  </w:style>
  <w:style w:type="paragraph" w:styleId="1352" w:customStyle="1">
    <w:name w:val="批注框文本1"/>
    <w:basedOn w:val="668"/>
    <w:uiPriority w:val="0"/>
    <w:semiHidden/>
    <w:qFormat/>
    <w:rPr>
      <w:sz w:val="18"/>
      <w:szCs w:val="18"/>
    </w:rPr>
  </w:style>
  <w:style w:type="paragraph" w:styleId="1353" w:customStyle="1">
    <w:name w:val="目录 41"/>
    <w:basedOn w:val="668"/>
    <w:next w:val="668"/>
    <w:uiPriority w:val="0"/>
    <w:semiHidden/>
    <w:qFormat/>
    <w:pPr>
      <w:ind w:left="630"/>
      <w:jc w:val="left"/>
    </w:pPr>
    <w:rPr>
      <w:sz w:val="18"/>
    </w:rPr>
  </w:style>
  <w:style w:type="paragraph" w:styleId="1354" w:customStyle="1">
    <w:name w:val="索引标题1"/>
    <w:basedOn w:val="668"/>
    <w:next w:val="1355"/>
    <w:uiPriority w:val="0"/>
    <w:semiHidden/>
    <w:qFormat/>
  </w:style>
  <w:style w:type="paragraph" w:styleId="1355" w:customStyle="1">
    <w:name w:val="索引 11"/>
    <w:basedOn w:val="668"/>
    <w:next w:val="668"/>
    <w:uiPriority w:val="0"/>
    <w:semiHidden/>
    <w:qFormat/>
    <w:rPr>
      <w:rFonts w:ascii="方正仿宋_GB2312" w:hAnsi="宋体" w:eastAsia="方正仿宋_GB2312"/>
      <w:sz w:val="30"/>
      <w:szCs w:val="24"/>
    </w:rPr>
  </w:style>
  <w:style w:type="paragraph" w:styleId="1356" w:customStyle="1">
    <w:name w:val="目录 61"/>
    <w:basedOn w:val="668"/>
    <w:next w:val="668"/>
    <w:uiPriority w:val="0"/>
    <w:semiHidden/>
    <w:qFormat/>
    <w:pPr>
      <w:ind w:left="1050"/>
      <w:jc w:val="left"/>
    </w:pPr>
    <w:rPr>
      <w:sz w:val="18"/>
    </w:rPr>
  </w:style>
  <w:style w:type="paragraph" w:styleId="1357" w:customStyle="1">
    <w:name w:val="索引 71"/>
    <w:basedOn w:val="668"/>
    <w:next w:val="668"/>
    <w:uiPriority w:val="0"/>
    <w:semiHidden/>
    <w:qFormat/>
    <w:pPr>
      <w:ind w:left="2520"/>
    </w:pPr>
  </w:style>
  <w:style w:type="paragraph" w:styleId="1358" w:customStyle="1">
    <w:name w:val="索引 91"/>
    <w:basedOn w:val="668"/>
    <w:next w:val="668"/>
    <w:uiPriority w:val="0"/>
    <w:semiHidden/>
    <w:qFormat/>
    <w:pPr>
      <w:ind w:left="3360"/>
    </w:pPr>
  </w:style>
  <w:style w:type="paragraph" w:styleId="1359" w:customStyle="1">
    <w:name w:val="图表目录1"/>
    <w:basedOn w:val="668"/>
    <w:next w:val="668"/>
    <w:uiPriority w:val="0"/>
    <w:semiHidden/>
    <w:qFormat/>
    <w:pPr>
      <w:ind w:left="840" w:hanging="420"/>
    </w:pPr>
  </w:style>
  <w:style w:type="paragraph" w:styleId="1360" w:customStyle="1">
    <w:name w:val="目录 91"/>
    <w:basedOn w:val="668"/>
    <w:next w:val="668"/>
    <w:uiPriority w:val="0"/>
    <w:semiHidden/>
    <w:qFormat/>
    <w:pPr>
      <w:ind w:left="1680"/>
      <w:jc w:val="left"/>
    </w:pPr>
    <w:rPr>
      <w:sz w:val="18"/>
    </w:rPr>
  </w:style>
  <w:style w:type="paragraph" w:styleId="1361" w:customStyle="1">
    <w:name w:val="索引 21"/>
    <w:basedOn w:val="668"/>
    <w:next w:val="668"/>
    <w:uiPriority w:val="0"/>
    <w:semiHidden/>
    <w:qFormat/>
    <w:pPr>
      <w:ind w:left="420"/>
    </w:pPr>
  </w:style>
  <w:style w:type="paragraph" w:styleId="1362" w:customStyle="1">
    <w:name w:val="批注主题1"/>
    <w:basedOn w:val="1291"/>
    <w:next w:val="1291"/>
    <w:uiPriority w:val="0"/>
    <w:semiHidden/>
    <w:qFormat/>
    <w:rPr>
      <w:b/>
      <w:bCs/>
    </w:rPr>
  </w:style>
  <w:style w:type="paragraph" w:styleId="1363" w:customStyle="1">
    <w:name w:val="修订1"/>
    <w:uiPriority w:val="0"/>
    <w:semiHidden/>
    <w:qFormat/>
    <w:rPr>
      <w:rFonts w:ascii="Times New Roman" w:hAnsi="Times New Roman" w:eastAsia="宋体" w:cs="Times New Roman"/>
      <w:sz w:val="21"/>
      <w:szCs w:val="24"/>
      <w:lang w:val="en-US" w:eastAsia="zh-CN" w:bidi="ar-SA"/>
    </w:rPr>
  </w:style>
  <w:style w:type="numbering" w:styleId="32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15</cp:revision>
  <dcterms:created xsi:type="dcterms:W3CDTF">2024-01-04T09:07:00Z</dcterms:created>
  <dcterms:modified xsi:type="dcterms:W3CDTF">2026-07-06T04:48:07Z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eyJoZGlkIjoiMzQ5NmQ4YzFlOGMyM2RlZWZlZWU3OWI0MzY5MGUxYmEiLCJ1c2VySWQiOiI2ODk0NTUyMDgifQ==</vt:lpwstr>
  </property>
  <property fmtid="{D5CDD505-2E9C-101B-9397-08002B2CF9AE}" pid="3" name="KSOProductBuildVer">
    <vt:lpwstr>2052-12.1.0.26375</vt:lpwstr>
  </property>
  <property fmtid="{D5CDD505-2E9C-101B-9397-08002B2CF9AE}" pid="4" name="ICV">
    <vt:lpwstr>E20E5A1DCA544BF0B3D3F12BB010CDB7_12</vt:lpwstr>
  </property>
</Properties>
</file>