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spacing w:line="360" w:lineRule="auto"/>
        <w:rPr>
          <w:rFonts w:hint="eastAsia"/>
          <w:color w:val="000000"/>
          <w:sz w:val="60"/>
          <w:szCs w:val="60"/>
          <w:highlight w:val="none"/>
        </w:rPr>
      </w:pPr>
      <w:r>
        <w:rPr>
          <w:rFonts w:hint="eastAsia"/>
          <w:color w:val="000000"/>
          <w:sz w:val="60"/>
          <w:szCs w:val="60"/>
          <w:highlight w:val="none"/>
        </w:rPr>
      </w:r>
      <w:r/>
    </w:p>
    <w:p>
      <w:pPr>
        <w:pStyle w:val="726"/>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726"/>
        <w:jc w:val="center"/>
        <w:rPr>
          <w:b/>
          <w:bCs/>
          <w:color w:val="000000"/>
          <w:sz w:val="60"/>
          <w:szCs w:val="60"/>
          <w:highlight w:val="none"/>
        </w:rPr>
      </w:pPr>
      <w:r>
        <w:rPr>
          <w:b/>
          <w:bCs/>
          <w:color w:val="000000"/>
          <w:sz w:val="60"/>
          <w:szCs w:val="60"/>
          <w:highlight w:val="none"/>
        </w:rPr>
      </w:r>
      <w:r/>
    </w:p>
    <w:p>
      <w:pPr>
        <w:pStyle w:val="806"/>
        <w:rPr>
          <w:color w:val="000000"/>
          <w:highlight w:val="none"/>
        </w:rPr>
      </w:pPr>
      <w:r>
        <w:rPr>
          <w:color w:val="000000"/>
          <w:highlight w:val="none"/>
        </w:rPr>
      </w:r>
      <w:r/>
    </w:p>
    <w:p>
      <w:pPr>
        <w:pStyle w:val="726"/>
        <w:jc w:val="center"/>
        <w:spacing w:line="360" w:lineRule="auto"/>
        <w:rPr>
          <w:color w:val="000000"/>
          <w:sz w:val="60"/>
          <w:szCs w:val="60"/>
          <w:highlight w:val="none"/>
        </w:rPr>
      </w:pPr>
      <w:r>
        <w:rPr>
          <w:color w:val="000000"/>
          <w:sz w:val="60"/>
          <w:szCs w:val="60"/>
          <w:highlight w:val="none"/>
        </w:rPr>
      </w:r>
      <w:r/>
    </w:p>
    <w:p>
      <w:pPr>
        <w:pStyle w:val="726"/>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常州市武进区疾病预防控制中心实验室信息系统项目</w:t>
      </w:r>
      <w:r>
        <w:rPr>
          <w:bCs/>
          <w:color w:val="000000"/>
          <w:sz w:val="36"/>
          <w:szCs w:val="36"/>
          <w:highlight w:val="none"/>
        </w:rPr>
      </w:r>
      <w:r/>
    </w:p>
    <w:p>
      <w:pPr>
        <w:pStyle w:val="726"/>
        <w:ind w:left="2832" w:hanging="1900"/>
        <w:jc w:val="left"/>
        <w:spacing w:line="360" w:lineRule="auto"/>
        <w:tabs>
          <w:tab w:val="left" w:pos="3240" w:leader="none"/>
          <w:tab w:val="left" w:pos="3420" w:leader="none"/>
        </w:tabs>
        <w:rPr>
          <w:rFonts w:eastAsia="宋体"/>
          <w:bCs/>
          <w:color w:val="000000"/>
          <w:sz w:val="36"/>
          <w:szCs w:val="36"/>
          <w:highlight w:val="none"/>
          <w:lang w:val="en-US" w:eastAsia="zh-CN"/>
        </w:rPr>
      </w:pPr>
      <w:r>
        <w:rPr>
          <w:bCs/>
          <w:color w:val="000000"/>
          <w:sz w:val="36"/>
          <w:szCs w:val="36"/>
          <w:highlight w:val="none"/>
        </w:rPr>
        <w:t xml:space="preserve">项目编号：</w:t>
      </w:r>
      <w:r>
        <w:rPr>
          <w:rFonts w:hint="eastAsia"/>
          <w:bCs/>
          <w:color w:val="000000"/>
          <w:sz w:val="36"/>
          <w:szCs w:val="36"/>
          <w:highlight w:val="none"/>
        </w:rPr>
        <w:t xml:space="preserve">JSZC-320412-JZCG-G2026-</w:t>
      </w:r>
      <w:r>
        <w:rPr>
          <w:rFonts w:hint="eastAsia"/>
          <w:bCs/>
          <w:color w:val="000000"/>
          <w:sz w:val="36"/>
          <w:szCs w:val="36"/>
          <w:highlight w:val="none"/>
          <w:lang w:val="en-US" w:eastAsia="zh-CN"/>
        </w:rPr>
        <w:t xml:space="preserve">0029</w:t>
      </w:r>
      <w:r>
        <w:rPr>
          <w:rFonts w:eastAsia="宋体"/>
          <w:bCs/>
          <w:color w:val="000000"/>
          <w:sz w:val="36"/>
          <w:szCs w:val="36"/>
          <w:highlight w:val="none"/>
          <w:lang w:val="en-US" w:eastAsia="zh-CN"/>
        </w:rPr>
      </w:r>
      <w:r/>
    </w:p>
    <w:p>
      <w:pPr>
        <w:pStyle w:val="726"/>
        <w:ind w:left="2832" w:hanging="1900"/>
        <w:jc w:val="left"/>
        <w:spacing w:line="360" w:lineRule="auto"/>
        <w:tabs>
          <w:tab w:val="left" w:pos="3240" w:leader="none"/>
          <w:tab w:val="left" w:pos="3420" w:leader="none"/>
        </w:tabs>
        <w:rPr>
          <w:rFonts w:hint="eastAsia" w:ascii="Times New Roman" w:hAnsi="Times New Roman" w:eastAsia="宋体" w:cs="Times New Roman"/>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lang w:eastAsia="zh-CN"/>
        </w:rPr>
        <w:t xml:space="preserve">常州市</w:t>
      </w:r>
      <w:r>
        <w:rPr>
          <w:rFonts w:hint="eastAsia" w:ascii="Times New Roman" w:hAnsi="Times New Roman" w:eastAsia="宋体" w:cs="Times New Roman"/>
          <w:bCs/>
          <w:color w:val="000000"/>
          <w:sz w:val="36"/>
          <w:szCs w:val="36"/>
          <w:highlight w:val="none"/>
          <w:lang w:eastAsia="zh-CN"/>
        </w:rPr>
        <w:t xml:space="preserve">武进区疾病预防控制中心</w:t>
      </w:r>
      <w:r>
        <w:rPr>
          <w:rFonts w:hint="eastAsia" w:ascii="Times New Roman" w:hAnsi="Times New Roman" w:eastAsia="宋体" w:cs="Times New Roman"/>
          <w:bCs/>
          <w:color w:val="000000"/>
          <w:sz w:val="36"/>
          <w:szCs w:val="36"/>
          <w:highlight w:val="none"/>
        </w:rPr>
      </w:r>
      <w:r/>
    </w:p>
    <w:p>
      <w:pPr>
        <w:pStyle w:val="726"/>
        <w:ind w:left="2832" w:hanging="1900"/>
        <w:jc w:val="left"/>
        <w:spacing w:line="360" w:lineRule="auto"/>
        <w:tabs>
          <w:tab w:val="left" w:pos="3240" w:leader="none"/>
          <w:tab w:val="left" w:pos="3420" w:leader="none"/>
        </w:tabs>
        <w:rPr>
          <w:bCs/>
          <w:color w:val="000000"/>
          <w:sz w:val="36"/>
          <w:szCs w:val="36"/>
          <w:highlight w:val="none"/>
        </w:rPr>
      </w:pPr>
      <w:r>
        <w:rPr>
          <w:rFonts w:hint="eastAsia" w:ascii="Times New Roman" w:hAnsi="Times New Roman" w:eastAsia="宋体" w:cs="Times New Roman"/>
          <w:bCs/>
          <w:color w:val="000000"/>
          <w:sz w:val="36"/>
          <w:szCs w:val="36"/>
          <w:highlight w:val="none"/>
        </w:rPr>
        <w:t xml:space="preserve">采购代理机构：常州市武进区政府采购中心</w:t>
      </w:r>
      <w:r>
        <w:rPr>
          <w:rFonts w:ascii="Times New Roman" w:hAnsi="Times New Roman" w:eastAsia="宋体" w:cs="Times New Roman"/>
          <w:bCs/>
          <w:color w:val="000000"/>
          <w:sz w:val="36"/>
          <w:szCs w:val="36"/>
          <w:highlight w:val="none"/>
        </w:rPr>
        <w:t xml:space="preserve"> </w:t>
      </w:r>
      <w:r>
        <w:rPr>
          <w:bCs/>
          <w:color w:val="000000"/>
          <w:sz w:val="36"/>
          <w:szCs w:val="36"/>
          <w:highlight w:val="none"/>
        </w:rPr>
      </w:r>
      <w:r/>
    </w:p>
    <w:p>
      <w:pPr>
        <w:pStyle w:val="726"/>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rFonts w:hint="eastAsia"/>
          <w:b/>
          <w:color w:val="000000"/>
          <w:sz w:val="36"/>
          <w:szCs w:val="36"/>
          <w:highlight w:val="none"/>
        </w:rPr>
      </w:r>
      <w:r/>
    </w:p>
    <w:p>
      <w:pPr>
        <w:pStyle w:val="779"/>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779"/>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726"/>
        <w:rPr>
          <w:rFonts w:hint="eastAsia"/>
          <w:color w:val="000000"/>
          <w:highlight w:val="none"/>
        </w:rPr>
      </w:pPr>
      <w:r>
        <w:rPr>
          <w:rFonts w:hint="eastAsia"/>
          <w:color w:val="000000"/>
          <w:highlight w:val="none"/>
        </w:rPr>
      </w:r>
      <w:r/>
    </w:p>
    <w:p>
      <w:pPr>
        <w:pStyle w:val="726"/>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806"/>
        <w:rPr>
          <w:color w:val="000000"/>
          <w:highlight w:val="none"/>
        </w:rPr>
      </w:pPr>
      <w:r>
        <w:rPr>
          <w:color w:val="000000"/>
          <w:highlight w:val="none"/>
        </w:rPr>
      </w:r>
      <w:r/>
    </w:p>
    <w:p>
      <w:pPr>
        <w:pStyle w:val="806"/>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806"/>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6"/>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806"/>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6"/>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806"/>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806"/>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806"/>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726"/>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806"/>
        <w:rPr>
          <w:color w:val="000000"/>
          <w:highlight w:val="none"/>
        </w:rPr>
      </w:pPr>
      <w:r>
        <w:rPr>
          <w:color w:val="000000"/>
          <w:highlight w:val="none"/>
        </w:rPr>
      </w:r>
      <w:r/>
    </w:p>
    <w:p>
      <w:pPr>
        <w:pStyle w:val="806"/>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806"/>
        <w:spacing w:line="360" w:lineRule="auto"/>
        <w:rPr>
          <w:color w:val="000000"/>
          <w:highlight w:val="none"/>
        </w:rPr>
      </w:pPr>
      <w:r>
        <w:rPr>
          <w:color w:val="000000"/>
          <w:highlight w:val="none"/>
        </w:rPr>
      </w:r>
      <w:r/>
    </w:p>
    <w:p>
      <w:pPr>
        <w:pStyle w:val="726"/>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Pr>
          <w:b/>
          <w:color w:val="000000"/>
          <w:sz w:val="36"/>
          <w:szCs w:val="36"/>
          <w:highlight w:val="none"/>
        </w:rPr>
      </w:r>
      <w:r/>
    </w:p>
    <w:p>
      <w:pPr>
        <w:pStyle w:val="726"/>
        <w:ind w:firstLine="480"/>
        <w:spacing w:line="360" w:lineRule="auto"/>
        <w:rPr>
          <w:rFonts w:ascii="宋体" w:hAnsi="宋体"/>
          <w:color w:val="000000"/>
          <w:sz w:val="24"/>
          <w:highlight w:val="none"/>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color w:val="000000"/>
          <w:sz w:val="24"/>
          <w:highlight w:val="none"/>
          <w:u w:val="none"/>
        </w:rPr>
        <w:t xml:space="preserve">受常州市武进区疾病预防控制中心的委托，常州市武进区政府采购中心就</w:t>
      </w:r>
      <w:r>
        <w:rPr>
          <w:rFonts w:hint="eastAsia" w:ascii="宋体" w:hAnsi="宋体"/>
          <w:color w:val="000000"/>
          <w:sz w:val="24"/>
          <w:highlight w:val="none"/>
          <w:u w:val="none"/>
          <w:lang w:eastAsia="zh-CN"/>
        </w:rPr>
        <w:t xml:space="preserve">常州市武进区疾病预防控制中心实验室信息系统项目</w:t>
      </w:r>
      <w:r>
        <w:rPr>
          <w:rFonts w:hint="eastAsia" w:ascii="宋体" w:hAnsi="宋体"/>
          <w:color w:val="000000"/>
          <w:sz w:val="24"/>
          <w:highlight w:val="none"/>
          <w:u w:val="none"/>
        </w:rPr>
        <w:t xml:space="preserve">进行公开招标采购，各潜在投标人可在“苏采云”平台自行免费下载招标文件，并于</w:t>
      </w:r>
      <w:r>
        <w:rPr>
          <w:rFonts w:hint="eastAsia" w:ascii="宋体" w:hAnsi="宋体"/>
          <w:color w:val="000000"/>
          <w:sz w:val="24"/>
          <w:highlight w:val="none"/>
          <w:u w:val="none"/>
          <w:lang w:val="en-US" w:eastAsia="zh-CN"/>
        </w:rPr>
        <w:t xml:space="preserve">2026</w:t>
      </w:r>
      <w:r>
        <w:rPr>
          <w:rFonts w:hint="eastAsia" w:ascii="宋体" w:hAnsi="宋体"/>
          <w:bCs/>
          <w:color w:val="000000"/>
          <w:sz w:val="24"/>
          <w:highlight w:val="none"/>
          <w:u w:val="none"/>
        </w:rPr>
        <w:t xml:space="preserve">年</w:t>
      </w:r>
      <w:r>
        <w:rPr>
          <w:rFonts w:hint="eastAsia" w:ascii="宋体" w:hAnsi="宋体"/>
          <w:bCs/>
          <w:color w:val="000000"/>
          <w:sz w:val="24"/>
          <w:highlight w:val="none"/>
          <w:u w:val="none"/>
          <w:lang w:val="en-US" w:eastAsia="zh-CN"/>
        </w:rPr>
        <w:t xml:space="preserve">7</w:t>
      </w:r>
      <w:r>
        <w:rPr>
          <w:rFonts w:hint="eastAsia" w:ascii="宋体" w:hAnsi="宋体"/>
          <w:bCs/>
          <w:color w:val="000000"/>
          <w:sz w:val="24"/>
          <w:highlight w:val="none"/>
          <w:u w:val="none"/>
        </w:rPr>
        <w:t xml:space="preserve">月</w:t>
      </w:r>
      <w:r>
        <w:rPr>
          <w:rFonts w:hint="eastAsia" w:ascii="宋体" w:hAnsi="宋体"/>
          <w:bCs/>
          <w:color w:val="000000"/>
          <w:sz w:val="24"/>
          <w:highlight w:val="none"/>
          <w:u w:val="none"/>
          <w:lang w:val="en-US" w:eastAsia="zh-CN"/>
        </w:rPr>
        <w:t xml:space="preserve">8</w:t>
      </w:r>
      <w:r>
        <w:rPr>
          <w:rFonts w:hint="eastAsia" w:ascii="宋体" w:hAnsi="宋体"/>
          <w:bCs/>
          <w:color w:val="000000"/>
          <w:sz w:val="24"/>
          <w:highlight w:val="none"/>
          <w:u w:val="none"/>
        </w:rPr>
        <w:t xml:space="preserve">日</w:t>
      </w:r>
      <w:r>
        <w:rPr>
          <w:rFonts w:hint="eastAsia" w:ascii="宋体" w:hAnsi="宋体"/>
          <w:bCs/>
          <w:color w:val="000000"/>
          <w:sz w:val="24"/>
          <w:highlight w:val="none"/>
          <w:u w:val="none"/>
          <w:lang w:val="en-US" w:eastAsia="zh-CN"/>
        </w:rPr>
        <w:t xml:space="preserve">9</w:t>
      </w:r>
      <w:r>
        <w:rPr>
          <w:rFonts w:hint="eastAsia" w:ascii="宋体" w:hAnsi="宋体"/>
          <w:bCs/>
          <w:color w:val="000000"/>
          <w:sz w:val="24"/>
          <w:highlight w:val="none"/>
          <w:u w:val="none"/>
          <w:lang w:val="en-US" w:eastAsia="zh-CN"/>
        </w:rPr>
        <w:t xml:space="preserve">:00</w:t>
      </w:r>
      <w:r>
        <w:rPr>
          <w:rFonts w:hint="eastAsia" w:ascii="宋体" w:hAnsi="宋体"/>
          <w:bCs/>
          <w:color w:val="000000"/>
          <w:sz w:val="24"/>
          <w:highlight w:val="none"/>
          <w:u w:val="none"/>
        </w:rPr>
        <w:t xml:space="preserve">（北京时间</w:t>
      </w:r>
      <w:r>
        <w:rPr>
          <w:rFonts w:hint="eastAsia" w:ascii="宋体" w:hAnsi="宋体"/>
          <w:bCs/>
          <w:color w:val="000000"/>
          <w:sz w:val="24"/>
          <w:highlight w:val="none"/>
        </w:rPr>
        <w:t xml:space="preserve">）前递交投标</w:t>
      </w:r>
      <w:r>
        <w:rPr>
          <w:rFonts w:ascii="宋体" w:hAnsi="宋体"/>
          <w:bCs/>
          <w:color w:val="000000"/>
          <w:sz w:val="24"/>
          <w:highlight w:val="none"/>
        </w:rPr>
        <w:t xml:space="preserve">文件</w:t>
      </w:r>
      <w:r>
        <w:rPr>
          <w:rFonts w:hint="eastAsia" w:ascii="宋体" w:hAnsi="宋体"/>
          <w:color w:val="000000"/>
          <w:sz w:val="24"/>
          <w:highlight w:val="none"/>
        </w:rPr>
        <w:t xml:space="preserve">。</w:t>
      </w:r>
      <w:r>
        <w:rPr>
          <w:rFonts w:ascii="宋体" w:hAnsi="宋体"/>
          <w:color w:val="000000"/>
          <w:sz w:val="24"/>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726"/>
        <w:ind w:firstLine="480"/>
        <w:spacing w:line="360" w:lineRule="auto"/>
        <w:rPr>
          <w:rFonts w:eastAsia="宋体"/>
          <w:color w:val="000000"/>
          <w:sz w:val="24"/>
          <w:highlight w:val="none"/>
          <w:lang w:val="en-US" w:eastAsia="zh-CN"/>
        </w:rPr>
      </w:pPr>
      <w:r>
        <w:rPr>
          <w:color w:val="000000"/>
          <w:sz w:val="24"/>
          <w:highlight w:val="none"/>
        </w:rPr>
        <w:t xml:space="preserve">1.项目</w:t>
      </w:r>
      <w:r>
        <w:rPr>
          <w:rFonts w:ascii="Times New Roman" w:hAnsi="Times New Roman" w:eastAsia="宋体" w:cs="Times New Roman"/>
          <w:color w:val="000000"/>
          <w:sz w:val="24"/>
          <w:highlight w:val="none"/>
        </w:rPr>
        <w:t xml:space="preserve">编号：</w:t>
      </w:r>
      <w:r>
        <w:rPr>
          <w:rFonts w:hint="eastAsia" w:ascii="Times New Roman" w:hAnsi="Times New Roman" w:eastAsia="宋体" w:cs="Times New Roman"/>
          <w:color w:val="000000"/>
          <w:sz w:val="24"/>
          <w:highlight w:val="none"/>
        </w:rPr>
        <w:t xml:space="preserve">JSZC-320412-JZCG-G2026-00</w:t>
      </w:r>
      <w:r>
        <w:rPr>
          <w:rFonts w:hint="eastAsia" w:ascii="Times New Roman" w:hAnsi="Times New Roman" w:eastAsia="宋体" w:cs="Times New Roman"/>
          <w:color w:val="000000"/>
          <w:sz w:val="24"/>
          <w:highlight w:val="none"/>
          <w:lang w:val="en-US" w:eastAsia="zh-CN"/>
        </w:rPr>
        <w:t xml:space="preserve">29</w:t>
      </w:r>
      <w:r>
        <w:rPr>
          <w:rFonts w:eastAsia="宋体"/>
          <w:color w:val="000000"/>
          <w:sz w:val="24"/>
          <w:highlight w:val="none"/>
          <w:lang w:val="en-US" w:eastAsia="zh-CN"/>
        </w:rPr>
      </w:r>
      <w:r/>
    </w:p>
    <w:p>
      <w:pPr>
        <w:pStyle w:val="726"/>
        <w:ind w:firstLine="480"/>
        <w:spacing w:line="360" w:lineRule="auto"/>
        <w:rPr>
          <w:rFonts w:hint="eastAsia"/>
          <w:color w:val="000000"/>
          <w:sz w:val="24"/>
          <w:highlight w:val="none"/>
        </w:rPr>
      </w:pPr>
      <w:r/>
      <w:bookmarkEnd w:id="6"/>
      <w:r>
        <w:rPr>
          <w:rFonts w:hint="eastAsia"/>
          <w:color w:val="000000"/>
          <w:sz w:val="24"/>
          <w:highlight w:val="none"/>
        </w:rPr>
        <w:t xml:space="preserve">2.项目名称：常州市武进区疾病预防控制中心实验室信息系统项目</w:t>
      </w:r>
      <w:r>
        <w:rPr>
          <w:rFonts w:hint="eastAsia"/>
          <w:color w:val="000000"/>
          <w:sz w:val="24"/>
          <w:highlight w:val="none"/>
        </w:rPr>
      </w:r>
      <w:r/>
    </w:p>
    <w:p>
      <w:pPr>
        <w:pStyle w:val="72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3.项目预算金额：人民币</w:t>
      </w:r>
      <w:r>
        <w:rPr>
          <w:rFonts w:hint="eastAsia" w:ascii="Times New Roman" w:hAnsi="Times New Roman" w:eastAsia="宋体" w:cs="Times New Roman"/>
          <w:color w:val="000000"/>
          <w:sz w:val="24"/>
          <w:highlight w:val="none"/>
          <w:lang w:val="en-US" w:eastAsia="zh-CN"/>
        </w:rPr>
        <w:t xml:space="preserve">50.86</w:t>
      </w:r>
      <w:r>
        <w:rPr>
          <w:rFonts w:hint="eastAsia" w:ascii="Times New Roman" w:hAnsi="Times New Roman" w:eastAsia="宋体" w:cs="Times New Roman"/>
          <w:color w:val="000000"/>
          <w:sz w:val="24"/>
          <w:highlight w:val="none"/>
        </w:rPr>
        <w:t xml:space="preserve">万元</w:t>
      </w:r>
      <w:r>
        <w:rPr>
          <w:rFonts w:hint="eastAsia" w:ascii="Times New Roman" w:hAnsi="Times New Roman" w:eastAsia="宋体" w:cs="Times New Roman"/>
          <w:color w:val="000000"/>
          <w:sz w:val="24"/>
          <w:highlight w:val="none"/>
        </w:rPr>
      </w:r>
      <w:r/>
    </w:p>
    <w:p>
      <w:pPr>
        <w:pStyle w:val="72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4.项目最高限价：人民币50.</w:t>
      </w: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万元</w:t>
      </w:r>
      <w:r>
        <w:rPr>
          <w:rFonts w:hint="eastAsia" w:ascii="Times New Roman" w:hAnsi="Times New Roman" w:eastAsia="宋体" w:cs="Times New Roman"/>
          <w:color w:val="000000"/>
          <w:sz w:val="24"/>
          <w:highlight w:val="none"/>
        </w:rPr>
      </w:r>
      <w:r/>
    </w:p>
    <w:p>
      <w:pPr>
        <w:pStyle w:val="72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5.采购需求：本项目为常州市武进区疾病预防控制中心</w:t>
      </w:r>
      <w:r>
        <w:rPr>
          <w:rFonts w:hint="eastAsia" w:ascii="Times New Roman" w:hAnsi="Times New Roman" w:eastAsia="宋体" w:cs="Times New Roman"/>
          <w:color w:val="000000"/>
          <w:sz w:val="24"/>
          <w:highlight w:val="none"/>
          <w:lang w:val="en-US" w:eastAsia="zh-CN"/>
        </w:rPr>
        <w:t xml:space="preserve">根据国家发改委《公共卫生防控救治能力建设方案》中关于建设高水平疾控中心实验室的要求，构建涵盖资源管理、实验室检测过程管理、体系管理、查询统计等功能于一体的智能化实验室信息系统。</w:t>
      </w:r>
      <w:r>
        <w:rPr>
          <w:rFonts w:hint="eastAsia" w:ascii="Times New Roman" w:hAnsi="Times New Roman" w:eastAsia="宋体" w:cs="Times New Roman"/>
          <w:color w:val="000000"/>
          <w:sz w:val="24"/>
          <w:highlight w:val="none"/>
        </w:rPr>
        <w:t xml:space="preserve">具体要求详见采购文件。</w:t>
      </w:r>
      <w:r>
        <w:rPr>
          <w:rFonts w:hint="eastAsia" w:ascii="Times New Roman" w:hAnsi="Times New Roman" w:eastAsia="宋体" w:cs="Times New Roman"/>
          <w:color w:val="000000"/>
          <w:sz w:val="24"/>
          <w:highlight w:val="none"/>
        </w:rPr>
      </w:r>
      <w:r/>
    </w:p>
    <w:p>
      <w:pPr>
        <w:pStyle w:val="72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6.合同履行期限：合同签订之日起12个月内建设完成，通过采购人验收合格后至系统免费维护期结束。</w:t>
      </w:r>
      <w:r>
        <w:rPr>
          <w:rFonts w:hint="eastAsia" w:ascii="Times New Roman" w:hAnsi="Times New Roman" w:eastAsia="宋体" w:cs="Times New Roman"/>
          <w:color w:val="000000"/>
          <w:sz w:val="24"/>
          <w:highlight w:val="none"/>
        </w:rPr>
      </w:r>
      <w:r/>
    </w:p>
    <w:p>
      <w:pPr>
        <w:pStyle w:val="726"/>
        <w:ind w:firstLine="480"/>
        <w:spacing w:line="360" w:lineRule="auto"/>
        <w:rPr>
          <w:rFonts w:hint="eastAsia"/>
          <w:color w:val="000000"/>
          <w:sz w:val="24"/>
          <w:highlight w:val="none"/>
        </w:rPr>
      </w:pPr>
      <w:r>
        <w:rPr>
          <w:rFonts w:hint="eastAsia"/>
          <w:color w:val="000000"/>
          <w:sz w:val="24"/>
          <w:highlight w:val="none"/>
        </w:rPr>
        <w:t xml:space="preserve">7</w:t>
      </w:r>
      <w:r>
        <w:rPr>
          <w:color w:val="000000"/>
          <w:sz w:val="24"/>
          <w:highlight w:val="none"/>
        </w:rPr>
        <w:t xml:space="preserve">.本项目是否接受联合体投标：否</w:t>
      </w:r>
      <w:r>
        <w:rPr>
          <w:rFonts w:hint="eastAsia"/>
          <w:color w:val="000000"/>
          <w:sz w:val="24"/>
          <w:highlight w:val="none"/>
        </w:rPr>
        <w:t xml:space="preserve">。</w:t>
      </w:r>
      <w:r>
        <w:rPr>
          <w:rFonts w:hint="eastAsia"/>
          <w:color w:val="000000"/>
          <w:sz w:val="24"/>
          <w:highlight w:val="none"/>
        </w:rPr>
      </w:r>
      <w:r/>
    </w:p>
    <w:p>
      <w:pPr>
        <w:pStyle w:val="726"/>
        <w:ind w:firstLine="480"/>
        <w:spacing w:line="360" w:lineRule="auto"/>
        <w:rPr>
          <w:rFonts w:hint="eastAsia"/>
          <w:color w:val="000000"/>
          <w:sz w:val="24"/>
          <w:highlight w:val="none"/>
        </w:rPr>
      </w:pPr>
      <w:r>
        <w:rPr>
          <w:rFonts w:hint="eastAsia"/>
          <w:color w:val="000000"/>
          <w:sz w:val="24"/>
          <w:highlight w:val="none"/>
        </w:rPr>
        <w:t xml:space="preserve">8.</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rFonts w:hint="eastAsia"/>
          <w:color w:val="000000"/>
          <w:sz w:val="24"/>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bookmarkStart w:id="8" w:name="_Toc28359080"/>
      <w:r/>
      <w:bookmarkStart w:id="9" w:name="_Toc35393622"/>
      <w:r/>
      <w:bookmarkStart w:id="10" w:name="_Toc28359003"/>
      <w:r/>
      <w:bookmarkStart w:id="11" w:name="_Toc35393791"/>
      <w:r>
        <w:rPr>
          <w:rFonts w:ascii="Times New Roman" w:hAnsi="Times New Roman" w:eastAsia="宋体"/>
          <w:color w:val="000000"/>
          <w:sz w:val="24"/>
          <w:szCs w:val="24"/>
          <w:highlight w:val="none"/>
        </w:rPr>
        <w:t xml:space="preserve">二、申请人的资格要求</w:t>
      </w:r>
      <w:bookmarkEnd w:id="8"/>
      <w:r/>
      <w:bookmarkEnd w:id="9"/>
      <w:r/>
      <w:bookmarkEnd w:id="10"/>
      <w:r/>
      <w:bookmarkEnd w:id="11"/>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726"/>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rPr>
          <w:color w:val="000000"/>
          <w:sz w:val="24"/>
          <w:highlight w:val="none"/>
        </w:rPr>
      </w:r>
      <w:r/>
    </w:p>
    <w:p>
      <w:pPr>
        <w:pStyle w:val="72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726"/>
        <w:ind w:firstLine="480"/>
        <w:spacing w:line="360" w:lineRule="auto"/>
        <w:rPr>
          <w:color w:val="000000"/>
          <w:sz w:val="24"/>
          <w:highlight w:val="none"/>
        </w:rPr>
      </w:pPr>
      <w:r/>
      <w:bookmarkStart w:id="12" w:name="_Toc28359004"/>
      <w:r/>
      <w:bookmarkStart w:id="13" w:name="_Toc28359081"/>
      <w:r>
        <w:rPr>
          <w:color w:val="000000"/>
          <w:sz w:val="24"/>
          <w:highlight w:val="none"/>
        </w:rPr>
        <w:t xml:space="preserve">2.落实政府采购政策需满足的资格要求：</w:t>
      </w:r>
      <w:r>
        <w:rPr>
          <w:color w:val="000000"/>
          <w:sz w:val="24"/>
          <w:highlight w:val="none"/>
        </w:rPr>
      </w:r>
      <w:r/>
    </w:p>
    <w:p>
      <w:pPr>
        <w:pStyle w:val="72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726"/>
        <w:ind w:firstLine="482"/>
        <w:spacing w:line="360" w:lineRule="auto"/>
        <w:rPr>
          <w:b/>
          <w:bCs/>
          <w:color w:val="000000"/>
          <w:sz w:val="24"/>
          <w:highlight w:val="none"/>
        </w:rPr>
      </w:pPr>
      <w:r>
        <w:rPr>
          <w:b/>
          <w:bCs/>
          <w:color w:val="000000"/>
          <w:sz w:val="24"/>
          <w:highlight w:val="none"/>
        </w:rPr>
        <w:t xml:space="preserve">本项目不专门面向中小企业预留采购份额。</w:t>
      </w:r>
      <w:r>
        <w:rPr>
          <w:b/>
          <w:bCs/>
          <w:color w:val="000000"/>
          <w:sz w:val="24"/>
          <w:highlight w:val="none"/>
        </w:rPr>
      </w:r>
      <w:r/>
    </w:p>
    <w:p>
      <w:pPr>
        <w:pStyle w:val="726"/>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726"/>
        <w:ind w:firstLine="480"/>
        <w:spacing w:line="360" w:lineRule="auto"/>
        <w:rPr>
          <w:rFonts w:hint="eastAsia"/>
          <w:color w:val="000000"/>
          <w:sz w:val="24"/>
          <w:highlight w:val="none"/>
        </w:rPr>
      </w:pPr>
      <w:r>
        <w:rPr>
          <w:color w:val="000000"/>
          <w:sz w:val="24"/>
          <w:highlight w:val="none"/>
        </w:rPr>
        <w:t xml:space="preserve">3.1本项目是否接受分支机构参与投标：否</w:t>
      </w:r>
      <w:r>
        <w:rPr>
          <w:rFonts w:hint="eastAsia"/>
          <w:color w:val="000000"/>
          <w:sz w:val="24"/>
          <w:highlight w:val="none"/>
        </w:rPr>
        <w:t xml:space="preserve">。</w:t>
      </w:r>
      <w:r>
        <w:rPr>
          <w:rFonts w:hint="eastAsia"/>
          <w:color w:val="000000"/>
          <w:sz w:val="24"/>
          <w:highlight w:val="none"/>
        </w:rPr>
      </w:r>
      <w:r/>
    </w:p>
    <w:p>
      <w:pPr>
        <w:pStyle w:val="726"/>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t xml:space="preserve">，公益一类事业单位、使用事业编制且由财政拨款保障的群团组织，不得作为承接主体。</w:t>
      </w:r>
      <w:r>
        <w:rPr>
          <w:rFonts w:hint="eastAsia"/>
          <w:color w:val="000000"/>
          <w:sz w:val="24"/>
          <w:highlight w:val="none"/>
        </w:rPr>
      </w:r>
      <w:r/>
    </w:p>
    <w:p>
      <w:pPr>
        <w:pStyle w:val="726"/>
        <w:ind w:firstLine="480"/>
        <w:spacing w:line="360" w:lineRule="auto"/>
        <w:tabs>
          <w:tab w:val="left" w:pos="900" w:leader="none"/>
          <w:tab w:val="left" w:pos="1134" w:leader="none"/>
          <w:tab w:val="left" w:pos="1589" w:leader="none"/>
          <w:tab w:val="left" w:pos="5521" w:leader="none"/>
        </w:tabs>
        <w:rPr>
          <w:i/>
          <w:iCs/>
          <w:color w:val="000000"/>
          <w:sz w:val="24"/>
          <w:highlight w:val="none"/>
          <w:u w:val="single"/>
        </w:rPr>
      </w:pPr>
      <w:r>
        <w:rPr>
          <w:color w:val="000000"/>
          <w:sz w:val="24"/>
          <w:highlight w:val="none"/>
        </w:rPr>
        <w:t xml:space="preserve">3.3其他特定资格要求：</w:t>
      </w:r>
      <w:r>
        <w:rPr>
          <w:rFonts w:hint="eastAsia"/>
          <w:color w:val="000000"/>
          <w:sz w:val="24"/>
          <w:highlight w:val="none"/>
          <w:lang w:val="en-US" w:eastAsia="zh-CN"/>
        </w:rPr>
        <w:t xml:space="preserve">无</w:t>
      </w:r>
      <w:r>
        <w:rPr>
          <w:color w:val="000000"/>
          <w:sz w:val="24"/>
          <w:highlight w:val="none"/>
        </w:rPr>
        <w:t xml:space="preserve">。</w:t>
      </w:r>
      <w:r>
        <w:rPr>
          <w:i/>
          <w:iCs/>
          <w:color w:val="000000"/>
          <w:sz w:val="24"/>
          <w:highlight w:val="none"/>
          <w:u w:val="single"/>
        </w:rPr>
      </w:r>
      <w:r/>
    </w:p>
    <w:p>
      <w:pPr>
        <w:pStyle w:val="728"/>
        <w:ind w:firstLine="482"/>
        <w:jc w:val="left"/>
        <w:spacing w:before="0" w:line="360" w:lineRule="auto"/>
        <w:widowControl/>
        <w:rPr>
          <w:rFonts w:ascii="Times New Roman" w:hAnsi="Times New Roman" w:eastAsia="宋体"/>
          <w:color w:val="000000"/>
          <w:sz w:val="24"/>
          <w:szCs w:val="24"/>
          <w:highlight w:val="none"/>
        </w:rPr>
      </w:pPr>
      <w:r/>
      <w:bookmarkEnd w:id="12"/>
      <w:r/>
      <w:bookmarkEnd w:id="13"/>
      <w:r/>
      <w:bookmarkStart w:id="14" w:name="_Toc35393792"/>
      <w:r/>
      <w:bookmarkStart w:id="15" w:name="_Toc35393623"/>
      <w:r>
        <w:rPr>
          <w:rFonts w:ascii="Times New Roman" w:hAnsi="Times New Roman" w:eastAsia="宋体"/>
          <w:color w:val="000000"/>
          <w:sz w:val="24"/>
          <w:szCs w:val="24"/>
          <w:highlight w:val="none"/>
        </w:rPr>
        <w:t xml:space="preserve">三、获取招标文件</w:t>
      </w:r>
      <w:bookmarkEnd w:id="14"/>
      <w:r/>
      <w:bookmarkEnd w:id="15"/>
      <w:r>
        <w:rPr>
          <w:rFonts w:ascii="Times New Roman" w:hAnsi="Times New Roman" w:eastAsia="宋体"/>
          <w:color w:val="000000"/>
          <w:sz w:val="24"/>
          <w:szCs w:val="24"/>
          <w:highlight w:val="none"/>
        </w:rPr>
      </w:r>
      <w:r/>
    </w:p>
    <w:p>
      <w:pPr>
        <w:pStyle w:val="726"/>
        <w:ind w:firstLine="540"/>
        <w:spacing w:line="360" w:lineRule="auto"/>
        <w:rPr>
          <w:rFonts w:ascii="宋体" w:hAnsi="宋体" w:cs="宋体"/>
          <w:color w:val="000000"/>
          <w:sz w:val="24"/>
          <w:highlight w:val="none"/>
        </w:rPr>
      </w:pPr>
      <w:r/>
      <w:bookmarkStart w:id="16" w:name="_Toc28359082"/>
      <w:r/>
      <w:bookmarkStart w:id="17" w:name="_Toc28359005"/>
      <w:r/>
      <w:bookmarkStart w:id="18" w:name="_Toc35393793"/>
      <w:r/>
      <w:bookmarkStart w:id="19" w:name="_Toc35393624"/>
      <w:r>
        <w:rPr>
          <w:rFonts w:hint="eastAsia" w:ascii="宋体" w:hAnsi="宋体" w:cs="宋体"/>
          <w:color w:val="000000"/>
          <w:sz w:val="24"/>
          <w:highlight w:val="none"/>
        </w:rPr>
        <w:t xml:space="preserve">1.时间：</w:t>
      </w:r>
      <w:r>
        <w:rPr>
          <w:rFonts w:hint="eastAsia"/>
          <w:color w:val="000000"/>
          <w:sz w:val="24"/>
          <w:highlight w:val="none"/>
          <w:lang w:bidi="ar"/>
        </w:rPr>
        <w:t xml:space="preserve">自招标文件公告发布之日起5个工作日</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26"/>
        <w:ind w:firstLine="540"/>
        <w:spacing w:line="360" w:lineRule="auto"/>
        <w:rPr>
          <w:color w:val="000000"/>
          <w:sz w:val="24"/>
          <w:highlight w:val="none"/>
          <w:lang w:bidi="ar"/>
        </w:rPr>
      </w:pPr>
      <w:r>
        <w:rPr>
          <w:rFonts w:hint="eastAsia"/>
          <w:color w:val="000000"/>
          <w:sz w:val="24"/>
          <w:highlight w:val="none"/>
          <w:lang w:bidi="ar"/>
        </w:rPr>
        <w:t xml:space="preserve">2.地点：</w:t>
      </w:r>
      <w:bookmarkStart w:id="20" w:name="_Toc38985266"/>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color w:val="000000"/>
          <w:sz w:val="24"/>
          <w:highlight w:val="none"/>
          <w:lang w:bidi="ar"/>
        </w:rPr>
        <w:t xml:space="preserve">。</w:t>
      </w:r>
      <w:bookmarkEnd w:id="20"/>
      <w:r>
        <w:rPr>
          <w:color w:val="000000"/>
          <w:sz w:val="24"/>
          <w:highlight w:val="none"/>
          <w:lang w:bidi="ar"/>
        </w:rPr>
      </w:r>
      <w:r/>
    </w:p>
    <w:p>
      <w:pPr>
        <w:pStyle w:val="806"/>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highlight w:val="none"/>
          <w:lang w:bidi="ar"/>
        </w:rPr>
      </w:r>
      <w:r/>
    </w:p>
    <w:p>
      <w:pPr>
        <w:pStyle w:val="806"/>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rPr>
          <w:rFonts w:hint="eastAsia" w:ascii="Times New Roman" w:hAnsi="Times New Roman" w:cs="Times New Roman"/>
          <w:color w:val="000000"/>
          <w:highlight w:val="none"/>
          <w:lang w:bidi="ar"/>
        </w:rPr>
      </w:r>
      <w:r/>
    </w:p>
    <w:p>
      <w:pPr>
        <w:pStyle w:val="72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四、提交投标文件</w:t>
      </w:r>
      <w:bookmarkEnd w:id="16"/>
      <w:r/>
      <w:bookmarkEnd w:id="17"/>
      <w:r>
        <w:rPr>
          <w:rFonts w:ascii="Times New Roman" w:hAnsi="Times New Roman" w:eastAsia="宋体"/>
          <w:color w:val="000000"/>
          <w:sz w:val="24"/>
          <w:szCs w:val="24"/>
          <w:highlight w:val="none"/>
        </w:rPr>
        <w:t xml:space="preserve">截止时间、开标时间和地点</w:t>
      </w:r>
      <w:bookmarkEnd w:id="18"/>
      <w:r/>
      <w:bookmarkEnd w:id="19"/>
      <w:r>
        <w:rPr>
          <w:rFonts w:ascii="Times New Roman" w:hAnsi="Times New Roman" w:eastAsia="宋体"/>
          <w:color w:val="000000"/>
          <w:sz w:val="24"/>
          <w:szCs w:val="24"/>
          <w:highlight w:val="none"/>
        </w:rPr>
      </w:r>
      <w:r/>
    </w:p>
    <w:p>
      <w:pPr>
        <w:pStyle w:val="726"/>
        <w:ind w:firstLine="480"/>
        <w:spacing w:line="360" w:lineRule="auto"/>
        <w:rPr>
          <w:rFonts w:ascii="宋体" w:hAnsi="宋体"/>
          <w:bCs/>
          <w:color w:val="000000"/>
          <w:sz w:val="24"/>
          <w:highlight w:val="none"/>
          <w:u w:val="single"/>
        </w:rPr>
      </w:pPr>
      <w:r/>
      <w:bookmarkStart w:id="21" w:name="_Toc35393794"/>
      <w:r/>
      <w:bookmarkStart w:id="22" w:name="_Toc28359007"/>
      <w:r/>
      <w:bookmarkStart w:id="23" w:name="_Toc28359084"/>
      <w:r/>
      <w:bookmarkStart w:id="24" w:name="_Toc35393625"/>
      <w:r>
        <w:rPr>
          <w:rFonts w:hint="eastAsia"/>
          <w:color w:val="000000"/>
          <w:sz w:val="24"/>
          <w:highlight w:val="none"/>
          <w:lang w:bidi="ar"/>
        </w:rPr>
        <w:t xml:space="preserve">1、</w:t>
      </w:r>
      <w:r>
        <w:rPr>
          <w:color w:val="000000"/>
          <w:sz w:val="24"/>
          <w:highlight w:val="none"/>
          <w:lang w:bidi="ar"/>
        </w:rPr>
        <w:t xml:space="preserve">投标截止时间、开标时间：202</w:t>
      </w:r>
      <w:r>
        <w:rPr>
          <w:rFonts w:hint="eastAsia"/>
          <w:color w:val="000000"/>
          <w:sz w:val="24"/>
          <w:highlight w:val="none"/>
          <w:lang w:val="en-US" w:eastAsia="zh-CN" w:bidi="ar"/>
        </w:rPr>
        <w:t xml:space="preserve">6</w:t>
      </w:r>
      <w:r>
        <w:rPr>
          <w:color w:val="000000"/>
          <w:sz w:val="24"/>
          <w:highlight w:val="none"/>
          <w:lang w:bidi="ar"/>
        </w:rPr>
        <w:t xml:space="preserve">年</w:t>
      </w:r>
      <w:r>
        <w:rPr>
          <w:rFonts w:hint="eastAsia"/>
          <w:color w:val="000000"/>
          <w:sz w:val="24"/>
          <w:highlight w:val="none"/>
          <w:lang w:val="en-US" w:eastAsia="zh-CN" w:bidi="ar"/>
        </w:rPr>
        <w:t xml:space="preserve">7</w:t>
      </w:r>
      <w:r>
        <w:rPr>
          <w:color w:val="000000"/>
          <w:sz w:val="24"/>
          <w:highlight w:val="none"/>
          <w:lang w:bidi="ar"/>
        </w:rPr>
        <w:t xml:space="preserve">月</w:t>
      </w:r>
      <w:r>
        <w:rPr>
          <w:rFonts w:hint="eastAsia"/>
          <w:color w:val="000000"/>
          <w:sz w:val="24"/>
          <w:highlight w:val="none"/>
          <w:lang w:val="en-US" w:eastAsia="zh-CN" w:bidi="ar"/>
        </w:rPr>
        <w:t xml:space="preserve">8</w:t>
      </w:r>
      <w:r>
        <w:rPr>
          <w:color w:val="000000"/>
          <w:sz w:val="24"/>
          <w:highlight w:val="none"/>
          <w:lang w:bidi="ar"/>
        </w:rPr>
        <w:t xml:space="preserve">日</w:t>
      </w:r>
      <w:r>
        <w:rPr>
          <w:rFonts w:hint="eastAsia"/>
          <w:color w:val="000000"/>
          <w:sz w:val="24"/>
          <w:highlight w:val="none"/>
          <w:lang w:val="en-US" w:eastAsia="zh-CN" w:bidi="ar"/>
        </w:rPr>
        <w:t xml:space="preserve">9</w:t>
      </w:r>
      <w:r>
        <w:rPr>
          <w:rFonts w:hint="eastAsia"/>
          <w:color w:val="000000"/>
          <w:sz w:val="24"/>
          <w:highlight w:val="none"/>
          <w:lang w:bidi="ar"/>
        </w:rPr>
        <w:t xml:space="preserve">:</w:t>
      </w:r>
      <w:r>
        <w:rPr>
          <w:color w:val="000000"/>
          <w:sz w:val="24"/>
          <w:highlight w:val="none"/>
          <w:lang w:bidi="ar"/>
        </w:rPr>
        <w:t xml:space="preserve">00</w:t>
      </w:r>
      <w:r>
        <w:rPr>
          <w:bCs/>
          <w:color w:val="000000"/>
          <w:sz w:val="24"/>
          <w:highlight w:val="none"/>
          <w:lang w:bidi="ar"/>
        </w:rPr>
        <w:t xml:space="preserve">（北京时间）</w:t>
      </w:r>
      <w:r>
        <w:rPr>
          <w:rFonts w:hint="eastAsia" w:ascii="宋体" w:hAnsi="宋体"/>
          <w:bCs/>
          <w:color w:val="000000"/>
          <w:sz w:val="24"/>
          <w:highlight w:val="none"/>
        </w:rPr>
        <w:t xml:space="preserve">。</w:t>
      </w:r>
      <w:r>
        <w:rPr>
          <w:rFonts w:ascii="宋体" w:hAnsi="宋体"/>
          <w:bCs/>
          <w:color w:val="000000"/>
          <w:sz w:val="24"/>
          <w:highlight w:val="none"/>
          <w:u w:val="single"/>
        </w:rPr>
      </w:r>
      <w:r/>
    </w:p>
    <w:p>
      <w:pPr>
        <w:pStyle w:val="726"/>
        <w:ind w:firstLine="480"/>
        <w:spacing w:line="360" w:lineRule="auto"/>
        <w:rPr>
          <w:rFonts w:hint="eastAsia" w:ascii="宋体" w:hAnsi="宋体"/>
          <w:bCs/>
          <w:color w:val="000000"/>
          <w:sz w:val="24"/>
          <w:highlight w:val="none"/>
          <w:u w:val="single"/>
        </w:rPr>
      </w:pPr>
      <w:r>
        <w:rPr>
          <w:rFonts w:hint="eastAsia" w:ascii="宋体" w:hAnsi="宋体"/>
          <w:color w:val="000000"/>
          <w:sz w:val="24"/>
          <w:highlight w:val="none"/>
        </w:rPr>
        <w:t xml:space="preserve">2.地点：</w:t>
      </w:r>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ascii="宋体" w:hAnsi="宋体"/>
          <w:color w:val="000000"/>
          <w:sz w:val="24"/>
          <w:highlight w:val="none"/>
        </w:rPr>
        <w:t xml:space="preserve">。</w:t>
      </w:r>
      <w:r>
        <w:rPr>
          <w:rFonts w:hint="eastAsia" w:ascii="宋体" w:hAnsi="宋体"/>
          <w:bCs/>
          <w:color w:val="000000"/>
          <w:sz w:val="24"/>
          <w:highlight w:val="none"/>
          <w:u w:val="single"/>
        </w:rPr>
      </w:r>
      <w:r/>
    </w:p>
    <w:p>
      <w:pPr>
        <w:pStyle w:val="72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五、公告期限</w:t>
      </w:r>
      <w:bookmarkEnd w:id="21"/>
      <w:r/>
      <w:bookmarkEnd w:id="22"/>
      <w:r/>
      <w:bookmarkEnd w:id="23"/>
      <w:r/>
      <w:bookmarkEnd w:id="24"/>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bookmarkStart w:id="25" w:name="_Toc35393795"/>
      <w:r/>
      <w:bookmarkStart w:id="26" w:name="_Toc35393626"/>
      <w:r>
        <w:rPr>
          <w:rFonts w:ascii="Times New Roman" w:hAnsi="Times New Roman" w:eastAsia="宋体"/>
          <w:color w:val="000000"/>
          <w:sz w:val="24"/>
          <w:szCs w:val="24"/>
          <w:highlight w:val="none"/>
        </w:rPr>
        <w:t xml:space="preserve">六、其他补充事宜</w:t>
      </w:r>
      <w:bookmarkEnd w:id="25"/>
      <w:r/>
      <w:bookmarkEnd w:id="26"/>
      <w:r>
        <w:rPr>
          <w:rFonts w:ascii="Times New Roman" w:hAnsi="Times New Roman" w:eastAsia="宋体"/>
          <w:color w:val="000000"/>
          <w:sz w:val="24"/>
          <w:szCs w:val="24"/>
          <w:highlight w:val="none"/>
        </w:rPr>
      </w:r>
      <w:r/>
    </w:p>
    <w:p>
      <w:pPr>
        <w:pStyle w:val="726"/>
        <w:ind w:firstLine="480"/>
        <w:spacing w:line="360" w:lineRule="auto"/>
        <w:rPr>
          <w:color w:val="000000"/>
          <w:sz w:val="24"/>
          <w:highlight w:val="none"/>
          <w:lang w:bidi="ar"/>
        </w:rPr>
      </w:pPr>
      <w:r/>
      <w:bookmarkStart w:id="27" w:name="_Toc28359085"/>
      <w:r/>
      <w:bookmarkStart w:id="28" w:name="_Toc28359008"/>
      <w:r/>
      <w:bookmarkStart w:id="29" w:name="_Toc35393796"/>
      <w:r/>
      <w:bookmarkStart w:id="30" w:name="_Toc35393627"/>
      <w:r>
        <w:rPr>
          <w:rFonts w:hint="eastAsia"/>
          <w:color w:val="000000"/>
          <w:sz w:val="24"/>
          <w:highlight w:val="none"/>
          <w:lang w:bidi="ar"/>
        </w:rPr>
        <w:t xml:space="preserve">1、投标保证金：无需缴纳。</w:t>
      </w:r>
      <w:r>
        <w:rPr>
          <w:color w:val="000000"/>
          <w:sz w:val="24"/>
          <w:highlight w:val="none"/>
          <w:lang w:bidi="ar"/>
        </w:rPr>
      </w:r>
      <w:r/>
    </w:p>
    <w:p>
      <w:pPr>
        <w:pStyle w:val="726"/>
        <w:ind w:firstLine="480"/>
        <w:spacing w:line="360" w:lineRule="auto"/>
        <w:tabs>
          <w:tab w:val="left" w:pos="900" w:leader="none"/>
        </w:tabs>
        <w:rPr>
          <w:rFonts w:hint="eastAsia"/>
          <w:color w:val="000000"/>
          <w:sz w:val="24"/>
          <w:highlight w:val="none"/>
          <w:lang w:bidi="ar"/>
        </w:rPr>
      </w:pPr>
      <w:r>
        <w:rPr>
          <w:rFonts w:hint="eastAsia"/>
          <w:color w:val="000000"/>
          <w:sz w:val="24"/>
          <w:highlight w:val="none"/>
          <w:lang w:bidi="ar"/>
        </w:rPr>
        <w:t xml:space="preserve">2</w:t>
      </w:r>
      <w:bookmarkStart w:id="31" w:name="_Hlk150161828"/>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Pr>
          <w:rFonts w:hint="eastAsia"/>
          <w:color w:val="000000"/>
          <w:sz w:val="24"/>
          <w:highlight w:val="none"/>
          <w:lang w:bidi="ar"/>
        </w:rPr>
      </w:r>
      <w:r/>
    </w:p>
    <w:p>
      <w:pPr>
        <w:pStyle w:val="726"/>
        <w:ind w:firstLine="540"/>
        <w:spacing w:line="360" w:lineRule="auto"/>
        <w:rPr>
          <w:rFonts w:hint="eastAsia"/>
          <w:color w:val="000000"/>
          <w:sz w:val="24"/>
          <w:highlight w:val="none"/>
          <w:lang w:bidi="ar"/>
        </w:rPr>
      </w:pPr>
      <w:r>
        <w:rPr>
          <w:rFonts w:hint="eastAsia"/>
          <w:color w:val="000000"/>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728"/>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4、采购公告内容与采购文件不一致的，以采购文件为准。</w:t>
      </w:r>
      <w:r>
        <w:rPr>
          <w:rFonts w:ascii="Times New Roman" w:hAnsi="Times New Roman" w:eastAsia="宋体"/>
          <w:b w:val="0"/>
          <w:color w:val="000000"/>
          <w:sz w:val="24"/>
          <w:szCs w:val="24"/>
          <w:highlight w:val="none"/>
          <w:lang w:bidi="ar"/>
        </w:rPr>
      </w:r>
      <w:r/>
    </w:p>
    <w:p>
      <w:pPr>
        <w:pStyle w:val="806"/>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rPr>
      </w:r>
      <w:r/>
    </w:p>
    <w:p>
      <w:pPr>
        <w:pStyle w:val="72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七、对本次招标提出询问，请按以下方式联系。</w:t>
      </w:r>
      <w:bookmarkEnd w:id="27"/>
      <w:r/>
      <w:bookmarkEnd w:id="28"/>
      <w:r/>
      <w:bookmarkEnd w:id="29"/>
      <w:r/>
      <w:bookmarkEnd w:id="30"/>
      <w:r>
        <w:rPr>
          <w:rFonts w:ascii="Times New Roman" w:hAnsi="Times New Roman" w:eastAsia="宋体"/>
          <w:color w:val="000000"/>
          <w:sz w:val="24"/>
          <w:szCs w:val="24"/>
          <w:highlight w:val="none"/>
        </w:rPr>
      </w:r>
      <w:r/>
    </w:p>
    <w:p>
      <w:pPr>
        <w:pStyle w:val="726"/>
        <w:ind w:firstLine="480"/>
        <w:jc w:val="left"/>
        <w:spacing w:after="0" w:line="500" w:lineRule="exact"/>
        <w:widowControl/>
        <w:rPr>
          <w:color w:val="000000"/>
          <w:sz w:val="24"/>
          <w:highlight w:val="none"/>
          <w:lang w:val="zh-TW" w:bidi="ar"/>
        </w:rPr>
      </w:pPr>
      <w:r/>
      <w:bookmarkEnd w:id="7"/>
      <w:r/>
      <w:bookmarkStart w:id="32" w:name="_Toc28359087"/>
      <w:r/>
      <w:bookmarkStart w:id="33" w:name="_Toc28359010"/>
      <w:r>
        <w:rPr>
          <w:color w:val="000000"/>
          <w:sz w:val="24"/>
          <w:highlight w:val="none"/>
          <w:lang w:val="zh-TW" w:bidi="ar"/>
        </w:rPr>
        <w:t xml:space="preserve">1.</w:t>
      </w:r>
      <w:r>
        <w:rPr>
          <w:color w:val="000000"/>
          <w:sz w:val="24"/>
          <w:highlight w:val="none"/>
          <w:shd w:val="clear" w:color="auto" w:fill="auto"/>
          <w:lang w:val="zh-TW" w:bidi="ar"/>
        </w:rPr>
        <w:t xml:space="preserve">采购人信息</w:t>
      </w:r>
      <w:r>
        <w:rPr>
          <w:color w:val="000000"/>
          <w:sz w:val="24"/>
          <w:highlight w:val="none"/>
          <w:lang w:val="zh-TW" w:bidi="ar"/>
        </w:rPr>
      </w:r>
      <w:r/>
    </w:p>
    <w:p>
      <w:pPr>
        <w:pStyle w:val="726"/>
        <w:ind w:firstLine="480"/>
        <w:jc w:val="left"/>
        <w:spacing w:after="0" w:line="500" w:lineRule="exact"/>
        <w:widowControl/>
        <w:rPr>
          <w:rFonts w:hint="eastAsia"/>
          <w:color w:val="000000"/>
          <w:sz w:val="24"/>
          <w:highlight w:val="none"/>
          <w:lang w:val="zh-TW" w:bidi="ar"/>
        </w:rPr>
      </w:pPr>
      <w:r/>
      <w:bookmarkStart w:id="34" w:name="_Toc28359009"/>
      <w:r/>
      <w:bookmarkStart w:id="35" w:name="_Toc28359086"/>
      <w:r>
        <w:rPr>
          <w:rFonts w:hint="eastAsia"/>
          <w:color w:val="000000"/>
          <w:sz w:val="24"/>
          <w:highlight w:val="none"/>
          <w:lang w:val="zh-TW" w:bidi="ar"/>
        </w:rPr>
        <w:t xml:space="preserve">名 称：常州市武进区疾病预防控制中心</w:t>
      </w:r>
      <w:r>
        <w:rPr>
          <w:rFonts w:hint="eastAsia"/>
          <w:color w:val="000000"/>
          <w:sz w:val="24"/>
          <w:highlight w:val="none"/>
          <w:lang w:val="zh-TW" w:bidi="ar"/>
        </w:rPr>
      </w:r>
      <w:r/>
    </w:p>
    <w:p>
      <w:pPr>
        <w:pStyle w:val="726"/>
        <w:ind w:firstLine="480"/>
        <w:jc w:val="left"/>
        <w:spacing w:after="0" w:line="500" w:lineRule="exact"/>
        <w:widowControl/>
        <w:rPr>
          <w:rFonts w:hint="eastAsia"/>
          <w:color w:val="000000"/>
          <w:sz w:val="24"/>
          <w:highlight w:val="none"/>
          <w:lang w:val="zh-TW" w:bidi="ar"/>
        </w:rPr>
      </w:pPr>
      <w:r>
        <w:rPr>
          <w:rFonts w:hint="eastAsia"/>
          <w:color w:val="000000"/>
          <w:sz w:val="24"/>
          <w:highlight w:val="none"/>
          <w:lang w:val="zh-TW" w:bidi="ar"/>
        </w:rPr>
        <w:t xml:space="preserve">地 址：常州市武进区湖塘镇府南路2号</w:t>
      </w:r>
      <w:r>
        <w:rPr>
          <w:rFonts w:hint="eastAsia"/>
          <w:color w:val="000000"/>
          <w:sz w:val="24"/>
          <w:highlight w:val="none"/>
          <w:lang w:val="zh-TW" w:bidi="ar"/>
        </w:rPr>
      </w:r>
      <w:r/>
    </w:p>
    <w:p>
      <w:pPr>
        <w:pStyle w:val="726"/>
        <w:ind w:firstLine="480"/>
        <w:jc w:val="left"/>
        <w:spacing w:after="0" w:line="500" w:lineRule="exact"/>
        <w:rPr>
          <w:rFonts w:hint="eastAsia" w:eastAsia="宋体"/>
          <w:color w:val="000000"/>
          <w:sz w:val="24"/>
          <w:highlight w:val="none"/>
          <w:lang w:eastAsia="zh-CN"/>
        </w:rPr>
      </w:pPr>
      <w:r>
        <w:rPr>
          <w:rFonts w:hint="eastAsia"/>
          <w:color w:val="000000"/>
          <w:sz w:val="24"/>
          <w:highlight w:val="none"/>
        </w:rPr>
        <w:t xml:space="preserve">联系人：</w:t>
      </w:r>
      <w:r>
        <w:rPr>
          <w:rFonts w:hint="eastAsia"/>
          <w:color w:val="000000"/>
          <w:sz w:val="24"/>
          <w:highlight w:val="none"/>
          <w:lang w:val="zh-TW" w:bidi="ar"/>
        </w:rPr>
        <w:t xml:space="preserve">冯小叶</w:t>
      </w:r>
      <w:r>
        <w:rPr>
          <w:rFonts w:hint="eastAsia" w:eastAsia="宋体"/>
          <w:color w:val="000000"/>
          <w:sz w:val="24"/>
          <w:highlight w:val="none"/>
          <w:lang w:eastAsia="zh-CN"/>
        </w:rPr>
      </w:r>
      <w:r/>
    </w:p>
    <w:p>
      <w:pPr>
        <w:pStyle w:val="726"/>
        <w:ind w:firstLine="480"/>
        <w:jc w:val="left"/>
        <w:spacing w:after="0" w:line="500" w:lineRule="exact"/>
        <w:widowControl/>
        <w:rPr>
          <w:rFonts w:hint="eastAsia"/>
          <w:color w:val="000000"/>
          <w:sz w:val="24"/>
          <w:highlight w:val="none"/>
          <w:lang w:val="zh-TW" w:bidi="ar"/>
        </w:rPr>
      </w:pPr>
      <w:r>
        <w:rPr>
          <w:rFonts w:hint="eastAsia"/>
          <w:color w:val="000000"/>
          <w:sz w:val="24"/>
          <w:highlight w:val="none"/>
        </w:rPr>
        <w:t xml:space="preserve">联系方式：</w:t>
      </w:r>
      <w:r>
        <w:rPr>
          <w:rFonts w:hint="eastAsia"/>
          <w:color w:val="000000"/>
          <w:sz w:val="24"/>
          <w:highlight w:val="none"/>
          <w:lang w:val="zh-TW" w:bidi="ar"/>
        </w:rPr>
        <w:t xml:space="preserve">0519-89856918</w:t>
      </w:r>
      <w:r>
        <w:rPr>
          <w:rFonts w:hint="eastAsia"/>
          <w:color w:val="000000"/>
          <w:sz w:val="24"/>
          <w:highlight w:val="none"/>
          <w:lang w:val="zh-TW" w:bidi="ar"/>
        </w:rPr>
      </w:r>
      <w:r/>
    </w:p>
    <w:p>
      <w:pPr>
        <w:pStyle w:val="726"/>
        <w:ind w:firstLine="480"/>
        <w:jc w:val="left"/>
        <w:spacing w:after="0" w:line="500" w:lineRule="exact"/>
        <w:widowControl/>
        <w:rPr>
          <w:color w:val="000000"/>
          <w:sz w:val="24"/>
          <w:highlight w:val="none"/>
          <w:lang w:val="zh-TW" w:bidi="ar"/>
        </w:rPr>
      </w:pPr>
      <w:r>
        <w:rPr>
          <w:color w:val="000000"/>
          <w:sz w:val="24"/>
          <w:highlight w:val="none"/>
          <w:lang w:val="zh-TW" w:bidi="ar"/>
        </w:rPr>
        <w:t xml:space="preserve">2.</w:t>
      </w:r>
      <w:bookmarkStart w:id="36" w:name="_Hlk172272470"/>
      <w:r>
        <w:rPr>
          <w:rFonts w:hint="eastAsia"/>
          <w:color w:val="000000"/>
          <w:sz w:val="24"/>
          <w:highlight w:val="none"/>
          <w:shd w:val="clear" w:color="auto" w:fill="auto"/>
          <w:lang w:val="zh-TW" w:bidi="ar"/>
        </w:rPr>
        <w:t xml:space="preserve">常州市武进区政府采购中心</w:t>
      </w:r>
      <w:r>
        <w:rPr>
          <w:color w:val="000000"/>
          <w:sz w:val="24"/>
          <w:highlight w:val="none"/>
          <w:shd w:val="clear" w:color="auto" w:fill="auto"/>
          <w:lang w:val="zh-TW" w:bidi="ar"/>
        </w:rPr>
        <w:t xml:space="preserve">信息</w:t>
      </w:r>
      <w:bookmarkEnd w:id="34"/>
      <w:r/>
      <w:bookmarkEnd w:id="35"/>
      <w:r/>
      <w:bookmarkEnd w:id="36"/>
      <w:r>
        <w:rPr>
          <w:color w:val="000000"/>
          <w:sz w:val="24"/>
          <w:highlight w:val="none"/>
          <w:lang w:val="zh-TW" w:bidi="ar"/>
        </w:rPr>
      </w:r>
      <w:r/>
    </w:p>
    <w:p>
      <w:pPr>
        <w:pStyle w:val="726"/>
        <w:ind w:firstLine="480"/>
        <w:jc w:val="left"/>
        <w:spacing w:after="0" w:line="500" w:lineRule="exact"/>
        <w:rPr>
          <w:rFonts w:hint="eastAsia"/>
          <w:color w:val="000000"/>
          <w:sz w:val="24"/>
          <w:highlight w:val="none"/>
          <w:lang w:val="zh-TW"/>
        </w:rPr>
      </w:pPr>
      <w:r>
        <w:rPr>
          <w:rFonts w:hint="eastAsia"/>
          <w:color w:val="000000"/>
          <w:sz w:val="24"/>
          <w:highlight w:val="none"/>
          <w:lang w:val="zh-TW"/>
        </w:rPr>
        <w:t xml:space="preserve">地址：常州市武进区武宜中路1号天豪大厦3号楼515室</w:t>
      </w:r>
      <w:r>
        <w:rPr>
          <w:rFonts w:hint="eastAsia"/>
          <w:color w:val="000000"/>
          <w:sz w:val="24"/>
          <w:highlight w:val="none"/>
          <w:lang w:val="zh-TW"/>
        </w:rPr>
      </w:r>
      <w:r/>
    </w:p>
    <w:p>
      <w:pPr>
        <w:pStyle w:val="726"/>
        <w:ind w:firstLine="480"/>
        <w:jc w:val="left"/>
        <w:spacing w:after="0" w:line="500" w:lineRule="exact"/>
        <w:rPr>
          <w:rFonts w:hint="eastAsia" w:eastAsia="宋体"/>
          <w:color w:val="000000"/>
          <w:sz w:val="24"/>
          <w:highlight w:val="none"/>
          <w:lang w:eastAsia="zh-CN"/>
        </w:rPr>
      </w:pPr>
      <w:r>
        <w:rPr>
          <w:rFonts w:hint="eastAsia"/>
          <w:color w:val="000000"/>
          <w:sz w:val="24"/>
          <w:highlight w:val="none"/>
        </w:rPr>
        <w:t xml:space="preserve">联系人：杨</w:t>
      </w:r>
      <w:r>
        <w:rPr>
          <w:rFonts w:hint="eastAsia"/>
          <w:color w:val="000000"/>
          <w:sz w:val="24"/>
          <w:highlight w:val="none"/>
          <w:lang w:val="en-US" w:eastAsia="zh-CN"/>
        </w:rPr>
        <w:t xml:space="preserve">先生</w:t>
      </w:r>
      <w:r>
        <w:rPr>
          <w:rFonts w:hint="eastAsia" w:eastAsia="宋体"/>
          <w:color w:val="000000"/>
          <w:sz w:val="24"/>
          <w:highlight w:val="none"/>
          <w:lang w:eastAsia="zh-CN"/>
        </w:rPr>
      </w:r>
      <w:r/>
    </w:p>
    <w:p>
      <w:pPr>
        <w:pStyle w:val="726"/>
        <w:ind w:firstLine="480"/>
        <w:jc w:val="left"/>
        <w:spacing w:after="0" w:line="500" w:lineRule="exact"/>
        <w:rPr>
          <w:rFonts w:hint="eastAsia"/>
          <w:color w:val="000000"/>
          <w:sz w:val="24"/>
          <w:highlight w:val="none"/>
          <w:lang w:val="zh-TW"/>
        </w:rPr>
      </w:pPr>
      <w:r>
        <w:rPr>
          <w:rFonts w:hint="eastAsia"/>
          <w:color w:val="000000"/>
          <w:sz w:val="24"/>
          <w:highlight w:val="none"/>
        </w:rPr>
        <w:t xml:space="preserve">联系方式：0519-88068619</w:t>
      </w:r>
      <w:r>
        <w:rPr>
          <w:rFonts w:hint="eastAsia"/>
          <w:color w:val="000000"/>
          <w:sz w:val="24"/>
          <w:highlight w:val="none"/>
          <w:lang w:val="zh-TW"/>
        </w:rPr>
      </w:r>
      <w:r/>
    </w:p>
    <w:p>
      <w:pPr>
        <w:pStyle w:val="806"/>
        <w:spacing w:line="360" w:lineRule="auto"/>
        <w:rPr>
          <w:rFonts w:hint="eastAsia"/>
          <w:color w:val="000000"/>
          <w:highlight w:val="none"/>
        </w:rPr>
      </w:pPr>
      <w:r>
        <w:rPr>
          <w:rFonts w:hint="eastAsia"/>
          <w:color w:val="000000"/>
          <w:highlight w:val="none"/>
        </w:rPr>
      </w:r>
      <w:r/>
    </w:p>
    <w:p>
      <w:pPr>
        <w:pStyle w:val="766"/>
        <w:ind w:firstLine="720"/>
        <w:spacing w:line="360" w:lineRule="auto"/>
        <w:rPr>
          <w:rFonts w:ascii="Times New Roman" w:hAnsi="Times New Roman"/>
          <w:color w:val="000000"/>
          <w:sz w:val="24"/>
          <w:szCs w:val="24"/>
          <w:highlight w:val="none"/>
        </w:rPr>
      </w:pPr>
      <w:r/>
      <w:bookmarkEnd w:id="32"/>
      <w:r/>
      <w:bookmarkEnd w:id="33"/>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26"/>
        <w:ind w:firstLine="5880"/>
        <w:jc w:val="right"/>
        <w:spacing w:line="360" w:lineRule="auto"/>
        <w:rPr>
          <w:color w:val="000000"/>
          <w:sz w:val="24"/>
          <w:highlight w:val="none"/>
        </w:rPr>
      </w:pPr>
      <w:r>
        <w:rPr>
          <w:color w:val="000000"/>
          <w:sz w:val="24"/>
          <w:highlight w:val="none"/>
        </w:rPr>
      </w:r>
      <w:r/>
    </w:p>
    <w:p>
      <w:pPr>
        <w:pStyle w:val="726"/>
        <w:jc w:val="center"/>
        <w:spacing w:line="360" w:lineRule="auto"/>
        <w:rPr>
          <w:b/>
          <w:color w:val="000000"/>
          <w:sz w:val="32"/>
          <w:szCs w:val="32"/>
          <w:highlight w:val="none"/>
        </w:rPr>
        <w:outlineLvl w:val="0"/>
      </w:pPr>
      <w:r>
        <w:rPr>
          <w:color w:val="000000"/>
          <w:sz w:val="24"/>
          <w:highlight w:val="none"/>
        </w:rPr>
        <w:br w:type="page" w:clear="all"/>
      </w:r>
      <w:bookmarkStart w:id="37" w:name="_Toc195842950"/>
      <w:r/>
      <w:bookmarkStart w:id="38" w:name="_Toc264969275"/>
      <w:r/>
      <w:bookmarkStart w:id="39" w:name="_Toc353825548"/>
      <w:r/>
      <w:bookmarkStart w:id="40" w:name="_Toc127151777"/>
      <w:r/>
      <w:bookmarkStart w:id="41" w:name="_Toc353873938"/>
      <w:r/>
      <w:bookmarkStart w:id="42" w:name="_Toc265228423"/>
      <w:r/>
      <w:bookmarkStart w:id="43" w:name="_Toc512937850"/>
      <w:r/>
      <w:bookmarkStart w:id="44" w:name="_Toc226965856"/>
      <w:r/>
      <w:bookmarkStart w:id="45" w:name="_Toc150774783"/>
      <w:r/>
      <w:bookmarkStart w:id="46" w:name="_Toc99301420"/>
      <w:r/>
      <w:bookmarkStart w:id="47" w:name="_Toc127161488"/>
      <w:r/>
      <w:bookmarkStart w:id="48" w:name="_Toc305158854"/>
      <w:r/>
      <w:bookmarkStart w:id="49" w:name="_Toc305158928"/>
      <w:r>
        <w:rPr>
          <w:b/>
          <w:color w:val="000000"/>
          <w:sz w:val="36"/>
          <w:szCs w:val="36"/>
          <w:highlight w:val="none"/>
        </w:rPr>
        <w:t xml:space="preserve">第二章   投标人须知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2"/>
          <w:szCs w:val="32"/>
          <w:highlight w:val="none"/>
        </w:rPr>
      </w:r>
      <w:r/>
    </w:p>
    <w:p>
      <w:pPr>
        <w:pStyle w:val="728"/>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Start w:id="50" w:name="_Toc226337215"/>
      <w:r/>
      <w:bookmarkStart w:id="51" w:name="_Toc164608633"/>
      <w:r/>
      <w:bookmarkStart w:id="52" w:name="_Toc127151720"/>
      <w:r/>
      <w:bookmarkStart w:id="53" w:name="_Toc164229360"/>
      <w:r/>
      <w:bookmarkStart w:id="54" w:name="_Toc150774619"/>
      <w:r/>
      <w:bookmarkStart w:id="55" w:name="_Toc151193617"/>
      <w:r/>
      <w:bookmarkStart w:id="56" w:name="_Toc226965792"/>
      <w:r/>
      <w:bookmarkStart w:id="57" w:name="_Toc226309763"/>
      <w:r/>
      <w:bookmarkStart w:id="58" w:name="_Toc142311021"/>
      <w:r/>
      <w:bookmarkStart w:id="59" w:name="_Toc151193833"/>
      <w:r/>
      <w:bookmarkStart w:id="60" w:name="_Toc164351613"/>
      <w:r/>
      <w:bookmarkStart w:id="61" w:name="_Toc520356144"/>
      <w:r/>
      <w:bookmarkStart w:id="62" w:name="_Toc151193689"/>
      <w:r/>
      <w:bookmarkStart w:id="63" w:name="_Toc195842884"/>
      <w:r/>
      <w:bookmarkStart w:id="64" w:name="_Toc150509270"/>
      <w:r/>
      <w:bookmarkStart w:id="65" w:name="_Toc127161433"/>
      <w:r/>
      <w:bookmarkStart w:id="66" w:name="_Toc127151519"/>
      <w:r/>
      <w:bookmarkStart w:id="67" w:name="_Toc149720812"/>
      <w:r/>
      <w:bookmarkStart w:id="68" w:name="_Toc226965709"/>
      <w:r/>
      <w:bookmarkStart w:id="69" w:name="_Toc150480757"/>
      <w:r/>
      <w:bookmarkStart w:id="70" w:name="_Toc151193761"/>
      <w:r/>
      <w:bookmarkStart w:id="71" w:name="_Toc164608788"/>
      <w:r/>
      <w:bookmarkStart w:id="72" w:name="_Toc164229214"/>
      <w:r/>
      <w:bookmarkStart w:id="73" w:name="_Toc150774724"/>
      <w:r/>
      <w:bookmarkStart w:id="74" w:name="_Toc151193907"/>
      <w:r/>
      <w:bookmarkStart w:id="75" w:name="_Toc151190146"/>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2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72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72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u w:val="single"/>
              </w:rPr>
            </w:pPr>
            <w:r>
              <w:rPr>
                <w:color w:val="000000"/>
                <w:sz w:val="24"/>
                <w:highlight w:val="none"/>
              </w:rPr>
              <w:t xml:space="preserve">项目属性：服务</w:t>
            </w:r>
            <w:r>
              <w:rPr>
                <w:color w:val="000000"/>
                <w:sz w:val="24"/>
                <w:highlight w:val="none"/>
                <w:u w:val="single"/>
              </w:rPr>
            </w:r>
            <w:r/>
          </w:p>
        </w:tc>
      </w:tr>
      <w:tr>
        <w:trPr>
          <w:trHeight w:val="401"/>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766"/>
              <w:spacing w:line="360" w:lineRule="exact"/>
              <w:rPr>
                <w:color w:val="000000"/>
                <w:sz w:val="24"/>
                <w:highlight w:val="none"/>
              </w:rPr>
            </w:pPr>
            <w:r>
              <w:rPr>
                <w:rFonts w:ascii="Times New Roman" w:hAnsi="Times New Roman"/>
                <w:color w:val="000000"/>
                <w:sz w:val="24"/>
                <w:szCs w:val="24"/>
                <w:highlight w:val="none"/>
              </w:rPr>
              <w:t xml:space="preserve">关于核心产品</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本项目</w:t>
            </w:r>
            <w:r>
              <w:rPr>
                <w:rFonts w:hint="eastAsia" w:ascii="Times New Roman" w:hAnsi="Times New Roman"/>
                <w:color w:val="000000"/>
                <w:sz w:val="24"/>
                <w:szCs w:val="24"/>
                <w:highlight w:val="none"/>
                <w:lang w:eastAsia="zh-CN"/>
              </w:rPr>
              <w:t xml:space="preserve">：</w:t>
            </w:r>
            <w:r>
              <w:rPr>
                <w:rFonts w:ascii="Times New Roman" w:hAnsi="Times New Roman"/>
                <w:color w:val="000000"/>
                <w:sz w:val="24"/>
                <w:szCs w:val="24"/>
                <w:highlight w:val="none"/>
              </w:rPr>
              <w:t xml:space="preserve">不适用。</w:t>
            </w:r>
            <w:r>
              <w:rPr>
                <w:color w:val="000000"/>
                <w:sz w:val="24"/>
                <w:highlight w:val="none"/>
              </w:rPr>
            </w:r>
            <w:r/>
          </w:p>
        </w:tc>
      </w:tr>
      <w:tr>
        <w:trPr>
          <w:trHeight w:val="20"/>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726"/>
              <w:jc w:val="left"/>
              <w:keepLines w:val="0"/>
              <w:keepNext w:val="0"/>
              <w:pageBreakBefore w:val="0"/>
              <w:spacing w:line="360" w:lineRule="exact"/>
              <w:widowControl w:val="off"/>
              <w:rPr>
                <w:rFonts w:ascii="Times New Roman" w:hAnsi="Times New Roman" w:eastAsia="宋体"/>
                <w:color w:val="000000"/>
                <w:sz w:val="21"/>
                <w:highlight w:val="none"/>
                <w:lang w:val="en-US" w:eastAsia="zh-CN"/>
              </w:rPr>
            </w:pPr>
            <w:r>
              <w:rPr>
                <w:color w:val="000000"/>
                <w:sz w:val="24"/>
                <w:highlight w:val="none"/>
              </w:rPr>
              <w:t xml:space="preserve">投标样品递交</w:t>
            </w:r>
            <w:r>
              <w:rPr>
                <w:rFonts w:hint="eastAsia"/>
                <w:color w:val="000000"/>
                <w:sz w:val="24"/>
                <w:highlight w:val="none"/>
                <w:lang w:eastAsia="zh-CN"/>
              </w:rPr>
              <w:t xml:space="preserve">：</w:t>
            </w:r>
            <w:r>
              <w:rPr>
                <w:color w:val="000000"/>
                <w:sz w:val="24"/>
                <w:highlight w:val="none"/>
              </w:rPr>
              <w:t xml:space="preserve">不需要</w:t>
            </w:r>
            <w:r>
              <w:rPr>
                <w:rFonts w:ascii="Times New Roman" w:hAnsi="Times New Roman" w:eastAsia="宋体"/>
                <w:color w:val="000000"/>
                <w:sz w:val="21"/>
                <w:highlight w:val="none"/>
                <w:lang w:val="en-US" w:eastAsia="zh-CN"/>
              </w:rPr>
            </w:r>
            <w:r/>
          </w:p>
        </w:tc>
      </w:tr>
      <w:tr>
        <w:trPr>
          <w:trHeight w:val="827"/>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本项目</w:t>
            </w:r>
            <w:r>
              <w:rPr>
                <w:rFonts w:hint="eastAsia"/>
                <w:color w:val="000000"/>
                <w:sz w:val="24"/>
                <w:highlight w:val="none"/>
                <w:lang w:val="en-US" w:eastAsia="zh-CN"/>
              </w:rPr>
              <w:t xml:space="preserve">不</w:t>
            </w:r>
            <w:r>
              <w:rPr>
                <w:rFonts w:hint="eastAsia"/>
                <w:color w:val="000000"/>
                <w:sz w:val="24"/>
                <w:highlight w:val="none"/>
              </w:rPr>
              <w:t xml:space="preserve">专门面向中小企业采购，对于符合规定的小、微企业报价给予</w:t>
            </w:r>
            <w:r>
              <w:rPr>
                <w:rFonts w:hint="eastAsia"/>
                <w:color w:val="000000"/>
                <w:sz w:val="24"/>
                <w:highlight w:val="none"/>
                <w:u w:val="single"/>
                <w:lang w:val="en-US" w:eastAsia="zh-CN"/>
              </w:rPr>
              <w:t xml:space="preserve">1</w:t>
            </w:r>
            <w:r>
              <w:rPr>
                <w:rFonts w:hint="eastAsia"/>
                <w:color w:val="000000"/>
                <w:sz w:val="24"/>
                <w:highlight w:val="none"/>
                <w:u w:val="single"/>
              </w:rPr>
              <w:t xml:space="preserve">0%</w:t>
            </w:r>
            <w:r>
              <w:rPr>
                <w:rFonts w:hint="eastAsia"/>
                <w:color w:val="000000"/>
                <w:sz w:val="24"/>
                <w:highlight w:val="none"/>
              </w:rPr>
              <w:t xml:space="preserve">的扣除，用扣除后的价格参与评审。</w:t>
            </w:r>
            <w:r>
              <w:rPr>
                <w:color w:val="000000"/>
                <w:sz w:val="24"/>
                <w:highlight w:val="none"/>
              </w:rPr>
            </w:r>
            <w:r/>
          </w:p>
        </w:tc>
      </w:tr>
      <w:tr>
        <w:trPr>
          <w:trHeight w:val="776"/>
        </w:trPr>
        <w:tc>
          <w:tcPr>
            <w:tcW w:w="988" w:type="dxa"/>
            <w:vAlign w:val="center"/>
            <w:textDirection w:val="lrTb"/>
            <w:noWrap w:val="false"/>
          </w:tcPr>
          <w:p>
            <w:pPr>
              <w:pStyle w:val="766"/>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26"/>
              <w:jc w:val="center"/>
              <w:spacing w:line="360" w:lineRule="exact"/>
              <w:rPr>
                <w:rFonts w:hint="eastAsia" w:eastAsia="宋体"/>
                <w:color w:val="000000"/>
                <w:sz w:val="24"/>
                <w:highlight w:val="none"/>
                <w:lang w:val="en-US" w:eastAsia="zh-CN"/>
              </w:rPr>
            </w:pPr>
            <w:r>
              <w:rPr>
                <w:rFonts w:hint="eastAsia" w:ascii="Times New Roman" w:hAnsi="Times New Roman" w:eastAsia="宋体" w:cs="Times New Roman"/>
                <w:color w:val="000000"/>
                <w:sz w:val="24"/>
                <w:highlight w:val="none"/>
              </w:rPr>
              <w:t xml:space="preserve">本国产品政策支持</w:t>
            </w:r>
            <w:r>
              <w:rPr>
                <w:rFonts w:hint="eastAsia" w:eastAsia="宋体"/>
                <w:color w:val="000000"/>
                <w:sz w:val="24"/>
                <w:highlight w:val="none"/>
                <w:lang w:val="en-US" w:eastAsia="zh-CN"/>
              </w:rPr>
            </w:r>
            <w:r/>
          </w:p>
        </w:tc>
        <w:tc>
          <w:tcPr>
            <w:tcW w:w="7540" w:type="dxa"/>
            <w:vAlign w:val="center"/>
            <w:textDirection w:val="lrTb"/>
            <w:noWrap w:val="false"/>
          </w:tcPr>
          <w:p>
            <w:pPr>
              <w:pStyle w:val="728"/>
              <w:ind w:left="0" w:right="0" w:firstLine="0"/>
              <w:jc w:val="both"/>
              <w:keepLines w:val="0"/>
              <w:keepNext w:val="0"/>
              <w:pageBreakBefore w:val="0"/>
              <w:spacing w:before="0" w:beforeAutospacing="0" w:afterAutospacing="0" w:line="360" w:lineRule="exact"/>
              <w:shd w:val="clear" w:color="auto" w:fill="ffffff"/>
              <w:widowControl/>
              <w:rPr>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本项目</w:t>
            </w:r>
            <w:r>
              <w:rPr>
                <w:rFonts w:hint="eastAsia" w:ascii="Times New Roman" w:hAnsi="Times New Roman" w:eastAsia="宋体" w:cs="Times New Roman"/>
                <w:b/>
                <w:bCs/>
                <w:color w:val="000000"/>
                <w:sz w:val="24"/>
                <w:szCs w:val="24"/>
                <w:highlight w:val="none"/>
                <w:u w:val="single"/>
                <w:lang w:val="en-US" w:eastAsia="zh-CN" w:bidi="ar-SA"/>
              </w:rPr>
              <w:t xml:space="preserve">不适用</w:t>
            </w:r>
            <w:r>
              <w:rPr>
                <w:rFonts w:hint="eastAsia" w:ascii="Times New Roman" w:hAnsi="Times New Roman" w:eastAsia="宋体" w:cs="Times New Roman"/>
                <w:b w:val="0"/>
                <w:color w:val="000000"/>
                <w:sz w:val="24"/>
                <w:szCs w:val="24"/>
                <w:highlight w:val="none"/>
                <w:lang w:val="en-US" w:eastAsia="zh-CN" w:bidi="ar-SA"/>
              </w:rPr>
              <w:t xml:space="preserve">本国产品政策功能。（如适用，具体要求详见第四章“评标方法”—“政府采购中实施本国产品标准及相关政策”。）</w:t>
            </w:r>
            <w:r>
              <w:rPr>
                <w:color w:val="000000"/>
                <w:sz w:val="24"/>
                <w:highlight w:val="none"/>
              </w:rPr>
            </w:r>
            <w:r/>
          </w:p>
        </w:tc>
      </w:tr>
      <w:tr>
        <w:trPr>
          <w:trHeight w:val="473"/>
        </w:trPr>
        <w:tc>
          <w:tcPr>
            <w:tcW w:w="988" w:type="dxa"/>
            <w:vAlign w:val="center"/>
            <w:textDirection w:val="lrTb"/>
            <w:noWrap w:val="false"/>
          </w:tcPr>
          <w:p>
            <w:pPr>
              <w:pStyle w:val="766"/>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rPr>
              <w:t xml:space="preserve"> </w:t>
            </w:r>
            <w:r>
              <w:rPr>
                <w:rFonts w:hint="eastAsia"/>
                <w:b/>
                <w:bCs/>
                <w:color w:val="000000"/>
                <w:sz w:val="24"/>
                <w:highlight w:val="none"/>
                <w:u w:val="single"/>
                <w:lang w:val="en-US" w:eastAsia="zh-CN"/>
              </w:rPr>
              <w:t xml:space="preserve">服务类</w:t>
            </w:r>
            <w:r>
              <w:rPr>
                <w:b/>
                <w:bCs/>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bCs/>
                <w:color w:val="000000"/>
                <w:sz w:val="24"/>
                <w:highlight w:val="none"/>
                <w:u w:val="single"/>
                <w:lang w:val="en-US" w:eastAsia="zh-CN"/>
              </w:rPr>
              <w:t xml:space="preserve">软件和信息技术服务业</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highlight w:val="none"/>
              </w:rPr>
            </w:r>
            <w:r/>
          </w:p>
        </w:tc>
      </w:tr>
      <w:tr>
        <w:trPr>
          <w:trHeight w:val="695"/>
        </w:trPr>
        <w:tc>
          <w:tcPr>
            <w:tcW w:w="988" w:type="dxa"/>
            <w:vAlign w:val="center"/>
            <w:textDirection w:val="lrTb"/>
            <w:noWrap w:val="false"/>
          </w:tcPr>
          <w:p>
            <w:pPr>
              <w:pStyle w:val="766"/>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726"/>
              <w:jc w:val="center"/>
              <w:spacing w:line="360" w:lineRule="exact"/>
              <w:rPr>
                <w:color w:val="000000"/>
                <w:sz w:val="24"/>
                <w:highlight w:val="none"/>
              </w:rPr>
            </w:pPr>
            <w:r>
              <w:rPr>
                <w:rFonts w:hint="eastAsia"/>
                <w:color w:val="000000"/>
                <w:sz w:val="24"/>
                <w:highlight w:val="none"/>
              </w:rPr>
              <w:t xml:space="preserve">履约保证金</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不收取</w:t>
            </w:r>
            <w:r>
              <w:rPr>
                <w:color w:val="000000"/>
                <w:sz w:val="24"/>
                <w:highlight w:val="none"/>
              </w:rPr>
            </w:r>
            <w:r/>
          </w:p>
        </w:tc>
      </w:tr>
      <w:tr>
        <w:trPr>
          <w:trHeight w:val="695"/>
        </w:trPr>
        <w:tc>
          <w:tcPr>
            <w:tcW w:w="988" w:type="dxa"/>
            <w:vAlign w:val="center"/>
            <w:textDirection w:val="lrTb"/>
            <w:noWrap w:val="false"/>
          </w:tcPr>
          <w:p>
            <w:pPr>
              <w:pStyle w:val="766"/>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625"/>
        </w:trPr>
        <w:tc>
          <w:tcPr>
            <w:tcW w:w="988" w:type="dxa"/>
            <w:vAlign w:val="center"/>
            <w:textDirection w:val="lrTb"/>
            <w:noWrap w:val="false"/>
          </w:tcPr>
          <w:p>
            <w:pPr>
              <w:pStyle w:val="76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726"/>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20"/>
        </w:trPr>
        <w:tc>
          <w:tcPr>
            <w:tcW w:w="988" w:type="dxa"/>
            <w:vAlign w:val="center"/>
            <w:textDirection w:val="lrTb"/>
            <w:noWrap w:val="false"/>
          </w:tcPr>
          <w:p>
            <w:pPr>
              <w:pStyle w:val="76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w:t>
            </w:r>
            <w:r>
              <w:rPr>
                <w:rFonts w:hint="eastAsia"/>
                <w:color w:val="000000"/>
                <w:sz w:val="24"/>
                <w:highlight w:val="none"/>
                <w:lang w:val="en-US" w:eastAsia="zh-CN"/>
              </w:rPr>
              <w:t xml:space="preserve">2026</w:t>
            </w:r>
            <w:r>
              <w:rPr>
                <w:color w:val="000000"/>
                <w:sz w:val="24"/>
                <w:highlight w:val="none"/>
              </w:rPr>
              <w:t xml:space="preserve">年</w:t>
            </w:r>
            <w:r>
              <w:rPr>
                <w:rFonts w:hint="eastAsia"/>
                <w:color w:val="000000"/>
                <w:sz w:val="24"/>
                <w:highlight w:val="none"/>
                <w:lang w:val="en-US" w:eastAsia="zh-CN"/>
              </w:rPr>
              <w:t xml:space="preserve">6</w:t>
            </w:r>
            <w:r>
              <w:rPr>
                <w:color w:val="000000"/>
                <w:sz w:val="24"/>
                <w:highlight w:val="none"/>
              </w:rPr>
              <w:t xml:space="preserve">月</w:t>
            </w:r>
            <w:r>
              <w:rPr>
                <w:rFonts w:hint="eastAsia"/>
                <w:color w:val="000000"/>
                <w:sz w:val="24"/>
                <w:highlight w:val="none"/>
                <w:lang w:val="en-US" w:eastAsia="zh-CN"/>
              </w:rPr>
              <w:t xml:space="preserve">26</w:t>
            </w:r>
            <w:r>
              <w:rPr>
                <w:color w:val="000000"/>
                <w:sz w:val="24"/>
                <w:highlight w:val="none"/>
              </w:rPr>
              <w:t xml:space="preserve">日</w:t>
            </w:r>
            <w:r>
              <w:rPr>
                <w:rFonts w:hint="eastAsia"/>
                <w:color w:val="000000"/>
                <w:sz w:val="24"/>
                <w:highlight w:val="none"/>
                <w:lang w:val="en-US" w:eastAsia="zh-CN"/>
              </w:rPr>
              <w:t xml:space="preserve">17:00</w:t>
            </w:r>
            <w:r>
              <w:rPr>
                <w:rFonts w:hint="eastAsia"/>
                <w:color w:val="000000"/>
                <w:sz w:val="24"/>
                <w:highlight w:val="none"/>
              </w:rPr>
              <w:t xml:space="preserve">前将相关疑问（格式详见招标文件中“关于招标文件的询问内容”）发送至邮箱（</w:t>
            </w:r>
            <w:r>
              <w:rPr>
                <w:color w:val="000000"/>
                <w:sz w:val="24"/>
                <w:highlight w:val="none"/>
              </w:rPr>
              <w:t xml:space="preserve">wjzfcg</w:t>
            </w:r>
            <w:r>
              <w:rPr>
                <w:rFonts w:hint="eastAsia"/>
                <w:color w:val="000000"/>
                <w:sz w:val="24"/>
                <w:highlight w:val="none"/>
              </w:rPr>
              <w:t xml:space="preserve">@163.com）进行咨询，如口头可解释的问题亦可电话咨询采购人。未提出疑问将被视为完全认同招标文件，逾期将不接受其对于采购文件的相关异议。如有变更，更正公告将会在江苏省政府采购网、常州市政府采购网公布。</w:t>
            </w:r>
            <w:r>
              <w:rPr>
                <w:color w:val="000000"/>
                <w:sz w:val="24"/>
                <w:highlight w:val="none"/>
              </w:rPr>
            </w:r>
            <w:r/>
          </w:p>
        </w:tc>
      </w:tr>
      <w:tr>
        <w:trPr>
          <w:trHeight w:val="2093"/>
        </w:trPr>
        <w:tc>
          <w:tcPr>
            <w:tcW w:w="988" w:type="dxa"/>
            <w:vAlign w:val="center"/>
            <w:textDirection w:val="lrTb"/>
            <w:noWrap w:val="false"/>
          </w:tcPr>
          <w:p>
            <w:pPr>
              <w:pStyle w:val="76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806"/>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726"/>
              <w:jc w:val="left"/>
              <w:spacing w:line="360" w:lineRule="exact"/>
              <w:rPr>
                <w:color w:val="000000"/>
                <w:sz w:val="24"/>
                <w:highlight w:val="none"/>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）代理机构：常州市武进区政府采购中心</w:t>
            </w:r>
            <w:r>
              <w:rPr>
                <w:color w:val="000000"/>
                <w:sz w:val="24"/>
                <w:highlight w:val="none"/>
              </w:rPr>
            </w:r>
            <w:r/>
          </w:p>
          <w:p>
            <w:pPr>
              <w:pStyle w:val="726"/>
              <w:ind w:firstLine="480"/>
              <w:jc w:val="left"/>
              <w:spacing w:line="360" w:lineRule="exact"/>
              <w:rPr>
                <w:color w:val="000000"/>
                <w:sz w:val="24"/>
                <w:highlight w:val="none"/>
              </w:rPr>
            </w:pPr>
            <w:r>
              <w:rPr>
                <w:color w:val="000000"/>
                <w:sz w:val="24"/>
                <w:highlight w:val="none"/>
              </w:rPr>
              <w:t xml:space="preserve">联系部门：</w:t>
            </w:r>
            <w:r>
              <w:rPr>
                <w:rFonts w:hint="eastAsia"/>
                <w:color w:val="000000"/>
                <w:sz w:val="24"/>
                <w:highlight w:val="none"/>
              </w:rPr>
              <w:t xml:space="preserve">常州市公共资源交易中心武进分中心项目审查科</w:t>
            </w:r>
            <w:r>
              <w:rPr>
                <w:color w:val="000000"/>
                <w:sz w:val="24"/>
                <w:highlight w:val="none"/>
              </w:rPr>
              <w:t xml:space="preserve">；</w:t>
            </w:r>
            <w:r>
              <w:rPr>
                <w:color w:val="000000"/>
                <w:sz w:val="24"/>
                <w:highlight w:val="none"/>
              </w:rPr>
            </w:r>
            <w:r/>
          </w:p>
          <w:p>
            <w:pPr>
              <w:pStyle w:val="726"/>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6"/>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rFonts w:ascii="宋体" w:hAnsi="宋体" w:cs="宋体"/>
                <w:color w:val="000000"/>
                <w:sz w:val="24"/>
                <w:highlight w:val="none"/>
              </w:rPr>
              <w:t xml:space="preserve"> </w:t>
            </w:r>
            <w:r>
              <w:rPr>
                <w:color w:val="000000"/>
                <w:sz w:val="24"/>
                <w:highlight w:val="none"/>
              </w:rPr>
              <w:t xml:space="preserve">。</w:t>
            </w:r>
            <w:r>
              <w:rPr>
                <w:color w:val="000000"/>
                <w:sz w:val="24"/>
                <w:highlight w:val="none"/>
              </w:rPr>
            </w:r>
            <w:r/>
          </w:p>
        </w:tc>
      </w:tr>
      <w:tr>
        <w:trPr>
          <w:trHeight w:val="1624"/>
        </w:trPr>
        <w:tc>
          <w:tcPr>
            <w:tcW w:w="988" w:type="dxa"/>
            <w:vAlign w:val="center"/>
            <w:textDirection w:val="lrTb"/>
            <w:noWrap w:val="false"/>
          </w:tcPr>
          <w:p>
            <w:pPr>
              <w:pStyle w:val="766"/>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72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726"/>
              <w:jc w:val="left"/>
              <w:spacing w:line="360" w:lineRule="exact"/>
              <w:rPr>
                <w:color w:val="000000"/>
                <w:sz w:val="24"/>
                <w:highlight w:val="none"/>
              </w:rPr>
            </w:pPr>
            <w:r>
              <w:rPr>
                <w:rFonts w:hint="eastAsia"/>
                <w:color w:val="000000"/>
                <w:sz w:val="24"/>
                <w:highlight w:val="none"/>
              </w:rPr>
              <w:t xml:space="preserve">中标单位在签订合同前需递交与电子投标文件内容一致的纸质投标文件两份（需打印清晰，标注目录及页码），作为项目归档使用。（递交方式可采用邮寄或现场送达,常州市武进区政府采购中心和采购人各一份，联系方式见《第一章 投标邀请》）</w:t>
            </w:r>
            <w:r>
              <w:rPr>
                <w:color w:val="000000"/>
                <w:sz w:val="24"/>
                <w:highlight w:val="none"/>
              </w:rPr>
            </w:r>
            <w:r/>
          </w:p>
        </w:tc>
      </w:tr>
    </w:tbl>
    <w:p>
      <w:pPr>
        <w:pStyle w:val="726"/>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1701" w:equalWidth="1"/>
          <w:docGrid w:linePitch="360"/>
        </w:sectPr>
      </w:pPr>
      <w:r>
        <w:rPr>
          <w:color w:val="000000"/>
          <w:sz w:val="24"/>
          <w:highlight w:val="none"/>
        </w:rPr>
        <w:br w:type="page" w:clear="all"/>
      </w:r>
      <w:r/>
    </w:p>
    <w:p>
      <w:pPr>
        <w:pStyle w:val="728"/>
        <w:spacing w:before="0" w:line="360" w:lineRule="auto"/>
        <w:tabs>
          <w:tab w:val="center" w:pos="4592" w:leader="none"/>
          <w:tab w:val="left" w:pos="7860" w:leader="none"/>
        </w:tabs>
        <w:rPr>
          <w:rFonts w:ascii="Times New Roman" w:hAnsi="Times New Roman" w:eastAsia="宋体"/>
          <w:color w:val="000000"/>
          <w:sz w:val="32"/>
          <w:szCs w:val="32"/>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151193906"/>
      <w:r/>
      <w:bookmarkStart w:id="77" w:name="_Toc305158860"/>
      <w:r/>
      <w:bookmarkStart w:id="78" w:name="_Toc151193688"/>
      <w:r/>
      <w:bookmarkStart w:id="79" w:name="_Toc226309762"/>
      <w:r/>
      <w:bookmarkStart w:id="80" w:name="_Toc150509269"/>
      <w:r/>
      <w:bookmarkStart w:id="81" w:name="_Toc151193616"/>
      <w:r/>
      <w:bookmarkStart w:id="82" w:name="_Toc151190145"/>
      <w:r/>
      <w:bookmarkStart w:id="83" w:name="_Toc264969208"/>
      <w:r/>
      <w:bookmarkStart w:id="84" w:name="_Toc226337214"/>
      <w:r/>
      <w:bookmarkStart w:id="85" w:name="_Toc151193832"/>
      <w:r/>
      <w:bookmarkStart w:id="86" w:name="_Toc150774723"/>
      <w:r/>
      <w:bookmarkStart w:id="87" w:name="_Toc520356143"/>
      <w:r/>
      <w:bookmarkStart w:id="88" w:name="_Toc150480756"/>
      <w:r/>
      <w:bookmarkStart w:id="89" w:name="_Toc265228356"/>
      <w:r/>
      <w:bookmarkStart w:id="90" w:name="_Toc195842883"/>
      <w:r/>
      <w:bookmarkStart w:id="91" w:name="_Toc151193760"/>
      <w:r/>
      <w:bookmarkStart w:id="92" w:name="_Toc305158786"/>
      <w:r/>
      <w:bookmarkStart w:id="93" w:name="_Toc127151518"/>
      <w:r/>
      <w:bookmarkStart w:id="94" w:name="_Toc226965708"/>
      <w:r/>
      <w:bookmarkStart w:id="95" w:name="_Toc226965791"/>
      <w:r/>
      <w:bookmarkStart w:id="96" w:name="_Toc142311020"/>
      <w:r/>
      <w:bookmarkStart w:id="97" w:name="_Toc150774618"/>
      <w:r/>
      <w:bookmarkStart w:id="98" w:name="_Toc226337251"/>
      <w:r/>
      <w:bookmarkStart w:id="99" w:name="_Toc99301424"/>
      <w:r/>
      <w:bookmarkStart w:id="100" w:name="_Toc265228393"/>
      <w:r/>
      <w:bookmarkStart w:id="101" w:name="_Toc195842920"/>
      <w:r/>
      <w:bookmarkStart w:id="102" w:name="_Toc353825545"/>
      <w:r/>
      <w:bookmarkStart w:id="103" w:name="_Toc150774760"/>
      <w:r/>
      <w:bookmarkStart w:id="104" w:name="_Toc150480793"/>
      <w:r/>
      <w:bookmarkStart w:id="105" w:name="_Toc127151555"/>
      <w:r/>
      <w:bookmarkStart w:id="106" w:name="_Toc226965828"/>
      <w:r/>
      <w:bookmarkStart w:id="107" w:name="_Toc353873935"/>
      <w:r/>
      <w:bookmarkStart w:id="108" w:name="_Toc142311057"/>
      <w:r/>
      <w:bookmarkStart w:id="109" w:name="_Toc353873665"/>
      <w:r/>
      <w:bookmarkStart w:id="110" w:name="_Toc264969245"/>
      <w:r/>
      <w:bookmarkStart w:id="111" w:name="_Toc305158897"/>
      <w:r/>
      <w:bookmarkStart w:id="112" w:name="_Toc305158823"/>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728"/>
        <w:ind w:firstLine="321"/>
        <w:jc w:val="both"/>
        <w:spacing w:before="0" w:line="500" w:lineRule="exact"/>
        <w:tabs>
          <w:tab w:val="center" w:pos="4592" w:leader="none"/>
          <w:tab w:val="left" w:pos="7860" w:leader="none"/>
        </w:tabs>
        <w:rPr>
          <w:rFonts w:ascii="Times New Roman" w:hAnsi="Times New Roman" w:eastAsia="宋体"/>
          <w:color w:val="000000"/>
          <w:sz w:val="28"/>
          <w:highlight w:val="none"/>
        </w:rPr>
      </w:pPr>
      <w:r/>
      <w:bookmarkStart w:id="113" w:name="_Hlk1529219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14" w:name="_Toc99301421"/>
      <w:r/>
      <w:bookmarkStart w:id="115" w:name="_Toc20823276"/>
      <w:r/>
      <w:bookmarkStart w:id="116" w:name="_Toc513029204"/>
      <w:r/>
      <w:bookmarkStart w:id="117" w:name="_Toc226965827"/>
      <w:r/>
      <w:bookmarkStart w:id="118" w:name="_Toc353825544"/>
      <w:r/>
      <w:bookmarkStart w:id="119" w:name="_Toc264969244"/>
      <w:r/>
      <w:bookmarkStart w:id="120" w:name="_Toc305158822"/>
      <w:r/>
      <w:bookmarkStart w:id="121" w:name="_Toc150480792"/>
      <w:r/>
      <w:bookmarkStart w:id="122" w:name="_Toc16938520"/>
      <w:r/>
      <w:bookmarkStart w:id="123" w:name="_Toc265228392"/>
      <w:r/>
      <w:bookmarkStart w:id="124" w:name="_Toc142311056"/>
      <w:r/>
      <w:bookmarkStart w:id="125" w:name="_Toc458694821"/>
      <w:r/>
      <w:bookmarkStart w:id="126" w:name="_Toc353873664"/>
      <w:r/>
      <w:bookmarkStart w:id="127" w:name="_Toc305158896"/>
      <w:r/>
      <w:bookmarkStart w:id="128" w:name="_Toc226337250"/>
      <w:r/>
      <w:bookmarkStart w:id="129" w:name="_Toc150774759"/>
      <w:r/>
      <w:bookmarkStart w:id="130" w:name="_Toc353873934"/>
      <w:r/>
      <w:bookmarkStart w:id="131" w:name="_Toc127151554"/>
      <w:r>
        <w:rPr>
          <w:rFonts w:hint="eastAsia" w:ascii="Arial" w:hAnsi="Arial" w:eastAsia="黑体" w:cs="Arial"/>
          <w:color w:val="000000"/>
          <w:sz w:val="28"/>
          <w:szCs w:val="28"/>
          <w:highlight w:val="none"/>
        </w:rPr>
        <w:t xml:space="preserve">1</w:t>
      </w:r>
      <w:bookmarkEnd w:id="125"/>
      <w:r>
        <w:rPr>
          <w:rFonts w:hint="eastAsia" w:ascii="Arial" w:hAnsi="Arial" w:eastAsia="黑体" w:cs="Arial"/>
          <w:color w:val="000000"/>
          <w:sz w:val="28"/>
          <w:szCs w:val="28"/>
          <w:highlight w:val="none"/>
        </w:rPr>
        <w:t xml:space="preserve">、采购方式</w:t>
      </w:r>
      <w:bookmarkEnd w:id="115"/>
      <w:r/>
      <w:bookmarkEnd w:id="116"/>
      <w:r/>
      <w:bookmarkEnd w:id="122"/>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32" w:name="_Toc20823277"/>
      <w:r/>
      <w:bookmarkStart w:id="133" w:name="_Toc16938521"/>
      <w:r/>
      <w:bookmarkStart w:id="134" w:name="_Toc513029205"/>
      <w:r>
        <w:rPr>
          <w:rFonts w:hint="eastAsia" w:ascii="Arial" w:hAnsi="Arial" w:eastAsia="黑体" w:cs="Arial"/>
          <w:color w:val="000000"/>
          <w:sz w:val="28"/>
          <w:szCs w:val="28"/>
          <w:highlight w:val="none"/>
        </w:rPr>
        <w:t xml:space="preserve">2、合格的投标人</w:t>
      </w:r>
      <w:bookmarkEnd w:id="132"/>
      <w:r/>
      <w:bookmarkEnd w:id="133"/>
      <w:r/>
      <w:bookmarkEnd w:id="134"/>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35" w:name="_Toc16938522"/>
      <w:r/>
      <w:bookmarkStart w:id="136" w:name="_Toc513029206"/>
      <w:r/>
      <w:bookmarkStart w:id="137" w:name="_Toc20823278"/>
      <w:r>
        <w:rPr>
          <w:rFonts w:hint="eastAsia" w:ascii="Arial" w:hAnsi="Arial" w:eastAsia="黑体" w:cs="Arial"/>
          <w:color w:val="000000"/>
          <w:sz w:val="28"/>
          <w:szCs w:val="28"/>
          <w:highlight w:val="none"/>
        </w:rPr>
        <w:t xml:space="preserve">3、适用法律</w:t>
      </w:r>
      <w:bookmarkEnd w:id="135"/>
      <w:r/>
      <w:bookmarkEnd w:id="136"/>
      <w:r/>
      <w:bookmarkEnd w:id="137"/>
      <w:r>
        <w:rPr>
          <w:rFonts w:hint="eastAsia" w:ascii="Arial" w:hAnsi="Arial" w:eastAsia="黑体" w:cs="Arial"/>
          <w:color w:val="000000"/>
          <w:sz w:val="28"/>
          <w:szCs w:val="28"/>
          <w:highlight w:val="none"/>
        </w:rPr>
      </w:r>
      <w:r/>
    </w:p>
    <w:p>
      <w:pPr>
        <w:pStyle w:val="726"/>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38" w:name="_Toc513029207"/>
      <w:r/>
      <w:bookmarkStart w:id="139" w:name="_Toc16938523"/>
      <w:r/>
      <w:bookmarkStart w:id="140" w:name="_Toc462564067"/>
      <w:r/>
      <w:bookmarkStart w:id="141" w:name="_Toc20823279"/>
      <w:r>
        <w:rPr>
          <w:rFonts w:hint="eastAsia" w:ascii="Arial" w:hAnsi="Arial" w:eastAsia="黑体" w:cs="Arial"/>
          <w:color w:val="000000"/>
          <w:sz w:val="28"/>
          <w:szCs w:val="28"/>
          <w:highlight w:val="none"/>
        </w:rPr>
        <w:t xml:space="preserve">4、投标费用</w:t>
      </w:r>
      <w:bookmarkEnd w:id="138"/>
      <w:r/>
      <w:bookmarkEnd w:id="139"/>
      <w:r/>
      <w:bookmarkEnd w:id="140"/>
      <w:r/>
      <w:bookmarkEnd w:id="141"/>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投标人应自行承担所有与参加投标有关的费用，无论投标过程中的做法和结果如何，常州市武进区政府采购中心（以下简称采购中心）在任何情况下均无义务和责任承担这些费用。</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4.2本次招标采购中心和采购人不收取标书工本费与中标服务费。</w:t>
      </w:r>
      <w:r>
        <w:rPr>
          <w:rFonts w:hint="eastAsia" w:ascii="宋体" w:hAnsi="宋体"/>
          <w:color w:val="000000"/>
          <w:sz w:val="24"/>
          <w:szCs w:val="21"/>
          <w:highlight w:val="none"/>
        </w:rPr>
      </w:r>
      <w:r/>
    </w:p>
    <w:p>
      <w:pPr>
        <w:pStyle w:val="726"/>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726"/>
        <w:ind w:firstLine="321"/>
        <w:keepLines/>
        <w:keepNext/>
        <w:spacing w:line="500" w:lineRule="exact"/>
        <w:rPr>
          <w:rFonts w:hint="eastAsia"/>
          <w:b/>
          <w:bCs/>
          <w:color w:val="000000"/>
          <w:sz w:val="32"/>
          <w:szCs w:val="32"/>
          <w:highlight w:val="none"/>
        </w:rPr>
        <w:outlineLvl w:val="2"/>
      </w:pPr>
      <w:r/>
      <w:bookmarkStart w:id="142" w:name="_Toc513029209"/>
      <w:r/>
      <w:bookmarkStart w:id="143" w:name="_Toc16938525"/>
      <w:r/>
      <w:bookmarkStart w:id="144" w:name="_Toc120614215"/>
      <w:r/>
      <w:bookmarkStart w:id="145" w:name="_Toc20823281"/>
      <w:r>
        <w:rPr>
          <w:rFonts w:hint="eastAsia"/>
          <w:b/>
          <w:bCs/>
          <w:color w:val="000000"/>
          <w:sz w:val="32"/>
          <w:szCs w:val="32"/>
          <w:highlight w:val="none"/>
        </w:rPr>
        <w:t xml:space="preserve">二、招标文件</w:t>
      </w:r>
      <w:bookmarkEnd w:id="142"/>
      <w:r/>
      <w:bookmarkEnd w:id="143"/>
      <w:r/>
      <w:bookmarkEnd w:id="144"/>
      <w:r/>
      <w:bookmarkEnd w:id="145"/>
      <w:r>
        <w:rPr>
          <w:rFonts w:hint="eastAsia"/>
          <w:b/>
          <w:bCs/>
          <w:color w:val="000000"/>
          <w:sz w:val="32"/>
          <w:szCs w:val="32"/>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46" w:name="_Toc20823282"/>
      <w:r/>
      <w:bookmarkStart w:id="147" w:name="_Toc513029210"/>
      <w:r/>
      <w:bookmarkStart w:id="148" w:name="_Toc16938526"/>
      <w:r>
        <w:rPr>
          <w:rFonts w:hint="eastAsia" w:ascii="Arial" w:hAnsi="Arial" w:eastAsia="黑体" w:cs="Arial"/>
          <w:color w:val="000000"/>
          <w:sz w:val="28"/>
          <w:szCs w:val="28"/>
          <w:highlight w:val="none"/>
        </w:rPr>
        <w:t xml:space="preserve">6、招标文件构成</w:t>
      </w:r>
      <w:bookmarkEnd w:id="146"/>
      <w:r/>
      <w:bookmarkEnd w:id="147"/>
      <w:r/>
      <w:bookmarkEnd w:id="148"/>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726"/>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726"/>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726"/>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726"/>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请仔细检查招标文件是否齐全，如有缺漏请立即与采购中心联系解决。</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26"/>
        <w:ind w:firstLine="560"/>
        <w:keepLines/>
        <w:keepNext/>
        <w:spacing w:line="500" w:lineRule="exact"/>
        <w:rPr>
          <w:rFonts w:hint="eastAsia" w:ascii="Arial" w:hAnsi="Arial" w:eastAsia="黑体" w:cs="Arial"/>
          <w:color w:val="000000"/>
          <w:sz w:val="28"/>
          <w:szCs w:val="28"/>
          <w:highlight w:val="none"/>
        </w:rPr>
        <w:outlineLvl w:val="3"/>
      </w:pPr>
      <w:r/>
      <w:bookmarkStart w:id="149" w:name="_Toc513029211"/>
      <w:r/>
      <w:bookmarkStart w:id="150" w:name="_Toc462564070"/>
      <w:r/>
      <w:bookmarkStart w:id="151" w:name="_Toc16938527"/>
      <w:r/>
      <w:bookmarkStart w:id="152" w:name="_Toc20823283"/>
      <w:r>
        <w:rPr>
          <w:rFonts w:hint="eastAsia" w:ascii="Arial" w:hAnsi="Arial" w:eastAsia="黑体" w:cs="Arial"/>
          <w:color w:val="000000"/>
          <w:sz w:val="28"/>
          <w:szCs w:val="28"/>
          <w:highlight w:val="none"/>
        </w:rPr>
        <w:t xml:space="preserve">7、招标文件的澄清</w:t>
      </w:r>
      <w:bookmarkEnd w:id="149"/>
      <w:r/>
      <w:bookmarkEnd w:id="150"/>
      <w:r/>
      <w:bookmarkEnd w:id="151"/>
      <w:r/>
      <w:bookmarkEnd w:id="152"/>
      <w:r>
        <w:rPr>
          <w:rFonts w:hint="eastAsia" w:ascii="Arial" w:hAnsi="Arial" w:eastAsia="黑体" w:cs="Arial"/>
          <w:color w:val="000000"/>
          <w:sz w:val="28"/>
          <w:szCs w:val="28"/>
          <w:highlight w:val="none"/>
        </w:rPr>
      </w:r>
      <w:r/>
    </w:p>
    <w:p>
      <w:pPr>
        <w:pStyle w:val="726"/>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53" w:name="_Toc16938528"/>
      <w:r/>
      <w:bookmarkStart w:id="154" w:name="_Toc462564071"/>
      <w:r/>
      <w:bookmarkStart w:id="155" w:name="_Toc513029212"/>
      <w:r/>
      <w:bookmarkStart w:id="156" w:name="_Toc20823284"/>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726"/>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53"/>
      <w:r/>
      <w:bookmarkEnd w:id="154"/>
      <w:r/>
      <w:bookmarkEnd w:id="155"/>
      <w:r/>
      <w:bookmarkEnd w:id="156"/>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，采购中心可以对招标文件进行修改。</w:t>
      </w:r>
      <w:r>
        <w:rPr>
          <w:rFonts w:hint="eastAsia" w:ascii="宋体" w:hAnsi="宋体"/>
          <w:color w:val="000000"/>
          <w:sz w:val="24"/>
          <w:szCs w:val="21"/>
          <w:highlight w:val="none"/>
        </w:rPr>
      </w:r>
      <w:r/>
    </w:p>
    <w:p>
      <w:pPr>
        <w:pStyle w:val="726"/>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rPr>
        <w:t xml:space="preserve">采购中心</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7" w:name="_Hlk151728132"/>
      <w:r>
        <w:rPr>
          <w:rFonts w:hint="eastAsia" w:ascii="宋体" w:hAnsi="宋体"/>
          <w:color w:val="000000"/>
          <w:sz w:val="24"/>
          <w:szCs w:val="21"/>
          <w:highlight w:val="none"/>
        </w:rPr>
        <w:t xml:space="preserve">“江苏省政府采购网”、“常州市政府采购网”</w:t>
      </w:r>
      <w:bookmarkEnd w:id="157"/>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26"/>
        <w:ind w:firstLine="482"/>
        <w:keepLines/>
        <w:keepNext/>
        <w:spacing w:line="500" w:lineRule="exact"/>
        <w:rPr>
          <w:rFonts w:hint="eastAsia"/>
          <w:b/>
          <w:bCs/>
          <w:color w:val="000000"/>
          <w:sz w:val="32"/>
          <w:szCs w:val="32"/>
          <w:highlight w:val="none"/>
        </w:rPr>
        <w:outlineLvl w:val="2"/>
      </w:pPr>
      <w:r/>
      <w:bookmarkStart w:id="158" w:name="_Toc16938529"/>
      <w:r/>
      <w:bookmarkStart w:id="159" w:name="_Toc20823285"/>
      <w:r/>
      <w:bookmarkStart w:id="160" w:name="_Toc120614216"/>
      <w:r/>
      <w:bookmarkStart w:id="161" w:name="_Toc513029213"/>
      <w:r/>
      <w:bookmarkStart w:id="162" w:name="_Toc462564072"/>
      <w:r>
        <w:rPr>
          <w:rFonts w:hint="eastAsia"/>
          <w:b/>
          <w:bCs/>
          <w:color w:val="000000"/>
          <w:sz w:val="32"/>
          <w:szCs w:val="32"/>
          <w:highlight w:val="none"/>
        </w:rPr>
        <w:t xml:space="preserve">三、投标文件的编制</w:t>
      </w:r>
      <w:bookmarkEnd w:id="158"/>
      <w:r/>
      <w:bookmarkEnd w:id="159"/>
      <w:r/>
      <w:bookmarkEnd w:id="160"/>
      <w:r/>
      <w:bookmarkEnd w:id="161"/>
      <w:r/>
      <w:bookmarkEnd w:id="162"/>
      <w:r>
        <w:rPr>
          <w:rFonts w:hint="eastAsia"/>
          <w:b/>
          <w:bCs/>
          <w:color w:val="000000"/>
          <w:sz w:val="32"/>
          <w:szCs w:val="32"/>
          <w:highlight w:val="none"/>
        </w:rPr>
      </w:r>
      <w:r/>
    </w:p>
    <w:p>
      <w:pPr>
        <w:pStyle w:val="726"/>
        <w:ind w:firstLine="560"/>
        <w:keepLines/>
        <w:keepNext/>
        <w:spacing w:line="500" w:lineRule="exact"/>
        <w:rPr>
          <w:rFonts w:hint="eastAsia" w:ascii="Arial" w:hAnsi="Arial" w:eastAsia="黑体" w:cs="Arial"/>
          <w:b/>
          <w:color w:val="000000"/>
          <w:sz w:val="28"/>
          <w:szCs w:val="28"/>
          <w:highlight w:val="none"/>
        </w:rPr>
        <w:outlineLvl w:val="3"/>
      </w:pPr>
      <w:r/>
      <w:bookmarkStart w:id="163" w:name="_Toc20823286"/>
      <w:r/>
      <w:bookmarkStart w:id="164" w:name="_Toc16938530"/>
      <w:r/>
      <w:bookmarkStart w:id="165" w:name="_Toc462564073"/>
      <w:r/>
      <w:bookmarkStart w:id="166" w:name="_Toc513029214"/>
      <w:r>
        <w:rPr>
          <w:rFonts w:hint="eastAsia" w:ascii="Arial" w:hAnsi="Arial" w:eastAsia="黑体" w:cs="Arial"/>
          <w:color w:val="000000"/>
          <w:sz w:val="28"/>
          <w:szCs w:val="28"/>
          <w:highlight w:val="none"/>
        </w:rPr>
        <w:t xml:space="preserve">9、投标文件的语言及度量衡单位</w:t>
      </w:r>
      <w:bookmarkEnd w:id="163"/>
      <w:r/>
      <w:bookmarkEnd w:id="164"/>
      <w:r/>
      <w:bookmarkEnd w:id="165"/>
      <w:r/>
      <w:bookmarkEnd w:id="166"/>
      <w:r>
        <w:rPr>
          <w:rFonts w:hint="eastAsia" w:ascii="Arial" w:hAnsi="Arial" w:eastAsia="黑体" w:cs="Arial"/>
          <w:b/>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投标人提交的投标文件以及投标人与采购中心就有关投标的所有来往通知、函件和文件均应使用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67" w:name="_Toc20823287"/>
      <w:r/>
      <w:bookmarkStart w:id="168" w:name="_Toc16938531"/>
      <w:r/>
      <w:bookmarkStart w:id="169" w:name="_Toc462564074"/>
      <w:r/>
      <w:bookmarkStart w:id="170" w:name="_Toc513029215"/>
      <w:r>
        <w:rPr>
          <w:rFonts w:hint="eastAsia" w:ascii="Arial" w:hAnsi="Arial" w:eastAsia="黑体" w:cs="Arial"/>
          <w:color w:val="000000"/>
          <w:sz w:val="28"/>
          <w:szCs w:val="28"/>
          <w:highlight w:val="none"/>
        </w:rPr>
        <w:t xml:space="preserve">10、投标文件构成</w:t>
      </w:r>
      <w:bookmarkEnd w:id="167"/>
      <w:r/>
      <w:bookmarkEnd w:id="168"/>
      <w:r/>
      <w:bookmarkEnd w:id="169"/>
      <w:r/>
      <w:bookmarkEnd w:id="170"/>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71" w:name="_Toc49090509"/>
      <w:r/>
      <w:bookmarkStart w:id="172" w:name="_Toc513029219"/>
      <w:r/>
      <w:bookmarkStart w:id="173" w:name="_Toc513029216"/>
      <w:r/>
      <w:bookmarkStart w:id="174" w:name="_Hlt26954838"/>
      <w:r/>
      <w:bookmarkEnd w:id="174"/>
      <w:r/>
      <w:bookmarkStart w:id="175" w:name="_Hlt26670360"/>
      <w:r/>
      <w:bookmarkEnd w:id="175"/>
      <w:r/>
      <w:bookmarkStart w:id="176" w:name="_Hlt26668975"/>
      <w:r/>
      <w:bookmarkEnd w:id="176"/>
      <w:r/>
      <w:bookmarkStart w:id="177" w:name="_Toc49090507"/>
      <w:r/>
      <w:bookmarkStart w:id="178" w:name="_Toc14577354"/>
      <w:r/>
      <w:bookmarkStart w:id="179" w:name="_Toc49090508"/>
      <w:r/>
      <w:bookmarkStart w:id="180" w:name="_Toc14577355"/>
      <w:r/>
      <w:bookmarkStart w:id="181" w:name="_Toc14577357"/>
      <w:r>
        <w:rPr>
          <w:rFonts w:hint="eastAsia" w:ascii="Arial" w:hAnsi="Arial" w:eastAsia="黑体" w:cs="Arial"/>
          <w:color w:val="000000"/>
          <w:sz w:val="28"/>
          <w:szCs w:val="28"/>
          <w:highlight w:val="none"/>
        </w:rPr>
        <w:t xml:space="preserve">11、证明投标人及投标标的符合招标文件规定的文件</w:t>
      </w:r>
      <w:bookmarkEnd w:id="171"/>
      <w:r/>
      <w:bookmarkEnd w:id="172"/>
      <w:r/>
      <w:bookmarkEnd w:id="181"/>
      <w:r>
        <w:rPr>
          <w:rFonts w:hint="eastAsia" w:ascii="Arial" w:hAnsi="Arial" w:eastAsia="黑体" w:cs="Arial"/>
          <w:color w:val="000000"/>
          <w:sz w:val="28"/>
          <w:szCs w:val="28"/>
          <w:highlight w:val="none"/>
        </w:rPr>
      </w:r>
      <w:r/>
    </w:p>
    <w:p>
      <w:pPr>
        <w:pStyle w:val="726"/>
        <w:spacing w:line="500" w:lineRule="exact"/>
        <w:rPr>
          <w:rFonts w:hint="eastAsia" w:ascii="宋体" w:hAnsi="宋体"/>
          <w:color w:val="000000"/>
          <w:sz w:val="24"/>
          <w:highlight w:val="none"/>
        </w:rPr>
      </w:pPr>
      <w:r/>
      <w:bookmarkEnd w:id="173"/>
      <w:r/>
      <w:bookmarkEnd w:id="177"/>
      <w:r/>
      <w:bookmarkEnd w:id="178"/>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End w:id="179"/>
      <w:r/>
      <w:bookmarkEnd w:id="180"/>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82" w:name="_Hlt26670486"/>
      <w:r/>
      <w:bookmarkEnd w:id="182"/>
      <w:r/>
      <w:bookmarkStart w:id="183" w:name="_Hlt26670482"/>
      <w:r/>
      <w:bookmarkEnd w:id="183"/>
      <w:r/>
      <w:bookmarkStart w:id="184" w:name="_Hlt26954731"/>
      <w:r/>
      <w:bookmarkEnd w:id="184"/>
      <w:r/>
      <w:bookmarkStart w:id="185" w:name="_Hlt26954848"/>
      <w:r/>
      <w:bookmarkEnd w:id="185"/>
      <w:r/>
      <w:bookmarkStart w:id="186" w:name="_Hlt26954846"/>
      <w:r/>
      <w:bookmarkEnd w:id="186"/>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726"/>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187" w:name="_Toc14577359"/>
      <w:r/>
      <w:bookmarkStart w:id="188" w:name="_Toc49090510"/>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End w:id="187"/>
      <w:r/>
      <w:bookmarkEnd w:id="188"/>
      <w:r/>
      <w:bookmarkStart w:id="189" w:name="_Toc14577360"/>
      <w:r/>
      <w:bookmarkStart w:id="190" w:name="_Toc49090511"/>
      <w:r>
        <w:rPr>
          <w:rFonts w:hint="eastAsia" w:ascii="Arial" w:hAnsi="Arial" w:eastAsia="黑体" w:cs="Arial"/>
          <w:color w:val="000000"/>
          <w:sz w:val="28"/>
          <w:szCs w:val="28"/>
          <w:highlight w:val="none"/>
        </w:rPr>
        <w:t xml:space="preserve">16、投标有效期</w:t>
      </w:r>
      <w:bookmarkEnd w:id="189"/>
      <w:r/>
      <w:bookmarkEnd w:id="190"/>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16.1投标有效期为采购中心规定的开标之日后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6"/>
        <w:ind w:firstLine="643"/>
        <w:keepLines/>
        <w:keepNext/>
        <w:spacing w:line="500" w:lineRule="exact"/>
        <w:rPr>
          <w:rFonts w:hint="eastAsia"/>
          <w:b/>
          <w:bCs/>
          <w:color w:val="000000"/>
          <w:sz w:val="32"/>
          <w:szCs w:val="32"/>
          <w:highlight w:val="none"/>
        </w:rPr>
        <w:outlineLvl w:val="2"/>
      </w:pPr>
      <w:r/>
      <w:bookmarkStart w:id="191" w:name="_Hlt26954852"/>
      <w:r/>
      <w:bookmarkEnd w:id="191"/>
      <w:r/>
      <w:bookmarkStart w:id="192" w:name="_Hlt26954739"/>
      <w:r/>
      <w:bookmarkEnd w:id="192"/>
      <w:r/>
      <w:bookmarkStart w:id="193" w:name="_Toc513029224"/>
      <w:r/>
      <w:bookmarkStart w:id="194" w:name="_Toc16938540"/>
      <w:r/>
      <w:bookmarkStart w:id="195" w:name="_Toc120614217"/>
      <w:r/>
      <w:bookmarkStart w:id="196" w:name="_Toc20823296"/>
      <w:r>
        <w:rPr>
          <w:rFonts w:hint="eastAsia"/>
          <w:b/>
          <w:bCs/>
          <w:color w:val="000000"/>
          <w:sz w:val="32"/>
          <w:szCs w:val="32"/>
          <w:highlight w:val="none"/>
        </w:rPr>
        <w:t xml:space="preserve">四、投标文件的递交</w:t>
      </w:r>
      <w:bookmarkEnd w:id="193"/>
      <w:r/>
      <w:bookmarkEnd w:id="194"/>
      <w:r/>
      <w:bookmarkEnd w:id="195"/>
      <w:r/>
      <w:bookmarkEnd w:id="196"/>
      <w:r>
        <w:rPr>
          <w:rFonts w:hint="eastAsia"/>
          <w:b/>
          <w:bCs/>
          <w:color w:val="000000"/>
          <w:sz w:val="32"/>
          <w:szCs w:val="32"/>
          <w:highlight w:val="none"/>
        </w:rPr>
      </w:r>
      <w:r/>
    </w:p>
    <w:p>
      <w:pPr>
        <w:pStyle w:val="726"/>
        <w:ind w:firstLine="420"/>
        <w:keepLines/>
        <w:keepNext/>
        <w:spacing w:line="500" w:lineRule="exact"/>
        <w:rPr>
          <w:rFonts w:hint="eastAsia" w:ascii="黑体" w:hAnsi="Arial" w:eastAsia="黑体" w:cs="Arial"/>
          <w:color w:val="000000"/>
          <w:sz w:val="28"/>
          <w:szCs w:val="28"/>
          <w:highlight w:val="none"/>
        </w:rPr>
        <w:outlineLvl w:val="3"/>
      </w:pPr>
      <w:r/>
      <w:bookmarkStart w:id="197" w:name="_Toc462564084"/>
      <w:r/>
      <w:bookmarkStart w:id="198" w:name="_Toc20823297"/>
      <w:r/>
      <w:bookmarkStart w:id="199" w:name="_Toc513029225"/>
      <w:r/>
      <w:bookmarkStart w:id="200" w:name="_Toc16938541"/>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7"/>
      <w:r/>
      <w:bookmarkEnd w:id="198"/>
      <w:r/>
      <w:bookmarkEnd w:id="199"/>
      <w:r/>
      <w:bookmarkEnd w:id="200"/>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201" w:name="_Toc513029226"/>
      <w:r/>
      <w:bookmarkStart w:id="202" w:name="_Toc16938542"/>
      <w:r/>
      <w:bookmarkStart w:id="203" w:name="_Toc20823298"/>
      <w:r>
        <w:rPr>
          <w:rFonts w:ascii="宋体" w:hAnsi="宋体"/>
          <w:bCs/>
          <w:color w:val="000000"/>
          <w:sz w:val="24"/>
          <w:szCs w:val="21"/>
          <w:highlight w:val="none"/>
        </w:rPr>
      </w:r>
      <w:r/>
    </w:p>
    <w:p>
      <w:pPr>
        <w:pStyle w:val="726"/>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201"/>
      <w:r/>
      <w:bookmarkEnd w:id="202"/>
      <w:r/>
      <w:bookmarkEnd w:id="203"/>
      <w:r>
        <w:rPr>
          <w:rFonts w:hint="eastAsia" w:ascii="宋体" w:hAnsi="宋体" w:eastAsia="黑体" w:cs="Arial"/>
          <w:bCs/>
          <w:color w:val="000000"/>
          <w:sz w:val="24"/>
          <w:szCs w:val="28"/>
          <w:highlight w:val="none"/>
        </w:rPr>
      </w:r>
      <w:r/>
    </w:p>
    <w:p>
      <w:pPr>
        <w:pStyle w:val="726"/>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04" w:name="_Toc513029227"/>
      <w:r/>
      <w:bookmarkStart w:id="205" w:name="_Toc20823299"/>
      <w:r/>
      <w:bookmarkStart w:id="206"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204"/>
      <w:r/>
      <w:bookmarkEnd w:id="205"/>
      <w:r/>
      <w:bookmarkEnd w:id="206"/>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采购中心拒绝接收在其规定的投标截止时间后上传的任何投标文件。</w:t>
      </w:r>
      <w:r>
        <w:rPr>
          <w:rFonts w:hint="eastAsia" w:ascii="宋体" w:hAnsi="宋体"/>
          <w:bCs/>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07" w:name="_Toc513029228"/>
      <w:r/>
      <w:bookmarkStart w:id="208" w:name="_Toc20823300"/>
      <w:r/>
      <w:bookmarkStart w:id="209" w:name="_Toc1693854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7"/>
      <w:r/>
      <w:bookmarkEnd w:id="208"/>
      <w:r/>
      <w:bookmarkEnd w:id="209"/>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26"/>
        <w:ind w:firstLine="482"/>
        <w:keepLines/>
        <w:keepNext/>
        <w:spacing w:line="500" w:lineRule="exact"/>
        <w:rPr>
          <w:rFonts w:hint="eastAsia"/>
          <w:b/>
          <w:bCs/>
          <w:color w:val="000000"/>
          <w:sz w:val="32"/>
          <w:szCs w:val="32"/>
          <w:highlight w:val="none"/>
        </w:rPr>
        <w:outlineLvl w:val="2"/>
      </w:pPr>
      <w:r/>
      <w:bookmarkStart w:id="210" w:name="_Toc513029229"/>
      <w:r/>
      <w:bookmarkStart w:id="211" w:name="_Toc16938545"/>
      <w:r/>
      <w:bookmarkStart w:id="212" w:name="_Toc20823301"/>
      <w:r/>
      <w:bookmarkStart w:id="213" w:name="_Toc120614218"/>
      <w:r>
        <w:rPr>
          <w:rFonts w:hint="eastAsia"/>
          <w:b/>
          <w:bCs/>
          <w:color w:val="000000"/>
          <w:sz w:val="32"/>
          <w:szCs w:val="32"/>
          <w:highlight w:val="none"/>
        </w:rPr>
        <w:t xml:space="preserve">五、开标与评标</w:t>
      </w:r>
      <w:bookmarkEnd w:id="210"/>
      <w:r/>
      <w:bookmarkEnd w:id="211"/>
      <w:r/>
      <w:bookmarkEnd w:id="212"/>
      <w:r/>
      <w:bookmarkEnd w:id="213"/>
      <w:r>
        <w:rPr>
          <w:rFonts w:hint="eastAsia"/>
          <w:b/>
          <w:bCs/>
          <w:color w:val="000000"/>
          <w:sz w:val="32"/>
          <w:szCs w:val="32"/>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14" w:name="_Toc16938546"/>
      <w:r/>
      <w:bookmarkStart w:id="215" w:name="_Toc20823302"/>
      <w:r/>
      <w:bookmarkStart w:id="216" w:name="_Toc513029230"/>
      <w:r>
        <w:rPr>
          <w:rFonts w:hint="eastAsia" w:ascii="Arial" w:hAnsi="Arial" w:eastAsia="黑体" w:cs="Arial"/>
          <w:color w:val="000000"/>
          <w:sz w:val="28"/>
          <w:szCs w:val="28"/>
          <w:highlight w:val="none"/>
        </w:rPr>
        <w:t xml:space="preserve">22、开标</w:t>
      </w:r>
      <w:bookmarkEnd w:id="214"/>
      <w:r/>
      <w:bookmarkEnd w:id="215"/>
      <w:r/>
      <w:bookmarkEnd w:id="216"/>
      <w:r>
        <w:rPr>
          <w:rFonts w:hint="eastAsia" w:ascii="Arial" w:hAnsi="Arial" w:eastAsia="黑体" w:cs="Arial"/>
          <w:color w:val="000000"/>
          <w:sz w:val="28"/>
          <w:szCs w:val="28"/>
          <w:highlight w:val="none"/>
        </w:rPr>
      </w:r>
      <w:r/>
    </w:p>
    <w:p>
      <w:pPr>
        <w:pStyle w:val="726"/>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采购中心将在招标公告中规定的时间和地点组织公开开标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开标仪式由采购中心组织。苏采云系统将自动对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17" w:name="_Toc20823303"/>
      <w:r/>
      <w:bookmarkStart w:id="218" w:name="_Toc513029231"/>
      <w:r/>
      <w:bookmarkStart w:id="219" w:name="_Toc1693854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726"/>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开标后，采购中心将立即组织评标委员会（以下简称评委会）进行评标。</w:t>
      </w:r>
      <w:r>
        <w:rPr>
          <w:rFonts w:hint="eastAsia" w:ascii="宋体" w:hAnsi="宋体"/>
          <w:b/>
          <w:color w:val="000000"/>
          <w:sz w:val="24"/>
          <w:highlight w:val="none"/>
        </w:rPr>
      </w:r>
      <w:r/>
    </w:p>
    <w:p>
      <w:pPr>
        <w:pStyle w:val="726"/>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726"/>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.3评委会独立工作，负责评审所有投标文件并确定中标候选人。</w:t>
      </w:r>
      <w:r>
        <w:rPr>
          <w:rFonts w:hint="eastAsia" w:ascii="宋体" w:hAnsi="宋体"/>
          <w:color w:val="000000"/>
          <w:sz w:val="24"/>
          <w:highlight w:val="none"/>
        </w:rPr>
      </w:r>
      <w:r/>
    </w:p>
    <w:p>
      <w:pPr>
        <w:pStyle w:val="726"/>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bookmarkEnd w:id="217"/>
      <w:r/>
      <w:bookmarkEnd w:id="218"/>
      <w:r/>
      <w:bookmarkEnd w:id="219"/>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采购中心和评标委员会不向未中标的投标人解释未中标原因，也不公布评标过程中的相关细节。</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bookmarkStart w:id="220" w:name="_Toc513029232"/>
      <w:r/>
      <w:bookmarkStart w:id="221" w:name="_Toc16938548"/>
      <w:r/>
      <w:bookmarkStart w:id="22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20"/>
      <w:r/>
      <w:bookmarkEnd w:id="221"/>
      <w:r/>
      <w:bookmarkEnd w:id="222"/>
      <w:r>
        <w:rPr>
          <w:rFonts w:hint="eastAsia" w:ascii="Arial" w:hAnsi="Arial" w:eastAsia="黑体" w:cs="Arial"/>
          <w:color w:val="000000"/>
          <w:sz w:val="28"/>
          <w:szCs w:val="28"/>
          <w:highlight w:val="none"/>
        </w:rPr>
      </w:r>
      <w:r/>
    </w:p>
    <w:p>
      <w:pPr>
        <w:pStyle w:val="726"/>
        <w:ind w:firstLine="480"/>
        <w:spacing w:line="500" w:lineRule="exact"/>
        <w:rPr>
          <w:rFonts w:ascii="宋体" w:hAnsi="宋体"/>
          <w:color w:val="000000"/>
          <w:sz w:val="24"/>
          <w:highlight w:val="none"/>
        </w:rPr>
      </w:pPr>
      <w:r/>
      <w:bookmarkStart w:id="223" w:name="_Toc20823305"/>
      <w:r/>
      <w:bookmarkStart w:id="224" w:name="_Toc16938549"/>
      <w:r/>
      <w:bookmarkStart w:id="225" w:name="_Toc513029233"/>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23"/>
      <w:r/>
      <w:bookmarkEnd w:id="224"/>
      <w:r/>
      <w:bookmarkEnd w:id="225"/>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未通过资格审查或符合性审查的投标人，采购中心将在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中告知未通过资格审查或符合性审查的原因，评审结束后，采购中心将不再告知未通过资格审查或符合性审查的原因。</w:t>
      </w:r>
      <w:r>
        <w:rPr>
          <w:rFonts w:hint="eastAsia" w:ascii="宋体" w:hAnsi="宋体"/>
          <w:bCs/>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26"/>
        <w:ind w:firstLine="480"/>
        <w:spacing w:line="500" w:lineRule="exact"/>
        <w:rPr>
          <w:rFonts w:ascii="宋体" w:hAnsi="宋体"/>
          <w:color w:val="000000"/>
          <w:sz w:val="24"/>
          <w:szCs w:val="21"/>
          <w:highlight w:val="none"/>
        </w:rPr>
      </w:pPr>
      <w:r/>
      <w:bookmarkStart w:id="226" w:name="_Toc16938550"/>
      <w:r/>
      <w:bookmarkStart w:id="227" w:name="_Toc513029234"/>
      <w:r/>
      <w:bookmarkStart w:id="228" w:name="_Toc20823306"/>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726"/>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726"/>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726"/>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并安排专人与采购中心及评标委员会联系。</w:t>
      </w:r>
      <w:r>
        <w:rPr>
          <w:rFonts w:hint="eastAsia" w:ascii="宋体" w:hAnsi="宋体"/>
          <w:color w:val="000000"/>
          <w:sz w:val="24"/>
          <w:szCs w:val="21"/>
          <w:highlight w:val="none"/>
        </w:rPr>
      </w:r>
      <w:r/>
    </w:p>
    <w:p>
      <w:pPr>
        <w:pStyle w:val="726"/>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6"/>
      <w:r/>
      <w:bookmarkEnd w:id="227"/>
      <w:r/>
      <w:bookmarkEnd w:id="228"/>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26"/>
        <w:ind w:firstLine="480"/>
        <w:spacing w:line="500" w:lineRule="exact"/>
        <w:rPr>
          <w:rFonts w:hint="eastAsia" w:ascii="宋体" w:hAnsi="宋体"/>
          <w:bCs/>
          <w:color w:val="000000"/>
          <w:sz w:val="24"/>
          <w:szCs w:val="21"/>
          <w:highlight w:val="none"/>
        </w:rPr>
      </w:pPr>
      <w:r/>
      <w:bookmarkStart w:id="229" w:name="_Toc20823307"/>
      <w:r/>
      <w:bookmarkStart w:id="230" w:name="_Toc16938551"/>
      <w:r/>
      <w:bookmarkStart w:id="231" w:name="_Toc513029235"/>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726"/>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1</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hint="eastAsia" w:ascii="宋体" w:hAnsi="宋体"/>
          <w:bCs/>
          <w:color w:val="000000"/>
          <w:sz w:val="24"/>
          <w:szCs w:val="21"/>
          <w:highlight w:val="none"/>
          <w:lang w:val="en-US" w:eastAsia="zh-CN"/>
        </w:rPr>
        <w:t xml:space="preserve">2</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726"/>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726"/>
        <w:ind w:firstLine="482"/>
        <w:keepLines/>
        <w:keepNext/>
        <w:spacing w:line="500" w:lineRule="exact"/>
        <w:rPr>
          <w:rFonts w:hint="eastAsia"/>
          <w:b/>
          <w:bCs/>
          <w:color w:val="000000"/>
          <w:sz w:val="32"/>
          <w:szCs w:val="32"/>
          <w:highlight w:val="none"/>
        </w:rPr>
        <w:outlineLvl w:val="2"/>
      </w:pPr>
      <w:r/>
      <w:bookmarkStart w:id="232" w:name="_Toc120614219"/>
      <w:r>
        <w:rPr>
          <w:rFonts w:hint="eastAsia"/>
          <w:b/>
          <w:bCs/>
          <w:color w:val="000000"/>
          <w:sz w:val="32"/>
          <w:szCs w:val="32"/>
          <w:highlight w:val="none"/>
        </w:rPr>
        <w:t xml:space="preserve">六、</w:t>
      </w:r>
      <w:bookmarkEnd w:id="229"/>
      <w:r/>
      <w:bookmarkEnd w:id="230"/>
      <w:r/>
      <w:bookmarkEnd w:id="231"/>
      <w:r>
        <w:rPr>
          <w:rFonts w:hint="eastAsia"/>
          <w:b/>
          <w:bCs/>
          <w:color w:val="000000"/>
          <w:sz w:val="32"/>
          <w:szCs w:val="32"/>
          <w:highlight w:val="none"/>
        </w:rPr>
        <w:t xml:space="preserve">定标</w:t>
      </w:r>
      <w:bookmarkEnd w:id="232"/>
      <w:r>
        <w:rPr>
          <w:rFonts w:hint="eastAsia"/>
          <w:b/>
          <w:bCs/>
          <w:color w:val="000000"/>
          <w:sz w:val="32"/>
          <w:szCs w:val="32"/>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bookmarkStart w:id="233" w:name="_Toc20823310"/>
      <w:r/>
      <w:bookmarkStart w:id="234" w:name="_Toc16938554"/>
      <w:r/>
      <w:bookmarkStart w:id="235" w:name="_Toc513029238"/>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5"/>
      <w:r>
        <w:rPr>
          <w:rFonts w:hint="eastAsia" w:ascii="黑体" w:hAnsi="宋体" w:eastAsia="黑体"/>
          <w:bCs/>
          <w:color w:val="000000"/>
          <w:sz w:val="30"/>
          <w:szCs w:val="30"/>
          <w:highlight w:val="none"/>
        </w:rPr>
        <w:t xml:space="preserve">确定</w:t>
      </w:r>
      <w:bookmarkEnd w:id="233"/>
      <w:r/>
      <w:bookmarkEnd w:id="234"/>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726"/>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rPr>
        <w:t xml:space="preserve">采购中心将在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.4.2向采购人、采购中心行贿或者提供其他不正当利益的。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bookmarkStart w:id="236"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ascii="宋体" w:hAnsi="宋体"/>
          <w:color w:val="000000"/>
          <w:sz w:val="24"/>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6"/>
      <w:r>
        <w:rPr>
          <w:rFonts w:hint="eastAsia" w:ascii="黑体" w:hAnsi="宋体" w:eastAsia="黑体"/>
          <w:bCs/>
          <w:color w:val="000000"/>
          <w:sz w:val="30"/>
          <w:szCs w:val="30"/>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rPr>
          <w:rFonts w:hint="eastAsia" w:ascii="宋体" w:hAnsi="宋体"/>
          <w:color w:val="000000"/>
          <w:sz w:val="24"/>
          <w:highlight w:val="none"/>
        </w:rPr>
      </w:r>
      <w:r/>
    </w:p>
    <w:p>
      <w:pPr>
        <w:pStyle w:val="726"/>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726"/>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726"/>
        <w:ind w:firstLine="480"/>
        <w:spacing w:line="500" w:lineRule="exact"/>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、质疑请向采购中心提出，由采购中心</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color w:val="000000"/>
          <w:sz w:val="24"/>
          <w:highlight w:val="none"/>
        </w:rPr>
      </w:r>
      <w:r/>
    </w:p>
    <w:p>
      <w:pPr>
        <w:pStyle w:val="726"/>
        <w:ind w:firstLine="480"/>
        <w:spacing w:line="500" w:lineRule="exact"/>
        <w:rPr>
          <w:rFonts w:ascii="Symbol" w:hAnsi="Symbol" w:cs="Symbol"/>
          <w:color w:val="000000"/>
          <w:sz w:val="24"/>
          <w:highlight w:val="none"/>
        </w:rPr>
      </w:pPr>
      <w:r/>
      <w:bookmarkStart w:id="237" w:name="_Hlk14990331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与质疑函一起递交，否则不子受理。</w:t>
      </w:r>
      <w:r>
        <w:rPr>
          <w:rFonts w:ascii="Symbol" w:hAnsi="Symbol" w:cs="Symbol"/>
          <w:color w:val="000000"/>
          <w:sz w:val="24"/>
          <w:highlight w:val="none"/>
        </w:rPr>
      </w:r>
      <w:r/>
    </w:p>
    <w:p>
      <w:pPr>
        <w:pStyle w:val="726"/>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采购人及采购中心只接收以纸质原件形式送达的质疑,建议供应商尽量通过现场递交或邮寄方式提交质疑（采购人和采购中心不接受未填写快递运单的快件）。</w:t>
      </w:r>
      <w:r>
        <w:rPr>
          <w:rFonts w:hint="eastAsia" w:ascii="宋体" w:hAnsi="宋体"/>
          <w:color w:val="000000"/>
          <w:sz w:val="24"/>
          <w:highlight w:val="none"/>
        </w:rPr>
      </w:r>
      <w:r/>
    </w:p>
    <w:p>
      <w:pPr>
        <w:pStyle w:val="726"/>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采购中心质疑接收部门为：项目审查科</w:t>
      </w:r>
      <w:r>
        <w:rPr>
          <w:rFonts w:ascii="宋体" w:hAnsi="宋体"/>
          <w:color w:val="000000"/>
          <w:sz w:val="24"/>
          <w:highlight w:val="none"/>
        </w:rPr>
      </w:r>
      <w:r/>
    </w:p>
    <w:p>
      <w:pPr>
        <w:pStyle w:val="726"/>
        <w:ind w:firstLine="480"/>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w:t>
      </w:r>
      <w:r>
        <w:rPr>
          <w:rFonts w:ascii="宋体" w:hAnsi="宋体" w:cs="宋体"/>
          <w:color w:val="000000"/>
          <w:sz w:val="24"/>
          <w:highlight w:val="none"/>
        </w:rPr>
        <w:t xml:space="preserve">武进区武宜中路</w:t>
      </w:r>
      <w:r>
        <w:rPr>
          <w:rFonts w:hint="eastAsia" w:ascii="宋体" w:hAnsi="宋体" w:cs="宋体"/>
          <w:color w:val="000000"/>
          <w:sz w:val="24"/>
          <w:highlight w:val="none"/>
        </w:rPr>
        <w:t xml:space="preserve">1号</w:t>
      </w:r>
      <w:r>
        <w:rPr>
          <w:rFonts w:ascii="宋体" w:hAnsi="宋体" w:cs="宋体"/>
          <w:color w:val="000000"/>
          <w:sz w:val="24"/>
          <w:highlight w:val="none"/>
        </w:rPr>
        <w:t xml:space="preserve">天豪大厦</w:t>
      </w:r>
      <w:r>
        <w:rPr>
          <w:rFonts w:hint="eastAsia" w:ascii="宋体" w:hAnsi="宋体" w:cs="宋体"/>
          <w:color w:val="000000"/>
          <w:sz w:val="24"/>
          <w:highlight w:val="none"/>
        </w:rPr>
        <w:t xml:space="preserve">3号楼613室</w:t>
      </w:r>
      <w:r>
        <w:rPr>
          <w:color w:val="000000"/>
          <w:sz w:val="24"/>
          <w:highlight w:val="none"/>
        </w:rPr>
        <w:t xml:space="preserve">；</w:t>
      </w:r>
      <w:r>
        <w:rPr>
          <w:color w:val="000000"/>
          <w:sz w:val="24"/>
          <w:highlight w:val="none"/>
        </w:rPr>
      </w:r>
      <w:r/>
    </w:p>
    <w:p>
      <w:pPr>
        <w:pStyle w:val="726"/>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0519-88068611</w:t>
      </w:r>
      <w:r>
        <w:rPr>
          <w:color w:val="000000"/>
          <w:sz w:val="24"/>
          <w:highlight w:val="none"/>
        </w:rPr>
        <w:t xml:space="preserve">；</w:t>
      </w:r>
      <w:r>
        <w:rPr>
          <w:color w:val="000000"/>
          <w:sz w:val="24"/>
          <w:highlight w:val="none"/>
        </w:rPr>
      </w:r>
      <w:r/>
    </w:p>
    <w:p>
      <w:pPr>
        <w:pStyle w:val="726"/>
        <w:ind w:firstLine="480"/>
        <w:spacing w:line="500" w:lineRule="exact"/>
        <w:rPr>
          <w:rFonts w:hint="eastAsia" w:ascii="宋体" w:hAnsi="宋体"/>
          <w:color w:val="000000"/>
          <w:sz w:val="24"/>
          <w:highlight w:val="none"/>
        </w:rPr>
      </w:pPr>
      <w:r/>
      <w:bookmarkEnd w:id="237"/>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726"/>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726"/>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726"/>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中标结果确定后，采购中心将向中标人发出中标通知书。请中标人在中标结果公告届满之日起30日内,使用CA数字证书登录苏采云系统及时下载中标通知书【中标通知书领取相关事宜请致电：0519-88068618/880686</w:t>
      </w:r>
      <w:r>
        <w:rPr>
          <w:rFonts w:hint="eastAsia" w:ascii="宋体" w:hAnsi="宋体"/>
          <w:color w:val="000000"/>
          <w:sz w:val="24"/>
          <w:highlight w:val="none"/>
          <w:lang w:val="en-US" w:eastAsia="zh-CN"/>
        </w:rPr>
        <w:t xml:space="preserve">36</w:t>
      </w:r>
      <w:r>
        <w:rPr>
          <w:rFonts w:hint="eastAsia" w:ascii="宋体" w:hAnsi="宋体"/>
          <w:color w:val="000000"/>
          <w:sz w:val="24"/>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726"/>
        <w:ind w:firstLine="643"/>
        <w:keepLines/>
        <w:keepNext/>
        <w:spacing w:line="500" w:lineRule="exact"/>
        <w:rPr>
          <w:rFonts w:hint="eastAsia"/>
          <w:b/>
          <w:bCs/>
          <w:color w:val="000000"/>
          <w:sz w:val="32"/>
          <w:szCs w:val="32"/>
          <w:highlight w:val="none"/>
        </w:rPr>
        <w:outlineLvl w:val="2"/>
      </w:pPr>
      <w:r/>
      <w:bookmarkStart w:id="238" w:name="_Toc20823308"/>
      <w:r/>
      <w:bookmarkStart w:id="239" w:name="_Toc120614220"/>
      <w:r/>
      <w:bookmarkStart w:id="240" w:name="_Toc513029236"/>
      <w:r/>
      <w:bookmarkStart w:id="241" w:name="_Toc16938552"/>
      <w:r>
        <w:rPr>
          <w:rFonts w:hint="eastAsia"/>
          <w:b/>
          <w:bCs/>
          <w:color w:val="000000"/>
          <w:sz w:val="32"/>
          <w:szCs w:val="32"/>
          <w:highlight w:val="none"/>
        </w:rPr>
        <w:t xml:space="preserve">七、授予合同</w:t>
      </w:r>
      <w:bookmarkEnd w:id="239"/>
      <w:r>
        <w:rPr>
          <w:rFonts w:hint="eastAsia"/>
          <w:b/>
          <w:bCs/>
          <w:color w:val="000000"/>
          <w:sz w:val="32"/>
          <w:szCs w:val="32"/>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bookmarkEnd w:id="238"/>
      <w:r/>
      <w:bookmarkEnd w:id="240"/>
      <w:r/>
      <w:bookmarkEnd w:id="241"/>
      <w:r/>
      <w:bookmarkStart w:id="242" w:name="_Toc16938553"/>
      <w:r/>
      <w:bookmarkStart w:id="243" w:name="_Toc20823309"/>
      <w:r/>
      <w:bookmarkStart w:id="244"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726"/>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726"/>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726"/>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color w:val="000000"/>
          <w:sz w:val="24"/>
          <w:highlight w:val="none"/>
        </w:rPr>
      </w:r>
      <w:r/>
    </w:p>
    <w:p>
      <w:pPr>
        <w:pStyle w:val="806"/>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726"/>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726"/>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726"/>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726"/>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726"/>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hint="eastAsia" w:ascii="宋体" w:hAnsi="宋体"/>
          <w:b/>
          <w:bCs/>
          <w:color w:val="000000"/>
          <w:sz w:val="24"/>
          <w:highlight w:val="none"/>
        </w:rPr>
        <w:t xml:space="preserve">：</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bCs/>
          <w:color w:val="000000"/>
          <w:sz w:val="24"/>
          <w:highlight w:val="none"/>
        </w:rPr>
      </w:r>
      <w:r/>
    </w:p>
    <w:p>
      <w:pPr>
        <w:pStyle w:val="726"/>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726"/>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806"/>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rPr>
          <w:rFonts w:ascii="宋体" w:hAnsi="宋体" w:cs="Times New Roman"/>
          <w:b/>
          <w:bCs/>
          <w:color w:val="000000"/>
          <w:highlight w:val="none"/>
        </w:rPr>
      </w:r>
      <w:r/>
    </w:p>
    <w:p>
      <w:pPr>
        <w:pStyle w:val="726"/>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3.8.1</w:t>
      </w:r>
      <w:r>
        <w:rPr>
          <w:rFonts w:hint="eastAsia" w:ascii="宋体" w:hAnsi="宋体"/>
          <w:b/>
          <w:bCs/>
          <w:color w:val="000000"/>
          <w:sz w:val="24"/>
          <w:highlight w:val="none"/>
        </w:rPr>
        <w:t xml:space="preserve">绿色数据中心政策：</w:t>
      </w:r>
      <w:r>
        <w:rPr>
          <w:rFonts w:hint="eastAsia"/>
          <w:color w:val="000000"/>
          <w:sz w:val="24"/>
          <w:highlight w:val="none"/>
        </w:rPr>
        <w:t xml:space="preserve">依据《绿色数据中心政府采购需求标准（试行）》（财办库〔2023〕7 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sz w:val="24"/>
          <w:highlight w:val="none"/>
        </w:rPr>
      </w:r>
      <w:r/>
    </w:p>
    <w:p>
      <w:pPr>
        <w:pStyle w:val="726"/>
        <w:ind w:firstLine="482"/>
        <w:spacing w:line="480" w:lineRule="exact"/>
        <w:rPr>
          <w:rFonts w:hint="eastAsia"/>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3.8.2</w:t>
      </w:r>
      <w:r>
        <w:rPr>
          <w:rFonts w:hint="eastAsia" w:ascii="宋体" w:hAnsi="宋体"/>
          <w:b/>
          <w:bCs/>
          <w:color w:val="000000"/>
          <w:sz w:val="24"/>
          <w:highlight w:val="none"/>
        </w:rPr>
        <w:t xml:space="preserve">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color w:val="000000"/>
          <w:sz w:val="24"/>
          <w:highlight w:val="none"/>
        </w:rPr>
        <w:t xml:space="preserve">）,依据相关需求标准确定采购需求，在采购文件和采购合同中载明具体需求、履约验收条款和违约责任。</w:t>
      </w:r>
      <w:r>
        <w:rPr>
          <w:rFonts w:hint="eastAsia"/>
          <w:color w:val="000000"/>
          <w:sz w:val="24"/>
          <w:highlight w:val="none"/>
        </w:rPr>
      </w:r>
      <w:r/>
    </w:p>
    <w:p>
      <w:pPr>
        <w:pStyle w:val="726"/>
        <w:ind w:firstLine="482"/>
        <w:spacing w:line="480" w:lineRule="exact"/>
        <w:rPr>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3.8.3</w:t>
      </w:r>
      <w:r>
        <w:rPr>
          <w:rFonts w:hint="eastAsia" w:ascii="宋体" w:hAnsi="宋体"/>
          <w:b/>
          <w:bCs/>
          <w:color w:val="000000"/>
          <w:sz w:val="24"/>
          <w:highlight w:val="none"/>
        </w:rPr>
        <w:t xml:space="preserve">优先使用低挥发性有机化合物产品：</w:t>
      </w:r>
      <w:r>
        <w:rPr>
          <w:rFonts w:hint="eastAsia"/>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sz w:val="24"/>
          <w:highlight w:val="none"/>
        </w:rPr>
      </w:r>
      <w:r/>
    </w:p>
    <w:p>
      <w:pPr>
        <w:pStyle w:val="726"/>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rPr>
          <w:rFonts w:ascii="宋体" w:hAnsi="宋体"/>
          <w:b/>
          <w:bCs/>
          <w:color w:val="000000"/>
          <w:sz w:val="24"/>
          <w:highlight w:val="none"/>
        </w:rPr>
      </w:r>
      <w:r/>
    </w:p>
    <w:p>
      <w:pPr>
        <w:pStyle w:val="726"/>
        <w:ind w:firstLine="480"/>
        <w:keepLines w:val="0"/>
        <w:keepNext w:val="0"/>
        <w:pageBreakBefore w:val="0"/>
        <w:spacing w:line="48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rFonts w:hint="eastAsia"/>
          <w:color w:val="000000"/>
          <w:sz w:val="24"/>
          <w:highlight w:val="none"/>
        </w:rPr>
      </w:r>
      <w:r/>
    </w:p>
    <w:p>
      <w:pPr>
        <w:pStyle w:val="726"/>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rPr>
          <w:rFonts w:hint="eastAsia" w:ascii="宋体" w:hAnsi="宋体" w:eastAsia="宋体" w:cs="Times New Roman"/>
          <w:b/>
          <w:bCs/>
          <w:color w:val="000000"/>
          <w:sz w:val="24"/>
          <w:highlight w:val="none"/>
          <w:lang w:val="en-US" w:eastAsia="zh-CN"/>
        </w:rPr>
      </w:r>
      <w:r/>
    </w:p>
    <w:p>
      <w:pPr>
        <w:pStyle w:val="788"/>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788"/>
        <w:ind w:left="0" w:right="0" w:firstLine="480"/>
        <w:jc w:val="both"/>
        <w:keepLines w:val="0"/>
        <w:keepNext w:val="0"/>
        <w:pageBreakBefore w:val="0"/>
        <w:spacing w:before="0" w:beforeAutospacing="0" w:after="0" w:afterAutospacing="0" w:line="480" w:lineRule="exact"/>
        <w:shd w:val="clear" w:color="auto" w:fill="ffffff"/>
        <w:widowControl/>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r>
      <w:r/>
    </w:p>
    <w:p>
      <w:pPr>
        <w:pStyle w:val="726"/>
        <w:ind w:firstLine="420"/>
        <w:rPr>
          <w:rFonts w:hint="eastAsia"/>
          <w:color w:val="000000"/>
          <w:szCs w:val="21"/>
          <w:highlight w:val="none"/>
        </w:rPr>
      </w:pPr>
      <w:r/>
      <w:bookmarkEnd w:id="242"/>
      <w:r/>
      <w:bookmarkEnd w:id="243"/>
      <w:r/>
      <w:bookmarkEnd w:id="244"/>
      <w:r>
        <w:rPr>
          <w:rFonts w:hint="eastAsia"/>
          <w:color w:val="000000"/>
          <w:szCs w:val="21"/>
          <w:highlight w:val="none"/>
        </w:rPr>
      </w:r>
      <w:r/>
    </w:p>
    <w:p>
      <w:pPr>
        <w:pStyle w:val="726"/>
        <w:spacing w:line="500" w:lineRule="exact"/>
        <w:rPr>
          <w:rFonts w:ascii="宋体" w:hAnsi="宋体"/>
          <w:bCs/>
          <w:color w:val="000000"/>
          <w:sz w:val="24"/>
          <w:highlight w:val="none"/>
        </w:rPr>
      </w:pPr>
      <w:r/>
      <w:bookmarkEnd w:id="113"/>
      <w:r>
        <w:rPr>
          <w:rFonts w:ascii="宋体" w:hAnsi="宋体"/>
          <w:bCs/>
          <w:color w:val="000000"/>
          <w:sz w:val="24"/>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rFonts w:hint="eastAsia"/>
          <w:color w:val="000000"/>
          <w:highlight w:val="none"/>
        </w:rPr>
      </w:pPr>
      <w:r>
        <w:rPr>
          <w:rFonts w:hint="eastAsia"/>
          <w:color w:val="000000"/>
          <w:highlight w:val="none"/>
        </w:rPr>
      </w:r>
      <w:r/>
    </w:p>
    <w:p>
      <w:pPr>
        <w:pStyle w:val="806"/>
        <w:rPr>
          <w:color w:val="000000"/>
          <w:highlight w:val="none"/>
        </w:rPr>
      </w:pPr>
      <w:r>
        <w:rPr>
          <w:color w:val="000000"/>
          <w:highlight w:val="none"/>
        </w:rPr>
      </w:r>
      <w:r/>
    </w:p>
    <w:p>
      <w:pPr>
        <w:pStyle w:val="726"/>
        <w:jc w:val="center"/>
        <w:spacing w:line="360" w:lineRule="auto"/>
        <w:rPr>
          <w:rFonts w:hint="eastAsia"/>
          <w:b/>
          <w:color w:val="000000"/>
          <w:sz w:val="36"/>
          <w:szCs w:val="36"/>
          <w:highlight w:val="none"/>
        </w:rPr>
        <w:outlineLvl w:val="0"/>
      </w:pPr>
      <w:r>
        <w:rPr>
          <w:b/>
          <w:color w:val="000000"/>
          <w:sz w:val="36"/>
          <w:szCs w:val="36"/>
          <w:highlight w:val="none"/>
        </w:rPr>
        <w:t xml:space="preserve">第三章  </w:t>
      </w:r>
      <w:bookmarkEnd w:id="117"/>
      <w:r/>
      <w:bookmarkEnd w:id="118"/>
      <w:r/>
      <w:bookmarkEnd w:id="119"/>
      <w:r/>
      <w:bookmarkEnd w:id="120"/>
      <w:r/>
      <w:bookmarkEnd w:id="121"/>
      <w:r/>
      <w:bookmarkEnd w:id="123"/>
      <w:r/>
      <w:bookmarkEnd w:id="124"/>
      <w:r/>
      <w:bookmarkEnd w:id="126"/>
      <w:r/>
      <w:bookmarkEnd w:id="127"/>
      <w:r/>
      <w:bookmarkEnd w:id="128"/>
      <w:r/>
      <w:bookmarkEnd w:id="129"/>
      <w:r/>
      <w:bookmarkEnd w:id="130"/>
      <w:r/>
      <w:bookmarkEnd w:id="131"/>
      <w:r>
        <w:rPr>
          <w:b/>
          <w:color w:val="000000"/>
          <w:sz w:val="36"/>
          <w:szCs w:val="36"/>
          <w:highlight w:val="none"/>
        </w:rPr>
        <w:t xml:space="preserve">资格审查</w:t>
      </w:r>
      <w:bookmarkEnd w:id="114"/>
      <w:r/>
      <w:bookmarkStart w:id="245" w:name="_Toc487900382"/>
      <w:r>
        <w:rPr>
          <w:rFonts w:hint="eastAsia"/>
          <w:b/>
          <w:color w:val="000000"/>
          <w:sz w:val="36"/>
          <w:szCs w:val="36"/>
          <w:highlight w:val="none"/>
        </w:rPr>
      </w:r>
      <w:r/>
    </w:p>
    <w:p>
      <w:pPr>
        <w:pStyle w:val="726"/>
        <w:ind w:firstLine="2891"/>
        <w:spacing w:line="360" w:lineRule="auto"/>
        <w:tabs>
          <w:tab w:val="left" w:pos="360" w:leader="none"/>
          <w:tab w:val="left" w:pos="900" w:leader="none"/>
        </w:tabs>
        <w:rPr>
          <w:b/>
          <w:color w:val="000000"/>
          <w:sz w:val="32"/>
          <w:szCs w:val="32"/>
          <w:highlight w:val="none"/>
        </w:rPr>
        <w:outlineLvl w:val="1"/>
      </w:pPr>
      <w:r/>
      <w:bookmarkStart w:id="246"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6"/>
      <w:r>
        <w:rPr>
          <w:b/>
          <w:color w:val="000000"/>
          <w:sz w:val="32"/>
          <w:szCs w:val="32"/>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72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72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455" w:type="dxa"/>
            <w:vAlign w:val="center"/>
            <w:textDirection w:val="lrTb"/>
            <w:noWrap w:val="false"/>
          </w:tcPr>
          <w:p>
            <w:pPr>
              <w:pStyle w:val="726"/>
              <w:jc w:val="center"/>
              <w:tabs>
                <w:tab w:val="left" w:pos="1080" w:leader="none"/>
              </w:tabs>
              <w:rPr>
                <w:b/>
                <w:color w:val="000000"/>
                <w:sz w:val="24"/>
                <w:highlight w:val="none"/>
              </w:rPr>
            </w:pPr>
            <w:r/>
            <w:bookmarkStart w:id="247" w:name="_Hlt487972895"/>
            <w:r/>
            <w:bookmarkEnd w:id="247"/>
            <w:r>
              <w:rPr>
                <w:b/>
                <w:color w:val="000000"/>
                <w:sz w:val="24"/>
                <w:highlight w:val="none"/>
              </w:rPr>
              <w:t xml:space="preserve">序号</w:t>
            </w:r>
            <w:r>
              <w:rPr>
                <w:b/>
                <w:color w:val="000000"/>
                <w:sz w:val="24"/>
                <w:highlight w:val="none"/>
              </w:rPr>
            </w:r>
            <w:r/>
          </w:p>
        </w:tc>
        <w:tc>
          <w:tcPr>
            <w:tcW w:w="1066" w:type="dxa"/>
            <w:vAlign w:val="center"/>
            <w:textDirection w:val="lrTb"/>
            <w:noWrap w:val="false"/>
          </w:tcPr>
          <w:p>
            <w:pPr>
              <w:pStyle w:val="72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5" w:type="dxa"/>
            <w:vAlign w:val="center"/>
            <w:textDirection w:val="lrTb"/>
            <w:noWrap w:val="false"/>
          </w:tcPr>
          <w:p>
            <w:pPr>
              <w:pStyle w:val="72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72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726"/>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5" w:type="dxa"/>
            <w:vAlign w:val="center"/>
            <w:textDirection w:val="lrTb"/>
            <w:noWrap w:val="false"/>
          </w:tcPr>
          <w:p>
            <w:pPr>
              <w:pStyle w:val="726"/>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2595" w:type="dxa"/>
            <w:vAlign w:val="center"/>
            <w:textDirection w:val="lrTb"/>
            <w:noWrap w:val="false"/>
          </w:tcPr>
          <w:p>
            <w:pPr>
              <w:pStyle w:val="726"/>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72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72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726"/>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6" w:type="dxa"/>
            <w:vAlign w:val="center"/>
            <w:textDirection w:val="lrTb"/>
            <w:noWrap w:val="false"/>
          </w:tcPr>
          <w:p>
            <w:pPr>
              <w:pStyle w:val="72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5" w:type="dxa"/>
            <w:vAlign w:val="center"/>
            <w:textDirection w:val="lrTb"/>
            <w:noWrap w:val="false"/>
          </w:tcPr>
          <w:p>
            <w:pPr>
              <w:pStyle w:val="726"/>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6"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455" w:type="dxa"/>
            <w:vAlign w:val="center"/>
            <w:textDirection w:val="lrTb"/>
            <w:noWrap w:val="false"/>
          </w:tcPr>
          <w:p>
            <w:pPr>
              <w:pStyle w:val="726"/>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6" w:type="dxa"/>
            <w:vAlign w:val="center"/>
            <w:textDirection w:val="lrTb"/>
            <w:noWrap w:val="false"/>
          </w:tcPr>
          <w:p>
            <w:pPr>
              <w:pStyle w:val="72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5" w:type="dxa"/>
            <w:vAlign w:val="center"/>
            <w:textDirection w:val="lrTb"/>
            <w:noWrap w:val="false"/>
          </w:tcPr>
          <w:p>
            <w:pPr>
              <w:pStyle w:val="726"/>
              <w:jc w:val="left"/>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根据项目情况填写</w:t>
            </w:r>
            <w:r>
              <w:rPr>
                <w:rFonts w:hint="eastAsia" w:ascii="宋体" w:hAnsi="宋体"/>
                <w:b/>
                <w:bCs/>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r>
            <w:r/>
          </w:p>
        </w:tc>
      </w:tr>
      <w:tr>
        <w:trPr>
          <w:cantSplit/>
          <w:trHeight w:val="4548"/>
        </w:trPr>
        <w:tc>
          <w:tcPr>
            <w:tcW w:w="455" w:type="dxa"/>
            <w:vAlign w:val="center"/>
            <w:textDirection w:val="lrTb"/>
            <w:noWrap w:val="false"/>
          </w:tcPr>
          <w:p>
            <w:pPr>
              <w:pStyle w:val="726"/>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6" w:type="dxa"/>
            <w:vAlign w:val="center"/>
            <w:textDirection w:val="lrTb"/>
            <w:noWrap w:val="false"/>
          </w:tcPr>
          <w:p>
            <w:pPr>
              <w:pStyle w:val="726"/>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5"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72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72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726"/>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726"/>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726"/>
        <w:jc w:val="left"/>
        <w:widowControl/>
        <w:rPr>
          <w:color w:val="000000"/>
          <w:sz w:val="24"/>
          <w:highlight w:val="none"/>
        </w:rPr>
      </w:pPr>
      <w:r/>
      <w:bookmarkEnd w:id="245"/>
      <w:r/>
      <w:bookmarkStart w:id="248" w:name="_Toc353873940"/>
      <w:r/>
      <w:bookmarkStart w:id="249" w:name="_Toc353825550"/>
      <w:r/>
      <w:bookmarkStart w:id="250" w:name="_Toc127161490"/>
      <w:r/>
      <w:bookmarkStart w:id="251" w:name="_Toc127151779"/>
      <w:r/>
      <w:bookmarkStart w:id="252" w:name="_Toc226965858"/>
      <w:r>
        <w:rPr>
          <w:color w:val="000000"/>
          <w:sz w:val="24"/>
          <w:highlight w:val="none"/>
        </w:rPr>
        <w:br w:type="page" w:clear="all"/>
      </w:r>
      <w:r>
        <w:rPr>
          <w:color w:val="000000"/>
          <w:sz w:val="24"/>
          <w:highlight w:val="none"/>
        </w:rPr>
      </w:r>
      <w:r/>
    </w:p>
    <w:p>
      <w:pPr>
        <w:pStyle w:val="726"/>
        <w:jc w:val="center"/>
        <w:spacing w:line="360" w:lineRule="auto"/>
        <w:rPr>
          <w:b/>
          <w:color w:val="000000"/>
          <w:sz w:val="36"/>
          <w:szCs w:val="36"/>
          <w:highlight w:val="none"/>
        </w:rPr>
        <w:outlineLvl w:val="0"/>
      </w:pPr>
      <w:r/>
      <w:bookmarkStart w:id="253" w:name="_Toc99301423"/>
      <w:r>
        <w:rPr>
          <w:b/>
          <w:color w:val="000000"/>
          <w:sz w:val="36"/>
          <w:szCs w:val="36"/>
          <w:highlight w:val="none"/>
        </w:rPr>
        <w:t xml:space="preserve">第四章   </w:t>
      </w:r>
      <w:bookmarkEnd w:id="248"/>
      <w:r/>
      <w:bookmarkEnd w:id="249"/>
      <w:r/>
      <w:bookmarkEnd w:id="250"/>
      <w:r/>
      <w:bookmarkEnd w:id="251"/>
      <w:r/>
      <w:bookmarkEnd w:id="252"/>
      <w:r/>
      <w:bookmarkStart w:id="254" w:name="_Hlt164229061"/>
      <w:r/>
      <w:bookmarkEnd w:id="254"/>
      <w:r>
        <w:rPr>
          <w:b/>
          <w:color w:val="000000"/>
          <w:sz w:val="36"/>
          <w:szCs w:val="36"/>
          <w:highlight w:val="none"/>
        </w:rPr>
        <w:t xml:space="preserve">评标程序、评标方法和评标标准</w:t>
      </w:r>
      <w:bookmarkEnd w:id="253"/>
      <w:r>
        <w:rPr>
          <w:b/>
          <w:color w:val="000000"/>
          <w:sz w:val="36"/>
          <w:szCs w:val="36"/>
          <w:highlight w:val="none"/>
        </w:rPr>
      </w:r>
      <w:r/>
    </w:p>
    <w:p>
      <w:pPr>
        <w:pStyle w:val="726"/>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726"/>
        <w:ind w:firstLine="480"/>
        <w:spacing w:line="360" w:lineRule="auto"/>
        <w:tabs>
          <w:tab w:val="left" w:pos="360" w:leader="none"/>
        </w:tabs>
        <w:rPr>
          <w:color w:val="000000"/>
          <w:sz w:val="24"/>
          <w:highlight w:val="none"/>
        </w:rPr>
        <w:outlineLvl w:val="1"/>
      </w:pPr>
      <w:r/>
      <w:bookmarkStart w:id="255" w:name="_Toc353825551"/>
      <w:r/>
      <w:bookmarkStart w:id="256" w:name="_Toc35387394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7" w:name="_Toc520356167"/>
      <w:r>
        <w:rPr>
          <w:color w:val="000000"/>
          <w:sz w:val="24"/>
          <w:highlight w:val="none"/>
        </w:rPr>
      </w:r>
      <w:r/>
    </w:p>
    <w:p>
      <w:pPr>
        <w:pStyle w:val="72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的，投标无效。</w:t>
      </w:r>
      <w:r>
        <w:rPr>
          <w:color w:val="000000"/>
          <w:sz w:val="24"/>
          <w:highlight w:val="none"/>
        </w:rPr>
      </w:r>
      <w:r/>
    </w:p>
    <w:p>
      <w:pPr>
        <w:pStyle w:val="806"/>
        <w:rPr>
          <w:rFonts w:hint="eastAsia"/>
          <w:color w:val="000000"/>
          <w:highlight w:val="none"/>
        </w:rPr>
      </w:pPr>
      <w:r>
        <w:rPr>
          <w:rFonts w:hint="eastAsia"/>
          <w:color w:val="000000"/>
          <w:highlight w:val="none"/>
        </w:rPr>
      </w:r>
      <w:r/>
    </w:p>
    <w:p>
      <w:pPr>
        <w:pStyle w:val="72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806"/>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trHeight w:val="300"/>
        </w:trPr>
        <w:tc>
          <w:tcPr>
            <w:tcW w:w="481"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3" w:type="dxa"/>
            <w:vAlign w:val="center"/>
            <w:textDirection w:val="lrTb"/>
            <w:noWrap w:val="false"/>
          </w:tcPr>
          <w:p>
            <w:pPr>
              <w:pStyle w:val="72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8" w:type="dxa"/>
            <w:vAlign w:val="center"/>
            <w:textDirection w:val="lrTb"/>
            <w:noWrap w:val="false"/>
          </w:tcPr>
          <w:p>
            <w:pPr>
              <w:pStyle w:val="726"/>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2403"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12</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3" w:type="dxa"/>
            <w:vAlign w:val="center"/>
            <w:textDirection w:val="lrTb"/>
            <w:noWrap w:val="false"/>
          </w:tcPr>
          <w:p>
            <w:pPr>
              <w:pStyle w:val="726"/>
              <w:ind w:firstLine="480"/>
              <w:jc w:val="left"/>
              <w:widowControl/>
              <w:rPr>
                <w:rFonts w:hint="eastAsia" w:ascii="Times New Roman" w:hAnsi="Times New Roman" w:eastAsia="宋体" w:cs="Times New Roman"/>
                <w:color w:val="000000"/>
                <w:sz w:val="24"/>
                <w:highlight w:val="none"/>
              </w:rPr>
            </w:pPr>
            <w:r>
              <w:rPr>
                <w:rFonts w:hint="eastAsia"/>
                <w:color w:val="000000"/>
                <w:sz w:val="24"/>
                <w:highlight w:val="none"/>
              </w:rPr>
              <w:t xml:space="preserve">根据</w:t>
            </w:r>
            <w:r>
              <w:rPr>
                <w:rFonts w:hint="eastAsia"/>
                <w:color w:val="000000"/>
                <w:sz w:val="24"/>
                <w:highlight w:val="none"/>
                <w:lang w:val="en-US" w:eastAsia="zh-CN"/>
              </w:rPr>
              <w:t xml:space="preserve">财政</w:t>
            </w:r>
            <w:r>
              <w:rPr>
                <w:rFonts w:hint="eastAsia" w:ascii="Times New Roman" w:hAnsi="Times New Roman" w:eastAsia="宋体" w:cs="Times New Roman"/>
                <w:color w:val="000000"/>
                <w:sz w:val="24"/>
                <w:highlight w:val="none"/>
                <w:lang w:val="en-US" w:eastAsia="zh-CN"/>
              </w:rPr>
              <w:t xml:space="preserve">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w:t>
            </w:r>
            <w:r>
              <w:rPr>
                <w:rFonts w:hint="eastAsia"/>
                <w:color w:val="000000"/>
                <w:sz w:val="24"/>
                <w:highlight w:val="none"/>
              </w:rPr>
              <w:t xml:space="preserve">现下列情形之一的，评审委员会应当启 动</w:t>
            </w:r>
            <w:r>
              <w:rPr>
                <w:rFonts w:hint="eastAsia" w:ascii="Times New Roman" w:hAnsi="Times New Roman" w:eastAsia="宋体" w:cs="Times New Roman"/>
                <w:color w:val="000000"/>
                <w:sz w:val="24"/>
                <w:highlight w:val="none"/>
              </w:rPr>
              <w:t xml:space="preserve">异常低价投标（响应）审查程序： </w:t>
            </w:r>
            <w:r>
              <w:rPr>
                <w:rFonts w:hint="eastAsia" w:ascii="Times New Roman" w:hAnsi="Times New Roman" w:eastAsia="宋体" w:cs="Times New Roman"/>
                <w:color w:val="000000"/>
                <w:sz w:val="24"/>
                <w:highlight w:val="none"/>
              </w:rPr>
            </w:r>
            <w:r/>
          </w:p>
          <w:p>
            <w:pPr>
              <w:pStyle w:val="726"/>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4"/>
                <w:highlight w:val="none"/>
              </w:rPr>
            </w:r>
            <w:r/>
          </w:p>
          <w:p>
            <w:pPr>
              <w:pStyle w:val="726"/>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4"/>
                <w:highlight w:val="none"/>
              </w:rPr>
            </w:r>
            <w:r/>
          </w:p>
          <w:p>
            <w:pPr>
              <w:pStyle w:val="726"/>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rPr>
                <w:rFonts w:hint="eastAsia" w:ascii="Times New Roman" w:hAnsi="Times New Roman" w:eastAsia="宋体" w:cs="Times New Roman"/>
                <w:color w:val="000000"/>
                <w:sz w:val="24"/>
                <w:highlight w:val="none"/>
              </w:rPr>
            </w:r>
            <w:r/>
          </w:p>
          <w:p>
            <w:pPr>
              <w:pStyle w:val="726"/>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726"/>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4"/>
                <w:szCs w:val="24"/>
                <w:highlight w:val="none"/>
                <w:lang w:val="en-US" w:eastAsia="zh-CN" w:bidi="ar-SA"/>
              </w:rPr>
            </w:r>
            <w:r/>
          </w:p>
          <w:p>
            <w:pPr>
              <w:pStyle w:val="726"/>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4"/>
                <w:szCs w:val="24"/>
                <w:highlight w:val="none"/>
                <w:lang w:val="en-US" w:eastAsia="zh-CN" w:bidi="ar-SA"/>
              </w:rPr>
            </w:r>
            <w:r/>
          </w:p>
          <w:p>
            <w:pPr>
              <w:pStyle w:val="726"/>
              <w:ind w:firstLine="480"/>
              <w:jc w:val="left"/>
              <w:widowControl/>
              <w:rPr>
                <w:rFonts w:hint="eastAsia"/>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13</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726"/>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168" w:type="dxa"/>
            <w:vAlign w:val="center"/>
            <w:textDirection w:val="lrTb"/>
            <w:noWrap w:val="false"/>
          </w:tcPr>
          <w:p>
            <w:pPr>
              <w:pStyle w:val="726"/>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国家有关部门对投标人的投标产品有强制性规定或要求的，投标人的投标产品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726"/>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hint="eastAsia"/>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726"/>
              <w:jc w:val="left"/>
              <w:widowControl/>
              <w:rPr>
                <w:rFonts w:hint="eastAsia"/>
                <w:color w:val="000000"/>
                <w:sz w:val="24"/>
                <w:highlight w:val="none"/>
              </w:rPr>
            </w:pPr>
            <w:r>
              <w:rPr>
                <w:rFonts w:hint="eastAsia"/>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color w:val="000000"/>
                <w:sz w:val="24"/>
                <w:highlight w:val="none"/>
              </w:rPr>
              <w:t xml:space="preserve">17</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r>
        <w:trPr>
          <w:trHeight w:val="685"/>
        </w:trPr>
        <w:tc>
          <w:tcPr>
            <w:tcW w:w="481" w:type="dxa"/>
            <w:vAlign w:val="center"/>
            <w:textDirection w:val="lrTb"/>
            <w:noWrap w:val="false"/>
          </w:tcPr>
          <w:p>
            <w:pPr>
              <w:pStyle w:val="726"/>
              <w:jc w:val="center"/>
              <w:widowControl/>
              <w:rPr>
                <w:color w:val="000000"/>
                <w:sz w:val="24"/>
                <w:highlight w:val="none"/>
              </w:rPr>
            </w:pPr>
            <w:r>
              <w:rPr>
                <w:rFonts w:hint="eastAsia"/>
                <w:color w:val="000000"/>
                <w:sz w:val="24"/>
                <w:highlight w:val="none"/>
              </w:rPr>
              <w:t xml:space="preserve">1</w:t>
            </w: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72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3" w:type="dxa"/>
            <w:vAlign w:val="center"/>
            <w:textDirection w:val="lrTb"/>
            <w:noWrap w:val="false"/>
          </w:tcPr>
          <w:p>
            <w:pPr>
              <w:pStyle w:val="726"/>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168" w:type="dxa"/>
            <w:vAlign w:val="center"/>
            <w:textDirection w:val="lrTb"/>
            <w:noWrap w:val="false"/>
          </w:tcPr>
          <w:p>
            <w:pPr>
              <w:pStyle w:val="726"/>
              <w:jc w:val="left"/>
              <w:widowControl/>
              <w:rPr>
                <w:color w:val="000000"/>
                <w:sz w:val="24"/>
                <w:highlight w:val="none"/>
              </w:rPr>
            </w:pPr>
            <w:r>
              <w:rPr>
                <w:color w:val="000000"/>
                <w:sz w:val="24"/>
                <w:highlight w:val="none"/>
              </w:rPr>
            </w:r>
            <w:r/>
          </w:p>
        </w:tc>
      </w:tr>
    </w:tbl>
    <w:p>
      <w:pPr>
        <w:pStyle w:val="72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lang w:val="en-US" w:eastAsia="zh-CN"/>
        </w:rPr>
        <w:t xml:space="preserve">三</w:t>
      </w:r>
      <w:r>
        <w:rPr>
          <w:rFonts w:ascii="Symbol" w:hAnsi="Symbol" w:cs="Symbol"/>
          <w:color w:val="000000"/>
          <w:sz w:val="24"/>
          <w:highlight w:val="none"/>
        </w:rPr>
        <w:t xml:space="preserve">）</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w:t>
      </w:r>
      <w:r>
        <w:rPr>
          <w:rFonts w:hint="eastAsia" w:ascii="Symbol" w:hAnsi="Symbol" w:cs="Symbol"/>
          <w:color w:val="000000"/>
          <w:sz w:val="24"/>
          <w:highlight w:val="none"/>
          <w:lang w:val="en-US" w:eastAsia="zh-CN"/>
        </w:rPr>
        <w:t xml:space="preserve">四</w:t>
      </w:r>
      <w:r>
        <w:rPr>
          <w:rFonts w:ascii="Symbol" w:hAnsi="Symbol" w:cs="Symbol"/>
          <w:color w:val="000000"/>
          <w:sz w:val="24"/>
          <w:highlight w:val="none"/>
        </w:rPr>
        <w:t xml:space="preserve">）</w:t>
      </w:r>
      <w:r>
        <w:rPr>
          <w:color w:val="000000"/>
          <w:sz w:val="24"/>
          <w:highlight w:val="none"/>
        </w:rPr>
        <w:t xml:space="preserve">落实政府采购政策的价格调整：</w:t>
      </w:r>
      <w:bookmarkStart w:id="258"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726"/>
        <w:ind w:firstLine="602"/>
        <w:spacing w:line="360" w:lineRule="auto"/>
        <w:tabs>
          <w:tab w:val="left" w:pos="360" w:leader="none"/>
        </w:tabs>
        <w:rPr>
          <w:b/>
          <w:color w:val="000000"/>
          <w:sz w:val="30"/>
          <w:szCs w:val="30"/>
          <w:highlight w:val="none"/>
        </w:rPr>
        <w:outlineLvl w:val="1"/>
      </w:pPr>
      <w:r/>
      <w:bookmarkEnd w:id="258"/>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726"/>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72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9" w:name="_Toc164229241"/>
      <w:r/>
      <w:bookmarkStart w:id="260" w:name="_Toc151193934"/>
      <w:r/>
      <w:bookmarkStart w:id="261" w:name="_Toc305158888"/>
      <w:r/>
      <w:bookmarkStart w:id="262" w:name="_Toc226965736"/>
      <w:r/>
      <w:bookmarkStart w:id="263" w:name="_Toc226337242"/>
      <w:r/>
      <w:bookmarkStart w:id="264" w:name="_Toc305158814"/>
      <w:r/>
      <w:bookmarkStart w:id="265" w:name="_Toc151193716"/>
      <w:r/>
      <w:bookmarkStart w:id="266" w:name="_Toc150774646"/>
      <w:r/>
      <w:bookmarkStart w:id="267" w:name="_Toc226965819"/>
      <w:r/>
      <w:bookmarkStart w:id="268" w:name="_Toc264969236"/>
      <w:r/>
      <w:bookmarkStart w:id="269" w:name="_Toc149720839"/>
      <w:r/>
      <w:bookmarkStart w:id="270" w:name="_Toc151190173"/>
      <w:r/>
      <w:bookmarkStart w:id="271" w:name="_Toc164229387"/>
      <w:r/>
      <w:bookmarkStart w:id="272" w:name="_Toc226309790"/>
      <w:r/>
      <w:bookmarkStart w:id="273" w:name="_Toc164608660"/>
      <w:r/>
      <w:bookmarkStart w:id="274" w:name="_Toc151193644"/>
      <w:r/>
      <w:bookmarkStart w:id="275" w:name="_Toc164608815"/>
      <w:r/>
      <w:bookmarkStart w:id="276" w:name="_Toc142311048"/>
      <w:r/>
      <w:bookmarkStart w:id="277" w:name="_Toc150509297"/>
      <w:r/>
      <w:bookmarkStart w:id="278" w:name="_Toc265228384"/>
      <w:r/>
      <w:bookmarkStart w:id="279" w:name="_Toc520356170"/>
      <w:r/>
      <w:bookmarkStart w:id="280" w:name="_Toc127161460"/>
      <w:r/>
      <w:bookmarkStart w:id="281" w:name="_Toc127151747"/>
      <w:r/>
      <w:bookmarkStart w:id="282" w:name="_Toc150774751"/>
      <w:r/>
      <w:bookmarkStart w:id="283" w:name="_Toc195842911"/>
      <w:r/>
      <w:bookmarkStart w:id="284" w:name="_Ref467307010"/>
      <w:r/>
      <w:bookmarkStart w:id="285" w:name="_Toc164351640"/>
      <w:r/>
      <w:bookmarkStart w:id="286" w:name="_Toc150480784"/>
      <w:r/>
      <w:bookmarkStart w:id="287" w:name="_Toc151193788"/>
      <w:r/>
      <w:bookmarkStart w:id="288" w:name="_Toc127151546"/>
      <w:r/>
      <w:bookmarkStart w:id="289" w:name="_Toc151193860"/>
      <w:r>
        <w:rPr>
          <w:b/>
          <w:color w:val="000000"/>
          <w:sz w:val="30"/>
          <w:szCs w:val="30"/>
          <w:highlight w:val="none"/>
        </w:rPr>
        <w:t xml:space="preserve">中标候选人名单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72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726"/>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806"/>
        <w:rPr>
          <w:color w:val="000000"/>
          <w:highlight w:val="none"/>
        </w:rPr>
      </w:pPr>
      <w:r>
        <w:rPr>
          <w:color w:val="000000"/>
          <w:highlight w:val="none"/>
        </w:rPr>
      </w:r>
      <w:r/>
    </w:p>
    <w:p>
      <w:pPr>
        <w:pStyle w:val="806"/>
        <w:rPr>
          <w:rFonts w:hint="eastAsia"/>
          <w:color w:val="000000"/>
          <w:highlight w:val="none"/>
        </w:rPr>
      </w:pPr>
      <w:r>
        <w:rPr>
          <w:rFonts w:hint="eastAsia"/>
          <w:color w:val="000000"/>
          <w:highlight w:val="none"/>
        </w:rPr>
      </w:r>
      <w:r/>
    </w:p>
    <w:p>
      <w:pPr>
        <w:pStyle w:val="72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72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726"/>
        <w:ind w:firstLine="480"/>
        <w:spacing w:line="360" w:lineRule="auto"/>
        <w:tabs>
          <w:tab w:val="left" w:pos="360" w:leader="none"/>
        </w:tabs>
        <w:rPr>
          <w:rFonts w:hint="eastAsia"/>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highlight w:val="none"/>
        </w:rPr>
      </w:r>
      <w:r/>
    </w:p>
    <w:p>
      <w:pPr>
        <w:pStyle w:val="72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726"/>
        <w:ind w:firstLine="441"/>
        <w:jc w:val="left"/>
        <w:spacing w:line="360" w:lineRule="auto"/>
        <w:rPr>
          <w:rFonts w:hint="eastAsia" w:ascii="宋体" w:hAnsi="宋体"/>
          <w:b/>
          <w:color w:val="000000"/>
          <w:sz w:val="24"/>
          <w:highlight w:val="none"/>
        </w:rPr>
      </w:pPr>
      <w:r/>
      <w:bookmarkStart w:id="290"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726"/>
        <w:ind w:firstLine="480"/>
        <w:jc w:val="left"/>
        <w:spacing w:line="360" w:lineRule="auto"/>
        <w:rPr>
          <w:rFonts w:hint="eastAsia" w:ascii="宋体" w:hAnsi="宋体"/>
          <w:color w:val="000000"/>
          <w:sz w:val="24"/>
          <w:highlight w:val="none"/>
        </w:rPr>
      </w:pPr>
      <w:r/>
      <w:bookmarkStart w:id="291" w:name="_Hlk152922042"/>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726"/>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2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726"/>
        <w:ind w:firstLine="480"/>
        <w:jc w:val="left"/>
        <w:keepLines w:val="0"/>
        <w:keepNext w:val="0"/>
        <w:pageBreakBefore w:val="0"/>
        <w:spacing w:line="360" w:lineRule="auto"/>
        <w:widowControl w:val="off"/>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u w:val="single"/>
          <w:lang w:val="en-US" w:eastAsia="zh-CN"/>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726"/>
        <w:ind w:firstLine="480"/>
        <w:jc w:val="left"/>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lang w:val="en-US" w:eastAsia="zh-CN"/>
        </w:rPr>
        <w:t xml:space="preserve">1</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738"/>
        <w:ind w:firstLine="480"/>
        <w:keepLines w:val="0"/>
        <w:keepNext w:val="0"/>
        <w:pageBreakBefore w:val="0"/>
        <w:spacing w:before="0" w:line="360" w:lineRule="auto"/>
        <w:widowControl w:val="off"/>
        <w:tabs>
          <w:tab w:val="left" w:pos="567" w:leader="none"/>
        </w:tabs>
        <w:rPr>
          <w:rFonts w:hint="eastAsia"/>
          <w:color w:val="000000"/>
          <w:highlight w:val="none"/>
        </w:rPr>
      </w:pPr>
      <w:r/>
      <w:bookmarkEnd w:id="290"/>
      <w:r/>
      <w:bookmarkEnd w:id="291"/>
      <w:r>
        <w:rPr>
          <w:rFonts w:hint="eastAsia"/>
          <w:color w:val="000000"/>
          <w:highlight w:val="none"/>
        </w:rPr>
        <w:t xml:space="preserve">7、政府采购中实施本国产品标准及相关政策：</w:t>
      </w:r>
      <w:r>
        <w:rPr>
          <w:rFonts w:hint="eastAsia"/>
          <w:color w:val="000000"/>
          <w:highlight w:val="none"/>
        </w:rPr>
      </w:r>
      <w:r/>
    </w:p>
    <w:p>
      <w:pPr>
        <w:pStyle w:val="983"/>
        <w:ind w:left="0" w:firstLine="420"/>
        <w:jc w:val="both"/>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highlight w:val="none"/>
          <w:lang w:eastAsia="zh-CN"/>
        </w:rPr>
      </w:r>
      <w:r/>
    </w:p>
    <w:p>
      <w:pPr>
        <w:pStyle w:val="983"/>
        <w:ind w:left="0" w:firstLine="420"/>
        <w:spacing w:line="500" w:lineRule="exact"/>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rPr>
          <w:rFonts w:hint="eastAsia" w:ascii="宋体" w:hAnsi="宋体"/>
          <w:color w:val="000000"/>
          <w:highlight w:val="none"/>
          <w:lang w:eastAsia="zh-CN" w:bidi="ar-SA"/>
        </w:rPr>
      </w:r>
      <w:r/>
    </w:p>
    <w:p>
      <w:pPr>
        <w:pStyle w:val="738"/>
        <w:ind w:firstLine="480"/>
        <w:spacing w:before="0" w:line="500" w:lineRule="exact"/>
        <w:tabs>
          <w:tab w:val="left" w:pos="567" w:leader="none"/>
        </w:tabs>
        <w:rPr>
          <w:rFonts w:hint="eastAsia" w:ascii="宋体" w:hAnsi="宋体"/>
          <w:color w:val="000000"/>
          <w:highlight w:val="none"/>
        </w:rPr>
      </w:pPr>
      <w:r>
        <w:rPr>
          <w:rFonts w:hint="eastAsia"/>
          <w:color w:val="000000"/>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rPr>
          <w:rFonts w:hint="eastAsia" w:ascii="宋体" w:hAnsi="宋体"/>
          <w:color w:val="000000"/>
          <w:highlight w:val="none"/>
        </w:rPr>
      </w:r>
      <w:r/>
    </w:p>
    <w:p>
      <w:pPr>
        <w:pStyle w:val="984"/>
        <w:spacing w:before="0" w:after="0" w:line="500" w:lineRule="exact"/>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rPr>
          <w:rFonts w:hint="eastAsia" w:ascii="宋体" w:hAnsi="宋体"/>
          <w:b/>
          <w:bCs/>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b/>
          <w:bCs/>
          <w:i/>
          <w:iCs/>
          <w:color w:val="000000"/>
          <w:highlight w:val="none"/>
        </w:rPr>
        <w:t xml:space="preserve">《声明函》上传至至交易执行系统“价格折扣文件格式”——“关于符合本国产品标准的声明函”模块</w:t>
      </w:r>
      <w:r>
        <w:rPr>
          <w:rFonts w:hint="eastAsia" w:ascii="宋体" w:hAnsi="宋体"/>
          <w:color w:val="000000"/>
          <w:highlight w:val="none"/>
        </w:rPr>
        <w:t xml:space="preserve">】</w:t>
      </w: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984"/>
        <w:spacing w:before="0" w:after="0" w:line="500" w:lineRule="exact"/>
        <w:rPr>
          <w:rFonts w:hint="eastAsia" w:ascii="宋体" w:hAnsi="宋体"/>
          <w:color w:val="000000"/>
          <w:highlight w:val="none"/>
        </w:rPr>
      </w:pPr>
      <w:r>
        <w:rPr>
          <w:rFonts w:hint="eastAsia" w:ascii="宋体" w:hAnsi="宋体"/>
          <w:color w:val="000000"/>
          <w:highlight w:val="none"/>
        </w:rPr>
      </w:r>
      <w:r/>
    </w:p>
    <w:p>
      <w:pPr>
        <w:pStyle w:val="806"/>
        <w:ind w:firstLine="2891"/>
        <w:spacing w:after="120"/>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评标标准</w:t>
      </w:r>
      <w:r>
        <w:rPr>
          <w:rFonts w:hint="eastAsia" w:ascii="宋体" w:hAnsi="宋体" w:cs="Times New Roman"/>
          <w:b/>
          <w:bCs/>
          <w:color w:val="000000"/>
          <w:sz w:val="32"/>
          <w:szCs w:val="32"/>
          <w:highlight w:val="none"/>
        </w:rPr>
      </w:r>
      <w:r/>
    </w:p>
    <w:tbl>
      <w:tblPr>
        <w:tblW w:w="945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212"/>
        <w:gridCol w:w="4958"/>
        <w:gridCol w:w="962"/>
        <w:gridCol w:w="2318"/>
      </w:tblGrid>
      <w:tr>
        <w:trPr>
          <w:trHeight w:val="603"/>
        </w:trPr>
        <w:tc>
          <w:tcPr>
            <w:tcW w:w="1212" w:type="dxa"/>
            <w:vAlign w:val="center"/>
            <w:textDirection w:val="lrTb"/>
            <w:noWrap w:val="false"/>
          </w:tcPr>
          <w:p>
            <w:pPr>
              <w:pStyle w:val="726"/>
              <w:jc w:val="center"/>
              <w:spacing w:after="0"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评审因素</w:t>
            </w:r>
            <w:r>
              <w:rPr>
                <w:rFonts w:ascii="宋体" w:hAnsi="宋体" w:cs="宋体"/>
                <w:b/>
                <w:bCs/>
                <w:color w:val="000000"/>
                <w:sz w:val="24"/>
                <w:highlight w:val="none"/>
              </w:rPr>
            </w:r>
            <w:r/>
          </w:p>
        </w:tc>
        <w:tc>
          <w:tcPr>
            <w:tcW w:w="4958" w:type="dxa"/>
            <w:vAlign w:val="center"/>
            <w:textDirection w:val="lrTb"/>
            <w:noWrap w:val="false"/>
          </w:tcPr>
          <w:p>
            <w:pPr>
              <w:pStyle w:val="726"/>
              <w:jc w:val="center"/>
              <w:spacing w:after="0"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评分细则</w:t>
            </w:r>
            <w:r>
              <w:rPr>
                <w:rFonts w:ascii="宋体" w:hAnsi="宋体" w:cs="宋体"/>
                <w:b/>
                <w:bCs/>
                <w:color w:val="000000"/>
                <w:sz w:val="24"/>
                <w:highlight w:val="none"/>
              </w:rPr>
            </w:r>
            <w:r/>
          </w:p>
        </w:tc>
        <w:tc>
          <w:tcPr>
            <w:tcW w:w="962" w:type="dxa"/>
            <w:vAlign w:val="center"/>
            <w:textDirection w:val="lrTb"/>
            <w:noWrap w:val="false"/>
          </w:tcPr>
          <w:p>
            <w:pPr>
              <w:pStyle w:val="726"/>
              <w:jc w:val="center"/>
              <w:spacing w:after="0"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分值（分）</w:t>
            </w:r>
            <w:r>
              <w:rPr>
                <w:rFonts w:ascii="宋体" w:hAnsi="宋体" w:cs="宋体"/>
                <w:b/>
                <w:bCs/>
                <w:color w:val="000000"/>
                <w:sz w:val="24"/>
                <w:highlight w:val="none"/>
              </w:rPr>
            </w:r>
            <w:r/>
          </w:p>
        </w:tc>
        <w:tc>
          <w:tcPr>
            <w:tcW w:w="2318" w:type="dxa"/>
            <w:vAlign w:val="center"/>
            <w:textDirection w:val="lrTb"/>
            <w:noWrap w:val="false"/>
          </w:tcPr>
          <w:p>
            <w:pPr>
              <w:pStyle w:val="726"/>
              <w:jc w:val="center"/>
              <w:spacing w:after="0"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提供材料要求及备注</w:t>
            </w:r>
            <w:r>
              <w:rPr>
                <w:rFonts w:ascii="宋体" w:hAnsi="宋体" w:cs="宋体"/>
                <w:b/>
                <w:bCs/>
                <w:color w:val="000000"/>
                <w:sz w:val="24"/>
                <w:highlight w:val="none"/>
              </w:rPr>
            </w:r>
            <w:r/>
          </w:p>
        </w:tc>
      </w:tr>
      <w:tr>
        <w:trPr>
          <w:trHeight w:val="90"/>
        </w:trPr>
        <w:tc>
          <w:tcPr>
            <w:tcW w:w="1212"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w:t>
            </w: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ascii="宋体" w:hAnsi="宋体" w:cs="宋体"/>
                <w:color w:val="000000"/>
                <w:sz w:val="24"/>
                <w:highlight w:val="none"/>
              </w:rPr>
              <w:t xml:space="preserve">1</w:t>
            </w:r>
            <w:r>
              <w:rPr>
                <w:rFonts w:hint="eastAsia" w:ascii="宋体" w:hAnsi="宋体" w:cs="宋体"/>
                <w:color w:val="000000"/>
                <w:sz w:val="24"/>
                <w:highlight w:val="none"/>
              </w:rPr>
              <w:t xml:space="preserve">0分）</w:t>
            </w: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w:t>
            </w:r>
            <w:bookmarkStart w:id="292" w:name="OLE_LINK2"/>
            <w:r>
              <w:rPr>
                <w:rFonts w:hint="eastAsia" w:ascii="宋体" w:hAnsi="宋体" w:cs="宋体"/>
                <w:color w:val="000000"/>
                <w:sz w:val="24"/>
                <w:highlight w:val="none"/>
              </w:rPr>
              <w:t xml:space="preserve">采用低价优先法计算，即满足招标文件要求且投标价格最低的投标报价为评标基准价，其价格分为满分。其他投标人的价格分统一按照下列公式计算：投标报价得分=（评标基准价／投标报价）×分值。</w:t>
            </w:r>
            <w:bookmarkEnd w:id="292"/>
            <w:r>
              <w:rPr>
                <w:rFonts w:ascii="宋体" w:hAnsi="宋体" w:cs="宋体"/>
                <w:color w:val="000000"/>
                <w:sz w:val="24"/>
                <w:highlight w:val="none"/>
              </w:rPr>
            </w:r>
            <w:r/>
          </w:p>
        </w:tc>
        <w:tc>
          <w:tcPr>
            <w:tcW w:w="962"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t xml:space="preserve">1</w:t>
            </w:r>
            <w:r>
              <w:rPr>
                <w:rFonts w:hint="eastAsia" w:ascii="宋体" w:hAnsi="宋体" w:cs="宋体"/>
                <w:color w:val="000000"/>
                <w:sz w:val="24"/>
                <w:highlight w:val="none"/>
              </w:rPr>
              <w:t xml:space="preserve">0</w:t>
            </w:r>
            <w:r>
              <w:rPr>
                <w:rFonts w:ascii="宋体" w:hAnsi="宋体" w:cs="宋体"/>
                <w:color w:val="000000"/>
                <w:sz w:val="24"/>
                <w:highlight w:val="none"/>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90"/>
        </w:trPr>
        <w:tc>
          <w:tcPr>
            <w:gridSpan w:val="4"/>
            <w:tcW w:w="9450"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bookmarkStart w:id="293" w:name="OLE_LINK9"/>
            <w:r>
              <w:rPr>
                <w:rFonts w:hint="eastAsia" w:ascii="宋体" w:hAnsi="宋体" w:cs="宋体"/>
                <w:b/>
                <w:color w:val="000000"/>
                <w:sz w:val="24"/>
                <w:highlight w:val="none"/>
              </w:rPr>
              <w:t xml:space="preserve">主观分评分项（2.1-2.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）属于暗标评审项，各供应商提供的文字内容、图片均不得出现供应商的名称及标志标记，否则暗标项（2.1-2.</w:t>
            </w:r>
            <w:r>
              <w:rPr>
                <w:rFonts w:hint="eastAsia" w:ascii="宋体" w:hAnsi="宋体" w:cs="宋体"/>
                <w:b/>
                <w:color w:val="000000"/>
                <w:sz w:val="24"/>
                <w:highlight w:val="none"/>
                <w:lang w:val="en-US" w:eastAsia="zh-CN"/>
              </w:rPr>
              <w:t xml:space="preserve">6</w:t>
            </w:r>
            <w:r>
              <w:rPr>
                <w:rFonts w:hint="eastAsia" w:ascii="宋体" w:hAnsi="宋体" w:cs="宋体"/>
                <w:b/>
                <w:color w:val="000000"/>
                <w:sz w:val="24"/>
                <w:highlight w:val="none"/>
              </w:rPr>
              <w:t xml:space="preserve">）均不得分。</w:t>
            </w:r>
            <w:bookmarkEnd w:id="293"/>
            <w:r>
              <w:rPr>
                <w:rFonts w:ascii="宋体" w:hAnsi="宋体" w:cs="宋体"/>
                <w:color w:val="000000"/>
                <w:sz w:val="24"/>
                <w:highlight w:val="none"/>
              </w:rPr>
            </w:r>
            <w:r/>
          </w:p>
        </w:tc>
      </w:tr>
      <w:tr>
        <w:trPr>
          <w:trHeight w:val="604"/>
        </w:trPr>
        <w:tc>
          <w:tcPr>
            <w:tcW w:w="1212" w:type="dxa"/>
            <w:vAlign w:val="center"/>
            <w:vMerge w:val="restart"/>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主观分</w:t>
            </w: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57</w:t>
            </w:r>
            <w:r>
              <w:rPr>
                <w:rFonts w:hint="eastAsia" w:ascii="宋体" w:hAnsi="宋体" w:cs="宋体"/>
                <w:color w:val="000000"/>
                <w:sz w:val="24"/>
                <w:highlight w:val="none"/>
              </w:rPr>
              <w:t xml:space="preserve">分） </w:t>
            </w: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b/>
                <w:bCs/>
                <w:color w:val="000000"/>
                <w:sz w:val="24"/>
                <w:highlight w:val="none"/>
              </w:rPr>
              <w:t xml:space="preserve">2.1、技术方案：</w:t>
            </w:r>
            <w:r>
              <w:rPr>
                <w:rFonts w:hint="eastAsia" w:ascii="宋体" w:hAnsi="宋体" w:cs="宋体"/>
                <w:color w:val="000000"/>
                <w:sz w:val="24"/>
                <w:highlight w:val="none"/>
              </w:rPr>
              <w:t xml:space="preserve">根据投标人提供的技术方案进行评价，需涵盖项目背景介绍、重点难点分析、需求分析、产品架构、网络拓扑方案 ，方案具体详实、有针对性、可行性高的得</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分；方案比较具体、针对性、可行性较强的得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分；方案基本符合采购要求，针对性、可行性一般的得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分；未提供不得分。</w:t>
            </w:r>
            <w:r>
              <w:rPr>
                <w:rFonts w:ascii="宋体" w:hAnsi="宋体" w:cs="宋体"/>
                <w:color w:val="000000"/>
                <w:sz w:val="24"/>
                <w:highlight w:val="none"/>
              </w:rPr>
            </w:r>
            <w:r/>
          </w:p>
        </w:tc>
        <w:tc>
          <w:tcPr>
            <w:tcW w:w="962"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rPr>
                <w:rFonts w:ascii="宋体" w:hAnsi="宋体" w:cs="宋体"/>
                <w:bCs/>
                <w:color w:val="000000"/>
                <w:sz w:val="24"/>
                <w:highlight w:val="none"/>
              </w:rPr>
            </w:pPr>
            <w:r>
              <w:rPr>
                <w:rFonts w:hint="eastAsia" w:ascii="宋体" w:hAnsi="宋体" w:cs="宋体"/>
                <w:b/>
                <w:bCs/>
                <w:color w:val="000000"/>
                <w:sz w:val="24"/>
                <w:highlight w:val="none"/>
              </w:rPr>
              <w:t xml:space="preserve">2.2、功能介绍：</w:t>
            </w:r>
            <w:r>
              <w:rPr>
                <w:rFonts w:hint="eastAsia" w:ascii="宋体" w:hAnsi="宋体" w:cs="宋体"/>
                <w:color w:val="000000"/>
                <w:sz w:val="24"/>
                <w:highlight w:val="none"/>
              </w:rPr>
              <w:t xml:space="preserve">根据投标人提供的功能方案进行评价，需涵盖资源管理、检测过程管理、体系管理、其他工作管理、查询统计方案、实验室布置图管理(制订各类标识并在合理的位置进行张贴，具体要求要符合WS 589-2018规定)，方案具体详实、有针对性、可行性高的得8分；方案比较具体、针对性、可行性较强的得6分；方案基本符合采购要求，针对性、可行性一般的得4分；未提供不得分。</w:t>
            </w:r>
            <w:r>
              <w:rPr>
                <w:rFonts w:ascii="宋体" w:hAnsi="宋体" w:cs="宋体"/>
                <w:bCs/>
                <w:color w:val="000000"/>
                <w:sz w:val="24"/>
                <w:highlight w:val="none"/>
              </w:rPr>
            </w:r>
            <w:r/>
          </w:p>
        </w:tc>
        <w:tc>
          <w:tcPr>
            <w:tcW w:w="962" w:type="dxa"/>
            <w:vAlign w:val="center"/>
            <w:textDirection w:val="lrTb"/>
            <w:noWrap w:val="false"/>
          </w:tcPr>
          <w:p>
            <w:pPr>
              <w:pStyle w:val="726"/>
              <w:jc w:val="center"/>
              <w:spacing w:after="0" w:line="3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eastAsia="宋体" w:cs="宋体"/>
                <w:color w:val="000000"/>
                <w:sz w:val="24"/>
                <w:highlight w:val="none"/>
                <w:lang w:val="en-US" w:eastAsia="zh-CN"/>
              </w:rPr>
            </w:r>
            <w:r/>
          </w:p>
        </w:tc>
        <w:tc>
          <w:tcPr>
            <w:tcW w:w="2318" w:type="dxa"/>
            <w:vAlign w:val="center"/>
            <w:vMerge w:val="restart"/>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b/>
                <w:bCs/>
                <w:color w:val="000000"/>
                <w:sz w:val="24"/>
                <w:highlight w:val="none"/>
              </w:rPr>
              <w:t xml:space="preserve">2.3、项目管理方案：</w:t>
            </w:r>
            <w:r>
              <w:rPr>
                <w:rFonts w:hint="eastAsia" w:ascii="宋体" w:hAnsi="宋体" w:eastAsia="宋体" w:cs="宋体"/>
                <w:color w:val="000000"/>
                <w:sz w:val="24"/>
                <w:highlight w:val="none"/>
                <w:lang w:val="en-US" w:eastAsia="zh-CN"/>
              </w:rPr>
              <w:t xml:space="preserve">投</w:t>
            </w:r>
            <w:r>
              <w:rPr>
                <w:rFonts w:hint="eastAsia" w:ascii="宋体" w:hAnsi="宋体" w:eastAsia="宋体" w:cs="宋体"/>
                <w:color w:val="000000"/>
                <w:sz w:val="24"/>
                <w:highlight w:val="none"/>
              </w:rPr>
              <w:t xml:space="preserve">标</w:t>
            </w:r>
            <w:r>
              <w:rPr>
                <w:rFonts w:hint="eastAsia" w:ascii="宋体" w:hAnsi="宋体" w:cs="宋体"/>
                <w:color w:val="000000"/>
                <w:sz w:val="24"/>
                <w:highlight w:val="none"/>
              </w:rPr>
              <w:t xml:space="preserve">人提供的项目管理方案，需涵盖涵盖：项目沟通管理、项目范围管理、项目风险管理、保密管理、项目重点难点分析等，方案具体详实、有针对性、可行性高的得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分；方案比较具体、针对性、可行性较强的得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分；方案基本符合采购要求，针对性、可行性一般的得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分；未提供不得分。</w:t>
            </w:r>
            <w:r>
              <w:rPr>
                <w:rFonts w:ascii="宋体" w:hAnsi="宋体" w:cs="宋体"/>
                <w:color w:val="000000"/>
                <w:sz w:val="24"/>
                <w:highlight w:val="none"/>
              </w:rPr>
            </w:r>
            <w:r/>
          </w:p>
        </w:tc>
        <w:tc>
          <w:tcPr>
            <w:tcW w:w="962"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2318"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ascii="宋体" w:hAnsi="宋体" w:cs="宋体"/>
                <w:color w:val="000000"/>
                <w:sz w:val="24"/>
                <w:highlight w:val="none"/>
              </w:rPr>
            </w:pPr>
            <w:r>
              <w:rPr>
                <w:rFonts w:hint="eastAsia" w:ascii="宋体" w:hAnsi="宋体" w:cs="宋体"/>
                <w:b/>
                <w:bCs/>
                <w:color w:val="000000"/>
                <w:sz w:val="24"/>
                <w:highlight w:val="none"/>
              </w:rPr>
              <w:t xml:space="preserve">2.4、售后服务方案：</w:t>
            </w:r>
            <w:r>
              <w:rPr>
                <w:rFonts w:hint="eastAsia" w:ascii="宋体" w:hAnsi="宋体" w:cs="宋体"/>
                <w:color w:val="000000"/>
                <w:sz w:val="24"/>
                <w:highlight w:val="none"/>
              </w:rPr>
              <w:t xml:space="preserve">投标人提供</w:t>
            </w:r>
            <w:r>
              <w:rPr>
                <w:rFonts w:hint="eastAsia" w:ascii="宋体" w:hAnsi="宋体" w:cs="宋体"/>
                <w:color w:val="000000"/>
                <w:sz w:val="24"/>
                <w:highlight w:val="none"/>
                <w:lang w:eastAsia="zh-CN"/>
              </w:rPr>
              <w:t xml:space="preserve">的</w:t>
            </w:r>
            <w:r>
              <w:rPr>
                <w:rFonts w:hint="eastAsia" w:ascii="宋体" w:hAnsi="宋体" w:cs="宋体"/>
                <w:color w:val="000000"/>
                <w:sz w:val="24"/>
                <w:highlight w:val="none"/>
              </w:rPr>
              <w:t xml:space="preserve">售后服务方案，需涵盖组织管理、服务内容范围、服务保障措施、技术支持响应、服务质量管理等。方案针对性强、全面合理、科学性强得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分；方案基本符合项目要求、较全面科学得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分；方案针对性</w:t>
            </w:r>
            <w:r>
              <w:rPr>
                <w:rFonts w:hint="eastAsia" w:ascii="宋体" w:hAnsi="宋体" w:cs="宋体"/>
                <w:color w:val="000000"/>
                <w:sz w:val="24"/>
                <w:highlight w:val="none"/>
                <w:lang w:val="en-US" w:eastAsia="zh-CN"/>
              </w:rPr>
              <w:t xml:space="preserve">一般</w:t>
            </w:r>
            <w:r>
              <w:rPr>
                <w:rFonts w:hint="eastAsia" w:ascii="宋体" w:hAnsi="宋体" w:cs="宋体"/>
                <w:color w:val="000000"/>
                <w:sz w:val="24"/>
                <w:highlight w:val="none"/>
              </w:rPr>
              <w:t xml:space="preserve">，不够全面科学得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分，未提供</w:t>
            </w:r>
            <w:r>
              <w:rPr>
                <w:rFonts w:hint="eastAsia" w:ascii="宋体" w:hAnsi="宋体" w:cs="宋体"/>
                <w:color w:val="000000"/>
                <w:sz w:val="24"/>
                <w:highlight w:val="none"/>
                <w:lang w:val="en-US" w:eastAsia="zh-CN"/>
              </w:rPr>
              <w:t xml:space="preserve">不得分</w:t>
            </w: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962"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2318" w:type="dxa"/>
            <w:vAlign w:val="center"/>
            <w:vMerge w:val="continue"/>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24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2.5、应急处理方案：</w:t>
            </w:r>
            <w:r>
              <w:rPr>
                <w:rFonts w:hint="eastAsia" w:ascii="宋体" w:hAnsi="宋体" w:cs="宋体"/>
                <w:color w:val="000000"/>
                <w:sz w:val="24"/>
                <w:highlight w:val="none"/>
              </w:rPr>
              <w:t xml:space="preserve">投标人对系统可能发生的故障有相对应的应急处理方案。防范及应对措施精细、准确，整体针对性强的得</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分；防范及应对措施较精细、准确，整体针对性较强得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分；防范及应对措施一般，缺乏合理性的得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分；未提供不得分。</w:t>
            </w:r>
            <w:r>
              <w:rPr>
                <w:rFonts w:hint="eastAsia" w:ascii="宋体" w:hAnsi="宋体" w:cs="宋体"/>
                <w:b/>
                <w:bCs/>
                <w:color w:val="000000"/>
                <w:sz w:val="24"/>
                <w:highlight w:val="none"/>
              </w:rPr>
            </w:r>
            <w:r/>
          </w:p>
        </w:tc>
        <w:tc>
          <w:tcPr>
            <w:tcW w:w="962"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val="en-US" w:eastAsia="zh-CN"/>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spacing w:after="0" w:line="3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2.6、</w:t>
            </w:r>
            <w:r>
              <w:rPr>
                <w:rFonts w:hint="eastAsia" w:ascii="宋体" w:hAnsi="宋体" w:cs="宋体"/>
                <w:b/>
                <w:bCs/>
                <w:color w:val="000000"/>
                <w:sz w:val="24"/>
                <w:highlight w:val="none"/>
              </w:rPr>
              <w:t xml:space="preserve">培训方案：</w:t>
            </w:r>
            <w:r>
              <w:rPr>
                <w:rFonts w:hint="eastAsia" w:ascii="宋体" w:hAnsi="宋体" w:cs="宋体"/>
                <w:color w:val="000000"/>
                <w:sz w:val="24"/>
                <w:highlight w:val="none"/>
              </w:rPr>
              <w:t xml:space="preserve">投标人提供的技术培训方案及售后服务方案，需涵盖培训目标、培训内容、培训方式、培训师资、培训评估等。方案针对性强、全面合理、科学性强得5分；方案基本符合项目要求、较全面科学得3分；方案针对性</w:t>
            </w:r>
            <w:r>
              <w:rPr>
                <w:rFonts w:hint="eastAsia" w:ascii="宋体" w:hAnsi="宋体" w:cs="宋体"/>
                <w:color w:val="000000"/>
                <w:sz w:val="24"/>
                <w:highlight w:val="none"/>
                <w:lang w:val="en-US" w:eastAsia="zh-CN"/>
              </w:rPr>
              <w:t xml:space="preserve">一般</w:t>
            </w:r>
            <w:r>
              <w:rPr>
                <w:rFonts w:hint="eastAsia" w:ascii="宋体" w:hAnsi="宋体" w:cs="宋体"/>
                <w:color w:val="000000"/>
                <w:sz w:val="24"/>
                <w:highlight w:val="none"/>
              </w:rPr>
              <w:t xml:space="preserve">，不够全面科学得1分，未提供</w:t>
            </w:r>
            <w:r>
              <w:rPr>
                <w:rFonts w:hint="eastAsia" w:ascii="宋体" w:hAnsi="宋体" w:cs="宋体"/>
                <w:color w:val="000000"/>
                <w:sz w:val="24"/>
                <w:highlight w:val="none"/>
                <w:lang w:val="en-US" w:eastAsia="zh-CN"/>
              </w:rPr>
              <w:t xml:space="preserve">不得分</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r>
            <w:r/>
          </w:p>
        </w:tc>
        <w:tc>
          <w:tcPr>
            <w:tcW w:w="962" w:type="dxa"/>
            <w:vAlign w:val="center"/>
            <w:textDirection w:val="lrTb"/>
            <w:noWrap w:val="false"/>
          </w:tcPr>
          <w:p>
            <w:pPr>
              <w:pStyle w:val="726"/>
              <w:jc w:val="center"/>
              <w:spacing w:after="0" w:line="3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r>
      <w:tr>
        <w:trPr>
          <w:trHeight w:val="674"/>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jc w:val="left"/>
              <w:spacing w:line="30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2.7、系统演示：投标人根据项目需求，对检测流程进行演示，演示</w:t>
            </w:r>
            <w:r>
              <w:rPr>
                <w:rFonts w:hint="eastAsia" w:ascii="宋体" w:hAnsi="宋体" w:eastAsia="宋体" w:cs="宋体"/>
                <w:b/>
                <w:bCs/>
                <w:color w:val="000000"/>
                <w:sz w:val="24"/>
                <w:szCs w:val="24"/>
                <w:highlight w:val="none"/>
                <w:lang w:val="en-US" w:eastAsia="zh-CN"/>
              </w:rPr>
              <w:t xml:space="preserve">流程</w:t>
            </w:r>
            <w:r>
              <w:rPr>
                <w:rFonts w:hint="eastAsia" w:ascii="宋体" w:hAnsi="宋体" w:eastAsia="宋体" w:cs="宋体"/>
                <w:b/>
                <w:bCs/>
                <w:color w:val="000000"/>
                <w:sz w:val="24"/>
                <w:szCs w:val="24"/>
                <w:highlight w:val="none"/>
              </w:rPr>
              <w:t xml:space="preserve">内容要点</w:t>
            </w:r>
            <w:r>
              <w:rPr>
                <w:rFonts w:hint="eastAsia" w:ascii="宋体" w:hAnsi="宋体" w:eastAsia="宋体" w:cs="宋体"/>
                <w:b/>
                <w:bCs/>
                <w:color w:val="000000"/>
                <w:sz w:val="24"/>
                <w:szCs w:val="24"/>
                <w:highlight w:val="none"/>
                <w:lang w:val="en-US" w:eastAsia="zh-CN"/>
              </w:rPr>
              <w:t xml:space="preserve">包括</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726"/>
              <w:ind w:firstLine="48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终端操作计划采样、应急采样，样品唯一性编号的赋予与打印。样品唯一性编号要求要可以体现一个样品的不同细分，要支持现场生成和预先计划生成打印；</w:t>
            </w:r>
            <w:r>
              <w:rPr>
                <w:rFonts w:hint="eastAsia" w:ascii="宋体" w:hAnsi="宋体" w:eastAsia="宋体" w:cs="宋体"/>
                <w:color w:val="000000"/>
                <w:sz w:val="24"/>
                <w:szCs w:val="24"/>
                <w:highlight w:val="none"/>
              </w:rPr>
            </w:r>
            <w:r/>
          </w:p>
          <w:p>
            <w:pPr>
              <w:pStyle w:val="726"/>
              <w:ind w:firstLine="48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2.检测需求合同评审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根据实验过程中人、机、料、法、环、收费、检测时限等要点进行评审，能够根据“检测项目能力表”全部要素自动评审的得全分，全部需要人工输入后评审的不得分；</w:t>
            </w:r>
            <w:r>
              <w:rPr>
                <w:rFonts w:hint="eastAsia" w:ascii="宋体" w:hAnsi="宋体" w:eastAsia="宋体" w:cs="宋体"/>
                <w:color w:val="000000"/>
                <w:sz w:val="24"/>
                <w:szCs w:val="24"/>
                <w:highlight w:val="none"/>
              </w:rPr>
            </w:r>
            <w:r/>
          </w:p>
          <w:p>
            <w:pPr>
              <w:pStyle w:val="726"/>
              <w:ind w:firstLine="48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3.任务安排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能够根据“检测项目能力表”进行自动任务安排，无需另选但可以修正。全部需要人工输入的不得分；</w:t>
            </w:r>
            <w:r>
              <w:rPr>
                <w:rFonts w:hint="eastAsia" w:ascii="宋体" w:hAnsi="宋体" w:eastAsia="宋体" w:cs="宋体"/>
                <w:color w:val="000000"/>
                <w:sz w:val="24"/>
                <w:szCs w:val="24"/>
                <w:highlight w:val="none"/>
              </w:rPr>
            </w:r>
            <w:r/>
          </w:p>
          <w:p>
            <w:pPr>
              <w:pStyle w:val="726"/>
              <w:ind w:firstLine="48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4.原始记录的填写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能够自动获取或者具备数据分析功能，可以添加质控检测信息，如试剂空白验证、平行检测、加标检测、控样检测、不确定度等；</w:t>
            </w:r>
            <w:r>
              <w:rPr>
                <w:rFonts w:hint="eastAsia" w:ascii="宋体" w:hAnsi="宋体" w:eastAsia="宋体" w:cs="宋体"/>
                <w:color w:val="000000"/>
                <w:sz w:val="24"/>
                <w:szCs w:val="24"/>
                <w:highlight w:val="none"/>
              </w:rPr>
            </w:r>
            <w:r/>
          </w:p>
          <w:p>
            <w:pPr>
              <w:pStyle w:val="726"/>
              <w:ind w:firstLine="48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所有修改要有修改记录，体现“文件修改三要素”：a.原内容及修改后内容、b.修改人、c.修改时间；</w:t>
            </w:r>
            <w:r>
              <w:rPr>
                <w:rFonts w:hint="eastAsia" w:ascii="宋体" w:hAnsi="宋体" w:eastAsia="宋体" w:cs="宋体"/>
                <w:color w:val="000000"/>
                <w:sz w:val="24"/>
                <w:szCs w:val="24"/>
                <w:highlight w:val="none"/>
              </w:rPr>
            </w:r>
            <w:r/>
          </w:p>
          <w:p>
            <w:pPr>
              <w:pStyle w:val="726"/>
              <w:ind w:firstLine="480"/>
              <w:jc w:val="left"/>
              <w:spacing w:line="3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6.演示各种报告形式，包括正式CMA报告和非CMA报告、结果数据的导出。</w:t>
            </w:r>
            <w:r>
              <w:rPr>
                <w:rFonts w:hint="eastAsia" w:ascii="宋体" w:hAnsi="宋体" w:eastAsia="宋体" w:cs="宋体"/>
                <w:color w:val="000000"/>
                <w:sz w:val="24"/>
                <w:szCs w:val="24"/>
                <w:highlight w:val="none"/>
              </w:rPr>
            </w:r>
            <w:r/>
          </w:p>
          <w:p>
            <w:pPr>
              <w:pStyle w:val="726"/>
              <w:ind w:firstLine="482"/>
              <w:jc w:val="left"/>
              <w:spacing w:line="30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注：1、上述</w:t>
            </w:r>
            <w:r>
              <w:rPr>
                <w:rFonts w:hint="eastAsia" w:ascii="宋体" w:hAnsi="宋体" w:eastAsia="宋体" w:cs="宋体"/>
                <w:b/>
                <w:bCs/>
                <w:color w:val="000000"/>
                <w:sz w:val="24"/>
                <w:szCs w:val="24"/>
                <w:highlight w:val="none"/>
              </w:rPr>
              <w:t xml:space="preserve">检测流程中每一小项功能设计合理、业务逻辑准确、系统结构清晰完整且符合采购需求的得3分；设计较合理、业务逻辑相对准确、系统结构相对清晰、较符合采购需求的得2分；设计一般、业务逻辑不太准确、系统结果不清晰，不太符合采购需求的得1分；没有提供则不得分。</w:t>
            </w:r>
            <w:r>
              <w:rPr>
                <w:rFonts w:hint="eastAsia" w:ascii="宋体" w:hAnsi="宋体" w:eastAsia="宋体" w:cs="宋体"/>
                <w:b/>
                <w:bCs/>
                <w:color w:val="000000"/>
                <w:sz w:val="24"/>
                <w:szCs w:val="24"/>
                <w:highlight w:val="none"/>
                <w:lang w:val="en-US" w:eastAsia="zh-CN"/>
              </w:rPr>
              <w:t xml:space="preserve">最高得18分。</w:t>
            </w:r>
            <w:r>
              <w:rPr>
                <w:rFonts w:ascii="宋体" w:hAnsi="宋体" w:eastAsia="宋体" w:cs="宋体"/>
                <w:b/>
                <w:bCs/>
                <w:color w:val="000000"/>
                <w:sz w:val="24"/>
                <w:szCs w:val="24"/>
                <w:highlight w:val="none"/>
                <w:lang w:val="en-US" w:eastAsia="zh-CN"/>
              </w:rPr>
            </w:r>
            <w:r/>
          </w:p>
          <w:p>
            <w:pPr>
              <w:pStyle w:val="726"/>
              <w:ind w:firstLine="482"/>
              <w:jc w:val="left"/>
              <w:spacing w:line="300" w:lineRule="exact"/>
              <w:widowControl/>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如为PPT、WORD、图片或动画等非系统演示的不得分。</w:t>
            </w:r>
            <w:r>
              <w:rPr>
                <w:rFonts w:ascii="宋体" w:hAnsi="宋体" w:eastAsia="宋体" w:cs="宋体"/>
                <w:b/>
                <w:bCs/>
                <w:color w:val="000000"/>
                <w:sz w:val="24"/>
                <w:highlight w:val="none"/>
                <w:lang w:val="en-US" w:eastAsia="zh-CN"/>
              </w:rPr>
            </w:r>
            <w:r/>
          </w:p>
        </w:tc>
        <w:tc>
          <w:tcPr>
            <w:tcW w:w="962" w:type="dxa"/>
            <w:vAlign w:val="center"/>
            <w:textDirection w:val="lrTb"/>
            <w:noWrap w:val="false"/>
          </w:tcPr>
          <w:p>
            <w:pPr>
              <w:pStyle w:val="726"/>
              <w:jc w:val="center"/>
              <w:spacing w:line="3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18</w:t>
            </w:r>
            <w:r>
              <w:rPr>
                <w:rFonts w:ascii="宋体" w:hAnsi="宋体" w:eastAsia="宋体" w:cs="宋体"/>
                <w:color w:val="000000"/>
                <w:sz w:val="24"/>
                <w:highlight w:val="none"/>
                <w:lang w:val="en-US" w:eastAsia="zh-CN"/>
              </w:rPr>
            </w:r>
            <w:r/>
          </w:p>
        </w:tc>
        <w:tc>
          <w:tcPr>
            <w:tcW w:w="2318" w:type="dxa"/>
            <w:vAlign w:val="center"/>
            <w:textDirection w:val="lrTb"/>
            <w:noWrap w:val="false"/>
          </w:tcPr>
          <w:p>
            <w:pPr>
              <w:pStyle w:val="726"/>
              <w:jc w:val="left"/>
              <w:spacing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演示视频（需配置声音讲解，视频时长不超过20分钟，视频格式为MP4，清晰度达720P或以上，大小不超过系统要求，如有疑问可拨打咨询技术支持电话），并按要求将视频压缩包上传至系统指定模块中。评委将根据评分点的演示功能和效果进行评审。</w:t>
            </w:r>
            <w:r>
              <w:rPr>
                <w:rFonts w:ascii="宋体" w:hAnsi="宋体" w:cs="宋体"/>
                <w:color w:val="000000"/>
                <w:sz w:val="24"/>
                <w:highlight w:val="none"/>
              </w:rPr>
            </w:r>
            <w:r/>
          </w:p>
        </w:tc>
      </w:tr>
      <w:tr>
        <w:trPr>
          <w:trHeight w:val="627"/>
        </w:trPr>
        <w:tc>
          <w:tcPr>
            <w:tcW w:w="1212" w:type="dxa"/>
            <w:vAlign w:val="center"/>
            <w:vMerge w:val="restart"/>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客观分</w:t>
            </w:r>
            <w:r>
              <w:rPr>
                <w:rFonts w:ascii="宋体" w:hAnsi="宋体" w:cs="宋体"/>
                <w:color w:val="000000"/>
                <w:sz w:val="24"/>
                <w:highlight w:val="none"/>
              </w:rPr>
            </w:r>
            <w:r/>
          </w:p>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4958" w:type="dxa"/>
            <w:vAlign w:val="center"/>
            <w:textDirection w:val="lrTb"/>
            <w:noWrap w:val="false"/>
          </w:tcPr>
          <w:p>
            <w:pPr>
              <w:pStyle w:val="738"/>
              <w:ind w:left="0" w:firstLine="0"/>
              <w:spacing w:before="0" w:line="300" w:lineRule="exact"/>
              <w:tabs>
                <w:tab w:val="left" w:pos="567" w:leader="none"/>
              </w:tabs>
              <w:rPr>
                <w:rFonts w:cs="宋体"/>
                <w:color w:val="000000"/>
                <w:highlight w:val="none"/>
              </w:rPr>
            </w:pPr>
            <w:r>
              <w:rPr>
                <w:rFonts w:hint="eastAsia" w:cs="宋体"/>
                <w:b/>
                <w:bCs/>
                <w:color w:val="000000"/>
                <w:highlight w:val="none"/>
              </w:rPr>
              <w:t xml:space="preserve">3.1、企业认证：</w:t>
            </w:r>
            <w:r>
              <w:rPr>
                <w:rFonts w:hint="eastAsia" w:ascii="宋体" w:hAnsi="宋体" w:cs="宋体"/>
                <w:bCs/>
                <w:color w:val="000000"/>
                <w:sz w:val="24"/>
                <w:highlight w:val="none"/>
                <w:lang w:bidi="ar"/>
              </w:rPr>
              <w:t xml:space="preserve">投标人具有有效期内的</w:t>
            </w:r>
            <w:r>
              <w:rPr>
                <w:rFonts w:hint="eastAsia" w:ascii="宋体" w:hAnsi="宋体" w:eastAsia="宋体" w:cs="宋体"/>
                <w:color w:val="000000"/>
                <w:sz w:val="24"/>
                <w:szCs w:val="24"/>
                <w:highlight w:val="none"/>
              </w:rPr>
              <w:t xml:space="preserve">ISO20000</w:t>
            </w:r>
            <w:r>
              <w:rPr>
                <w:rFonts w:hint="eastAsia" w:ascii="宋体" w:hAnsi="宋体" w:cs="宋体"/>
                <w:bCs/>
                <w:color w:val="000000"/>
                <w:sz w:val="24"/>
                <w:highlight w:val="none"/>
                <w:lang w:bidi="ar"/>
              </w:rPr>
              <w:t xml:space="preserve">信息技术服务管理体系认证证书的得</w:t>
            </w:r>
            <w:r>
              <w:rPr>
                <w:rFonts w:hint="eastAsia" w:ascii="宋体" w:hAnsi="宋体" w:cs="宋体"/>
                <w:bCs/>
                <w:color w:val="000000"/>
                <w:sz w:val="24"/>
                <w:highlight w:val="none"/>
                <w:lang w:val="en-US" w:eastAsia="zh-CN" w:bidi="ar"/>
              </w:rPr>
              <w:t xml:space="preserve">3</w:t>
            </w:r>
            <w:r>
              <w:rPr>
                <w:rFonts w:hint="eastAsia" w:ascii="宋体" w:hAnsi="宋体" w:cs="宋体"/>
                <w:bCs/>
                <w:color w:val="000000"/>
                <w:sz w:val="24"/>
                <w:highlight w:val="none"/>
                <w:lang w:bidi="ar"/>
              </w:rPr>
              <w:t xml:space="preserve">分；具有有效期内的</w:t>
            </w:r>
            <w:r>
              <w:rPr>
                <w:rFonts w:hint="eastAsia" w:ascii="宋体" w:hAnsi="宋体" w:eastAsia="宋体" w:cs="宋体"/>
                <w:color w:val="000000"/>
                <w:sz w:val="24"/>
                <w:szCs w:val="24"/>
                <w:highlight w:val="none"/>
              </w:rPr>
              <w:t xml:space="preserve">（ISO/IEC27701）</w:t>
            </w:r>
            <w:r>
              <w:rPr>
                <w:rFonts w:hint="eastAsia" w:ascii="宋体" w:hAnsi="宋体" w:cs="宋体"/>
                <w:bCs/>
                <w:color w:val="000000"/>
                <w:sz w:val="24"/>
                <w:highlight w:val="none"/>
                <w:lang w:bidi="ar"/>
              </w:rPr>
              <w:t xml:space="preserve">隐私信息管理体系认证证书的得</w:t>
            </w:r>
            <w:r>
              <w:rPr>
                <w:rFonts w:hint="eastAsia" w:ascii="宋体" w:hAnsi="宋体" w:cs="宋体"/>
                <w:bCs/>
                <w:color w:val="000000"/>
                <w:sz w:val="24"/>
                <w:highlight w:val="none"/>
                <w:lang w:val="en-US" w:eastAsia="zh-CN" w:bidi="ar"/>
              </w:rPr>
              <w:t xml:space="preserve">3</w:t>
            </w:r>
            <w:r>
              <w:rPr>
                <w:rFonts w:hint="eastAsia" w:ascii="宋体" w:hAnsi="宋体" w:cs="宋体"/>
                <w:bCs/>
                <w:color w:val="000000"/>
                <w:sz w:val="24"/>
                <w:highlight w:val="none"/>
                <w:lang w:bidi="ar"/>
              </w:rPr>
              <w:t xml:space="preserve">分；具有有效期内的</w:t>
            </w:r>
            <w:r>
              <w:rPr>
                <w:rFonts w:hint="eastAsia" w:ascii="宋体" w:hAnsi="宋体" w:eastAsia="宋体" w:cs="宋体"/>
                <w:color w:val="000000"/>
                <w:sz w:val="24"/>
                <w:szCs w:val="24"/>
                <w:highlight w:val="none"/>
              </w:rPr>
              <w:t xml:space="preserve">ISO27001</w:t>
            </w:r>
            <w:r>
              <w:rPr>
                <w:rFonts w:hint="eastAsia" w:ascii="宋体" w:hAnsi="宋体" w:cs="宋体"/>
                <w:bCs/>
                <w:color w:val="000000"/>
                <w:sz w:val="24"/>
                <w:highlight w:val="none"/>
                <w:lang w:bidi="ar"/>
              </w:rPr>
              <w:t xml:space="preserve">信息安全管理体系认证证书的得</w:t>
            </w:r>
            <w:r>
              <w:rPr>
                <w:rFonts w:hint="eastAsia" w:ascii="宋体" w:hAnsi="宋体" w:cs="宋体"/>
                <w:bCs/>
                <w:color w:val="000000"/>
                <w:sz w:val="24"/>
                <w:highlight w:val="none"/>
                <w:lang w:val="en-US" w:eastAsia="zh-CN" w:bidi="ar"/>
              </w:rPr>
              <w:t xml:space="preserve">3</w:t>
            </w:r>
            <w:r>
              <w:rPr>
                <w:rFonts w:hint="eastAsia" w:ascii="宋体" w:hAnsi="宋体" w:cs="宋体"/>
                <w:bCs/>
                <w:color w:val="000000"/>
                <w:sz w:val="24"/>
                <w:highlight w:val="none"/>
                <w:lang w:bidi="ar"/>
              </w:rPr>
              <w:t xml:space="preserve">分</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t xml:space="preserve">本项最高得</w:t>
            </w:r>
            <w:r>
              <w:rPr>
                <w:rFonts w:hint="eastAsia" w:ascii="宋体" w:hAnsi="宋体" w:cs="宋体"/>
                <w:bCs/>
                <w:color w:val="000000"/>
                <w:sz w:val="24"/>
                <w:highlight w:val="none"/>
                <w:lang w:val="en-US" w:eastAsia="zh-CN" w:bidi="ar"/>
              </w:rPr>
              <w:t xml:space="preserve">9</w:t>
            </w:r>
            <w:r>
              <w:rPr>
                <w:rFonts w:hint="eastAsia" w:ascii="宋体" w:hAnsi="宋体" w:cs="宋体"/>
                <w:bCs/>
                <w:color w:val="000000"/>
                <w:sz w:val="24"/>
                <w:highlight w:val="none"/>
                <w:lang w:bidi="ar"/>
              </w:rPr>
              <w:t xml:space="preserve">分。</w:t>
            </w:r>
            <w:r>
              <w:rPr>
                <w:rFonts w:cs="宋体"/>
                <w:color w:val="000000"/>
                <w:highlight w:val="none"/>
              </w:rPr>
            </w:r>
            <w:r/>
          </w:p>
        </w:tc>
        <w:tc>
          <w:tcPr>
            <w:tcW w:w="962"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提供认证证书【国家认监委官网最新查询状态须为“有效”】</w:t>
            </w:r>
            <w:r>
              <w:rPr>
                <w:rFonts w:ascii="宋体" w:hAnsi="宋体" w:cs="宋体"/>
                <w:color w:val="000000"/>
                <w:sz w:val="24"/>
                <w:highlight w:val="none"/>
              </w:rPr>
            </w:r>
            <w:r/>
          </w:p>
        </w:tc>
      </w:tr>
      <w:tr>
        <w:trPr>
          <w:trHeight w:val="1535"/>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jc w:val="left"/>
              <w:spacing w:after="0" w:line="3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3.2、项目团队：</w:t>
            </w:r>
            <w:r>
              <w:rPr>
                <w:rFonts w:ascii="宋体" w:hAnsi="宋体" w:cs="宋体"/>
                <w:b/>
                <w:bCs/>
                <w:color w:val="000000"/>
                <w:sz w:val="24"/>
                <w:highlight w:val="none"/>
              </w:rPr>
            </w:r>
            <w:r/>
          </w:p>
          <w:p>
            <w:pPr>
              <w:pStyle w:val="726"/>
              <w:jc w:val="left"/>
              <w:keepLines w:val="0"/>
              <w:keepNext w:val="0"/>
              <w:pageBreakBefore w:val="0"/>
              <w:spacing w:after="0" w:line="3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（1）具有网络规划设计师（高级）证书得5分；具有网络工程师（中级）证书得3分。限评1人，最高得5分。</w:t>
            </w:r>
            <w:r>
              <w:rPr>
                <w:rFonts w:hint="eastAsia" w:ascii="宋体" w:hAnsi="宋体" w:eastAsia="宋体" w:cs="宋体"/>
                <w:b w:val="0"/>
                <w:bCs w:val="0"/>
                <w:color w:val="000000"/>
                <w:sz w:val="24"/>
                <w:szCs w:val="24"/>
                <w:highlight w:val="none"/>
                <w:lang w:val="en-US" w:eastAsia="zh-CN" w:bidi="ar-SA"/>
              </w:rPr>
            </w:r>
            <w:r/>
          </w:p>
          <w:p>
            <w:pPr>
              <w:pStyle w:val="726"/>
              <w:jc w:val="left"/>
              <w:keepLines w:val="0"/>
              <w:keepNext w:val="0"/>
              <w:pageBreakBefore w:val="0"/>
              <w:spacing w:after="0" w:line="3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（2）具有ITSS信息技术应用创新服务经理证书得5分。限评1人，最高得5分。</w:t>
            </w:r>
            <w:r>
              <w:rPr>
                <w:rFonts w:hint="eastAsia" w:ascii="宋体" w:hAnsi="宋体" w:eastAsia="宋体" w:cs="宋体"/>
                <w:b w:val="0"/>
                <w:bCs w:val="0"/>
                <w:color w:val="000000"/>
                <w:sz w:val="24"/>
                <w:szCs w:val="24"/>
                <w:highlight w:val="none"/>
                <w:lang w:val="en-US" w:eastAsia="zh-CN" w:bidi="ar-SA"/>
              </w:rPr>
            </w:r>
            <w:r/>
          </w:p>
          <w:p>
            <w:pPr>
              <w:pStyle w:val="726"/>
              <w:jc w:val="left"/>
              <w:keepLines w:val="0"/>
              <w:keepNext w:val="0"/>
              <w:pageBreakBefore w:val="0"/>
              <w:spacing w:after="0" w:line="300" w:lineRule="exact"/>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（3）具有系统架构设计师证书得5分。限评1人，最高得5分。</w:t>
            </w:r>
            <w:r>
              <w:rPr>
                <w:rFonts w:hint="eastAsia" w:ascii="宋体" w:hAnsi="宋体" w:eastAsia="宋体" w:cs="宋体"/>
                <w:b w:val="0"/>
                <w:bCs w:val="0"/>
                <w:color w:val="000000"/>
                <w:sz w:val="24"/>
                <w:szCs w:val="24"/>
                <w:highlight w:val="none"/>
                <w:lang w:val="en-US" w:eastAsia="zh-CN" w:bidi="ar-SA"/>
              </w:rPr>
            </w:r>
            <w:r/>
          </w:p>
          <w:p>
            <w:pPr>
              <w:pStyle w:val="726"/>
              <w:rPr>
                <w:rFonts w:cs="宋体"/>
                <w:b/>
                <w:bCs/>
                <w:color w:val="000000"/>
                <w:highlight w:val="none"/>
              </w:rPr>
            </w:pPr>
            <w:r>
              <w:rPr>
                <w:rFonts w:hint="eastAsia" w:ascii="宋体" w:hAnsi="宋体" w:eastAsia="宋体" w:cs="宋体"/>
                <w:b w:val="0"/>
                <w:bCs w:val="0"/>
                <w:color w:val="000000"/>
                <w:sz w:val="24"/>
                <w:szCs w:val="24"/>
                <w:highlight w:val="none"/>
                <w:lang w:val="en-US" w:eastAsia="zh-CN" w:bidi="ar-SA"/>
              </w:rPr>
              <w:t xml:space="preserve">（4）具有CISAW信息安全保障人员证书（安全运维）得3分。限评1人，最高得3分</w:t>
            </w:r>
            <w:r>
              <w:rPr>
                <w:rFonts w:hint="eastAsia" w:ascii="宋体" w:hAnsi="宋体" w:cs="宋体"/>
                <w:color w:val="000000"/>
                <w:sz w:val="24"/>
                <w:highlight w:val="none"/>
              </w:rPr>
              <w:t xml:space="preserve">。</w:t>
            </w:r>
            <w:r>
              <w:rPr>
                <w:rFonts w:cs="宋体"/>
                <w:b/>
                <w:bCs/>
                <w:color w:val="000000"/>
                <w:highlight w:val="none"/>
              </w:rPr>
            </w:r>
            <w:r/>
          </w:p>
        </w:tc>
        <w:tc>
          <w:tcPr>
            <w:tcW w:w="962" w:type="dxa"/>
            <w:vAlign w:val="center"/>
            <w:textDirection w:val="lrTb"/>
            <w:noWrap w:val="false"/>
          </w:tcPr>
          <w:p>
            <w:pPr>
              <w:pStyle w:val="726"/>
              <w:jc w:val="center"/>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18</w:t>
            </w:r>
            <w:r>
              <w:rPr>
                <w:rFonts w:ascii="宋体" w:hAnsi="宋体" w:cs="宋体"/>
                <w:color w:val="000000"/>
                <w:sz w:val="24"/>
                <w:highlight w:val="none"/>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提供人员证书和投标单位为其缴纳的2026年</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月-2026年</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月中任意一个月的社保缴纳证明。</w:t>
            </w:r>
            <w:r>
              <w:rPr>
                <w:rFonts w:ascii="宋体" w:hAnsi="宋体" w:cs="宋体"/>
                <w:color w:val="000000"/>
                <w:sz w:val="24"/>
                <w:highlight w:val="none"/>
              </w:rPr>
            </w:r>
            <w:r/>
          </w:p>
        </w:tc>
      </w:tr>
      <w:tr>
        <w:trPr>
          <w:trHeight w:val="438"/>
        </w:trPr>
        <w:tc>
          <w:tcPr>
            <w:tcW w:w="1212" w:type="dxa"/>
            <w:vAlign w:val="center"/>
            <w:vMerge w:val="continue"/>
            <w:textDirection w:val="lrTb"/>
            <w:noWrap w:val="false"/>
          </w:tcPr>
          <w:p>
            <w:pPr>
              <w:pStyle w:val="726"/>
              <w:jc w:val="center"/>
              <w:spacing w:after="0" w:line="300" w:lineRule="exact"/>
              <w:widowControl/>
              <w:rPr>
                <w:rFonts w:ascii="宋体" w:hAnsi="宋体" w:cs="宋体"/>
                <w:color w:val="000000"/>
                <w:sz w:val="24"/>
                <w:highlight w:val="none"/>
              </w:rPr>
            </w:pPr>
            <w:r>
              <w:rPr>
                <w:rFonts w:ascii="宋体" w:hAnsi="宋体" w:cs="宋体"/>
                <w:color w:val="000000"/>
                <w:sz w:val="24"/>
                <w:highlight w:val="none"/>
              </w:rPr>
            </w:r>
            <w:r/>
          </w:p>
        </w:tc>
        <w:tc>
          <w:tcPr>
            <w:tcW w:w="4958" w:type="dxa"/>
            <w:vAlign w:val="center"/>
            <w:textDirection w:val="lrTb"/>
            <w:noWrap w:val="false"/>
          </w:tcPr>
          <w:p>
            <w:pPr>
              <w:pStyle w:val="726"/>
              <w:widowControl/>
              <w:rPr>
                <w:rFonts w:ascii="宋体" w:hAnsi="宋体" w:cs="宋体"/>
                <w:color w:val="000000"/>
                <w:sz w:val="24"/>
                <w:highlight w:val="none"/>
              </w:rPr>
            </w:pPr>
            <w:r>
              <w:rPr>
                <w:rFonts w:hint="eastAsia" w:ascii="宋体" w:hAnsi="宋体" w:cs="宋体"/>
                <w:b/>
                <w:bCs/>
                <w:color w:val="000000"/>
                <w:sz w:val="24"/>
                <w:highlight w:val="none"/>
              </w:rPr>
              <w:t xml:space="preserve">3.3、业绩</w:t>
            </w:r>
            <w:r>
              <w:rPr>
                <w:rFonts w:hint="eastAsia" w:ascii="宋体" w:hAnsi="宋体" w:cs="宋体"/>
                <w:b/>
                <w:bCs/>
                <w:color w:val="000000"/>
                <w:szCs w:val="21"/>
                <w:highlight w:val="none"/>
              </w:rPr>
              <w:t xml:space="preserve">：</w:t>
            </w:r>
            <w:r>
              <w:rPr>
                <w:rFonts w:hint="eastAsia" w:ascii="宋体" w:hAnsi="宋体" w:cs="宋体"/>
                <w:color w:val="000000"/>
                <w:sz w:val="24"/>
                <w:highlight w:val="none"/>
              </w:rPr>
              <w:t xml:space="preserve">投标人</w:t>
            </w:r>
            <w:r>
              <w:rPr>
                <w:rFonts w:hint="eastAsia" w:ascii="宋体" w:hAnsi="宋体" w:cs="宋体"/>
                <w:color w:val="000000"/>
                <w:sz w:val="24"/>
                <w:highlight w:val="none"/>
                <w:lang w:val="en-US" w:eastAsia="zh-CN"/>
              </w:rPr>
              <w:t xml:space="preserve">提供</w:t>
            </w:r>
            <w:r>
              <w:rPr>
                <w:rFonts w:hint="eastAsia" w:ascii="宋体" w:hAnsi="宋体" w:cs="宋体"/>
                <w:color w:val="000000"/>
                <w:sz w:val="24"/>
                <w:highlight w:val="none"/>
              </w:rPr>
              <w:t xml:space="preserve">自2023年</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月1日以来</w:t>
            </w:r>
            <w:r>
              <w:rPr>
                <w:rFonts w:hint="eastAsia" w:ascii="宋体" w:hAnsi="宋体" w:cs="宋体"/>
                <w:color w:val="000000"/>
                <w:sz w:val="24"/>
                <w:highlight w:val="none"/>
                <w:lang w:val="en-US" w:eastAsia="zh-CN"/>
              </w:rPr>
              <w:t xml:space="preserve">承接的</w:t>
            </w:r>
            <w:r>
              <w:rPr>
                <w:rFonts w:hint="eastAsia" w:ascii="宋体" w:hAnsi="宋体" w:cs="宋体"/>
                <w:color w:val="000000"/>
                <w:sz w:val="24"/>
                <w:highlight w:val="none"/>
              </w:rPr>
              <w:t xml:space="preserve">软件</w:t>
            </w:r>
            <w:r>
              <w:rPr>
                <w:rFonts w:hint="eastAsia" w:ascii="宋体" w:hAnsi="宋体" w:cs="宋体"/>
                <w:color w:val="000000"/>
                <w:sz w:val="24"/>
                <w:highlight w:val="none"/>
                <w:lang w:val="en-US" w:eastAsia="zh-CN"/>
              </w:rPr>
              <w:t xml:space="preserve">开发</w:t>
            </w:r>
            <w:r>
              <w:rPr>
                <w:rFonts w:hint="eastAsia" w:ascii="宋体" w:hAnsi="宋体" w:cs="宋体"/>
                <w:color w:val="000000"/>
                <w:sz w:val="24"/>
                <w:highlight w:val="none"/>
              </w:rPr>
              <w:t xml:space="preserve">项目业绩</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每提供</w:t>
            </w:r>
            <w:r>
              <w:rPr>
                <w:rFonts w:hint="eastAsia" w:ascii="宋体" w:hAnsi="宋体" w:cs="宋体"/>
                <w:color w:val="000000"/>
                <w:sz w:val="24"/>
                <w:highlight w:val="none"/>
              </w:rPr>
              <w:t xml:space="preserve">一个得3分</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本项最高得6分</w:t>
            </w:r>
            <w:r>
              <w:rPr>
                <w:rFonts w:hint="eastAsia" w:ascii="宋体" w:hAnsi="宋体" w:cs="宋体"/>
                <w:color w:val="000000"/>
                <w:sz w:val="24"/>
                <w:highlight w:val="none"/>
              </w:rPr>
              <w:t xml:space="preserve">。</w:t>
            </w:r>
            <w:r>
              <w:rPr>
                <w:rFonts w:ascii="宋体" w:hAnsi="宋体" w:cs="宋体"/>
                <w:color w:val="000000"/>
                <w:sz w:val="24"/>
                <w:highlight w:val="none"/>
              </w:rPr>
            </w:r>
            <w:r/>
          </w:p>
        </w:tc>
        <w:tc>
          <w:tcPr>
            <w:tcW w:w="962" w:type="dxa"/>
            <w:vAlign w:val="center"/>
            <w:textDirection w:val="lrTb"/>
            <w:noWrap w:val="false"/>
          </w:tcPr>
          <w:p>
            <w:pPr>
              <w:pStyle w:val="726"/>
              <w:jc w:val="center"/>
              <w:spacing w:after="0" w:line="3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c>
          <w:tcPr>
            <w:tcW w:w="2318" w:type="dxa"/>
            <w:vAlign w:val="center"/>
            <w:textDirection w:val="lrTb"/>
            <w:noWrap w:val="false"/>
          </w:tcPr>
          <w:p>
            <w:pPr>
              <w:pStyle w:val="726"/>
              <w:jc w:val="left"/>
              <w:spacing w:after="0"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提供业绩合同【时间以合同签订时间为准，并精确到年月日</w:t>
            </w:r>
            <w:r>
              <w:rPr>
                <w:rFonts w:hint="eastAsia" w:ascii="宋体" w:hAnsi="宋体" w:cs="宋体"/>
                <w:color w:val="000000"/>
                <w:sz w:val="24"/>
                <w:highlight w:val="none"/>
                <w:lang w:bidi="ar"/>
              </w:rPr>
              <w:t xml:space="preserve">】</w:t>
            </w:r>
            <w:r>
              <w:rPr>
                <w:rFonts w:ascii="宋体" w:hAnsi="宋体" w:cs="宋体"/>
                <w:color w:val="000000"/>
                <w:sz w:val="24"/>
                <w:highlight w:val="none"/>
              </w:rPr>
            </w:r>
            <w:r/>
          </w:p>
        </w:tc>
      </w:tr>
    </w:tbl>
    <w:p>
      <w:pPr>
        <w:pStyle w:val="726"/>
        <w:ind w:firstLine="482"/>
        <w:spacing w:before="120" w:line="360" w:lineRule="auto"/>
        <w:tabs>
          <w:tab w:val="left" w:pos="360" w:leader="none"/>
        </w:tabs>
        <w:rPr>
          <w:rFonts w:hint="eastAsia"/>
          <w:b/>
          <w:bCs/>
          <w:color w:val="000000"/>
          <w:sz w:val="24"/>
          <w:highlight w:val="none"/>
        </w:rPr>
        <w:outlineLvl w:val="1"/>
      </w:pPr>
      <w:r>
        <w:rPr>
          <w:rFonts w:hint="eastAsia"/>
          <w:b/>
          <w:bCs/>
          <w:color w:val="000000"/>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rPr>
          <w:rFonts w:hint="eastAsia"/>
          <w:b/>
          <w:bCs/>
          <w:color w:val="000000"/>
          <w:sz w:val="24"/>
          <w:highlight w:val="none"/>
        </w:rPr>
      </w:r>
      <w:r/>
    </w:p>
    <w:p>
      <w:pPr>
        <w:pStyle w:val="726"/>
        <w:jc w:val="center"/>
        <w:spacing w:line="360" w:lineRule="auto"/>
        <w:rPr>
          <w:color w:val="000000"/>
          <w:sz w:val="24"/>
          <w:highlight w:val="none"/>
        </w:rPr>
        <w:outlineLvl w:val="0"/>
      </w:pPr>
      <w:r/>
      <w:bookmarkEnd w:id="255"/>
      <w:r/>
      <w:bookmarkEnd w:id="256"/>
      <w:r>
        <w:rPr>
          <w:b/>
          <w:color w:val="000000"/>
          <w:sz w:val="36"/>
          <w:szCs w:val="36"/>
          <w:highlight w:val="none"/>
        </w:rPr>
        <w:br w:type="page" w:clear="all"/>
      </w:r>
      <w:r>
        <w:rPr>
          <w:b/>
          <w:color w:val="000000"/>
          <w:sz w:val="36"/>
          <w:szCs w:val="36"/>
          <w:highlight w:val="none"/>
        </w:rPr>
        <w:t xml:space="preserve">第五章   采购需求</w:t>
      </w:r>
      <w:bookmarkEnd w:id="99"/>
      <w:r>
        <w:rPr>
          <w:color w:val="000000"/>
          <w:sz w:val="24"/>
          <w:highlight w:val="none"/>
        </w:rPr>
      </w:r>
      <w:r/>
    </w:p>
    <w:p>
      <w:pPr>
        <w:pStyle w:val="823"/>
        <w:contextualSpacing/>
        <w:ind w:firstLine="482"/>
        <w:jc w:val="left"/>
        <w:keepLines w:val="0"/>
        <w:keepNext w:val="0"/>
        <w:pageBreakBefore w:val="0"/>
        <w:spacing w:after="0" w:line="400" w:lineRule="exact"/>
        <w:rPr>
          <w:b/>
          <w:color w:val="000000"/>
          <w:sz w:val="24"/>
          <w:highlight w:val="none"/>
        </w:rPr>
      </w:pPr>
      <w:r>
        <w:rPr>
          <w:rFonts w:hint="eastAsia"/>
          <w:b/>
          <w:color w:val="000000"/>
          <w:sz w:val="24"/>
          <w:highlight w:val="none"/>
        </w:rPr>
        <w:t xml:space="preserve">一、项目概况</w:t>
      </w:r>
      <w:r>
        <w:rPr>
          <w:b/>
          <w:color w:val="000000"/>
          <w:sz w:val="24"/>
          <w:highlight w:val="none"/>
        </w:rPr>
      </w:r>
      <w:r/>
    </w:p>
    <w:p>
      <w:pPr>
        <w:pStyle w:val="726"/>
        <w:ind w:firstLine="480"/>
        <w:jc w:val="left"/>
        <w:keepLines w:val="0"/>
        <w:keepNext w:val="0"/>
        <w:pageBreakBefore w:val="0"/>
        <w:spacing w:line="400" w:lineRule="exact"/>
        <w:widowControl/>
        <w:rPr>
          <w:bCs/>
          <w:color w:val="000000"/>
          <w:sz w:val="24"/>
          <w:highlight w:val="none"/>
        </w:rPr>
        <w:suppressLineNumbers w:val="0"/>
      </w:pPr>
      <w:r>
        <w:rPr>
          <w:rFonts w:hint="eastAsia" w:ascii="Calibri" w:hAnsi="Calibri" w:eastAsia="宋体" w:cs="Times New Roman"/>
          <w:bCs/>
          <w:color w:val="000000"/>
          <w:sz w:val="24"/>
          <w:szCs w:val="22"/>
          <w:highlight w:val="none"/>
          <w:lang w:val="en-US" w:eastAsia="zh-CN" w:bidi="ar-SA"/>
        </w:rPr>
        <w:t xml:space="preserve">常州市武进区疾病预防控制中心以GB/T 27025-2019《检测和校准实验室能力的通用要求》、RB/T 028-2020 《实验室信息管理系统管理规范》、RB/T 029-2020 《</w:t>
      </w:r>
      <w:r>
        <w:rPr>
          <w:rFonts w:hint="eastAsia"/>
          <w:bCs/>
          <w:color w:val="000000"/>
          <w:sz w:val="24"/>
          <w:highlight w:val="none"/>
        </w:rPr>
        <w:t xml:space="preserve">检测实验室信息管理系统建设指南》为基础，结合县区级疾控工作特点和本实验室质量管理体系文件要求来编制，使实验室各项工作逐步规范化、标准化。主要模块：资源管理、实验室检测过程管理、体系管理、其他工作管理、查询统计、数据安全与备份</w:t>
      </w:r>
      <w:r>
        <w:rPr>
          <w:rFonts w:hint="eastAsia"/>
          <w:bCs/>
          <w:color w:val="000000"/>
          <w:sz w:val="24"/>
          <w:highlight w:val="none"/>
          <w:lang w:val="en-US" w:eastAsia="zh-CN"/>
        </w:rPr>
        <w:t xml:space="preserve">等</w:t>
      </w:r>
      <w:r>
        <w:rPr>
          <w:rFonts w:hint="eastAsia"/>
          <w:bCs/>
          <w:color w:val="000000"/>
          <w:sz w:val="24"/>
          <w:highlight w:val="none"/>
        </w:rPr>
        <w:t xml:space="preserve">。</w:t>
      </w:r>
      <w:r>
        <w:rPr>
          <w:bCs/>
          <w:color w:val="000000"/>
          <w:sz w:val="24"/>
          <w:highlight w:val="none"/>
        </w:rPr>
      </w:r>
      <w:r/>
    </w:p>
    <w:p>
      <w:pPr>
        <w:pStyle w:val="823"/>
        <w:contextualSpacing/>
        <w:ind w:firstLine="482"/>
        <w:jc w:val="left"/>
        <w:keepLines w:val="0"/>
        <w:keepNext w:val="0"/>
        <w:pageBreakBefore w:val="0"/>
        <w:spacing w:after="0" w:line="400" w:lineRule="exact"/>
        <w:rPr>
          <w:b/>
          <w:color w:val="000000"/>
          <w:sz w:val="24"/>
          <w:highlight w:val="none"/>
        </w:rPr>
      </w:pPr>
      <w:r>
        <w:rPr>
          <w:rFonts w:hint="eastAsia"/>
          <w:b/>
          <w:color w:val="000000"/>
          <w:sz w:val="24"/>
          <w:highlight w:val="none"/>
        </w:rPr>
        <w:t xml:space="preserve">二、商务要求</w:t>
      </w:r>
      <w:r>
        <w:rPr>
          <w:b/>
          <w:color w:val="000000"/>
          <w:sz w:val="24"/>
          <w:highlight w:val="none"/>
        </w:rPr>
      </w:r>
      <w:r/>
    </w:p>
    <w:p>
      <w:pPr>
        <w:pStyle w:val="823"/>
        <w:contextualSpacing/>
        <w:ind w:firstLine="480"/>
        <w:jc w:val="left"/>
        <w:keepLines w:val="0"/>
        <w:keepNext w:val="0"/>
        <w:pageBreakBefore w:val="0"/>
        <w:spacing w:after="0" w:line="400" w:lineRule="exact"/>
        <w:rPr>
          <w:bCs/>
          <w:color w:val="000000"/>
          <w:sz w:val="24"/>
          <w:highlight w:val="none"/>
        </w:rPr>
      </w:pPr>
      <w:r>
        <w:rPr>
          <w:rFonts w:hint="eastAsia"/>
          <w:bCs/>
          <w:color w:val="000000"/>
          <w:sz w:val="24"/>
          <w:highlight w:val="none"/>
        </w:rPr>
        <w:t xml:space="preserve">1.合同履行期限：合同签订之日起12个月内建设完成，通过采购人验收合格后至系统免费维护期结束。</w:t>
      </w:r>
      <w:r>
        <w:rPr>
          <w:bCs/>
          <w:color w:val="000000"/>
          <w:sz w:val="24"/>
          <w:highlight w:val="none"/>
        </w:rPr>
      </w:r>
      <w:r/>
    </w:p>
    <w:p>
      <w:pPr>
        <w:pStyle w:val="823"/>
        <w:contextualSpacing/>
        <w:ind w:firstLine="480"/>
        <w:jc w:val="left"/>
        <w:keepLines w:val="0"/>
        <w:keepNext w:val="0"/>
        <w:pageBreakBefore w:val="0"/>
        <w:spacing w:after="0" w:line="400" w:lineRule="exact"/>
        <w:rPr>
          <w:bCs/>
          <w:color w:val="000000"/>
          <w:sz w:val="24"/>
          <w:highlight w:val="none"/>
        </w:rPr>
      </w:pPr>
      <w:r>
        <w:rPr>
          <w:rFonts w:hint="eastAsia"/>
          <w:bCs/>
          <w:color w:val="000000"/>
          <w:sz w:val="24"/>
          <w:highlight w:val="none"/>
        </w:rPr>
        <w:t xml:space="preserve">2.免费维护期：本次采购项目要求系统免费维护期不低于 3 年，投标人也可提供高于此期限的免费维护期，免费维护期从项目验收合格之日起算。</w:t>
      </w:r>
      <w:r>
        <w:rPr>
          <w:bCs/>
          <w:color w:val="000000"/>
          <w:sz w:val="24"/>
          <w:highlight w:val="none"/>
        </w:rPr>
      </w:r>
      <w:r/>
    </w:p>
    <w:p>
      <w:pPr>
        <w:pStyle w:val="726"/>
        <w:ind w:firstLine="480"/>
        <w:jc w:val="left"/>
        <w:keepLines w:val="0"/>
        <w:keepNext w:val="0"/>
        <w:pageBreakBefore w:val="0"/>
        <w:spacing w:after="0" w:line="400" w:lineRule="exact"/>
        <w:tabs>
          <w:tab w:val="left" w:pos="525" w:leader="none"/>
          <w:tab w:val="left" w:pos="945" w:leader="none"/>
        </w:tabs>
        <w:rPr>
          <w:rFonts w:ascii="宋体" w:hAnsi="宋体"/>
          <w:color w:val="000000"/>
          <w:sz w:val="24"/>
          <w:highlight w:val="none"/>
          <w:lang w:val="zh-CN"/>
        </w:rPr>
      </w:pPr>
      <w:r>
        <w:rPr>
          <w:rFonts w:hint="eastAsia"/>
          <w:bCs/>
          <w:color w:val="000000"/>
          <w:sz w:val="24"/>
          <w:highlight w:val="none"/>
          <w:lang w:val="en-US" w:eastAsia="zh-CN"/>
        </w:rPr>
        <w:t xml:space="preserve">3</w:t>
      </w:r>
      <w:r>
        <w:rPr>
          <w:rFonts w:hint="eastAsia"/>
          <w:bCs/>
          <w:color w:val="000000"/>
          <w:sz w:val="24"/>
          <w:highlight w:val="none"/>
        </w:rPr>
        <w:t xml:space="preserve">. 付款条件（进度和方式）：</w:t>
      </w:r>
      <w:r>
        <w:rPr>
          <w:rFonts w:hint="eastAsia" w:ascii="宋体" w:hAnsi="宋体"/>
          <w:bCs/>
          <w:color w:val="000000"/>
          <w:sz w:val="24"/>
          <w:highlight w:val="none"/>
          <w:lang w:val="zh-CN"/>
        </w:rPr>
        <w:t xml:space="preserve">合同签订后15个工作日内，</w:t>
      </w:r>
      <w:r>
        <w:rPr>
          <w:rFonts w:hint="eastAsia" w:ascii="宋体" w:hAnsi="宋体"/>
          <w:bCs/>
          <w:color w:val="000000"/>
          <w:sz w:val="24"/>
          <w:highlight w:val="none"/>
          <w:lang w:val="en-US" w:eastAsia="zh-CN"/>
        </w:rPr>
        <w:t xml:space="preserve">采购人</w:t>
      </w:r>
      <w:r>
        <w:rPr>
          <w:rFonts w:hint="eastAsia" w:ascii="宋体" w:hAnsi="宋体"/>
          <w:bCs/>
          <w:color w:val="000000"/>
          <w:sz w:val="24"/>
          <w:highlight w:val="none"/>
          <w:lang w:val="zh-CN"/>
        </w:rPr>
        <w:t xml:space="preserve">支付至合同价的30%，项目建设完成并最终验收合格后15个工作日内，</w:t>
      </w:r>
      <w:r>
        <w:rPr>
          <w:rFonts w:hint="eastAsia" w:ascii="宋体" w:hAnsi="宋体"/>
          <w:bCs/>
          <w:color w:val="000000"/>
          <w:sz w:val="24"/>
          <w:highlight w:val="none"/>
          <w:lang w:val="en-US" w:eastAsia="zh-CN"/>
        </w:rPr>
        <w:t xml:space="preserve">采购人</w:t>
      </w:r>
      <w:r>
        <w:rPr>
          <w:rFonts w:hint="eastAsia" w:ascii="宋体" w:hAnsi="宋体"/>
          <w:bCs/>
          <w:color w:val="000000"/>
          <w:sz w:val="24"/>
          <w:highlight w:val="none"/>
          <w:lang w:val="zh-CN"/>
        </w:rPr>
        <w:t xml:space="preserve">支付合同总价的70%。</w:t>
      </w:r>
      <w:r>
        <w:rPr>
          <w:rFonts w:ascii="宋体" w:hAnsi="宋体"/>
          <w:color w:val="000000"/>
          <w:sz w:val="24"/>
          <w:highlight w:val="none"/>
          <w:lang w:val="zh-CN"/>
        </w:rPr>
      </w:r>
      <w:r/>
    </w:p>
    <w:p>
      <w:pPr>
        <w:pStyle w:val="823"/>
        <w:contextualSpacing/>
        <w:ind w:firstLine="482"/>
        <w:jc w:val="left"/>
        <w:spacing w:after="0" w:line="400" w:lineRule="exact"/>
        <w:rPr>
          <w:b/>
          <w:color w:val="000000"/>
          <w:sz w:val="24"/>
          <w:highlight w:val="none"/>
        </w:rPr>
      </w:pPr>
      <w:r>
        <w:rPr>
          <w:rFonts w:hint="eastAsia"/>
          <w:b/>
          <w:color w:val="000000"/>
          <w:sz w:val="24"/>
          <w:highlight w:val="none"/>
        </w:rPr>
        <w:t xml:space="preserve">三、建设内容</w:t>
      </w:r>
      <w:r>
        <w:rPr>
          <w:b/>
          <w:color w:val="000000"/>
          <w:sz w:val="24"/>
          <w:highlight w:val="none"/>
        </w:rPr>
      </w:r>
      <w:r/>
    </w:p>
    <w:p>
      <w:pPr>
        <w:pStyle w:val="726"/>
        <w:contextualSpacing/>
        <w:ind w:firstLine="482"/>
        <w:spacing w:line="360" w:lineRule="auto"/>
        <w:rPr>
          <w:rFonts w:hint="eastAsia" w:cs="宋体"/>
          <w:b/>
          <w:bCs/>
          <w:color w:val="000000"/>
          <w:sz w:val="24"/>
          <w:highlight w:val="none"/>
        </w:rPr>
      </w:pPr>
      <w:r>
        <w:rPr>
          <w:rFonts w:hint="eastAsia" w:cs="宋体"/>
          <w:b/>
          <w:bCs/>
          <w:color w:val="000000"/>
          <w:sz w:val="24"/>
          <w:highlight w:val="none"/>
        </w:rPr>
        <w:t xml:space="preserve">（一）项目清单</w:t>
      </w:r>
      <w:r>
        <w:rPr>
          <w:rFonts w:hint="eastAsia" w:cs="宋体"/>
          <w:b/>
          <w:bCs/>
          <w:color w:val="000000"/>
          <w:sz w:val="24"/>
          <w:highlight w:val="none"/>
        </w:rPr>
      </w:r>
      <w:r/>
    </w:p>
    <w:tbl>
      <w:tblPr>
        <w:tblW w:w="474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4"/>
        <w:gridCol w:w="1588"/>
        <w:gridCol w:w="4518"/>
        <w:gridCol w:w="663"/>
        <w:gridCol w:w="663"/>
      </w:tblGrid>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分项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子项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单位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数量</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资源管理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机构基本信息管理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人员管理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仪器管理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标准物质管理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库房管理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采购与验收管理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危险化学品的管理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在用试剂溶液管理（理化类）</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废弃物的管理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样品管理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毒菌种的保存和运输管理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索证试剂与疫苗冷链仓储监控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检测环境条件监控管理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检测过程管理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检测能力管理（检验项目管理）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bCs/>
                <w:color w:val="000000"/>
                <w:sz w:val="24"/>
                <w:highlight w:val="none"/>
              </w:rPr>
              <w:t xml:space="preserve">检测需求合同评审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原始记录管理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送检流程管理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质控管理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报告管理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不符合工作控制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体系管理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文件控制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实验室标识管理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内部审核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管理评审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质量监督</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检验分包管理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bCs/>
                <w:color w:val="000000"/>
                <w:sz w:val="24"/>
                <w:highlight w:val="none"/>
              </w:rPr>
              <w:t xml:space="preserve">合格供应商管理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投诉管理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纠正措施</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改进管理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记录控制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实验室引进新项目的方法验证管理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病原微生物实验活动的生物安全评估管理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实验活动管理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质量控制考核管理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各类手册的管理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各类程序的管理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各式记录表式的管理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作业指导书的管理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其他工作管理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突发公卫事件的AI管理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41</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艾滋病实验室检测管理</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42</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bCs/>
                <w:color w:val="000000"/>
                <w:sz w:val="24"/>
                <w:highlight w:val="none"/>
              </w:rPr>
              <w:t xml:space="preserve">各类应急演练管理</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bCs/>
                <w:color w:val="000000"/>
                <w:sz w:val="24"/>
                <w:highlight w:val="none"/>
              </w:rPr>
              <w:t xml:space="preserve">实验室关键岗位的视频监控管理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查询统计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查询统计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45</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收费</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收费</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数据安全与备份</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数据安全与备份</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r>
    </w:tbl>
    <w:p>
      <w:pPr>
        <w:pStyle w:val="823"/>
        <w:contextualSpacing/>
        <w:ind w:firstLine="482"/>
        <w:jc w:val="left"/>
        <w:spacing w:after="0" w:line="400" w:lineRule="exact"/>
        <w:rPr>
          <w:b/>
          <w:color w:val="000000"/>
          <w:sz w:val="24"/>
          <w:highlight w:val="none"/>
        </w:rPr>
      </w:pPr>
      <w:r>
        <w:rPr>
          <w:rFonts w:hint="eastAsia"/>
          <w:b/>
          <w:color w:val="000000"/>
          <w:sz w:val="24"/>
          <w:highlight w:val="none"/>
        </w:rPr>
        <w:t xml:space="preserve">（二）功能需求</w:t>
      </w:r>
      <w:r>
        <w:rPr>
          <w:b/>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1）资源管理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w:t>
      </w:r>
      <w:r>
        <w:rPr>
          <w:rFonts w:hint="eastAsia"/>
          <w:bCs/>
          <w:color w:val="000000"/>
          <w:sz w:val="24"/>
          <w:highlight w:val="none"/>
        </w:rPr>
        <w:tab/>
      </w:r>
      <w:r>
        <w:rPr>
          <w:rFonts w:hint="eastAsia"/>
          <w:bCs/>
          <w:color w:val="000000"/>
          <w:sz w:val="24"/>
          <w:highlight w:val="none"/>
        </w:rPr>
        <w:t xml:space="preserve">机构基本信息管理： 公正性承诺、服务承诺、实验室质量方针、质量目标、机构获证证书、电子章管理、机构介绍、能力展示等。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w:t>
      </w:r>
      <w:r>
        <w:rPr>
          <w:rFonts w:hint="eastAsia"/>
          <w:bCs/>
          <w:color w:val="000000"/>
          <w:sz w:val="24"/>
          <w:highlight w:val="none"/>
        </w:rPr>
        <w:tab/>
      </w:r>
      <w:r>
        <w:rPr>
          <w:rFonts w:hint="eastAsia"/>
          <w:bCs/>
          <w:color w:val="000000"/>
          <w:sz w:val="24"/>
          <w:highlight w:val="none"/>
        </w:rPr>
        <w:t xml:space="preserve">人员管理：在册员工基本信息登记，如:姓名、性别、年龄、出生年月、职务/职称、文化程度、毕业院校、所学专业、毕业时间、所在部门、岗位、从事本岗位年限、培训经历、备注等信息（含照片）；技术人员培训计划 批准、实施、</w:t>
      </w:r>
      <w:r>
        <w:rPr>
          <w:rFonts w:hint="eastAsia"/>
          <w:bCs/>
          <w:color w:val="000000"/>
          <w:sz w:val="24"/>
          <w:highlight w:val="none"/>
        </w:rPr>
        <w:t xml:space="preserve">登记归档；检验技术人员质量监督计划、实施记录、评价归档、年度各类继续教育与培训（相关证书扫描件的保存）；检验技术人员年度技术能力的确认（科长）与授权（法人），能力确认与授权后关联至“检测项目能力表”；各领域的人员培训管理，如抽样人员、检测人员、结果复核、报告审核或批准、方法验证或确认人员、符合性声明或结果解释人员、质量监督员、仪器操作人（与仪器管理结合，培训合格才能授权）、样品管理员、内审员、授权签字人、压力容器操作人员、生物安全委员会人员、危险品运输管理人员等。系统可维护各类人员的变更信息和人员档案信息。</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w:t>
      </w:r>
      <w:r>
        <w:rPr>
          <w:rFonts w:hint="eastAsia"/>
          <w:bCs/>
          <w:color w:val="000000"/>
          <w:sz w:val="24"/>
          <w:highlight w:val="none"/>
        </w:rPr>
        <w:tab/>
      </w:r>
      <w:r>
        <w:rPr>
          <w:rFonts w:hint="eastAsia"/>
          <w:bCs/>
          <w:color w:val="000000"/>
          <w:sz w:val="24"/>
          <w:highlight w:val="none"/>
        </w:rPr>
        <w:t xml:space="preserve">仪器管理：已有设备信息登记管理，包括仪器唯一性编号、设备名称、型号规格、生产厂家、供应商、购置日期、存放位置、使用部门、授权使用人、保管人、主要技术/性能指标、照片（含辅助设备、发票、铭牌-仪器序列号）等，登记后实行条码管理；仪器设备的购置申请、审批；新设备验收管理；设备的报废管理；计量仪器的登记管理、状态管理（在用、停用、报损等）；设备计量校准（登记每次检定的精度和不确定度或校正值，现有证书的照片或扫描件管理与共享使用）、计量仪器校准后的确认及仪器期间核查及过</w:t>
      </w:r>
      <w:r>
        <w:rPr>
          <w:rFonts w:hint="eastAsia"/>
          <w:bCs/>
          <w:color w:val="000000"/>
          <w:sz w:val="24"/>
          <w:highlight w:val="none"/>
        </w:rPr>
        <w:t xml:space="preserve">载预警，计量仪器设备校准确认后关联至“检测项目能力表”，过载等异常时，要通知检测需求合同评审人、实验室负责人、报告审核人、签发人等；设备维护记录、设备维修记录、检测移动设备管理等。仪器使用登记和原始记录相关联，没有仪器使用登记，原始记录的最终分析与生成提交将受到限制。“仪器使用登记”采用现场开机和关机两次扫码登记，基本登记信息至少要包含开关机时间（自动读入）、室内温湿度条件（自动采集）、操作人员（扫工作胸牌码或人体识别）、仪器状态（扫状态码）和待测样品编码，开机登记时要提示上次关机登记内容和状态，以防误用。</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w:t>
      </w:r>
      <w:r>
        <w:rPr>
          <w:rFonts w:hint="eastAsia"/>
          <w:bCs/>
          <w:color w:val="000000"/>
          <w:sz w:val="24"/>
          <w:highlight w:val="none"/>
        </w:rPr>
        <w:tab/>
      </w:r>
      <w:r>
        <w:rPr>
          <w:rFonts w:hint="eastAsia"/>
          <w:bCs/>
          <w:color w:val="000000"/>
          <w:sz w:val="24"/>
          <w:highlight w:val="none"/>
        </w:rPr>
        <w:t xml:space="preserve">标准物质管理 内容包括:唯一性编号、名称、规格、数量、生产者</w:t>
      </w:r>
      <w:r>
        <w:rPr>
          <w:rFonts w:hint="eastAsia"/>
          <w:bCs/>
          <w:color w:val="000000"/>
          <w:sz w:val="24"/>
          <w:highlight w:val="none"/>
        </w:rPr>
        <w:t xml:space="preserve">/供应商、批次、定值日期、启用日期、有效期、(标准菌株)传代信息管理、安全库存量等。标准物质的申购、审核、验收及入库信息、标准物质的期间核查信息,包括设定计划、提醒执行、执行记录等；标准物质实施有效期提醒、安全库存量提醒；标准溶液的配制信息（具体配制方法、保存条件等，历史记录保存）、打印溶液标签（具体配制方法、保存条件等，历史记录保存）；查询标准物质的领用或使用记录，便于在样品检测、结果审核、报告批准签发等环节中利用。重要的标准物质管理要关联至“检测项目能力表”，标准物质出现异常，检测需求合同评审时要提醒。</w:t>
      </w:r>
      <w:r>
        <w:rPr>
          <w:bCs/>
          <w:color w:val="000000"/>
          <w:sz w:val="24"/>
          <w:highlight w:val="none"/>
        </w:rPr>
      </w:r>
      <w:r/>
    </w:p>
    <w:p>
      <w:pPr>
        <w:pStyle w:val="823"/>
        <w:contextualSpacing/>
        <w:ind w:firstLine="480"/>
        <w:jc w:val="left"/>
        <w:spacing w:line="400" w:lineRule="exact"/>
        <w:rPr>
          <w:rFonts w:hint="eastAsia" w:eastAsia="宋体"/>
          <w:bCs/>
          <w:color w:val="000000"/>
          <w:sz w:val="24"/>
          <w:highlight w:val="none"/>
        </w:rPr>
      </w:pPr>
      <w:r>
        <w:rPr>
          <w:rFonts w:hint="eastAsia" w:eastAsia="宋体"/>
          <w:bCs/>
          <w:color w:val="000000"/>
          <w:sz w:val="24"/>
          <w:highlight w:val="none"/>
        </w:rPr>
        <w:t xml:space="preserve">5.</w:t>
      </w:r>
      <w:r>
        <w:rPr>
          <w:rFonts w:hint="eastAsia" w:eastAsia="宋体"/>
          <w:bCs/>
          <w:color w:val="000000"/>
          <w:sz w:val="24"/>
          <w:highlight w:val="none"/>
        </w:rPr>
        <w:tab/>
      </w:r>
      <w:r>
        <w:rPr>
          <w:rFonts w:hint="eastAsia" w:eastAsia="宋体"/>
          <w:bCs/>
          <w:color w:val="000000"/>
          <w:sz w:val="24"/>
          <w:highlight w:val="none"/>
        </w:rPr>
        <w:t xml:space="preserve">库房管理：建立普通试剂和消耗品台账,内容包括:名称、规格、数量、存放位置、生产者/供应商、出入库记录、有效期、安全库存量等。试剂和消耗品的技术验收及入库信息（验收原始记录保存）。针对一些特殊的化学试剂,如有剧毒、有危险、不能一起存放、有特殊保存条件要求的等等,系统应有明确标识和醒目提示</w:t>
      </w:r>
      <w:r>
        <w:rPr>
          <w:rFonts w:hint="eastAsia" w:eastAsia="宋体"/>
          <w:bCs/>
          <w:color w:val="000000"/>
          <w:sz w:val="24"/>
          <w:highlight w:val="none"/>
          <w:lang w:eastAsia="zh-CN"/>
        </w:rPr>
        <w:t xml:space="preserve">；</w:t>
      </w:r>
      <w:r>
        <w:rPr>
          <w:rFonts w:hint="eastAsia" w:eastAsia="宋体"/>
          <w:bCs/>
          <w:color w:val="000000"/>
          <w:sz w:val="24"/>
          <w:highlight w:val="none"/>
        </w:rPr>
        <w:t xml:space="preserve">试剂和消耗品的使用信息、归还信息、试剂的配制信息（理化试剂与在用试剂溶液管理相结合）</w:t>
      </w:r>
      <w:r>
        <w:rPr>
          <w:rFonts w:hint="eastAsia" w:eastAsia="宋体"/>
          <w:bCs/>
          <w:color w:val="000000"/>
          <w:sz w:val="24"/>
          <w:highlight w:val="none"/>
          <w:lang w:eastAsia="zh-CN"/>
        </w:rPr>
        <w:t xml:space="preserve">；</w:t>
      </w:r>
      <w:r>
        <w:rPr>
          <w:rFonts w:hint="eastAsia" w:eastAsia="宋体"/>
          <w:bCs/>
          <w:color w:val="000000"/>
          <w:sz w:val="24"/>
          <w:highlight w:val="none"/>
        </w:rPr>
        <w:t xml:space="preserve">过期试剂和消耗品的处置信息。</w:t>
      </w:r>
      <w:r>
        <w:rPr>
          <w:rFonts w:hint="eastAsia" w:eastAsia="宋体"/>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6.</w:t>
      </w:r>
      <w:r>
        <w:rPr>
          <w:rFonts w:hint="eastAsia"/>
          <w:bCs/>
          <w:color w:val="000000"/>
          <w:sz w:val="24"/>
          <w:highlight w:val="none"/>
        </w:rPr>
        <w:tab/>
      </w:r>
      <w:r>
        <w:rPr>
          <w:rFonts w:hint="eastAsia"/>
          <w:bCs/>
          <w:color w:val="000000"/>
          <w:sz w:val="24"/>
          <w:highlight w:val="none"/>
        </w:rPr>
        <w:t xml:space="preserve">采购与验收管理：应涵盖</w:t>
      </w:r>
      <w:r>
        <w:rPr>
          <w:rFonts w:hint="eastAsia"/>
          <w:bCs/>
          <w:color w:val="000000"/>
          <w:sz w:val="24"/>
          <w:highlight w:val="none"/>
        </w:rPr>
        <w:t xml:space="preserve">从物品或服务的申购、审批、计划、采购全过程,并可与仪器设备管理、标准物质/标准溶液管理、试剂消耗品管理链接,完成后续的验收、入库等环节。采购计划可以分为年度采购计划和日常采购计划。针对不同的采购物品或服务,系统可以登记不同的采购单内容,并可以设置不同的采购流程。对验收或使用过程中不合格的物品或服务,系统可执行退货或换货处理,相应记录可关联到供应商管理模块。库存试剂的登记领用条码管理；试剂耗材申购、审核、验收；试剂耗材过期预警、缺货报警；办公物资的采购管理。普通化学试剂领用后，转到“在用试剂溶液管理”中使用。</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7.</w:t>
      </w:r>
      <w:r>
        <w:rPr>
          <w:rFonts w:hint="eastAsia"/>
          <w:bCs/>
          <w:color w:val="000000"/>
          <w:sz w:val="24"/>
          <w:highlight w:val="none"/>
        </w:rPr>
        <w:tab/>
      </w:r>
      <w:r>
        <w:rPr>
          <w:rFonts w:hint="eastAsia"/>
          <w:bCs/>
          <w:color w:val="000000"/>
          <w:sz w:val="24"/>
          <w:highlight w:val="none"/>
        </w:rPr>
        <w:t xml:space="preserve">危险化学品的管理</w:t>
      </w:r>
      <w:r>
        <w:rPr>
          <w:rFonts w:hint="eastAsia"/>
          <w:bCs/>
          <w:color w:val="000000"/>
          <w:sz w:val="24"/>
          <w:highlight w:val="none"/>
          <w:lang w:eastAsia="zh-CN"/>
        </w:rPr>
        <w:t xml:space="preserve">：</w:t>
      </w:r>
      <w:r>
        <w:rPr>
          <w:rFonts w:hint="eastAsia" w:eastAsia="宋体"/>
          <w:bCs/>
          <w:color w:val="000000"/>
          <w:sz w:val="24"/>
          <w:highlight w:val="none"/>
        </w:rPr>
        <w:t xml:space="preserve"> 按照国家规定的要求建立危险化学品管理体系，有归口管理部门、有管理小组、有各类制度和记录，有各类危化品相关的安全手册；剧毒化学品的使用及归还</w:t>
      </w:r>
      <w:r>
        <w:rPr>
          <w:rFonts w:hint="eastAsia"/>
          <w:bCs/>
          <w:color w:val="000000"/>
          <w:sz w:val="24"/>
          <w:highlight w:val="none"/>
        </w:rPr>
        <w:t xml:space="preserve">管理，与天平联机，自动登记，双人使用确认。</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8.</w:t>
      </w:r>
      <w:r>
        <w:rPr>
          <w:rFonts w:hint="eastAsia"/>
          <w:bCs/>
          <w:color w:val="000000"/>
          <w:sz w:val="24"/>
          <w:highlight w:val="none"/>
        </w:rPr>
        <w:tab/>
      </w:r>
      <w:r>
        <w:rPr>
          <w:rFonts w:hint="eastAsia"/>
          <w:bCs/>
          <w:color w:val="000000"/>
          <w:sz w:val="24"/>
          <w:highlight w:val="none"/>
        </w:rPr>
        <w:t xml:space="preserve">在用试剂溶液管理（理化类）</w:t>
      </w:r>
      <w:r>
        <w:rPr>
          <w:rFonts w:hint="eastAsia"/>
          <w:bCs/>
          <w:color w:val="000000"/>
          <w:sz w:val="24"/>
          <w:highlight w:val="none"/>
          <w:lang w:eastAsia="zh-CN"/>
        </w:rPr>
        <w:t xml:space="preserve">：</w:t>
      </w:r>
      <w:r>
        <w:rPr>
          <w:rFonts w:hint="eastAsia"/>
          <w:bCs/>
          <w:color w:val="000000"/>
          <w:sz w:val="24"/>
          <w:highlight w:val="none"/>
        </w:rPr>
        <w:t xml:space="preserve">试剂称重后自动生成相应的溶液标签，与现有溶液管理小程序的功能相适应，实行溶液的有限期管理。溶液的配制与编号和相应的检测标准条款对应。</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9.</w:t>
      </w:r>
      <w:r>
        <w:rPr>
          <w:rFonts w:hint="eastAsia"/>
          <w:bCs/>
          <w:color w:val="000000"/>
          <w:sz w:val="24"/>
          <w:highlight w:val="none"/>
        </w:rPr>
        <w:tab/>
      </w:r>
      <w:r>
        <w:rPr>
          <w:rFonts w:hint="eastAsia"/>
          <w:bCs/>
          <w:color w:val="000000"/>
          <w:sz w:val="24"/>
          <w:highlight w:val="none"/>
        </w:rPr>
        <w:t xml:space="preserve">废</w:t>
      </w:r>
      <w:r>
        <w:rPr>
          <w:rFonts w:hint="eastAsia" w:eastAsia="宋体"/>
          <w:bCs/>
          <w:color w:val="000000"/>
          <w:sz w:val="24"/>
          <w:highlight w:val="none"/>
        </w:rPr>
        <w:t xml:space="preserve">弃物的管理：医废、化废等产生收集登记，包括医废的分类、数量、称重（联机自动上传重量）、双条形码管理、责任人、中转交接去向、档案管理</w:t>
      </w:r>
      <w:r>
        <w:rPr>
          <w:rFonts w:hint="eastAsia" w:eastAsia="宋体"/>
          <w:bCs/>
          <w:color w:val="000000"/>
          <w:sz w:val="24"/>
          <w:highlight w:val="none"/>
          <w:lang w:eastAsia="zh-CN"/>
        </w:rPr>
        <w:t xml:space="preserve">保存</w:t>
      </w:r>
      <w:r>
        <w:rPr>
          <w:rFonts w:hint="eastAsia" w:eastAsia="宋体"/>
          <w:bCs/>
          <w:color w:val="000000"/>
          <w:sz w:val="24"/>
          <w:highlight w:val="none"/>
        </w:rPr>
        <w:t xml:space="preserve">3年。</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10.</w:t>
      </w:r>
      <w:r>
        <w:rPr>
          <w:rFonts w:hint="eastAsia"/>
          <w:bCs/>
          <w:color w:val="000000"/>
          <w:sz w:val="24"/>
          <w:highlight w:val="none"/>
        </w:rPr>
        <w:tab/>
      </w:r>
      <w:r>
        <w:rPr>
          <w:rFonts w:hint="eastAsia"/>
          <w:bCs/>
          <w:color w:val="000000"/>
          <w:sz w:val="24"/>
          <w:highlight w:val="none"/>
        </w:rPr>
        <w:t xml:space="preserve">样品管理：  采样、接样、分样、留样及样品销毁的管理。有样品标签预先打印功能，样品唯一性编号要根据各科室的样品特点，分类管理，样品编号要有系统性，例如 食品样品的唯一性编号管理中要体现样品的细分，送各化验室检验的和在质量管理科留样的，主号相同，副号不同，主号要体现全年检验总量，不要出现空号，副号要体现样品的份数信息，如一式三份，副号为3</w:t>
      </w:r>
      <w:r>
        <w:rPr>
          <w:rFonts w:hint="eastAsia"/>
          <w:bCs/>
          <w:color w:val="000000"/>
          <w:sz w:val="24"/>
          <w:highlight w:val="none"/>
        </w:rPr>
        <w:t xml:space="preserve">01、302、303。样品的编号规则要和各科室的工作要求相适应，可以适应多种编号生成形式，可以预先生成样品编号，打印后到现场采样时使用；委托样品在登记时按要求生成样品编号并即时打印加贴样品标签（需体现样品的份数信息）；如应急采样时使用应急样品编号，则可以在系统中手工输入其样品编号，登记完毕打印样品标签。样品保存如需要温度等环境要求的，需有监控和记录，并具有报警功能；需要退样或失效的，要有提醒功能；送化验室的样品要有样品检验状态标识（待检、在检、已检、需退样）。样品登记信息要尽可能完整。样品编号采用条码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11.</w:t>
      </w:r>
      <w:r>
        <w:rPr>
          <w:rFonts w:hint="eastAsia"/>
          <w:bCs/>
          <w:color w:val="000000"/>
          <w:sz w:val="24"/>
          <w:highlight w:val="none"/>
        </w:rPr>
        <w:tab/>
      </w:r>
      <w:r>
        <w:rPr>
          <w:rFonts w:hint="eastAsia"/>
          <w:bCs/>
          <w:color w:val="000000"/>
          <w:sz w:val="24"/>
          <w:highlight w:val="none"/>
        </w:rPr>
        <w:t xml:space="preserve">毒菌种的保存和运输管理</w:t>
      </w:r>
      <w:r>
        <w:rPr>
          <w:rFonts w:hint="eastAsia"/>
          <w:bCs/>
          <w:color w:val="000000"/>
          <w:sz w:val="24"/>
          <w:highlight w:val="none"/>
          <w:lang w:eastAsia="zh-CN"/>
        </w:rPr>
        <w:t xml:space="preserve">：</w:t>
      </w:r>
      <w:r>
        <w:rPr>
          <w:rFonts w:hint="eastAsia"/>
          <w:bCs/>
          <w:color w:val="000000"/>
          <w:sz w:val="24"/>
          <w:highlight w:val="none"/>
        </w:rPr>
        <w:t xml:space="preserve">登记保存实行条码管理、保存条件监控，防丢失、毒菌种运输管理，办证与登记管理、毒菌种销毁管理记录。</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12.</w:t>
      </w:r>
      <w:r>
        <w:rPr>
          <w:rFonts w:hint="eastAsia"/>
          <w:bCs/>
          <w:color w:val="000000"/>
          <w:sz w:val="24"/>
          <w:highlight w:val="none"/>
        </w:rPr>
        <w:tab/>
      </w:r>
      <w:r>
        <w:rPr>
          <w:rFonts w:hint="eastAsia"/>
          <w:bCs/>
          <w:color w:val="000000"/>
          <w:sz w:val="24"/>
          <w:highlight w:val="none"/>
        </w:rPr>
        <w:t xml:space="preserve">索证试剂仓储管理</w:t>
      </w:r>
      <w:r>
        <w:rPr>
          <w:rFonts w:hint="eastAsia"/>
          <w:bCs/>
          <w:color w:val="000000"/>
          <w:sz w:val="24"/>
          <w:highlight w:val="none"/>
          <w:lang w:eastAsia="zh-CN"/>
        </w:rPr>
        <w:t xml:space="preserve">：</w:t>
      </w:r>
      <w:r>
        <w:rPr>
          <w:rFonts w:hint="eastAsia"/>
          <w:bCs/>
          <w:color w:val="000000"/>
          <w:sz w:val="24"/>
          <w:highlight w:val="none"/>
        </w:rPr>
        <w:t xml:space="preserve">保存条件的各类监控与记录，具有报警提示功能。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13.</w:t>
      </w:r>
      <w:r>
        <w:rPr>
          <w:rFonts w:hint="eastAsia"/>
          <w:bCs/>
          <w:color w:val="000000"/>
          <w:sz w:val="24"/>
          <w:highlight w:val="none"/>
        </w:rPr>
        <w:tab/>
      </w:r>
      <w:r>
        <w:rPr>
          <w:rFonts w:hint="eastAsia"/>
          <w:bCs/>
          <w:color w:val="000000"/>
          <w:sz w:val="24"/>
          <w:highlight w:val="none"/>
        </w:rPr>
        <w:t xml:space="preserve">检测环境条件监控管理</w:t>
      </w:r>
      <w:r>
        <w:rPr>
          <w:rFonts w:hint="eastAsia"/>
          <w:bCs/>
          <w:color w:val="000000"/>
          <w:sz w:val="24"/>
          <w:highlight w:val="none"/>
          <w:lang w:eastAsia="zh-CN"/>
        </w:rPr>
        <w:t xml:space="preserve">：</w:t>
      </w:r>
      <w:r>
        <w:rPr>
          <w:rFonts w:hint="eastAsia"/>
          <w:bCs/>
          <w:color w:val="000000"/>
          <w:sz w:val="24"/>
          <w:highlight w:val="none"/>
        </w:rPr>
        <w:t xml:space="preserve">环境条件和检测时的仪器使用登记，检测场所的环境条件监控分区域自动记录，仪器使用登记时可以调用，和原始记录相关联并统一，在检验报告中自动合成环境条件的区间表达，不得人工输入。</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lang w:val="en-US" w:eastAsia="zh-CN"/>
        </w:rPr>
        <w:t xml:space="preserve">2）</w:t>
      </w:r>
      <w:r>
        <w:rPr>
          <w:rFonts w:hint="eastAsia"/>
          <w:bCs/>
          <w:color w:val="000000"/>
          <w:sz w:val="24"/>
          <w:highlight w:val="none"/>
        </w:rPr>
        <w:t xml:space="preserve">实验室检测过程管理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14.</w:t>
      </w:r>
      <w:r>
        <w:rPr>
          <w:rFonts w:hint="eastAsia"/>
          <w:bCs/>
          <w:color w:val="000000"/>
          <w:sz w:val="24"/>
          <w:highlight w:val="none"/>
        </w:rPr>
        <w:tab/>
      </w:r>
      <w:r>
        <w:rPr>
          <w:rFonts w:hint="eastAsia"/>
          <w:bCs/>
          <w:color w:val="000000"/>
          <w:sz w:val="24"/>
          <w:highlight w:val="none"/>
        </w:rPr>
        <w:t xml:space="preserve">检测能力管理（检验项目能力表管理）</w:t>
      </w:r>
      <w:r>
        <w:rPr>
          <w:rFonts w:hint="eastAsia"/>
          <w:bCs/>
          <w:color w:val="000000"/>
          <w:sz w:val="24"/>
          <w:highlight w:val="none"/>
          <w:lang w:eastAsia="zh-CN"/>
        </w:rPr>
        <w:t xml:space="preserve">：</w:t>
      </w:r>
      <w:r>
        <w:rPr>
          <w:rFonts w:hint="eastAsia"/>
          <w:bCs/>
          <w:color w:val="000000"/>
          <w:sz w:val="24"/>
          <w:highlight w:val="none"/>
        </w:rPr>
        <w:t xml:space="preserve">整个实验室以检测能力为核心，编制好实验室“实际检测能力表”，包括CMA认证的、实际能够开展的和曾经能够开展需要保留的，能力表要和实际使用检验方法、仪器、人员资质（仪器授权使用）、重要标准物质等对应，信息至少包括（但不仅限于）: 检测项目/参数名称、检验方法名称、方法编</w:t>
      </w:r>
      <w:r>
        <w:rPr>
          <w:rFonts w:hint="eastAsia"/>
          <w:bCs/>
          <w:color w:val="000000"/>
          <w:sz w:val="24"/>
          <w:highlight w:val="none"/>
        </w:rPr>
        <w:t xml:space="preserve">号、适用范围、子方法编号和名称、预处理方法、所用主要仪器、重要标准物质、检出限指标、承检岗位（此处非具体检测人员姓名，但要可以对应具体检验人员，以便维护）、检测时限（用于检测需求合同评审时计算报告发放时间）、收费标准、本项目验证状态（根据人、机、料、法、标物等判定是否可用）、认证认可状态等（此项需要演示证明信息齐全）。本实验室的检测能力表是按参数认定的，不是按产品标准项目参数认定的，所以实际送检工作中，产品标准、卫生标准、工作方案、评价标准或合同评审及工作安排中使用到这些检验项目时，都必须在上述“能力表”中</w:t>
      </w:r>
      <w:r>
        <w:rPr>
          <w:rFonts w:hint="eastAsia"/>
          <w:bCs/>
          <w:color w:val="000000"/>
          <w:sz w:val="24"/>
          <w:highlight w:val="none"/>
        </w:rPr>
        <w:t xml:space="preserve">进行索引导入相关项目默认信息。此智能化要求是为了减轻后期的维护工作量。实际检测能力表项目中的检验人员和仪器应与检测需求合同评审（样品登记）、检测原始记录等相关联，检验人员能力年度确认和仪器性能状态维护后要与实际检测能力表相关联更新。比如：气相色谱法对应项目和人员与气相色谱-质谱法对应项目和人员不同，没经过能力确认的检验人员不得跨领域检测；同样，没参加该生物因子的生物安全评估活动并通过生物安全培训的人员，不得进行该生物因子的检测；仪器操作培训与考核和检测项目能力挂钩，没通过培训考核的人员不得开展该项目的检测。</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15.</w:t>
      </w:r>
      <w:r>
        <w:rPr>
          <w:rFonts w:hint="eastAsia"/>
          <w:bCs/>
          <w:color w:val="000000"/>
          <w:sz w:val="24"/>
          <w:highlight w:val="none"/>
        </w:rPr>
        <w:tab/>
      </w:r>
      <w:r>
        <w:rPr>
          <w:rFonts w:hint="eastAsia"/>
          <w:bCs/>
          <w:color w:val="000000"/>
          <w:sz w:val="24"/>
          <w:highlight w:val="none"/>
        </w:rPr>
        <w:t xml:space="preserve">检测需求合同评审</w:t>
      </w:r>
      <w:r>
        <w:rPr>
          <w:rFonts w:hint="eastAsia"/>
          <w:bCs/>
          <w:color w:val="000000"/>
          <w:sz w:val="24"/>
          <w:highlight w:val="none"/>
          <w:lang w:eastAsia="zh-CN"/>
        </w:rPr>
        <w:t xml:space="preserve">：</w:t>
      </w:r>
      <w:r>
        <w:rPr>
          <w:rFonts w:hint="eastAsia"/>
          <w:bCs/>
          <w:color w:val="000000"/>
          <w:sz w:val="24"/>
          <w:highlight w:val="none"/>
        </w:rPr>
        <w:t xml:space="preserve">各类检测任务的评审，合同评审人员根据能力表，从人、机、料、法、环、分包、收费、</w:t>
      </w:r>
      <w:r>
        <w:rPr>
          <w:rFonts w:hint="eastAsia"/>
          <w:bCs/>
          <w:color w:val="000000"/>
          <w:sz w:val="24"/>
          <w:highlight w:val="none"/>
        </w:rPr>
        <w:t xml:space="preserve">报告时间等环节进行评审-根据各能力选择项进行自动评审，生成合同评审表供双方签字确认。合同评审亦即样品登记环节，评审登记完成打印样品送检通知单送检验室（见送检流程管理）。由于合同评审是应对各类样品的评审登记，有指令性任务的，有委托的，有应急检测的，故合同评审要适应各类样品检测需求。如指令性任务一般事先有预案，样品在采集前就有固定的唯一性编号；委托检测的样品一般在评审登记时赋予唯一性编号；应急检测一般有现场采样编号，到实验室后需要转号或加缀成唯一性编号。合同评审后要有提醒功能，提前告知实验室准备试剂耗材和环境。</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16.</w:t>
      </w:r>
      <w:r>
        <w:rPr>
          <w:rFonts w:hint="eastAsia"/>
          <w:bCs/>
          <w:color w:val="000000"/>
          <w:sz w:val="24"/>
          <w:highlight w:val="none"/>
        </w:rPr>
        <w:tab/>
      </w:r>
      <w:r>
        <w:rPr>
          <w:rFonts w:hint="eastAsia"/>
          <w:bCs/>
          <w:color w:val="000000"/>
          <w:sz w:val="24"/>
          <w:highlight w:val="none"/>
        </w:rPr>
        <w:t xml:space="preserve">原始记录管理</w:t>
      </w:r>
      <w:r>
        <w:rPr>
          <w:rFonts w:hint="eastAsia"/>
          <w:bCs/>
          <w:color w:val="000000"/>
          <w:sz w:val="24"/>
          <w:highlight w:val="none"/>
          <w:lang w:eastAsia="zh-CN"/>
        </w:rPr>
        <w:t xml:space="preserve">：</w:t>
      </w:r>
      <w:r>
        <w:rPr>
          <w:rFonts w:hint="eastAsia"/>
          <w:bCs/>
          <w:color w:val="000000"/>
          <w:sz w:val="24"/>
          <w:highlight w:val="none"/>
        </w:rPr>
        <w:t xml:space="preserve">全</w:t>
      </w:r>
      <w:r>
        <w:rPr>
          <w:rFonts w:hint="eastAsia"/>
          <w:bCs/>
          <w:color w:val="000000"/>
          <w:sz w:val="24"/>
          <w:highlight w:val="none"/>
        </w:rPr>
        <w:t xml:space="preserve">流程原始记录电子化管理，记录从样品进实验室开始，每一步都要详细记录，包括实验过程中使用的什么规格吸管或移液器，使用的标准溶液中间液或滴定液是如何配制等，仪器条件和原始图谱数据只要读取，打印下来即可（同时打印成PDF文档按规定路径保存），不要转抄，系统要能编制生成数据分析原始记录表，对检测数据进行有效性分析，包括平行、控样、回收率、结果的校准等，以上数据信息要充分并可自动进行检测结果的不确定度评估。故实验活动中涉及不确定度评定的各个环节参数都要记录并保存，比如使用的名称、规格、精度、等级数值、温度等，最后自动</w:t>
      </w:r>
      <w:r>
        <w:rPr>
          <w:rFonts w:hint="eastAsia"/>
          <w:bCs/>
          <w:color w:val="000000"/>
          <w:sz w:val="24"/>
          <w:highlight w:val="none"/>
        </w:rPr>
        <w:t xml:space="preserve">生成各类实验的结果原始记录。理化检验的不确定度评估按照CNAS-GL006-2019《化学分析中不确定度的评估指南》执行，至少含一种计算方法，如Excel法。微生物检测不确定度的评估参照RB/T 228-2023 《食品微生物定量检测的测量不确定度评估指南》执行。原始记录要分批量检测和单独检测两种形式，便于实际开展工作。原始记录上的结果为最后报告结果，要和检验报告相关联，提交后自动合成检验报告，实验室没有结果输入的环节，所有信息都在原始记录上记录并提交检验报告，原始记录的提交采用人体识别技术，或人脸或指纹。</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微生物检验原始记录要记录全过程，由于微生物检测时间较长，微生物检验原始记录在检测过程中要可以作为检验流转交接单使用，分时段、分实验阶段进行签名流转。原始记录要体现多人参与检测。</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原始记录有自动运算功能，运算支持按公式、MPN查表、特殊算法、不同修约规则，支持呈现运算步骤。</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能图像识别处理实现菌落计数等颗粒技术，准确性达到确实可用的程度。</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原始记录能添加试剂性能验证、标准品验证等信息。原始记录要能体现质控方法，有添加质控方式。</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有修改重新编辑功能，当报告、样品信息被修改或删除后，会导致实验室已经完成的原始记录数据丢失。为避免这种情况，应保留原来的原始记录数据，并能直接关联修改后的样品，避免重新输入。</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原始记录最后生成PDF格式文档，打印后与检验报告合并留档或和任务单合并留档。</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17.</w:t>
      </w:r>
      <w:r>
        <w:rPr>
          <w:rFonts w:hint="eastAsia"/>
          <w:bCs/>
          <w:color w:val="000000"/>
          <w:sz w:val="24"/>
          <w:highlight w:val="none"/>
        </w:rPr>
        <w:tab/>
      </w:r>
      <w:r>
        <w:rPr>
          <w:rFonts w:hint="eastAsia"/>
          <w:bCs/>
          <w:color w:val="000000"/>
          <w:sz w:val="24"/>
          <w:highlight w:val="none"/>
        </w:rPr>
        <w:t xml:space="preserve">采送检流程管理:</w:t>
      </w:r>
      <w:r>
        <w:rPr>
          <w:rFonts w:hint="eastAsia"/>
          <w:bCs/>
          <w:color w:val="000000"/>
          <w:sz w:val="24"/>
          <w:highlight w:val="none"/>
        </w:rPr>
        <w:t xml:space="preserve">  各科室送样流程和要求不同，必须适应各类样品的送检需求。包括食品检测、水质检测、场所空气检测、地方病碘检测、各类病原微生物应急检测、消杀与公共场所检测等。按样品的行业分类编制送检流程，有需要出具检验报告的和不需要出具检验报告的，不需要出具检验报告的要能按要求输出结果或结果列表（一种简易报告形式）。检验报告是根据原始记录自动合成的，不需要人工输入结果及信息，合成后进行审核即可。不需要出具检验报告的，在登记样品时应考虑使用“任务单编号”，根据各科室要求自行制定任务号码，实验室根据任务号码来管理并保存原始记录。</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样品送检基本流程：</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客户或现场科室 检测需求与综合业务科对接</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↓（现场科室直接送样的，也要进行合同评审，选项填充式自动评审）</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样品登记，进行合同评审或调用已有合同评审，确定检测项目、检测依据、仪器、检验组人员、收费、报告时限等（关联检测项目能力表-项目在能力范围内并有效，仪器处于正常状态，关键岗位人员在岗或授权有效），要支持拍摄照片等影像资料。不通过则作退样处理。双方签字确认</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↓（例如水质检测的合同评审形成不同检测项目的组合，保存调用）</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提交实验室，样品随送检单与实验室交接，实验室进一步确认样品状态，不符合要求的，要可以退样处理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↓（送样人和接收人签字交接）</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实验室接收，科长进行工作任务推送/打印工作安排单，可以自动推送也可以手动推送分配任务，自动推送的要进行审核确认，自动推送基于合同评审，有对不合理的推送进行提示。</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↓（进一步确定相应的检验人员或不符合送样要求的退回合同评审）</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检验人员接收任务，必要时打印检测原始记录单空表，特别是需要手工记录一些数据的情况。</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↓（检验工作全流程电子化，必要时可以打印原始记录单）</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检验人员调用相应的作业指导书和记录表式进行实验，包括样品前处理、标准品及控样的处理、溶液的配制与标定、上机检测等，及时在线填写记录表（原始记录），有任务提醒、即将超期提醒和超期提醒</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↓（检测过程全流程电子化记录，详见原始记录管理）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汇总记录→数据分析原始记录（平行、控样、加标、不确定度运算等，有结果校准，做到自动计算、自动换算和修约，有异常报警功能）→数据提交后自动到结果报告，可单项目批量提交。</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↓（自动导入结果和环境条件，自动判断结果合格性，无人工输入）</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科长审核结果数据、PDF原始记录及审核生成的预览报告，有审核概要，必要时需要反馈上一级</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↓（有审核后的复检功能，分需要更换样品和不更换样品2种形式）</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综合业务科打印自动的生成各类PDF报告文件、书面审核，各级签字、签发报告（报告签发后，文档加密不得修改）。</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以上各阶段均有反馈功能，反馈要保留已经录入信息，并有提醒相关人员的功能。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文档打印后，只能预览该文档的PDF格式，打印失效！过往检测信息只能在“报告查询栏”去预览版报告，预览版报告有仅供预览等说明，以防复制他用。</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18.</w:t>
      </w:r>
      <w:r>
        <w:rPr>
          <w:rFonts w:hint="eastAsia"/>
          <w:bCs/>
          <w:color w:val="000000"/>
          <w:sz w:val="24"/>
          <w:highlight w:val="none"/>
        </w:rPr>
        <w:tab/>
      </w:r>
      <w:r>
        <w:rPr>
          <w:rFonts w:hint="eastAsia"/>
          <w:bCs/>
          <w:color w:val="000000"/>
          <w:sz w:val="24"/>
          <w:highlight w:val="none"/>
        </w:rPr>
        <w:t xml:space="preserve">质控管理：包括外部能力验证、盲样考核、实验室间比对和内部质控全流程实行信息化管理,包括:计划申报、频率及覆盖率核查、批准计划、实施计划、结果评价、汇总、记录存档等。系统可按设定的频率及覆盖率等核查条件,按领域、检测方法或特定的人员等进行自动核查,判断质控计划的符合性。可设定每个计划的质控方式和结果评价限,可根据填报的结果自动评价,保存相关记录。当计划未被执行时,可向相关部门/人员发出提醒。可按部门、人员或检测领域统计质控的频次和分布,以便对重点领域、项目或岗位加强监控;也可按规定的格式输出质控汇总信息。</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19.</w:t>
      </w:r>
      <w:r>
        <w:rPr>
          <w:rFonts w:hint="eastAsia"/>
          <w:bCs/>
          <w:color w:val="000000"/>
          <w:sz w:val="24"/>
          <w:highlight w:val="none"/>
        </w:rPr>
        <w:tab/>
      </w:r>
      <w:r>
        <w:rPr>
          <w:rFonts w:hint="eastAsia"/>
          <w:bCs/>
          <w:color w:val="000000"/>
          <w:sz w:val="24"/>
          <w:highlight w:val="none"/>
        </w:rPr>
        <w:t xml:space="preserve">报告管理 能自动匹配报告模板，自动导入所有信息。有退回修改的功能。涉及签发人员的授权、CMA符号的使用、报告的修改与过往报告的留档等，留档报告生成PDF格式，控制不得修改。系统有登记报告打印日志信息功能。检验报告中要体现所有检测人员姓名和多名审核人员姓名。所有报告修改信息应保留在系统里。</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20.</w:t>
      </w:r>
      <w:r>
        <w:rPr>
          <w:rFonts w:hint="eastAsia"/>
          <w:bCs/>
          <w:color w:val="000000"/>
          <w:sz w:val="24"/>
          <w:highlight w:val="none"/>
        </w:rPr>
        <w:tab/>
      </w:r>
      <w:r>
        <w:rPr>
          <w:rFonts w:hint="eastAsia"/>
          <w:bCs/>
          <w:color w:val="000000"/>
          <w:sz w:val="24"/>
          <w:highlight w:val="none"/>
        </w:rPr>
        <w:t xml:space="preserve">不符合工作控制 不符合工作的全流程管理，包括：来源、事实描述、依据(质量要素)、责任部门/岗位/责任人、风险分析/评估、纠正等。有完成日期和提醒相关人员的功能。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lang w:val="en-US" w:eastAsia="zh-CN"/>
        </w:rPr>
        <w:t xml:space="preserve">3</w:t>
      </w:r>
      <w:r>
        <w:rPr>
          <w:rFonts w:hint="eastAsia"/>
          <w:bCs/>
          <w:color w:val="000000"/>
          <w:sz w:val="24"/>
          <w:highlight w:val="none"/>
        </w:rPr>
        <w:t xml:space="preserve">）体系管理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21.</w:t>
      </w:r>
      <w:r>
        <w:rPr>
          <w:rFonts w:hint="eastAsia"/>
          <w:bCs/>
          <w:color w:val="000000"/>
          <w:sz w:val="24"/>
          <w:highlight w:val="none"/>
        </w:rPr>
        <w:tab/>
      </w:r>
      <w:r>
        <w:rPr>
          <w:rFonts w:hint="eastAsia"/>
          <w:bCs/>
          <w:color w:val="000000"/>
          <w:sz w:val="24"/>
          <w:highlight w:val="none"/>
        </w:rPr>
        <w:t xml:space="preserve">质量体系文件管理  根据实验室《文件控制和管理程序》对各类文件进行受控管理，包括各类文件的调阅、修订、在线调用与审批、检验用标准文本的下载打印、标准查新提示、分发登记等。包括但不限于:包括查询、阅读和发放体系文件、在线修订申请等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将体系受控文件的编制、审核、发放、修改和废止等流程智能化管理，如程序文件,作业指导书和支持表格信息化,提供输入输出等操作功能。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将体系受控文件与实验室岗位授权相关联,能根据岗位授权自动或手动获取所需要的受控体系文件,受控文件的使用者能根据实际需要发起文件的修改,通过修改文件审批流程后自动产生更新后的受控文件。</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对体系受控文件之间的逻辑关系进行设置,自动识别文件的相关性和有效性,当对某个文件的进行修改或废止时,能提示对其相关的文件进行修改或废止,并能通知到受影响的相关方。</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22.</w:t>
      </w:r>
      <w:r>
        <w:rPr>
          <w:rFonts w:hint="eastAsia"/>
          <w:bCs/>
          <w:color w:val="000000"/>
          <w:sz w:val="24"/>
          <w:highlight w:val="none"/>
        </w:rPr>
        <w:tab/>
      </w:r>
      <w:r>
        <w:rPr>
          <w:rFonts w:hint="eastAsia"/>
          <w:bCs/>
          <w:color w:val="000000"/>
          <w:sz w:val="24"/>
          <w:highlight w:val="none"/>
        </w:rPr>
        <w:t xml:space="preserve">实验室标识管理 ：实验室布置图管理，根据仪器布置、实验活动开展的场所进行安全风险评估，制订各类标识并在合理的位置进行张贴，年度内审时要根据实际变动进行复评审和标识的更新。具体要求要符合WS 589-2018规定。</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23.</w:t>
      </w:r>
      <w:r>
        <w:rPr>
          <w:rFonts w:hint="eastAsia"/>
          <w:bCs/>
          <w:color w:val="000000"/>
          <w:sz w:val="24"/>
          <w:highlight w:val="none"/>
        </w:rPr>
        <w:tab/>
      </w:r>
      <w:r>
        <w:rPr>
          <w:rFonts w:hint="eastAsia"/>
          <w:bCs/>
          <w:color w:val="000000"/>
          <w:sz w:val="24"/>
          <w:highlight w:val="none"/>
        </w:rPr>
        <w:t xml:space="preserve">内部审核 ：内部审核全流程实施管理,包括:内审计划、审核依据、内审组、</w:t>
      </w:r>
      <w:r>
        <w:rPr>
          <w:rFonts w:hint="eastAsia"/>
          <w:bCs/>
          <w:color w:val="000000"/>
          <w:sz w:val="24"/>
          <w:highlight w:val="none"/>
        </w:rPr>
        <w:t xml:space="preserve">内审方案、内审发现及记录、不符合项、内审报告、记录归档等。可依据设定的流程,提醒审核要素和关键点,形成内审记录,自动汇总审核发现。内审发现可按设定传给相应的人员查阅、确认,并可链接不符合工作管理模块,完成后续的整改过程。可自动收集、汇总内部审核的相应的记录和结果,形成内审报告,在系统上完成编制、审批流程后,推送给相应人员查阅。各类检查表的管理，包括自查-内审、生物安全、危化品、标识等，可以分科室、分领域进行部分要素和领域进行内审，形成内审报告，内审结果分文字描述和不符合的照片留存。可以进行整改和纠正的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24.</w:t>
      </w:r>
      <w:r>
        <w:rPr>
          <w:rFonts w:hint="eastAsia"/>
          <w:bCs/>
          <w:color w:val="000000"/>
          <w:sz w:val="24"/>
          <w:highlight w:val="none"/>
        </w:rPr>
        <w:tab/>
      </w:r>
      <w:r>
        <w:rPr>
          <w:rFonts w:hint="eastAsia"/>
          <w:bCs/>
          <w:color w:val="000000"/>
          <w:sz w:val="24"/>
          <w:highlight w:val="none"/>
        </w:rPr>
        <w:t xml:space="preserve">管理评审:管理评审全流程实施管理,包括:制定计划、评审准备、评审实施、评审报告、评审决策的实施、记录存档等。依据设定的流程，提醒相关部门和人员准备、上传评审输人，提醒相关部门和人员执行评审决策，包括:制定改进措施、设定改进期限等。可在系统完成管理评审报告的编制和审批，并推送给相应人员查阅。各科室可以登录进行管评输入，综合业务科进行汇总后提交管理评审，领导可以进行管评的输出。按年度进行管理，有各年度重复评审内容的提示和查阅。</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25.</w:t>
      </w:r>
      <w:r>
        <w:rPr>
          <w:rFonts w:hint="eastAsia"/>
          <w:bCs/>
          <w:color w:val="000000"/>
          <w:sz w:val="24"/>
          <w:highlight w:val="none"/>
        </w:rPr>
        <w:tab/>
      </w:r>
      <w:r>
        <w:rPr>
          <w:rFonts w:hint="eastAsia"/>
          <w:bCs/>
          <w:color w:val="000000"/>
          <w:sz w:val="24"/>
          <w:highlight w:val="none"/>
        </w:rPr>
        <w:t xml:space="preserve">质量监督: 按照《质量监督程序》要求，开展实验室关键岗位和关键人员的检测质量监督工作。质量监督有计划、审批、记录、追踪、评价等，有提示功能，能与检测人员个人能力确认表相关联。</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26.</w:t>
      </w:r>
      <w:r>
        <w:rPr>
          <w:rFonts w:hint="eastAsia"/>
          <w:bCs/>
          <w:color w:val="000000"/>
          <w:sz w:val="24"/>
          <w:highlight w:val="none"/>
        </w:rPr>
        <w:tab/>
      </w:r>
      <w:r>
        <w:rPr>
          <w:rFonts w:hint="eastAsia"/>
          <w:bCs/>
          <w:color w:val="000000"/>
          <w:sz w:val="24"/>
          <w:highlight w:val="none"/>
        </w:rPr>
        <w:t xml:space="preserve">检验分包管理: 根据要求，进行分包前的评估，签订分包协议。分实验室外送分包管理和接受外部分包管理两种，包括两种协议的生成和管理。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27.</w:t>
      </w:r>
      <w:r>
        <w:rPr>
          <w:rFonts w:hint="eastAsia"/>
          <w:bCs/>
          <w:color w:val="000000"/>
          <w:sz w:val="24"/>
          <w:highlight w:val="none"/>
        </w:rPr>
        <w:tab/>
      </w:r>
      <w:r>
        <w:rPr>
          <w:rFonts w:hint="eastAsia"/>
          <w:bCs/>
          <w:color w:val="000000"/>
          <w:sz w:val="24"/>
          <w:highlight w:val="none"/>
        </w:rPr>
        <w:t xml:space="preserve">合格供应商管理  合格供应商一览表、索证管理-经营范围-扫描件，项目包括（不限于）合格供应商的营业执照、经营许可证、注册证书、经营范围、供应的物资名称、有效期（预警），首次入库日期、最近评审日期。按照合格供应商评价程序，进行年度合格供应商评价。</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28.</w:t>
      </w:r>
      <w:r>
        <w:rPr>
          <w:rFonts w:hint="eastAsia"/>
          <w:bCs/>
          <w:color w:val="000000"/>
          <w:sz w:val="24"/>
          <w:highlight w:val="none"/>
        </w:rPr>
        <w:tab/>
      </w:r>
      <w:r>
        <w:rPr>
          <w:rFonts w:hint="eastAsia"/>
          <w:bCs/>
          <w:color w:val="000000"/>
          <w:sz w:val="24"/>
          <w:highlight w:val="none"/>
        </w:rPr>
        <w:t xml:space="preserve">投诉管理:对投诉的全流程管理,即受理、调査、处理、反馈、记录归档实施管理。可设立多种方式受理投诉,如现场、书面/信函、微信、电子邮件、短信、LIMS客户端、电话(录音/纸质记录)等。调查人员可录入调查结果,提出处理意见。管理层批准处理结果,并在设定的范围通报,同时将其反馈给投诉方;需要整改时,可链接到不符合工作管理模块。可查询、统计,并可按设定的格式输出投诉汇总表。根据投诉相关记录表式记录相关信息并作答复和解释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29.</w:t>
      </w:r>
      <w:r>
        <w:rPr>
          <w:rFonts w:hint="eastAsia"/>
          <w:bCs/>
          <w:color w:val="000000"/>
          <w:sz w:val="24"/>
          <w:highlight w:val="none"/>
        </w:rPr>
        <w:tab/>
      </w:r>
      <w:r>
        <w:rPr>
          <w:rFonts w:hint="eastAsia"/>
          <w:bCs/>
          <w:color w:val="000000"/>
          <w:sz w:val="24"/>
          <w:highlight w:val="none"/>
        </w:rPr>
        <w:t xml:space="preserve">纠正措施:对发现的不符合、考核不合格、检查不达标等情况进行原因分析、整改、验证、跟踪、归档记录。</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30.</w:t>
      </w:r>
      <w:r>
        <w:rPr>
          <w:rFonts w:hint="eastAsia"/>
          <w:bCs/>
          <w:color w:val="000000"/>
          <w:sz w:val="24"/>
          <w:highlight w:val="none"/>
        </w:rPr>
        <w:tab/>
      </w:r>
      <w:r>
        <w:rPr>
          <w:rFonts w:hint="eastAsia"/>
          <w:bCs/>
          <w:color w:val="000000"/>
          <w:sz w:val="24"/>
          <w:highlight w:val="none"/>
        </w:rPr>
        <w:t xml:space="preserve">改进管理 :改进计划、执行记录、有效性评价。就实验室检查发现问题苗头，自动收集记录改进信息。根据实际记录表式进行管理。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31.</w:t>
      </w:r>
      <w:r>
        <w:rPr>
          <w:rFonts w:hint="eastAsia"/>
          <w:bCs/>
          <w:color w:val="000000"/>
          <w:sz w:val="24"/>
          <w:highlight w:val="none"/>
        </w:rPr>
        <w:tab/>
      </w:r>
      <w:r>
        <w:rPr>
          <w:rFonts w:hint="eastAsia"/>
          <w:bCs/>
          <w:color w:val="000000"/>
          <w:sz w:val="24"/>
          <w:highlight w:val="none"/>
        </w:rPr>
        <w:t xml:space="preserve">记录控制 :按照《记录控制程序》进行各科各类记录的登记保存管理等。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32.</w:t>
      </w:r>
      <w:r>
        <w:rPr>
          <w:rFonts w:hint="eastAsia"/>
          <w:bCs/>
          <w:color w:val="000000"/>
          <w:sz w:val="24"/>
          <w:highlight w:val="none"/>
        </w:rPr>
        <w:tab/>
      </w:r>
      <w:r>
        <w:rPr>
          <w:rFonts w:hint="eastAsia"/>
          <w:bCs/>
          <w:color w:val="000000"/>
          <w:sz w:val="24"/>
          <w:highlight w:val="none"/>
        </w:rPr>
        <w:t xml:space="preserve">实验室引进新项目的方法验证管理 按照国家标准要求编制要素，并进行全过程管理。理化满足GB/T 32465-2015《化学分析方法验证确认和内部质量控制要求》和GB/T 27417-2017《合格评定 化学分析方法确认和验证指南》要求；微生物领域要满足RB/T 033-2020《微生物检测方法确认与验证指南》要求。</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33.</w:t>
      </w:r>
      <w:r>
        <w:rPr>
          <w:rFonts w:hint="eastAsia"/>
          <w:bCs/>
          <w:color w:val="000000"/>
          <w:sz w:val="24"/>
          <w:highlight w:val="none"/>
        </w:rPr>
        <w:tab/>
      </w:r>
      <w:r>
        <w:rPr>
          <w:rFonts w:hint="eastAsia"/>
          <w:bCs/>
          <w:color w:val="000000"/>
          <w:sz w:val="24"/>
          <w:highlight w:val="none"/>
        </w:rPr>
        <w:t xml:space="preserve">病原微生物实验活动的生物安全评估管理 :开展评估的要素、评估人员管理、评估报告管理，评估后的检验人员培训，授权开展检测活动。有各类生物安全制度、SOP或作业指导书、有生物安全手册，实验室质量负责人员能根据此系统开展生物安全。符合WS 233-2017《病原微生物实验室生物安全通用准则》和WST 442-2024《临床实验室生物安全指南》规定的要求。</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34.</w:t>
      </w:r>
      <w:r>
        <w:rPr>
          <w:rFonts w:hint="eastAsia"/>
          <w:bCs/>
          <w:color w:val="000000"/>
          <w:sz w:val="24"/>
          <w:highlight w:val="none"/>
        </w:rPr>
        <w:tab/>
      </w:r>
      <w:r>
        <w:rPr>
          <w:rFonts w:hint="eastAsia"/>
          <w:bCs/>
          <w:color w:val="000000"/>
          <w:sz w:val="24"/>
          <w:highlight w:val="none"/>
        </w:rPr>
        <w:t xml:space="preserve">实验活动管理 :系统上要可以进行实验室活动的安排，不得同时开展多种病原微生物检测（筛选除外）的要有提醒功能。根据生物安全评估系统的结果，管理实际开展的实验活动，根据时段可以生成一个管理报告。</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35.</w:t>
      </w:r>
      <w:r>
        <w:rPr>
          <w:rFonts w:hint="eastAsia"/>
          <w:bCs/>
          <w:color w:val="000000"/>
          <w:sz w:val="24"/>
          <w:highlight w:val="none"/>
        </w:rPr>
        <w:tab/>
      </w:r>
      <w:r>
        <w:rPr>
          <w:rFonts w:hint="eastAsia"/>
          <w:bCs/>
          <w:color w:val="000000"/>
          <w:sz w:val="24"/>
          <w:highlight w:val="none"/>
        </w:rPr>
        <w:t xml:space="preserve">质量控制考核管理: 计划、审批、实施、记录、评价、归档等，与往年的项目比较，尽量覆盖能力范围，根据质控考核结果的生成分析报告。根据检测能力表可以统计分析每年能力维持情况和质控覆盖情况。</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36.</w:t>
      </w:r>
      <w:r>
        <w:rPr>
          <w:rFonts w:hint="eastAsia"/>
          <w:bCs/>
          <w:color w:val="000000"/>
          <w:sz w:val="24"/>
          <w:highlight w:val="none"/>
        </w:rPr>
        <w:tab/>
      </w:r>
      <w:r>
        <w:rPr>
          <w:rFonts w:hint="eastAsia"/>
          <w:bCs/>
          <w:color w:val="000000"/>
          <w:sz w:val="24"/>
          <w:highlight w:val="none"/>
        </w:rPr>
        <w:t xml:space="preserve">各类手册的管理 :包括《实验室质量手册》、《生物安全管理手册》、《危险化学品管理手册》、《职业卫生技术服务管理手册》、《安全手册-生物安全》、《安全手册-化学品》等，可以网上进行查阅、提出修订、审批、发布；登记发放、回收签字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37.</w:t>
      </w:r>
      <w:r>
        <w:rPr>
          <w:rFonts w:hint="eastAsia"/>
          <w:bCs/>
          <w:color w:val="000000"/>
          <w:sz w:val="24"/>
          <w:highlight w:val="none"/>
        </w:rPr>
        <w:tab/>
      </w:r>
      <w:r>
        <w:rPr>
          <w:rFonts w:hint="eastAsia"/>
          <w:bCs/>
          <w:color w:val="000000"/>
          <w:sz w:val="24"/>
          <w:highlight w:val="none"/>
        </w:rPr>
        <w:t xml:space="preserve">各类程序的管理 :可以网上进行查阅、提出修订、审批、发布；登记发放、回收签字等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38.</w:t>
      </w:r>
      <w:r>
        <w:rPr>
          <w:rFonts w:hint="eastAsia"/>
          <w:bCs/>
          <w:color w:val="000000"/>
          <w:sz w:val="24"/>
          <w:highlight w:val="none"/>
        </w:rPr>
        <w:tab/>
      </w:r>
      <w:r>
        <w:rPr>
          <w:rFonts w:hint="eastAsia"/>
          <w:bCs/>
          <w:color w:val="000000"/>
          <w:sz w:val="24"/>
          <w:highlight w:val="none"/>
        </w:rPr>
        <w:t xml:space="preserve">各式记录表式的管理（各类表式的调阅、在线调用与逐级审批、归档保存等）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39.</w:t>
      </w:r>
      <w:r>
        <w:rPr>
          <w:rFonts w:hint="eastAsia"/>
          <w:bCs/>
          <w:color w:val="000000"/>
          <w:sz w:val="24"/>
          <w:highlight w:val="none"/>
        </w:rPr>
        <w:tab/>
      </w:r>
      <w:r>
        <w:rPr>
          <w:rFonts w:hint="eastAsia"/>
          <w:bCs/>
          <w:color w:val="000000"/>
          <w:sz w:val="24"/>
          <w:highlight w:val="none"/>
        </w:rPr>
        <w:t xml:space="preserve">作业指导书的管理 :在线调阅各类作业指导书/工作方案/SOP，包括仪器、方法、流程、安全手册等，可以在线提交修订申请。仪器作业指导书要和仪器信息表关联；检测方法作业指导书要和检测能力表关联；在流程中也要关联相关作业指导书，随时调用。例如：《医废处理作业指导书》在医废的产生登记、中转医废、交接医废的全流程可查阅。</w:t>
      </w:r>
      <w:r>
        <w:rPr>
          <w:bCs/>
          <w:color w:val="000000"/>
          <w:sz w:val="24"/>
          <w:highlight w:val="none"/>
        </w:rPr>
      </w:r>
      <w:r/>
    </w:p>
    <w:p>
      <w:pPr>
        <w:pStyle w:val="823"/>
        <w:contextualSpacing/>
        <w:ind w:firstLine="480"/>
        <w:jc w:val="left"/>
        <w:spacing w:line="400" w:lineRule="exact"/>
        <w:rPr>
          <w:bCs/>
          <w:color w:val="000000"/>
          <w:sz w:val="24"/>
          <w:highlight w:val="none"/>
        </w:rPr>
      </w:pP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lang w:val="en-US" w:eastAsia="zh-CN"/>
        </w:rPr>
        <w:t xml:space="preserve">4</w:t>
      </w:r>
      <w:r>
        <w:rPr>
          <w:rFonts w:hint="eastAsia"/>
          <w:bCs/>
          <w:color w:val="000000"/>
          <w:sz w:val="24"/>
          <w:highlight w:val="none"/>
        </w:rPr>
        <w:t xml:space="preserve">）其他工作管理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40.</w:t>
      </w:r>
      <w:r>
        <w:rPr>
          <w:rFonts w:hint="eastAsia"/>
          <w:bCs/>
          <w:color w:val="000000"/>
          <w:sz w:val="24"/>
          <w:highlight w:val="none"/>
        </w:rPr>
        <w:tab/>
      </w:r>
      <w:r>
        <w:rPr>
          <w:rFonts w:hint="eastAsia"/>
          <w:bCs/>
          <w:color w:val="000000"/>
          <w:sz w:val="24"/>
          <w:highlight w:val="none"/>
        </w:rPr>
        <w:t xml:space="preserve">突发公卫事件的AI管理 :根据流行病学、临床学、卫生学特征给出突发事件性质的初步判断，指导流调人员开展下一步工作，给实验室一个检测的方向；查询与智能分析、多角度分析、科学决策支持、以及环境卫生监测研判分析、食品风险监测研判分析、生活饮用水监测研判分析、公共场所监测研判分析、学校卫生监测研判分析、职业卫生监测研判分析、传染病风险监测研判分析、艾滋病监测研判分析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41.</w:t>
      </w:r>
      <w:r>
        <w:rPr>
          <w:rFonts w:hint="eastAsia"/>
          <w:bCs/>
          <w:color w:val="000000"/>
          <w:sz w:val="24"/>
          <w:highlight w:val="none"/>
        </w:rPr>
        <w:tab/>
      </w:r>
      <w:r>
        <w:rPr>
          <w:rFonts w:hint="eastAsia"/>
          <w:bCs/>
          <w:color w:val="000000"/>
          <w:sz w:val="24"/>
          <w:highlight w:val="none"/>
        </w:rPr>
        <w:t xml:space="preserve">艾滋病实验室检测管理 :包含样品检测受理、缴费管理、流转单管理、实现样品自动流转与任务分派、检测结果管理、检测报告管理（编制、复核、签发）、评价报告管理（编制、复核、签发），报告合并管理、报告的核实与发放管理、检测项目复检申请管理以及报告修改申请管理、检测过程进度与监控等功能。艾滋病性病丙肝的监测信息、疫情信息管理、艾滋病、性病、丙肝防制工作的信息收集上报、统计、分析；</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42.</w:t>
      </w:r>
      <w:r>
        <w:rPr>
          <w:rFonts w:hint="eastAsia"/>
          <w:bCs/>
          <w:color w:val="000000"/>
          <w:sz w:val="24"/>
          <w:highlight w:val="none"/>
        </w:rPr>
        <w:tab/>
      </w:r>
      <w:r>
        <w:rPr>
          <w:rFonts w:hint="eastAsia"/>
          <w:bCs/>
          <w:color w:val="000000"/>
          <w:sz w:val="24"/>
          <w:highlight w:val="none"/>
        </w:rPr>
        <w:t xml:space="preserve">各类应急演练管理:危化品泄漏演练，化学中毒预案、突发疫情处置演练；应急预案管理、应急演练管理、应急事件管理、疫情管理与疫情分析报告管理、应急队伍管理、应急值班管理、以及物资管理等。应急准备与评估管理、应急值守管理、应急响应处置管理、应急指挥调度、调查表管理、数据对接交互统计分析。</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43.</w:t>
      </w:r>
      <w:r>
        <w:rPr>
          <w:rFonts w:hint="eastAsia"/>
          <w:bCs/>
          <w:color w:val="000000"/>
          <w:sz w:val="24"/>
          <w:highlight w:val="none"/>
        </w:rPr>
        <w:tab/>
      </w:r>
      <w:r>
        <w:rPr>
          <w:rFonts w:hint="eastAsia"/>
          <w:bCs/>
          <w:color w:val="000000"/>
          <w:sz w:val="24"/>
          <w:highlight w:val="none"/>
        </w:rPr>
        <w:t xml:space="preserve">实验室关键岗位的视频监控管理 :包括环境条件的监控、门禁、记录与报警与处理。</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lang w:val="en-US" w:eastAsia="zh-CN"/>
        </w:rPr>
        <w:t xml:space="preserve">5</w:t>
      </w:r>
      <w:r>
        <w:rPr>
          <w:rFonts w:hint="eastAsia"/>
          <w:bCs/>
          <w:color w:val="000000"/>
          <w:sz w:val="24"/>
          <w:highlight w:val="none"/>
        </w:rPr>
        <w:t xml:space="preserve">）查询统计</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44.</w:t>
      </w:r>
      <w:r>
        <w:rPr>
          <w:rFonts w:hint="eastAsia"/>
          <w:bCs/>
          <w:color w:val="000000"/>
          <w:sz w:val="24"/>
          <w:highlight w:val="none"/>
        </w:rPr>
        <w:tab/>
      </w:r>
      <w:r>
        <w:rPr>
          <w:rFonts w:hint="eastAsia"/>
          <w:bCs/>
          <w:color w:val="000000"/>
          <w:sz w:val="24"/>
          <w:highlight w:val="none"/>
        </w:rPr>
        <w:t xml:space="preserve">检验检测统计与各类报表（提供各类报表格式）；查询与智能分析、多角度分析、科学决策支持、以及环境卫生监测研判分析、食品风险监测研判分析、生活饮用水监测研判分析、公共场所监测研判分析、学校卫生监测研判分析、职业卫生监测研判分、传染病风险监测研判分析、艾滋病监测研判分析等。系统的查询统计功能应能满足实验室机构管理、资</w:t>
      </w:r>
      <w:r>
        <w:rPr>
          <w:rFonts w:hint="eastAsia"/>
          <w:bCs/>
          <w:color w:val="000000"/>
          <w:sz w:val="24"/>
          <w:highlight w:val="none"/>
        </w:rPr>
        <w:t xml:space="preserve">源管理、检测过程管理和体系管理过程中对数据和信息的查询统计需求。查询统计功能可包括:实验室能力范围的查询统计，人员工作量的查询统计，仪器设备使用情况的查询统计，样品信息的查询统计，检测项目信息的查询统计，检测过程中各项活动及时率，准确率的查询统计，不符合项、纠正措施、改进情况的查询统计，样品质量趋势的统计分析，实验室质控状况的统计分析等。提供关于查询统计的配置功能，方便实验室自定义查询统计的数据来源、条件和输出内容。提供查询统计结果的导出功能，导出功能应受控。可通过集成商品化报表软件的方式实现查询统计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lang w:val="en-US" w:eastAsia="zh-CN"/>
        </w:rPr>
        <w:t xml:space="preserve">6</w:t>
      </w:r>
      <w:r>
        <w:rPr>
          <w:rFonts w:hint="eastAsia"/>
          <w:bCs/>
          <w:color w:val="000000"/>
          <w:sz w:val="24"/>
          <w:highlight w:val="none"/>
        </w:rPr>
        <w:t xml:space="preserve">）收费</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支持根据检测项目的每一个检测方法设置独立的收费标准，方法一、方法二的费用可以不同，下任务后费用可以自动合计，支持协议客户，绑定发票编号等。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lang w:val="en-US" w:eastAsia="zh-CN"/>
        </w:rPr>
        <w:t xml:space="preserve">7</w:t>
      </w:r>
      <w:r>
        <w:rPr>
          <w:rFonts w:hint="eastAsia"/>
          <w:bCs/>
          <w:color w:val="000000"/>
          <w:sz w:val="24"/>
          <w:highlight w:val="none"/>
        </w:rPr>
        <w:t xml:space="preserve">）数据安全与备份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系统安全性能: 应符合GB17859等国家标准要求。</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数据备份</w:t>
      </w:r>
      <w:r>
        <w:rPr>
          <w:rFonts w:hint="eastAsia"/>
          <w:bCs/>
          <w:color w:val="000000"/>
          <w:sz w:val="24"/>
          <w:highlight w:val="none"/>
          <w:lang w:eastAsia="zh-CN"/>
        </w:rPr>
        <w:t xml:space="preserve">：</w:t>
      </w:r>
      <w:r>
        <w:rPr>
          <w:rFonts w:hint="eastAsia"/>
          <w:bCs/>
          <w:color w:val="000000"/>
          <w:sz w:val="24"/>
          <w:highlight w:val="none"/>
        </w:rPr>
        <w:t xml:space="preserve">系统应提供完全备份、增量备份等备份机制及数据恢复功能。</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身份认证: 应提供身份认证机制，可设置用户名和密码设置规则、连续输入错误密码锁定规则、持续无操作启动保护时间、密码定期修改周期等并提供相应的系统安全策略。</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权限控制 :权限控制应满足实验室管理要求：系统应提供多种授权方式,可按部门授权、按岗位授权、按角色授权、按单个用户授权等；系统保存完整的授权变更记录。</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数据安全与数据校验: 可预先设置结果数据限值，可自动识别超过限值的结果数据,并执行警告或禁止控制。</w:t>
      </w:r>
      <w:r>
        <w:rPr>
          <w:bCs/>
          <w:color w:val="000000"/>
          <w:sz w:val="24"/>
          <w:highlight w:val="none"/>
        </w:rPr>
      </w:r>
      <w:r/>
    </w:p>
    <w:p>
      <w:pPr>
        <w:pStyle w:val="823"/>
        <w:contextualSpacing/>
        <w:ind w:firstLine="482"/>
        <w:jc w:val="left"/>
        <w:spacing w:line="400" w:lineRule="exact"/>
        <w:rPr>
          <w:b/>
          <w:color w:val="000000"/>
          <w:sz w:val="24"/>
          <w:highlight w:val="none"/>
        </w:rPr>
      </w:pPr>
      <w:r>
        <w:rPr>
          <w:rFonts w:hint="eastAsia"/>
          <w:b/>
          <w:color w:val="000000"/>
          <w:sz w:val="24"/>
          <w:highlight w:val="none"/>
        </w:rPr>
        <w:t xml:space="preserve">（三）总体需求</w:t>
      </w:r>
      <w:r>
        <w:rPr>
          <w:b/>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1.系统必须采用B/S(浏览器/服务器)多层架构微服务技术路线和体系结构，相关技术符合当今软件和数据库技术发展的方向，支持现代浏览器包括但不限于Chrome、Firefox、Edge。支持 WebAssembly，原生 HTML5 实现，可无预览批量打印标签、合格证、原始记录、图谱、证书/报告等，当打印机不支持自动双面打印时可手动选择奇数页、偶数页批量打印。</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为保证本项目的开发实施周期，应标软件系统应和本次招标文件中规定的相关技术参数要求保持相当高的配合度，尽可能减少二次开发带来的时间成本和费用成本。同时，供应商应保证，采购方在使用该软件或软件的任何一部分时，免受第三方提出的侵犯其专利权、商标权、著作权或其它知识产权的起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3.系统要采用开源、免费软件开发、部署，要求信创，支持国产电脑、系统、数据库，不可采用闭源、商业软件。支持国产电脑、系统，要同时支持x86、ARM、RISC-V、LoongArch架构。要同时支持 Windows、Linux、Mac(ARM)、Android、iOS、鸿蒙(原生系统)。可在嵌入式设备上部署边缘计算。</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4.系统要对接各种仪器设备，同时支持国产、进口仪器，支持多种标准化接口、协议，如串口、TCP/IP、VISA、OPC、PLC、ModBus、IEEE488、USB、WiFi、蓝牙等。可以解析仪器的二进制格式文件、导出的Excel、PDF等。</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5.系统应能够按《检验检测机构资质认定评审准则》及相关评审补充要求、国家实验室规范（ISO/IEC 17025:2017）认可的要求对实验室的人、机、料、法、环、测等要素进行有效科学的管理；并对出具检验报告的整个业务流程有良好的程序设计和实现。</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6.系统部署要支持容器虚拟化解决方案，要支持公有云、私有云、服务器集群等多种部署方案，要在几分钟内启动、停止系统。支持负载均衡、高可用性、动态扩容，不停机更新。</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7.系统要能够在线编辑、查看 Word、Excel、PowerPoint 等常见文件，原始记录、报告均可在线编辑、自动生成，要求支持2026年最新版微软 Office 365 的高级公式(FILTER、XLOOKUP、IFS、COUNTIFS、INDEX、MATCH等)、OfficeMath公式编辑器(可以在线编辑公式)，支持折线图、饼形图等常见图表类型的自动生成。支持直接输入非图片方式的带圈等特殊字符，支持自动计算不确定度、方法检出限、自动修约计算(四舍六入五单进)。</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8.系统模板要支持最新国家标准，自动生成报告。食品、水质、环境、职业卫生等检测报告。</w:t>
      </w:r>
      <w:r>
        <w:rPr>
          <w:bCs/>
          <w:color w:val="000000"/>
          <w:sz w:val="24"/>
          <w:highlight w:val="none"/>
        </w:rPr>
      </w:r>
      <w:r/>
    </w:p>
    <w:p>
      <w:pPr>
        <w:pStyle w:val="823"/>
        <w:contextualSpacing/>
        <w:ind w:firstLine="480"/>
        <w:jc w:val="left"/>
        <w:spacing w:line="400" w:lineRule="exact"/>
        <w:rPr>
          <w:color w:val="000000"/>
          <w:highlight w:val="none"/>
        </w:rPr>
      </w:pPr>
      <w:r>
        <w:rPr>
          <w:rFonts w:hint="eastAsia"/>
          <w:bCs/>
          <w:color w:val="000000"/>
          <w:sz w:val="24"/>
          <w:highlight w:val="none"/>
        </w:rPr>
        <w:t xml:space="preserve">9.全面的质量管理体系功能，实现完整的CMA、CNAS、计量质量体系，支持质量手册、程序文件、表式/SOP 多层结构、计量标准、履历书、考核项目表、重复性、稳定性、不确定度、期间核查、比对、技术报告等。</w:t>
      </w:r>
      <w:r>
        <w:rPr>
          <w:color w:val="000000"/>
          <w:highlight w:val="none"/>
        </w:rPr>
      </w:r>
      <w:r/>
    </w:p>
    <w:p>
      <w:pPr>
        <w:pStyle w:val="823"/>
        <w:contextualSpacing/>
        <w:ind w:firstLine="482"/>
        <w:jc w:val="left"/>
        <w:spacing w:line="400" w:lineRule="exact"/>
        <w:rPr>
          <w:b/>
          <w:color w:val="000000"/>
          <w:sz w:val="24"/>
          <w:highlight w:val="none"/>
        </w:rPr>
      </w:pPr>
      <w:r>
        <w:rPr>
          <w:rFonts w:hint="eastAsia"/>
          <w:b/>
          <w:color w:val="000000"/>
          <w:sz w:val="24"/>
          <w:highlight w:val="none"/>
        </w:rPr>
        <w:t xml:space="preserve">四、其他要求：</w:t>
      </w:r>
      <w:r>
        <w:rPr>
          <w:b/>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1.项目维护要求：</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1.1、本次招标项目要求系统免费维护期不低于3年，供应商也可提供高于此期限的免费维护期，免费维护期从项目验收合格之日起算。</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1.2、在免费维护期内，因供应商产品问题出现故障时，供应商在接到采购人通知后1小时内响应，3小时内赶到采购人项目现场，免费予以排除故障或修复。</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1.3、在免费维护期内，因采购人使用不当原因出现故障时，供应商在接到采购人通知后，应在上述的时限内赶到采购人现场，帮助排除故障或修复。</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2.试运行与验收</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软件开发实施并调试完成，投入不少于3个月试运行，在试运行期间，试运行稳定后可进行验收。</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3.保密要求</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本项目签订合同时，中标单位必须同时与采购人签订保密协议，所有系统开发运维人员及相关人员应严格履行保密义务，接受采购方的监督管理，对在本项目实施运维过程中所掌握的商业及工作秘密，包括业务数据、业务需求、文档资料、技术成果和客户信息等负有保密义务，未经采购人授权，不得修改、泄露、利用、转让、销毁或许可他人使用。</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4.人员组成</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在项目建设过程中，提供不少于4人服务团队，其中项目负责人1名，其余为项目团队人员。</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5.知识产权</w:t>
      </w:r>
      <w:r>
        <w:rPr>
          <w:bCs/>
          <w:color w:val="000000"/>
          <w:sz w:val="24"/>
          <w:highlight w:val="none"/>
        </w:rPr>
      </w:r>
      <w:r/>
    </w:p>
    <w:p>
      <w:pPr>
        <w:pStyle w:val="823"/>
        <w:contextualSpacing/>
        <w:ind w:firstLine="480"/>
        <w:jc w:val="left"/>
        <w:spacing w:line="400" w:lineRule="exact"/>
        <w:rPr>
          <w:bCs/>
          <w:color w:val="000000"/>
          <w:sz w:val="24"/>
          <w:highlight w:val="none"/>
        </w:rPr>
      </w:pPr>
      <w:r>
        <w:rPr>
          <w:rFonts w:hint="eastAsia"/>
          <w:bCs/>
          <w:color w:val="000000"/>
          <w:sz w:val="24"/>
          <w:highlight w:val="none"/>
        </w:rPr>
        <w:t xml:space="preserve">各方原有的系统软件</w:t>
      </w:r>
      <w:r>
        <w:rPr>
          <w:rFonts w:hint="eastAsia"/>
          <w:bCs/>
          <w:color w:val="000000"/>
          <w:sz w:val="24"/>
          <w:highlight w:val="none"/>
          <w:lang w:val="en-US" w:eastAsia="zh-CN"/>
        </w:rPr>
        <w:t xml:space="preserve">成</w:t>
      </w:r>
      <w:r>
        <w:rPr>
          <w:rFonts w:hint="eastAsia"/>
          <w:bCs/>
          <w:color w:val="000000"/>
          <w:sz w:val="24"/>
          <w:highlight w:val="none"/>
        </w:rPr>
        <w:t xml:space="preserve">果(包括但不限于源代码，目标代码，技术文档，设计图等)的全部知识产权(含著作权，专利申请权)归原权利方单独所有；投标人基于常州市武进区疾病预防控制中心实验室信息系统软件开发过程中所形成全新且独立的最终交付成果(包括但不限于源代码，目标代码，技术文档，设计图等)的全部知识产权(含著作权，专利申请权)归采购人单独所有。投标人应保证采购人在使用该系统或其任何一部分时，以及在接受投标人提供的软件维护与技术支持服务过程中不受第三方提出的侵犯专利权，著作权，商标权和工业设计权等的起诉。</w:t>
      </w:r>
      <w:r>
        <w:rPr>
          <w:bCs/>
          <w:color w:val="000000"/>
          <w:sz w:val="24"/>
          <w:highlight w:val="none"/>
        </w:rPr>
      </w:r>
      <w:r/>
    </w:p>
    <w:p>
      <w:pPr>
        <w:pStyle w:val="823"/>
        <w:contextualSpacing/>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6.项目报价</w:t>
      </w:r>
      <w:r>
        <w:rPr>
          <w:rFonts w:ascii="宋体" w:hAnsi="宋体"/>
          <w:color w:val="000000"/>
          <w:sz w:val="24"/>
          <w:highlight w:val="none"/>
        </w:rPr>
      </w:r>
      <w:r/>
    </w:p>
    <w:p>
      <w:pPr>
        <w:pStyle w:val="726"/>
        <w:contextualSpacing/>
        <w:ind w:firstLine="480"/>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olor w:val="000000"/>
          <w:sz w:val="24"/>
          <w:highlight w:val="none"/>
        </w:rPr>
        <w:t xml:space="preserve">本项目投标报价为</w:t>
      </w:r>
      <w:r>
        <w:rPr>
          <w:rFonts w:hint="eastAsia" w:ascii="宋体" w:hAnsi="宋体"/>
          <w:b/>
          <w:bCs/>
          <w:color w:val="000000"/>
          <w:sz w:val="24"/>
          <w:highlight w:val="none"/>
          <w:u w:val="single"/>
        </w:rPr>
        <w:t xml:space="preserve">固定总价</w:t>
      </w:r>
      <w:r>
        <w:rPr>
          <w:rFonts w:hint="eastAsia" w:ascii="宋体" w:hAnsi="宋体"/>
          <w:color w:val="000000"/>
          <w:sz w:val="24"/>
          <w:highlight w:val="none"/>
        </w:rPr>
        <w:t xml:space="preserve">报价，“投标总报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过程中产生的费用由投标人自行承担，采购人不再支付其他任何费用。</w:t>
      </w:r>
      <w:r>
        <w:rPr>
          <w:rFonts w:hint="eastAsia" w:ascii="宋体" w:hAnsi="宋体"/>
          <w:color w:val="000000"/>
          <w:sz w:val="24"/>
          <w:highlight w:val="none"/>
        </w:rPr>
      </w:r>
      <w:r/>
    </w:p>
    <w:p>
      <w:pPr>
        <w:pStyle w:val="726"/>
        <w:contextualSpacing/>
        <w:ind w:firstLine="480"/>
        <w:spacing w:line="360" w:lineRule="auto"/>
        <w:rPr>
          <w:i/>
          <w:iCs/>
          <w:color w:val="000000"/>
          <w:sz w:val="24"/>
          <w:highlight w:val="none"/>
        </w:rPr>
      </w:pPr>
      <w:r>
        <w:rPr>
          <w:rFonts w:hint="eastAsia" w:ascii="宋体" w:hAnsi="宋体"/>
          <w:color w:val="000000"/>
          <w:sz w:val="24"/>
          <w:highlight w:val="none"/>
        </w:rPr>
        <w:br w:type="page" w:clear="all"/>
      </w:r>
      <w:r>
        <w:rPr>
          <w:i/>
          <w:iCs/>
          <w:color w:val="000000"/>
          <w:sz w:val="24"/>
          <w:highlight w:val="none"/>
        </w:rPr>
      </w:r>
      <w:r/>
    </w:p>
    <w:p>
      <w:pPr>
        <w:pStyle w:val="726"/>
        <w:jc w:val="center"/>
        <w:spacing w:line="360" w:lineRule="auto"/>
        <w:rPr>
          <w:b/>
          <w:color w:val="000000"/>
          <w:sz w:val="36"/>
          <w:szCs w:val="36"/>
          <w:highlight w:val="none"/>
        </w:rPr>
        <w:outlineLvl w:val="0"/>
      </w:pPr>
      <w:r>
        <w:rPr>
          <w:b/>
          <w:color w:val="000000"/>
          <w:sz w:val="36"/>
          <w:szCs w:val="36"/>
          <w:highlight w:val="none"/>
        </w:rPr>
        <w:t xml:space="preserve">第六章   拟签订的合同文本</w:t>
      </w:r>
      <w:r>
        <w:rPr>
          <w:b/>
          <w:color w:val="000000"/>
          <w:sz w:val="36"/>
          <w:szCs w:val="36"/>
          <w:highlight w:val="none"/>
        </w:rPr>
      </w:r>
      <w:r/>
    </w:p>
    <w:p>
      <w:pPr>
        <w:pStyle w:val="726"/>
        <w:spacing w:after="0"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甲方：</w:t>
      </w:r>
      <w:r>
        <w:rPr>
          <w:rFonts w:hint="eastAsia" w:ascii="宋体" w:hAnsi="宋体"/>
          <w:color w:val="000000"/>
          <w:sz w:val="24"/>
          <w:highlight w:val="none"/>
          <w:u w:val="single"/>
          <w:lang w:val="zh-CN"/>
        </w:rPr>
        <w:t xml:space="preserve">常州市武进区疾病预防控制中心</w:t>
      </w:r>
      <w:r>
        <w:rPr>
          <w:rFonts w:hint="eastAsia" w:ascii="宋体" w:hAnsi="宋体"/>
          <w:color w:val="000000"/>
          <w:sz w:val="24"/>
          <w:highlight w:val="none"/>
          <w:lang w:val="zh-CN"/>
        </w:rPr>
        <w:t xml:space="preserve">（以下简称甲方）</w:t>
      </w:r>
      <w:r>
        <w:rPr>
          <w:rFonts w:ascii="宋体" w:hAnsi="宋体"/>
          <w:color w:val="000000"/>
          <w:sz w:val="24"/>
          <w:highlight w:val="none"/>
          <w:lang w:val="zh-CN"/>
        </w:rPr>
      </w:r>
      <w:r/>
    </w:p>
    <w:p>
      <w:pPr>
        <w:pStyle w:val="726"/>
        <w:spacing w:after="0"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乙方：</w:t>
      </w:r>
      <w:r>
        <w:rPr>
          <w:rFonts w:hint="eastAsia" w:ascii="宋体" w:hAnsi="宋体"/>
          <w:color w:val="000000"/>
          <w:sz w:val="24"/>
          <w:highlight w:val="none"/>
          <w:u w:val="single"/>
          <w:lang w:val="zh-CN"/>
        </w:rPr>
        <w:t xml:space="preserve">（中标单位全称）              </w:t>
      </w:r>
      <w:r>
        <w:rPr>
          <w:rFonts w:ascii="宋体" w:hAnsi="宋体"/>
          <w:color w:val="000000"/>
          <w:sz w:val="24"/>
          <w:highlight w:val="none"/>
          <w:u w:val="single"/>
          <w:lang w:val="zh-CN"/>
        </w:rPr>
        <w:t xml:space="preserve"> </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（以下简称乙方）</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lang w:val="zh-CN"/>
        </w:rPr>
        <w:t xml:space="preserve">根据《中华人民共和国政府采购法》、《中华人民共和国民法典》等法律法规的规定，甲乙双方按照</w:t>
      </w:r>
      <w:r>
        <w:rPr>
          <w:rFonts w:hint="eastAsia" w:ascii="宋体" w:hAnsi="宋体"/>
          <w:color w:val="000000"/>
          <w:sz w:val="24"/>
          <w:highlight w:val="none"/>
        </w:rPr>
        <w:t xml:space="preserve">武进区</w:t>
      </w:r>
      <w:r>
        <w:rPr>
          <w:rFonts w:hint="eastAsia" w:ascii="宋体" w:hAnsi="宋体"/>
          <w:color w:val="000000"/>
          <w:sz w:val="24"/>
          <w:highlight w:val="none"/>
          <w:lang w:val="zh-CN"/>
        </w:rPr>
        <w:t xml:space="preserve">政府采购中心的采购结果签订本合同。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第一条　采购内容</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1、项目名称：常州市武进区疾病预防控制中心实验室信息系统项目 </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2.采购内容：实验室信息系统</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3、服务范围：　　　　　　　　　　　　　　　　　　　　　　　　</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4、工期要求：合同签订之日起12个月内建设完成，通过采购人验收合格后至系统免费维护期结束。</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5、其他：　　　　　　　　　　　　　　　　　　　　　　　　　　　　</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第二条　合同总价款</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本合同人民币总价款为</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（小写），</w:t>
      </w:r>
      <w:r>
        <w:rPr>
          <w:rFonts w:hint="eastAsia" w:ascii="宋体" w:hAnsi="宋体"/>
          <w:color w:val="000000"/>
          <w:sz w:val="24"/>
          <w:highlight w:val="none"/>
          <w:u w:val="single"/>
          <w:lang w:val="zh-CN"/>
        </w:rPr>
        <w:t xml:space="preserve">　　　　　　</w:t>
      </w:r>
      <w:r>
        <w:rPr>
          <w:rFonts w:hint="eastAsia" w:ascii="宋体" w:hAnsi="宋体"/>
          <w:color w:val="000000"/>
          <w:sz w:val="24"/>
          <w:highlight w:val="none"/>
          <w:lang w:val="zh-CN"/>
        </w:rPr>
        <w:t xml:space="preserve">（大写）。</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第三条　组成本合同的有关文件</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（1）采购文件；</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（2）投标文件；</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（3）中标通知书；</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（4）中标人在投标、评标过程中所作其它有关承诺、声明、书面澄清；</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（5）甲乙双方商定的其他文件等。</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第四条　权利保证</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bCs/>
          <w:color w:val="000000"/>
          <w:sz w:val="24"/>
          <w:highlight w:val="none"/>
        </w:rPr>
        <w:t xml:space="preserve">各方原有的系统软件果(包括但不限于源代码，目标代码，技术文档，设计图等)的全部知识产权(含著作权，专利申请权)归原权利方单独所有；乙方基于常州市武进区疾病预防控制中心实验室信息系统软件开发过程中所形成全新且独立的最终交付成果(包括但不限于源代码，目标代码，技术文档，设计图等)的全部知识产权(含著作权，专利申请权)归采购人单独所有。乙方应保证采购人在使用该系统或其任何一部分时，以及在接受投标人提供的软件维护与技术支持服务过程中不受第三方提出的侵犯专利权，著作权，商标权和工业设计权等的起诉。</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第五条　质量保证和售后服务</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1.乙方应按采购文件规定的服务要求、技术要求、质量标准向甲方提供服务。</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2、质量保证：　　　　　　　　　　　　　　　　　　　　　　　　　　</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lang w:val="zh-CN"/>
        </w:rPr>
        <w:t xml:space="preserve">3、售后服务：　　　　　　　　　　　　　　　　　　　　　　　　　　</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rPr>
        <w:t xml:space="preserve">采购文件、投标文件、合同条款及中标通知书，中标人在投标、评标过程中所作其它有关承诺、声明、书面澄清等均为合同不可分割的部分，与主合同具有同等法律效力。</w:t>
      </w:r>
      <w:r>
        <w:rPr>
          <w:rFonts w:ascii="宋体" w:hAnsi="宋体"/>
          <w:color w:val="000000"/>
          <w:sz w:val="24"/>
          <w:highlight w:val="none"/>
          <w:lang w:val="zh-CN"/>
        </w:rPr>
      </w:r>
      <w:r/>
    </w:p>
    <w:p>
      <w:pPr>
        <w:pStyle w:val="726"/>
        <w:ind w:firstLine="482"/>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第六条　验收</w:t>
      </w:r>
      <w:r>
        <w:rPr>
          <w:rFonts w:ascii="宋体" w:hAnsi="宋体"/>
          <w:color w:val="000000"/>
          <w:sz w:val="24"/>
          <w:highlight w:val="none"/>
          <w:lang w:val="zh-CN"/>
        </w:rPr>
      </w:r>
      <w:r/>
    </w:p>
    <w:p>
      <w:pPr>
        <w:pStyle w:val="726"/>
        <w:ind w:firstLine="482"/>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验收时间</w:t>
      </w:r>
      <w:r>
        <w:rPr>
          <w:rFonts w:hint="eastAsia" w:ascii="宋体" w:hAnsi="宋体"/>
          <w:color w:val="000000"/>
          <w:sz w:val="24"/>
          <w:highlight w:val="none"/>
        </w:rPr>
        <w:t xml:space="preserve">及方式</w:t>
      </w:r>
      <w:r>
        <w:rPr>
          <w:rFonts w:hint="eastAsia" w:ascii="宋体" w:hAnsi="宋体"/>
          <w:color w:val="000000"/>
          <w:sz w:val="24"/>
          <w:highlight w:val="none"/>
          <w:lang w:val="zh-CN"/>
        </w:rPr>
        <w:t xml:space="preserve">：按照《常州市武进区政务信息化项目建设管理办法》规定进行验收。</w:t>
      </w:r>
      <w:r>
        <w:rPr>
          <w:rFonts w:ascii="宋体" w:hAnsi="宋体"/>
          <w:color w:val="000000"/>
          <w:sz w:val="24"/>
          <w:highlight w:val="none"/>
          <w:lang w:val="zh-CN"/>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验收内容：</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（1）竣工验收申请表、数据共享信息表（验收申请附件）；</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（2）项目建议书及批复文件、可行性研究报告及批复文件；</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（3）招标文件、投标文件（含招标投标期间产生的承诺、说明文档）、中标通知书、项目合同（含项目实施、监理、安全风险评估、等级保护、密码应用安全性评估合同）复印件；</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（4）设计说明书、设备交接单、测试报告、政务数据资源共享目录、培训计划、用户手册等；</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（5）初步验收报告、建设总结报告、实施开发报告、监理报告、风险评估报告、等保报告、密码应用安全性评估报告等；</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6）技术文档资料：项目计划、需求分析、设计方案、实施方案、代码编写标准、源程序代码、测试方案、分阶段测试报告、设备收货凭证、质量保证计划和质量管理文档、数据库设计文档、系统和设备的配置参数、系统安装程序、系统及设备运行和维护所必需的原始资料、系统和设备管理维护说明书等。</w:t>
      </w:r>
      <w:r>
        <w:rPr>
          <w:rFonts w:ascii="宋体" w:hAnsi="宋体"/>
          <w:color w:val="000000"/>
          <w:sz w:val="24"/>
          <w:highlight w:val="none"/>
        </w:rPr>
      </w:r>
      <w:r/>
    </w:p>
    <w:p>
      <w:pPr>
        <w:pStyle w:val="726"/>
        <w:ind w:firstLine="482"/>
        <w:jc w:val="left"/>
        <w:spacing w:after="0" w:line="400" w:lineRule="exact"/>
        <w:widowControl/>
        <w:rPr>
          <w:rFonts w:ascii="宋体" w:hAnsi="宋体"/>
          <w:color w:val="000000"/>
          <w:sz w:val="24"/>
          <w:highlight w:val="none"/>
          <w:lang w:val="zh-CN"/>
        </w:rPr>
      </w:pPr>
      <w:r>
        <w:rPr>
          <w:rFonts w:ascii="宋体" w:hAnsi="宋体"/>
          <w:color w:val="000000"/>
          <w:sz w:val="24"/>
          <w:highlight w:val="none"/>
        </w:rPr>
        <w:t xml:space="preserve">验收标准</w:t>
      </w:r>
      <w:r>
        <w:rPr>
          <w:rFonts w:hint="eastAsia" w:ascii="宋体" w:hAnsi="宋体"/>
          <w:color w:val="000000"/>
          <w:sz w:val="24"/>
          <w:highlight w:val="none"/>
        </w:rPr>
        <w:t xml:space="preserve">：</w:t>
      </w:r>
      <w:r>
        <w:rPr>
          <w:rFonts w:ascii="宋体" w:hAnsi="宋体"/>
          <w:color w:val="000000"/>
          <w:sz w:val="24"/>
          <w:highlight w:val="none"/>
        </w:rPr>
        <w:t xml:space="preserve">应当符合政府采购合同约定、乙方投标文件的承诺、法律法规以及国家强制性标准等，对服务类采购项目，可以参照行业标准、专业标准等。</w:t>
      </w:r>
      <w:r>
        <w:rPr>
          <w:rFonts w:ascii="宋体" w:hAnsi="宋体"/>
          <w:color w:val="000000"/>
          <w:sz w:val="24"/>
          <w:highlight w:val="none"/>
          <w:lang w:val="zh-CN"/>
        </w:rPr>
      </w:r>
      <w:r/>
    </w:p>
    <w:p>
      <w:pPr>
        <w:pStyle w:val="726"/>
        <w:ind w:firstLine="482"/>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第七条　付款</w:t>
      </w:r>
      <w:r>
        <w:rPr>
          <w:rFonts w:ascii="宋体" w:hAnsi="宋体"/>
          <w:color w:val="000000"/>
          <w:sz w:val="24"/>
          <w:highlight w:val="none"/>
          <w:lang w:val="zh-CN"/>
        </w:rPr>
      </w:r>
      <w:r/>
    </w:p>
    <w:p>
      <w:pPr>
        <w:pStyle w:val="726"/>
        <w:ind w:firstLine="482"/>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1.本合同项下所有款项均以人民币支付，乙方向甲方开具发票。</w:t>
      </w:r>
      <w:r>
        <w:rPr>
          <w:rFonts w:ascii="宋体" w:hAnsi="宋体"/>
          <w:color w:val="000000"/>
          <w:sz w:val="24"/>
          <w:highlight w:val="none"/>
          <w:lang w:val="zh-CN"/>
        </w:rPr>
      </w:r>
      <w:r/>
    </w:p>
    <w:p>
      <w:pPr>
        <w:pStyle w:val="726"/>
        <w:ind w:firstLine="480"/>
        <w:jc w:val="left"/>
        <w:spacing w:after="0" w:line="400" w:lineRule="exact"/>
        <w:tabs>
          <w:tab w:val="left" w:pos="525" w:leader="none"/>
          <w:tab w:val="left" w:pos="945" w:leader="none"/>
        </w:tabs>
        <w:rPr>
          <w:rFonts w:ascii="宋体" w:hAnsi="宋体"/>
          <w:color w:val="000000"/>
          <w:sz w:val="24"/>
          <w:highlight w:val="none"/>
          <w:lang w:val="zh-CN"/>
        </w:rPr>
      </w:pPr>
      <w:r>
        <w:rPr>
          <w:rFonts w:hint="eastAsia" w:ascii="宋体" w:hAnsi="宋体"/>
          <w:bCs/>
          <w:color w:val="000000"/>
          <w:sz w:val="24"/>
          <w:highlight w:val="none"/>
          <w:lang w:val="zh-CN"/>
        </w:rPr>
        <w:t xml:space="preserve">2.付款方式：合同签订后15个工作日内，</w:t>
      </w:r>
      <w:r>
        <w:rPr>
          <w:rFonts w:hint="eastAsia" w:ascii="宋体" w:hAnsi="宋体"/>
          <w:bCs/>
          <w:color w:val="000000"/>
          <w:sz w:val="24"/>
          <w:highlight w:val="none"/>
          <w:lang w:val="en-US" w:eastAsia="zh-CN"/>
        </w:rPr>
        <w:t xml:space="preserve">采购人</w:t>
      </w:r>
      <w:r>
        <w:rPr>
          <w:rFonts w:hint="eastAsia" w:ascii="宋体" w:hAnsi="宋体"/>
          <w:bCs/>
          <w:color w:val="000000"/>
          <w:sz w:val="24"/>
          <w:highlight w:val="none"/>
          <w:lang w:val="zh-CN"/>
        </w:rPr>
        <w:t xml:space="preserve">支付至合同价的30%，项目建设完成并最终验收合格后15个工作日内，</w:t>
      </w:r>
      <w:r>
        <w:rPr>
          <w:rFonts w:hint="eastAsia" w:ascii="宋体" w:hAnsi="宋体"/>
          <w:bCs/>
          <w:color w:val="000000"/>
          <w:sz w:val="24"/>
          <w:highlight w:val="none"/>
          <w:lang w:val="en-US" w:eastAsia="zh-CN"/>
        </w:rPr>
        <w:t xml:space="preserve">采购人</w:t>
      </w:r>
      <w:r>
        <w:rPr>
          <w:rFonts w:hint="eastAsia" w:ascii="宋体" w:hAnsi="宋体"/>
          <w:bCs/>
          <w:color w:val="000000"/>
          <w:sz w:val="24"/>
          <w:highlight w:val="none"/>
          <w:lang w:val="zh-CN"/>
        </w:rPr>
        <w:t xml:space="preserve">支付合同总价的70%。</w:t>
      </w:r>
      <w:r>
        <w:rPr>
          <w:rFonts w:ascii="宋体" w:hAnsi="宋体"/>
          <w:color w:val="000000"/>
          <w:sz w:val="24"/>
          <w:highlight w:val="none"/>
          <w:lang w:val="zh-CN"/>
        </w:rPr>
      </w:r>
      <w:r/>
    </w:p>
    <w:p>
      <w:pPr>
        <w:pStyle w:val="726"/>
        <w:contextualSpacing/>
        <w:ind w:firstLine="480"/>
        <w:spacing w:after="0" w:line="400" w:lineRule="exact"/>
        <w:rPr>
          <w:rFonts w:ascii="宋体" w:hAnsi="宋体"/>
          <w:color w:val="000000"/>
          <w:sz w:val="24"/>
          <w:highlight w:val="none"/>
          <w:lang w:val="zh-CN"/>
        </w:rPr>
      </w:pPr>
      <w:r>
        <w:rPr>
          <w:rFonts w:hint="eastAsia" w:ascii="宋体" w:hAnsi="宋体"/>
          <w:color w:val="000000"/>
          <w:sz w:val="24"/>
          <w:highlight w:val="none"/>
          <w:lang w:val="zh-CN"/>
        </w:rPr>
        <w:t xml:space="preserve">第八条　违约责任</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1.甲方无正当理由拒绝验收或拒付合同款项的，应向乙方偿付合同总价10％的违约金。</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3.乙方无法完成项目的，应向甲方支付合同总价10％的违约金，同时甲方有权解除合同。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5.乙方完成的项目不符合要求的，应按照甲方选择的下列一种或多种方式承担赔偿责任：</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（1）在甲方同意延长的期限内交付符合要求的提供服务并承担由此给甲方造成的一切损失；逾期未完成或完成的项目仍不符合要求，乙方应向甲方支付合同总价10％的违约金，同时甲方有权解除合同。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（2）在甲方规定时间内，修正有缺陷的部分以达到合同规定的要求并承担一切费用和风险，同时承担甲方因此所遭受的全部损失；</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（3）按合同规定同种货币退还甲方已付款项，同时承担由此发生的一切损失和费用，包括但不限于利息、银行手续费及所需的其他必要费用。</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6.乙方未按规定和承诺提供伴随服务、售后服务的，应向甲方支付合同总价5％的违约金。</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7.违约方承担违约责任并不影响其合同项下的义务（合同解除的除外）。</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8、其他：　　　　　　　　　　　　　　　　　　　　　　　　　　　　</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lang w:val="zh-CN"/>
        </w:rPr>
        <w:t xml:space="preserve">第九条　</w:t>
      </w:r>
      <w:r>
        <w:rPr>
          <w:rFonts w:hint="eastAsia" w:ascii="宋体" w:hAnsi="宋体"/>
          <w:color w:val="000000"/>
          <w:sz w:val="24"/>
          <w:highlight w:val="none"/>
        </w:rPr>
        <w:t xml:space="preserve">不可抗力</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1.不可抗力，是指不能预见、不能避免并不能克服的客观情况，如战争、动乱、瘟疫、严重火灾、洪水、地震、风暴或其他自然灾害等。</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4.合同各方应根据不可抗力对本合同履行的影响程度，协商确定是否终止本合同或是继续履行本合同。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rPr>
        <w:t xml:space="preserve">第十条　</w:t>
      </w:r>
      <w:r>
        <w:rPr>
          <w:rFonts w:hint="eastAsia" w:ascii="宋体" w:hAnsi="宋体"/>
          <w:color w:val="000000"/>
          <w:sz w:val="24"/>
          <w:highlight w:val="none"/>
          <w:lang w:val="zh-CN"/>
        </w:rPr>
        <w:t xml:space="preserve">合同的变更和终止</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1.除《中华人民共和国政府采购法》第五十条规定的情形外，本合同一经签订，甲乙双方不得擅自变更、中止或终止合同。</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除发生法律规定的不能预见、不能避免并不能克服的客观情况外，甲乙双方不得放弃或拒绝履行合同。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第十一条  合同的终止</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本合同因下列原因而终止：</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（1）本合同正常履行完毕；</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（2）因不可抗力导致本合同无法履行或履行不必要；</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（3）任何一方行使解除权解除本合同；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（4）合同的继续履行将损害国家利益和社会公共利益。</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rPr>
        <w:t xml:space="preserve">除上述情形外，甲乙双方不得擅自终止合同。</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第十二条　争议的解决</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种方式解决争议：</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（1）向甲方所在地有管辖权的人民法院提起诉讼；</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（2）向甲方所在地仲裁委员会按其仲裁规则申请仲裁。</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2.在仲裁期间，本合同应继续履行。</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第十三条　合同生效及其他</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rPr>
      </w:pP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本合同由甲乙双方签字、盖章后生效。</w:t>
      </w:r>
      <w:r>
        <w:rPr>
          <w:rFonts w:ascii="宋体" w:hAnsi="宋体"/>
          <w:color w:val="000000"/>
          <w:sz w:val="24"/>
          <w:highlight w:val="none"/>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2.本合同一式5份，甲方 2 份，乙方2 份，常州市武进区政府采购中心 1 份。</w:t>
      </w:r>
      <w:r>
        <w:rPr>
          <w:rFonts w:ascii="宋体" w:hAnsi="宋体"/>
          <w:color w:val="000000"/>
          <w:sz w:val="24"/>
          <w:highlight w:val="none"/>
          <w:lang w:val="zh-CN"/>
        </w:rPr>
      </w:r>
      <w:r/>
    </w:p>
    <w:p>
      <w:pPr>
        <w:pStyle w:val="726"/>
        <w:ind w:firstLine="480"/>
        <w:jc w:val="left"/>
        <w:spacing w:after="0" w:line="400" w:lineRule="exact"/>
        <w:widowControl/>
        <w:rPr>
          <w:rFonts w:ascii="宋体" w:hAnsi="宋体"/>
          <w:color w:val="000000"/>
          <w:sz w:val="24"/>
          <w:highlight w:val="none"/>
          <w:lang w:val="zh-CN"/>
        </w:rPr>
      </w:pPr>
      <w:r>
        <w:rPr>
          <w:rFonts w:hint="eastAsia" w:ascii="宋体" w:hAnsi="宋体"/>
          <w:color w:val="000000"/>
          <w:sz w:val="24"/>
          <w:highlight w:val="none"/>
          <w:lang w:val="zh-CN"/>
        </w:rPr>
        <w:t xml:space="preserve">3.本合同应按照中华人民共和国的现行法律进行解释。</w:t>
      </w:r>
      <w:r>
        <w:rPr>
          <w:rFonts w:ascii="宋体" w:hAnsi="宋体"/>
          <w:color w:val="000000"/>
          <w:sz w:val="24"/>
          <w:highlight w:val="none"/>
          <w:lang w:val="zh-CN"/>
        </w:rPr>
      </w:r>
      <w:r/>
    </w:p>
    <w:p>
      <w:pPr>
        <w:pStyle w:val="738"/>
        <w:tabs>
          <w:tab w:val="left" w:pos="567" w:leader="none"/>
        </w:tabs>
        <w:rPr>
          <w:color w:val="000000"/>
          <w:highlight w:val="none"/>
          <w:lang w:val="zh-CN"/>
        </w:rPr>
      </w:pPr>
      <w:r>
        <w:rPr>
          <w:color w:val="000000"/>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甲方（采购人）：      （盖章）</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乙方（投标人）：      （盖章）</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地址：                              </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法定（授权）代表人：                </w:t>
            </w:r>
            <w:r>
              <w:rPr>
                <w:rFonts w:ascii="宋体" w:hAnsi="宋体"/>
                <w:color w:val="000000"/>
                <w:sz w:val="24"/>
                <w:highlight w:val="none"/>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0"/>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26"/>
              <w:ind w:firstLine="480"/>
              <w:jc w:val="left"/>
              <w:spacing w:after="0" w:line="360" w:lineRule="auto"/>
              <w:widowControl/>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26"/>
              <w:ind w:firstLine="482"/>
              <w:jc w:val="left"/>
              <w:spacing w:after="0" w:line="380" w:lineRule="exact"/>
              <w:widowControl/>
              <w:rPr>
                <w:rFonts w:ascii="宋体" w:hAnsi="宋体"/>
                <w:color w:val="000000"/>
                <w:sz w:val="24"/>
                <w:highlight w:val="none"/>
              </w:rPr>
            </w:pPr>
            <w:r>
              <w:rPr>
                <w:rFonts w:hint="eastAsia" w:ascii="宋体" w:hAnsi="宋体"/>
                <w:color w:val="000000"/>
                <w:sz w:val="24"/>
                <w:highlight w:val="none"/>
              </w:rPr>
              <w:t xml:space="preserve">　　　　　年　　　月　　　日</w:t>
            </w:r>
            <w:r>
              <w:rPr>
                <w:rFonts w:ascii="宋体" w:hAnsi="宋体"/>
                <w:color w:val="000000"/>
                <w:sz w:val="24"/>
                <w:highlight w:val="none"/>
              </w:rPr>
            </w:r>
            <w:r/>
          </w:p>
        </w:tc>
      </w:tr>
      <w:tr>
        <w:trPr>
          <w:trHeight w:val="86"/>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806"/>
              <w:rPr>
                <w:rFonts w:hint="eastAsia"/>
                <w:color w:val="000000"/>
                <w:highlight w:val="none"/>
              </w:rPr>
            </w:pPr>
            <w:r>
              <w:rPr>
                <w:rFonts w:hint="eastAsia"/>
                <w:color w:val="000000"/>
                <w:highlight w:val="none"/>
              </w:rPr>
            </w:r>
            <w:r/>
          </w:p>
        </w:tc>
      </w:tr>
    </w:tbl>
    <w:p>
      <w:pPr>
        <w:pStyle w:val="726"/>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726"/>
        <w:spacing w:line="360" w:lineRule="auto"/>
        <w:rPr>
          <w:rFonts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合同附件：                   </w:t>
      </w:r>
      <w:r>
        <w:rPr>
          <w:rFonts w:ascii="宋体" w:hAnsi="宋体" w:cs="宋体"/>
          <w:b/>
          <w:bCs/>
          <w:color w:val="000000"/>
          <w:sz w:val="24"/>
          <w:highlight w:val="none"/>
        </w:rPr>
      </w:r>
      <w:r/>
    </w:p>
    <w:p>
      <w:pPr>
        <w:pStyle w:val="726"/>
        <w:ind w:firstLine="482"/>
        <w:jc w:val="center"/>
        <w:spacing w:line="360" w:lineRule="auto"/>
        <w:rPr>
          <w:rFonts w:ascii="宋体" w:hAnsi="宋体" w:cs="等线"/>
          <w:b/>
          <w:color w:val="000000"/>
          <w:sz w:val="24"/>
          <w:highlight w:val="none"/>
        </w:rPr>
      </w:pPr>
      <w:r>
        <w:rPr>
          <w:rFonts w:hint="eastAsia" w:ascii="宋体" w:hAnsi="宋体" w:cs="等线"/>
          <w:b/>
          <w:color w:val="000000"/>
          <w:sz w:val="24"/>
          <w:highlight w:val="none"/>
        </w:rPr>
        <w:t xml:space="preserve">保密协议</w:t>
      </w:r>
      <w:r>
        <w:rPr>
          <w:rFonts w:ascii="宋体" w:hAnsi="宋体" w:cs="等线"/>
          <w:b/>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甲方：</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乙方：</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本协议旨在保护甲方的技术秘密和商业秘密（以下统称“保密信息”）。甲方委托乙方完成</w:t>
      </w:r>
      <w:r>
        <w:rPr>
          <w:rFonts w:hint="eastAsia" w:ascii="宋体" w:hAnsi="宋体" w:cs="等线"/>
          <w:bCs/>
          <w:color w:val="000000"/>
          <w:sz w:val="24"/>
          <w:highlight w:val="none"/>
          <w:u w:val="single"/>
        </w:rPr>
        <w:t xml:space="preserve"> </w:t>
      </w:r>
      <w:r>
        <w:rPr>
          <w:rFonts w:ascii="宋体" w:hAnsi="宋体" w:cs="等线"/>
          <w:bCs/>
          <w:color w:val="000000"/>
          <w:sz w:val="24"/>
          <w:highlight w:val="none"/>
          <w:u w:val="single"/>
        </w:rPr>
        <w:t xml:space="preserve">          </w:t>
      </w:r>
      <w:r>
        <w:rPr>
          <w:rFonts w:hint="eastAsia" w:ascii="宋体" w:hAnsi="宋体" w:cs="等线"/>
          <w:bCs/>
          <w:color w:val="000000"/>
          <w:sz w:val="24"/>
          <w:highlight w:val="none"/>
        </w:rPr>
        <w:t xml:space="preserve">项目，在项目测评过程中乙方会接触和获得甲方的保密信息。</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特此，甲、乙双方本着平等自愿、协商一致的原则签订本保密协议，依照本协议使用保密信息，承担保密义务，除非双方书面签署文件同意以其他方式使用保密信息。</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1.乙方作为甲方的项目测评委托方，在为甲方提供测评服务时， 乙方不得将甲方的保密信息透露给任何第三方，而且应尽力避免由于疏忽将甲方的保密信息披露给任何第三方。</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2.乙方不应使用甲方的保密信息，也不应在自己的组织内部流通，除非是为与甲方人员或授权代表商谈、讨论和协助之需或在本协议签署后经甲方书面授权的使用。乙方应为自己组织内有可能接触甲方保密信息的人员的泄密行为后果承担责任。</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3.乙方不应为除本协议规定的目的之外的自身利益或任何其他方的利益而使用任何关于甲方的保密信息。</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4.乙方对以下方面的信息没有义务：</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（1）在甲方向乙方告知信息时，该信息已处于公众领域中；</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（2）在甲方向乙方告知信息后，该信息非因乙方过错而进入公众领域；</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（3）在甲方向乙方告知信息时，该信息系乙方拥有且无任何保密义务的信息；</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（4）根据书面记录证明，该信息系乙方独立开发，没有借助于甲方任何保密信息；</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（5）该信息被法院或政府命令要求披露。</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5.本保密协议，保密信息的披露和双方之间其后的商议并不产生除本协议规定之外的义务。本协议或向乙方披露的保密信息均不得视为向乙方授予任何知识产权或与之有关的任何性质的权利。</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6.所有由甲方提供给乙方的材料和乙方在为甲方提供测评服务 过程中获得的甲方的保密信息，包括但不限于文件、数据、设计和清单，保密信息应仍为甲方的财产，且甲方要求时应立即归还原件和据 此制作的副本，并删除存储于乙方电脑、服务器或其他存储介质的有关信息。</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7.本协议书自双方法人或授权代表签字并加盖公章之日起生效，生效之日起三年内一直保有完全的效力，乙方如有违反保密义务之处， 甲方有权依据《中华人民共和国民法典》、《侵权责任法》等法律追究乙方责任。</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8.乙方或乙方人员（包括获知甲方保密信息的乙方已经离职人员）违反本约定规定的保密义务，应立即停止侵害，乙方应承担对甲方由此造成损失的赔偿责任；如因乙方未及时处理，而造成损失扩大的，乙方应承担赔偿责任；乙方违反保密协议的约定，应赔偿甲方因此而遭受的损失；乙方违反保密协议，甲方可以单方解除合同。</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本协议包括其条款和条件，是双方对协议完整并具有排他性的陈述，其将取代双方就上述事项先前或同步达成的所有书面或口头的提议、谅解和其他所有通讯。本协议及其任何修改、附件、变更或补充 经双方授权的代表接受和签署方才生效。</w:t>
      </w:r>
      <w:r>
        <w:rPr>
          <w:rFonts w:ascii="宋体" w:hAnsi="宋体" w:cs="等线"/>
          <w:bCs/>
          <w:color w:val="000000"/>
          <w:sz w:val="24"/>
          <w:highlight w:val="none"/>
        </w:rPr>
      </w:r>
      <w:r/>
    </w:p>
    <w:p>
      <w:pPr>
        <w:pStyle w:val="726"/>
        <w:ind w:firstLine="482"/>
        <w:spacing w:after="0" w:line="500" w:lineRule="exact"/>
        <w:rPr>
          <w:rFonts w:ascii="宋体" w:hAnsi="宋体" w:cs="等线"/>
          <w:bCs/>
          <w:color w:val="000000"/>
          <w:sz w:val="24"/>
          <w:highlight w:val="none"/>
        </w:rPr>
      </w:pPr>
      <w:r>
        <w:rPr>
          <w:rFonts w:hint="eastAsia" w:ascii="宋体" w:hAnsi="宋体" w:cs="等线"/>
          <w:bCs/>
          <w:color w:val="000000"/>
          <w:sz w:val="24"/>
          <w:highlight w:val="none"/>
        </w:rPr>
        <w:t xml:space="preserve">本协议自甲乙方盖章签字之日起生效，如有变动，必须经双方协商一致后，方可更改。本合同一式伍份，甲方执贰份，乙方执贰份，采购代理机构执壹份。</w:t>
      </w:r>
      <w:r>
        <w:rPr>
          <w:rFonts w:ascii="宋体" w:hAnsi="宋体" w:cs="等线"/>
          <w:bCs/>
          <w:color w:val="000000"/>
          <w:sz w:val="24"/>
          <w:highlight w:val="none"/>
        </w:rPr>
      </w:r>
      <w:r/>
    </w:p>
    <w:p>
      <w:pPr>
        <w:pStyle w:val="726"/>
        <w:ind w:firstLine="2409"/>
        <w:spacing w:line="360" w:lineRule="auto"/>
        <w:rPr>
          <w:rFonts w:ascii="宋体" w:hAnsi="宋体" w:cs="等线"/>
          <w:b/>
          <w:bCs/>
          <w:color w:val="000000"/>
          <w:sz w:val="24"/>
          <w:highlight w:val="none"/>
        </w:rPr>
      </w:pPr>
      <w:r>
        <w:rPr>
          <w:rFonts w:ascii="宋体" w:hAnsi="宋体" w:cs="等线"/>
          <w:b/>
          <w:bCs/>
          <w:color w:val="000000"/>
          <w:sz w:val="24"/>
          <w:highlight w:val="none"/>
        </w:rPr>
      </w:r>
      <w:r/>
    </w:p>
    <w:p>
      <w:pPr>
        <w:pStyle w:val="726"/>
        <w:jc w:val="left"/>
        <w:spacing w:line="360" w:lineRule="auto"/>
        <w:rPr>
          <w:rFonts w:ascii="宋体" w:hAnsi="宋体" w:cs="等线"/>
          <w:bCs/>
          <w:color w:val="000000"/>
          <w:sz w:val="24"/>
          <w:highlight w:val="none"/>
        </w:rPr>
      </w:pPr>
      <w:r>
        <w:rPr>
          <w:rFonts w:hint="eastAsia" w:ascii="宋体" w:hAnsi="宋体" w:cs="等线"/>
          <w:b/>
          <w:bCs/>
          <w:color w:val="000000"/>
          <w:sz w:val="24"/>
          <w:highlight w:val="none"/>
        </w:rPr>
        <w:t xml:space="preserve">甲方：（盖章）                                乙方：（盖章）</w:t>
      </w:r>
      <w:r>
        <w:rPr>
          <w:rFonts w:ascii="宋体" w:hAnsi="宋体" w:cs="等线"/>
          <w:bCs/>
          <w:color w:val="000000"/>
          <w:sz w:val="24"/>
          <w:highlight w:val="none"/>
        </w:rPr>
      </w:r>
      <w:r/>
    </w:p>
    <w:p>
      <w:pPr>
        <w:pStyle w:val="726"/>
        <w:ind w:left="5880" w:hanging="5880"/>
        <w:spacing w:line="360" w:lineRule="auto"/>
        <w:rPr>
          <w:rFonts w:ascii="宋体" w:hAnsi="宋体" w:cs="等线"/>
          <w:bCs/>
          <w:color w:val="000000"/>
          <w:sz w:val="24"/>
          <w:highlight w:val="none"/>
        </w:rPr>
      </w:pPr>
      <w:r>
        <w:rPr>
          <w:rFonts w:hint="eastAsia" w:ascii="宋体" w:hAnsi="宋体" w:cs="等线"/>
          <w:bCs/>
          <w:color w:val="000000"/>
          <w:sz w:val="24"/>
          <w:highlight w:val="none"/>
        </w:rPr>
        <w:t xml:space="preserve">单位名称：                                    单位名称：</w:t>
      </w:r>
      <w:r>
        <w:rPr>
          <w:rFonts w:ascii="宋体" w:hAnsi="宋体" w:cs="等线"/>
          <w:bCs/>
          <w:color w:val="000000"/>
          <w:sz w:val="24"/>
          <w:highlight w:val="none"/>
        </w:rPr>
      </w:r>
      <w:r/>
    </w:p>
    <w:p>
      <w:pPr>
        <w:pStyle w:val="726"/>
        <w:jc w:val="left"/>
        <w:spacing w:line="360" w:lineRule="auto"/>
        <w:rPr>
          <w:rFonts w:ascii="宋体" w:hAnsi="宋体" w:cs="等线"/>
          <w:bCs/>
          <w:color w:val="000000"/>
          <w:sz w:val="24"/>
          <w:highlight w:val="none"/>
        </w:rPr>
      </w:pPr>
      <w:r>
        <w:rPr>
          <w:rFonts w:hint="eastAsia" w:ascii="宋体" w:hAnsi="宋体" w:cs="等线"/>
          <w:bCs/>
          <w:color w:val="000000"/>
          <w:sz w:val="24"/>
          <w:highlight w:val="none"/>
        </w:rPr>
        <w:t xml:space="preserve">法定代表人或委托代理人：                     法定代表人或委托代理人：</w:t>
      </w:r>
      <w:r>
        <w:rPr>
          <w:rFonts w:ascii="宋体" w:hAnsi="宋体" w:cs="等线"/>
          <w:bCs/>
          <w:color w:val="000000"/>
          <w:sz w:val="24"/>
          <w:highlight w:val="none"/>
        </w:rPr>
      </w:r>
      <w:r/>
    </w:p>
    <w:p>
      <w:pPr>
        <w:pStyle w:val="726"/>
        <w:jc w:val="left"/>
        <w:spacing w:line="360" w:lineRule="auto"/>
        <w:rPr>
          <w:color w:val="000000"/>
          <w:highlight w:val="none"/>
        </w:rPr>
      </w:pPr>
      <w:r>
        <w:rPr>
          <w:rFonts w:hint="eastAsia" w:ascii="宋体" w:hAnsi="宋体" w:cs="等线"/>
          <w:bCs/>
          <w:color w:val="000000"/>
          <w:sz w:val="24"/>
          <w:highlight w:val="none"/>
        </w:rPr>
        <w:t xml:space="preserve">经办人：                                      经办人： </w:t>
      </w:r>
      <w:r>
        <w:rPr>
          <w:color w:val="000000"/>
          <w:highlight w:val="none"/>
        </w:rPr>
      </w:r>
      <w:r/>
    </w:p>
    <w:p>
      <w:pPr>
        <w:pStyle w:val="726"/>
        <w:ind w:firstLine="480"/>
        <w:jc w:val="center"/>
        <w:spacing w:line="360" w:lineRule="auto"/>
        <w:widowControl/>
        <w:rPr>
          <w:b/>
          <w:color w:val="000000"/>
          <w:sz w:val="36"/>
          <w:szCs w:val="36"/>
          <w:highlight w:val="none"/>
        </w:rPr>
      </w:pPr>
      <w:r>
        <w:rPr>
          <w:b/>
          <w:color w:val="000000"/>
          <w:sz w:val="36"/>
          <w:szCs w:val="36"/>
          <w:highlight w:val="none"/>
        </w:rPr>
        <w:br w:type="page" w:clear="all"/>
      </w:r>
      <w:bookmarkStart w:id="294"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96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726"/>
              <w:jc w:val="center"/>
              <w:rPr>
                <w:rFonts w:ascii="宋体" w:hAnsi="宋体" w:cs="宋体"/>
                <w:b/>
                <w:color w:val="000000"/>
                <w:szCs w:val="21"/>
                <w:highlight w:val="none"/>
              </w:rPr>
            </w:pPr>
            <w:r/>
            <w:bookmarkStart w:id="295"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502" w:type="dxa"/>
            <w:vAlign w:val="center"/>
            <w:textDirection w:val="lrTb"/>
            <w:noWrap w:val="false"/>
          </w:tcPr>
          <w:p>
            <w:pPr>
              <w:pStyle w:val="72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43" w:type="dxa"/>
            <w:vAlign w:val="center"/>
            <w:textDirection w:val="lrTb"/>
            <w:noWrap w:val="false"/>
          </w:tcPr>
          <w:p>
            <w:pPr>
              <w:pStyle w:val="72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1150" w:type="dxa"/>
            <w:vAlign w:val="center"/>
            <w:vMerge w:val="restart"/>
            <w:textDirection w:val="lrTb"/>
            <w:noWrap w:val="false"/>
          </w:tcPr>
          <w:p>
            <w:pPr>
              <w:pStyle w:val="726"/>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502" w:type="dxa"/>
            <w:vAlign w:val="center"/>
            <w:vMerge w:val="restart"/>
            <w:textDirection w:val="lrTb"/>
            <w:noWrap w:val="false"/>
          </w:tcPr>
          <w:p>
            <w:pPr>
              <w:pStyle w:val="72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237"/>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315"/>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报价符合性</w:t>
            </w:r>
            <w:r>
              <w:rPr>
                <w:rFonts w:ascii="宋体" w:hAnsi="宋体" w:eastAsia="宋体" w:cs="宋体"/>
                <w:color w:val="000000"/>
                <w:szCs w:val="21"/>
                <w:highlight w:val="none"/>
                <w:lang w:val="en-US" w:eastAsia="zh-CN"/>
              </w:rPr>
            </w:r>
            <w:r/>
          </w:p>
        </w:tc>
      </w:tr>
      <w:tr>
        <w:trPr>
          <w:trHeight w:val="90"/>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280"/>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pStyle w:val="726"/>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043" w:type="dxa"/>
            <w:vAlign w:val="center"/>
            <w:textDirection w:val="lrTb"/>
            <w:noWrap w:val="false"/>
          </w:tcPr>
          <w:p>
            <w:pPr>
              <w:pStyle w:val="726"/>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33"/>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pStyle w:val="726"/>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p>
            <w:pPr>
              <w:pStyle w:val="726"/>
              <w:ind w:firstLine="211"/>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r>
            <w:r/>
          </w:p>
        </w:tc>
        <w:tc>
          <w:tcPr>
            <w:tcW w:w="6043" w:type="dxa"/>
            <w:vAlign w:val="center"/>
            <w:textDirection w:val="lrTb"/>
            <w:noWrap w:val="false"/>
          </w:tcPr>
          <w:p>
            <w:pPr>
              <w:pStyle w:val="726"/>
              <w:rPr>
                <w:rFonts w:hint="eastAsia" w:ascii="宋体" w:hAnsi="宋体" w:eastAsia="宋体" w:cs="宋体"/>
                <w:color w:val="000000"/>
                <w:szCs w:val="21"/>
                <w:highlight w:val="none"/>
                <w:lang w:eastAsia="zh-CN"/>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eastAsia="宋体" w:cs="宋体"/>
                <w:color w:val="000000"/>
                <w:szCs w:val="21"/>
                <w:highlight w:val="none"/>
                <w:lang w:eastAsia="zh-CN"/>
              </w:rPr>
            </w:r>
            <w:r/>
          </w:p>
        </w:tc>
      </w:tr>
      <w:tr>
        <w:trPr>
          <w:trHeight w:val="533"/>
        </w:trPr>
        <w:tc>
          <w:tcPr>
            <w:tcW w:w="1150" w:type="dxa"/>
            <w:vAlign w:val="center"/>
            <w:vMerge w:val="continue"/>
            <w:textDirection w:val="lrTb"/>
            <w:noWrap w:val="false"/>
          </w:tcPr>
          <w:p>
            <w:pPr>
              <w:pStyle w:val="726"/>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pStyle w:val="726"/>
              <w:ind w:firstLine="211"/>
              <w:rPr>
                <w:rFonts w:ascii="宋体" w:hAnsi="宋体" w:eastAsia="宋体" w:cs="宋体"/>
                <w:b/>
                <w:bCs/>
                <w:color w:val="000000"/>
                <w:szCs w:val="21"/>
                <w:highlight w:val="none"/>
                <w:lang w:val="en-US" w:eastAsia="zh-CN"/>
              </w:rPr>
            </w:pPr>
            <w:r>
              <w:rPr>
                <w:rFonts w:ascii="宋体" w:hAnsi="宋体" w:eastAsia="宋体" w:cs="宋体"/>
                <w:b/>
                <w:bCs/>
                <w:color w:val="000000"/>
                <w:szCs w:val="21"/>
                <w:highlight w:val="none"/>
                <w:lang w:val="en-US" w:eastAsia="zh-CN"/>
              </w:rPr>
            </w:r>
            <w:r/>
          </w:p>
        </w:tc>
        <w:tc>
          <w:tcPr>
            <w:tcW w:w="6043" w:type="dxa"/>
            <w:vAlign w:val="center"/>
            <w:textDirection w:val="lrTb"/>
            <w:noWrap w:val="false"/>
          </w:tcPr>
          <w:p>
            <w:pPr>
              <w:pStyle w:val="726"/>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关于符合本国产品标准的声明函</w:t>
            </w:r>
            <w:r>
              <w:rPr>
                <w:rFonts w:ascii="宋体" w:hAnsi="宋体" w:eastAsia="宋体" w:cs="宋体"/>
                <w:color w:val="000000"/>
                <w:szCs w:val="21"/>
                <w:highlight w:val="none"/>
                <w:lang w:val="en-US" w:eastAsia="zh-CN"/>
              </w:rPr>
            </w:r>
            <w:r/>
          </w:p>
        </w:tc>
      </w:tr>
      <w:tr>
        <w:trPr/>
        <w:tc>
          <w:tcPr>
            <w:tcW w:w="1150" w:type="dxa"/>
            <w:vAlign w:val="center"/>
            <w:textDirection w:val="lrTb"/>
            <w:noWrap w:val="false"/>
          </w:tcPr>
          <w:p>
            <w:pPr>
              <w:pStyle w:val="726"/>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726"/>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pStyle w:val="726"/>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726"/>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726"/>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726"/>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726"/>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806"/>
        <w:rPr>
          <w:color w:val="000000"/>
          <w:highlight w:val="none"/>
        </w:rPr>
      </w:pPr>
      <w:r/>
      <w:bookmarkEnd w:id="295"/>
      <w:r>
        <w:rPr>
          <w:color w:val="000000"/>
          <w:highlight w:val="none"/>
        </w:rPr>
      </w:r>
      <w:r/>
    </w:p>
    <w:p>
      <w:pPr>
        <w:pStyle w:val="726"/>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726"/>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294"/>
      <w:r>
        <w:rPr>
          <w:b/>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rFonts w:hint="eastAsia"/>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726"/>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726"/>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726"/>
        <w:jc w:val="left"/>
        <w:widowControl/>
        <w:rPr>
          <w:color w:val="000000"/>
          <w:sz w:val="24"/>
          <w:highlight w:val="none"/>
        </w:rPr>
      </w:pPr>
      <w:r/>
      <w:bookmarkEnd w:id="98"/>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color w:val="000000"/>
          <w:sz w:val="24"/>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ind w:firstLine="2529"/>
        <w:rPr>
          <w:rFonts w:hint="eastAsia"/>
          <w:b/>
          <w:color w:val="000000"/>
          <w:sz w:val="32"/>
          <w:szCs w:val="32"/>
          <w:highlight w:val="none"/>
        </w:rPr>
      </w:pP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726"/>
        <w:jc w:val="center"/>
        <w:rPr>
          <w:color w:val="000000"/>
          <w:szCs w:val="21"/>
          <w:highlight w:val="none"/>
        </w:rPr>
      </w:pPr>
      <w:r>
        <w:rPr>
          <w:color w:val="000000"/>
          <w:szCs w:val="21"/>
          <w:highlight w:val="none"/>
        </w:rPr>
      </w:r>
      <w:r/>
    </w:p>
    <w:p>
      <w:pPr>
        <w:pStyle w:val="726"/>
        <w:jc w:val="center"/>
        <w:rPr>
          <w:b/>
          <w:color w:val="000000"/>
          <w:spacing w:val="60"/>
          <w:sz w:val="84"/>
          <w:szCs w:val="84"/>
          <w:highlight w:val="none"/>
        </w:rPr>
      </w:pPr>
      <w:r>
        <w:rPr>
          <w:b/>
          <w:color w:val="000000"/>
          <w:spacing w:val="60"/>
          <w:sz w:val="84"/>
          <w:szCs w:val="84"/>
          <w:highlight w:val="none"/>
        </w:rPr>
      </w:r>
      <w:r/>
    </w:p>
    <w:p>
      <w:pPr>
        <w:pStyle w:val="726"/>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726"/>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726"/>
        <w:ind w:firstLine="963"/>
        <w:rPr>
          <w:b/>
          <w:color w:val="000000"/>
          <w:spacing w:val="60"/>
          <w:sz w:val="52"/>
          <w:szCs w:val="52"/>
          <w:highlight w:val="none"/>
        </w:rPr>
      </w:pPr>
      <w:r>
        <w:rPr>
          <w:b/>
          <w:color w:val="000000"/>
          <w:spacing w:val="60"/>
          <w:sz w:val="52"/>
          <w:szCs w:val="52"/>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ind w:firstLine="542"/>
        <w:rPr>
          <w:b/>
          <w:color w:val="000000"/>
          <w:spacing w:val="20"/>
          <w:sz w:val="32"/>
          <w:szCs w:val="32"/>
          <w:highlight w:val="none"/>
        </w:rPr>
      </w:pPr>
      <w:r>
        <w:rPr>
          <w:b/>
          <w:color w:val="000000"/>
          <w:spacing w:val="20"/>
          <w:sz w:val="32"/>
          <w:szCs w:val="32"/>
          <w:highlight w:val="none"/>
        </w:rPr>
      </w:r>
      <w:r/>
    </w:p>
    <w:p>
      <w:pPr>
        <w:pStyle w:val="726"/>
        <w:ind w:firstLine="542"/>
        <w:rPr>
          <w:b/>
          <w:color w:val="000000"/>
          <w:spacing w:val="20"/>
          <w:sz w:val="32"/>
          <w:szCs w:val="32"/>
          <w:highlight w:val="none"/>
        </w:rPr>
      </w:pPr>
      <w:r>
        <w:rPr>
          <w:b/>
          <w:color w:val="000000"/>
          <w:spacing w:val="20"/>
          <w:sz w:val="32"/>
          <w:szCs w:val="32"/>
          <w:highlight w:val="none"/>
        </w:rPr>
      </w:r>
      <w:r/>
    </w:p>
    <w:p>
      <w:pPr>
        <w:pStyle w:val="726"/>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6"/>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726"/>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highlight w:val="none"/>
          <w:u w:val="single"/>
        </w:rPr>
      </w:r>
      <w:r/>
    </w:p>
    <w:p>
      <w:pPr>
        <w:pStyle w:val="726"/>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726"/>
        <w:jc w:val="center"/>
        <w:rPr>
          <w:b/>
          <w:color w:val="000000"/>
          <w:sz w:val="32"/>
          <w:szCs w:val="32"/>
          <w:highlight w:val="none"/>
        </w:rPr>
      </w:pPr>
      <w:r>
        <w:rPr>
          <w:b/>
          <w:color w:val="000000"/>
          <w:sz w:val="32"/>
          <w:szCs w:val="32"/>
          <w:highlight w:val="none"/>
        </w:rPr>
      </w:r>
      <w:r/>
    </w:p>
    <w:p>
      <w:pPr>
        <w:pStyle w:val="726"/>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739"/>
        <w:ind w:firstLine="482"/>
        <w:spacing w:line="360" w:lineRule="auto"/>
        <w:tabs>
          <w:tab w:val="left" w:pos="567" w:leader="none"/>
        </w:tabs>
        <w:rPr>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b/>
          <w:color w:val="000000"/>
          <w:highlight w:val="none"/>
        </w:rPr>
      </w:r>
      <w:r/>
    </w:p>
    <w:p>
      <w:pPr>
        <w:pStyle w:val="726"/>
        <w:jc w:val="left"/>
        <w:spacing w:line="412" w:lineRule="auto"/>
        <w:widowControl/>
        <w:rPr>
          <w:rFonts w:ascii="宋体" w:hAnsi="宋体"/>
          <w:bCs/>
          <w:color w:val="000000"/>
          <w:sz w:val="24"/>
          <w:highlight w:val="none"/>
        </w:rPr>
      </w:pPr>
      <w:r>
        <w:rPr>
          <w:rFonts w:ascii="宋体" w:hAnsi="宋体"/>
          <w:bCs/>
          <w:color w:val="000000"/>
          <w:sz w:val="24"/>
          <w:highlight w:val="none"/>
        </w:rPr>
      </w:r>
      <w:r/>
    </w:p>
    <w:p>
      <w:pPr>
        <w:pStyle w:val="806"/>
        <w:rPr>
          <w:color w:val="000000"/>
          <w:highlight w:val="none"/>
        </w:rPr>
      </w:pPr>
      <w:r>
        <w:rPr>
          <w:color w:val="000000"/>
          <w:highlight w:val="none"/>
        </w:rPr>
      </w:r>
      <w:r/>
    </w:p>
    <w:p>
      <w:pPr>
        <w:pStyle w:val="726"/>
        <w:jc w:val="center"/>
        <w:keepLines/>
        <w:keepNext/>
        <w:spacing w:after="12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726"/>
        <w:ind w:firstLine="480"/>
        <w:tabs>
          <w:tab w:val="left" w:pos="1800" w:leader="none"/>
          <w:tab w:val="left" w:pos="5580" w:leader="none"/>
        </w:tabs>
        <w:rPr>
          <w:color w:val="000000"/>
          <w:sz w:val="24"/>
          <w:highlight w:val="none"/>
        </w:rPr>
      </w:pPr>
      <w:r/>
      <w:bookmarkStart w:id="296" w:name="_Hlk149905522"/>
      <w:r>
        <w:rPr>
          <w:color w:val="000000"/>
          <w:sz w:val="24"/>
          <w:highlight w:val="none"/>
        </w:rPr>
        <w:t xml:space="preserve">项目编号：___________ 项目名称：__________报价单位：人民币元</w:t>
      </w:r>
      <w:r>
        <w:rPr>
          <w:color w:val="000000"/>
          <w:sz w:val="24"/>
          <w:highlight w:val="none"/>
        </w:rPr>
      </w:r>
      <w:r/>
    </w:p>
    <w:tbl>
      <w:tblPr>
        <w:tblW w:w="5134"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63"/>
        <w:gridCol w:w="1587"/>
        <w:gridCol w:w="4517"/>
        <w:gridCol w:w="662"/>
        <w:gridCol w:w="666"/>
        <w:gridCol w:w="662"/>
      </w:tblGrid>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序号</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分项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子项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单位</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数量</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单价</w:t>
            </w: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资源管理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机构基本信息管理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人员管理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仪器管理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标准物质管理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库房管理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采购与验收管理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危险化学品的管理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在用试剂溶液管理（理化类）</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废弃物的管理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样品管理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毒菌种的保存和运输管理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索证试剂与疫苗冷链仓储监控</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检测环境条件监控管理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检测过程管理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检测能力管理（检验项目管理）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bCs/>
                <w:color w:val="000000"/>
                <w:sz w:val="24"/>
                <w:highlight w:val="none"/>
              </w:rPr>
              <w:t xml:space="preserve">检测需求合同评审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原始记录管理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送检流程管理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质控管理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报告管理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不符合工作控制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体系管理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文件控制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实验室标识管理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内部审核</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管理评审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质量监督</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检验分包管理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bCs/>
                <w:color w:val="000000"/>
                <w:sz w:val="24"/>
                <w:highlight w:val="none"/>
              </w:rPr>
              <w:t xml:space="preserve">合格供应商管理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投诉管理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29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纠正措施</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改进管理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记录控制</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32</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实验室引进新项目的方法验证管理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病原微生物实验活动的生物安全评估管理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实验活动管理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35</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质量控制考核管理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各类手册的管理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37</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各类程序的管理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38</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各式记录表式的管理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39</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作业指导书的管理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40</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restart"/>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其他工作管理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突发公卫事件的AI管理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41</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艾滋病实验室检测管理</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42</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bCs/>
                <w:color w:val="000000"/>
                <w:sz w:val="24"/>
                <w:highlight w:val="none"/>
              </w:rPr>
              <w:t xml:space="preserve">各类应急演练管理</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43</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vMerge w:val="continue"/>
            <w:textDirection w:val="lrTb"/>
            <w:noWrap/>
          </w:tcPr>
          <w:p>
            <w:pPr>
              <w:pStyle w:val="726"/>
              <w:jc w:val="center"/>
              <w:spacing w:line="360" w:lineRule="atLeast"/>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bCs/>
                <w:color w:val="000000"/>
                <w:sz w:val="24"/>
                <w:highlight w:val="none"/>
              </w:rPr>
              <w:t xml:space="preserve">实验室关键岗位的视频监控管理</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44</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查询统计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查询统计</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45</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收费</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ascii="宋体" w:hAnsi="宋体" w:cs="宋体"/>
                <w:color w:val="000000"/>
                <w:sz w:val="24"/>
                <w:highlight w:val="none"/>
                <w:lang w:bidi="ar"/>
              </w:rPr>
              <w:t xml:space="preserve">收费</w:t>
            </w:r>
            <w:r>
              <w:rPr>
                <w:rFonts w:ascii="宋体" w:hAnsi="宋体" w:cs="宋体"/>
                <w:color w:val="000000"/>
                <w:sz w:val="24"/>
                <w:highlight w:val="none"/>
                <w:lang w:bidi="ar"/>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tcBorders>
              <w:top w:val="single" w:color="000000" w:sz="4" w:space="0"/>
              <w:left w:val="single" w:color="000000" w:sz="4" w:space="0"/>
              <w:bottom w:val="single" w:color="000000" w:sz="4" w:space="0"/>
              <w:right w:val="single" w:color="000000" w:sz="4" w:space="0"/>
            </w:tcBorders>
            <w:tcW w:w="378"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46</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数据安全与备份</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79"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数据安全与备份</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项</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80" w:type="dxa"/>
            <w:vAlign w:val="center"/>
            <w:textDirection w:val="lrTb"/>
            <w:noWrap/>
          </w:tcPr>
          <w:p>
            <w:pPr>
              <w:pStyle w:val="726"/>
              <w:jc w:val="center"/>
              <w:spacing w:line="360" w:lineRule="atLeast"/>
              <w:widowControl/>
              <w:rPr>
                <w:rFonts w:ascii="宋体" w:hAnsi="宋体" w:cs="宋体"/>
                <w:color w:val="000000"/>
                <w:sz w:val="24"/>
                <w:highlight w:val="none"/>
              </w:rPr>
            </w:pPr>
            <w:r>
              <w:rPr>
                <w:rFonts w:hint="eastAsia" w:ascii="宋体" w:hAnsi="宋体" w:cs="宋体"/>
                <w:color w:val="000000"/>
                <w:sz w:val="24"/>
                <w:highlight w:val="none"/>
                <w:lang w:bidi="ar"/>
              </w:rPr>
              <w:t xml:space="preserve">1</w:t>
            </w: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gridSpan w:val="3"/>
            <w:tcBorders>
              <w:top w:val="single" w:color="000000" w:sz="4" w:space="0"/>
              <w:left w:val="single" w:color="000000" w:sz="4" w:space="0"/>
              <w:bottom w:val="single" w:color="000000" w:sz="4" w:space="0"/>
              <w:right w:val="single" w:color="000000" w:sz="4" w:space="0"/>
            </w:tcBorders>
            <w:tcW w:w="6767" w:type="dxa"/>
            <w:vAlign w:val="center"/>
            <w:textDirection w:val="lrTb"/>
            <w:noWrap/>
          </w:tcPr>
          <w:p>
            <w:pPr>
              <w:pStyle w:val="726"/>
              <w:jc w:val="center"/>
              <w:spacing w:line="360" w:lineRule="atLeast"/>
              <w:widowControl/>
              <w:rPr>
                <w:rFonts w:hint="eastAsia" w:ascii="宋体" w:hAnsi="宋体" w:cs="宋体"/>
                <w:color w:val="000000"/>
                <w:sz w:val="24"/>
                <w:highlight w:val="none"/>
                <w:lang w:bidi="ar"/>
              </w:rPr>
            </w:pPr>
            <w:r>
              <w:rPr>
                <w:rFonts w:hint="eastAsia"/>
                <w:b/>
                <w:bCs/>
                <w:color w:val="000000"/>
                <w:sz w:val="21"/>
                <w:szCs w:val="21"/>
                <w:highlight w:val="none"/>
              </w:rPr>
              <w:t xml:space="preserve">投标总价（大写）</w:t>
            </w:r>
            <w:r>
              <w:rPr>
                <w:rFonts w:hint="eastAsia" w:ascii="宋体" w:hAnsi="宋体" w:cs="宋体"/>
                <w:color w:val="000000"/>
                <w:sz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gridSpan w:val="3"/>
            <w:tcBorders>
              <w:top w:val="single" w:color="000000" w:sz="4" w:space="0"/>
              <w:left w:val="single" w:color="000000" w:sz="4" w:space="0"/>
              <w:bottom w:val="single" w:color="000000" w:sz="4" w:space="0"/>
              <w:right w:val="single" w:color="000000" w:sz="4" w:space="0"/>
            </w:tcBorders>
            <w:tcW w:w="6767" w:type="dxa"/>
            <w:vAlign w:val="center"/>
            <w:textDirection w:val="lrTb"/>
            <w:noWrap/>
          </w:tcPr>
          <w:p>
            <w:pPr>
              <w:pStyle w:val="726"/>
              <w:jc w:val="center"/>
              <w:spacing w:line="360" w:lineRule="atLeast"/>
              <w:widowControl/>
              <w:rPr>
                <w:rFonts w:hint="eastAsia" w:ascii="宋体" w:hAnsi="宋体" w:cs="宋体"/>
                <w:color w:val="000000"/>
                <w:sz w:val="24"/>
                <w:highlight w:val="none"/>
                <w:lang w:bidi="ar"/>
              </w:rPr>
            </w:pPr>
            <w:r>
              <w:rPr>
                <w:rFonts w:hint="eastAsia"/>
                <w:b/>
                <w:bCs/>
                <w:color w:val="000000"/>
                <w:sz w:val="21"/>
                <w:szCs w:val="21"/>
                <w:highlight w:val="none"/>
              </w:rPr>
              <w:t xml:space="preserve">投标总价（小写）</w:t>
            </w:r>
            <w:r>
              <w:rPr>
                <w:rFonts w:hint="eastAsia" w:ascii="宋体" w:hAnsi="宋体" w:cs="宋体"/>
                <w:color w:val="000000"/>
                <w:sz w:val="24"/>
                <w:highlight w:val="none"/>
                <w:lang w:bidi="ar"/>
              </w:rPr>
            </w:r>
            <w:r/>
          </w:p>
        </w:tc>
        <w:tc>
          <w:tcPr>
            <w:gridSpan w:val="3"/>
            <w:tcBorders>
              <w:top w:val="single" w:color="000000" w:sz="4" w:space="0"/>
              <w:left w:val="single" w:color="000000" w:sz="4" w:space="0"/>
              <w:bottom w:val="single" w:color="000000" w:sz="4" w:space="0"/>
              <w:right w:val="single" w:color="000000" w:sz="4" w:space="0"/>
            </w:tcBorders>
            <w:tcW w:w="1990"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ascii="宋体" w:hAnsi="宋体" w:cs="宋体"/>
                <w:color w:val="000000"/>
                <w:sz w:val="24"/>
                <w:highlight w:val="none"/>
                <w:lang w:bidi="ar"/>
              </w:rPr>
            </w:r>
            <w:r/>
          </w:p>
        </w:tc>
      </w:tr>
      <w:tr>
        <w:trPr>
          <w:trHeight w:val="283"/>
        </w:trPr>
        <w:tc>
          <w:tcPr>
            <w:gridSpan w:val="6"/>
            <w:tcBorders>
              <w:top w:val="single" w:color="000000" w:sz="4" w:space="0"/>
              <w:left w:val="single" w:color="000000" w:sz="4" w:space="0"/>
              <w:bottom w:val="single" w:color="000000" w:sz="4" w:space="0"/>
              <w:right w:val="single" w:color="000000" w:sz="4" w:space="0"/>
            </w:tcBorders>
            <w:tcW w:w="8757" w:type="dxa"/>
            <w:vAlign w:val="center"/>
            <w:textDirection w:val="lrTb"/>
            <w:noWrap/>
          </w:tcPr>
          <w:p>
            <w:pPr>
              <w:pStyle w:val="726"/>
              <w:jc w:val="center"/>
              <w:spacing w:line="360" w:lineRule="atLeast"/>
              <w:widowControl/>
              <w:rPr>
                <w:rFonts w:ascii="宋体" w:hAnsi="宋体" w:cs="宋体"/>
                <w:color w:val="000000"/>
                <w:sz w:val="24"/>
                <w:highlight w:val="none"/>
                <w:lang w:bidi="ar"/>
              </w:rPr>
            </w:pPr>
            <w:r>
              <w:rPr>
                <w:rFonts w:hint="eastAsia"/>
                <w:b/>
                <w:bCs/>
                <w:color w:val="000000"/>
                <w:szCs w:val="21"/>
                <w:highlight w:val="none"/>
              </w:rPr>
              <w:t xml:space="preserve">本采购包中提供的符合本国产品标准的产品成本之和占该采购</w:t>
            </w:r>
            <w:r>
              <w:rPr>
                <w:rFonts w:hint="eastAsia"/>
                <w:b/>
                <w:bCs/>
                <w:color w:val="000000"/>
                <w:szCs w:val="21"/>
                <w:highlight w:val="none"/>
                <w:lang w:val="en-US" w:eastAsia="zh-CN"/>
              </w:rPr>
              <w:t xml:space="preserve">包</w:t>
            </w:r>
            <w:r>
              <w:rPr>
                <w:rFonts w:hint="eastAsia"/>
                <w:b/>
                <w:bCs/>
                <w:color w:val="000000"/>
                <w:szCs w:val="21"/>
                <w:highlight w:val="none"/>
              </w:rPr>
              <w:t xml:space="preserve">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rPr>
                <w:rFonts w:ascii="宋体" w:hAnsi="宋体" w:cs="宋体"/>
                <w:color w:val="000000"/>
                <w:sz w:val="24"/>
                <w:highlight w:val="none"/>
                <w:lang w:bidi="ar"/>
              </w:rPr>
            </w:r>
            <w:r/>
          </w:p>
        </w:tc>
      </w:tr>
    </w:tbl>
    <w:p>
      <w:pPr>
        <w:pStyle w:val="726"/>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招标</w:t>
      </w:r>
      <w:r>
        <w:rPr>
          <w:rFonts w:ascii="宋体" w:hAnsi="宋体" w:cs="楷体"/>
          <w:color w:val="000000"/>
          <w:sz w:val="24"/>
          <w:highlight w:val="none"/>
        </w:rPr>
        <w:t xml:space="preserve">文件。</w:t>
      </w:r>
      <w:r>
        <w:rPr>
          <w:rFonts w:ascii="宋体" w:hAnsi="宋体" w:cs="楷体"/>
          <w:color w:val="000000"/>
          <w:sz w:val="24"/>
          <w:highlight w:val="none"/>
        </w:rPr>
      </w:r>
      <w:r/>
    </w:p>
    <w:p>
      <w:pPr>
        <w:pStyle w:val="726"/>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投标</w:t>
      </w:r>
      <w:r>
        <w:rPr>
          <w:rFonts w:hint="eastAsia" w:ascii="宋体" w:hAnsi="宋体"/>
          <w:color w:val="000000"/>
          <w:sz w:val="24"/>
          <w:szCs w:val="21"/>
          <w:highlight w:val="none"/>
        </w:rPr>
        <w:t xml:space="preserve">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s="楷体"/>
          <w:color w:val="000000"/>
          <w:sz w:val="24"/>
          <w:highlight w:val="none"/>
        </w:rPr>
      </w:r>
      <w:r/>
    </w:p>
    <w:p>
      <w:pPr>
        <w:pStyle w:val="726"/>
        <w:ind w:firstLine="480"/>
        <w:jc w:val="left"/>
        <w:spacing w:line="360" w:lineRule="auto"/>
        <w:tabs>
          <w:tab w:val="left" w:pos="1800" w:leader="none"/>
          <w:tab w:val="left" w:pos="5580" w:leader="none"/>
        </w:tabs>
        <w:rPr>
          <w:rFonts w:ascii="宋体" w:hAnsi="宋体"/>
          <w:color w:val="000000"/>
          <w:sz w:val="24"/>
          <w:szCs w:val="21"/>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w:t>
      </w:r>
      <w:r>
        <w:rPr>
          <w:rFonts w:hint="eastAsia" w:ascii="宋体" w:hAnsi="宋体"/>
          <w:color w:val="000000"/>
          <w:sz w:val="24"/>
          <w:szCs w:val="21"/>
          <w:highlight w:val="none"/>
        </w:rPr>
        <w:t xml:space="preserve">服务要求如表格中填写不下的</w:t>
      </w:r>
      <w:r>
        <w:rPr>
          <w:rFonts w:ascii="宋体" w:hAnsi="宋体"/>
          <w:color w:val="000000"/>
          <w:sz w:val="24"/>
          <w:szCs w:val="21"/>
          <w:highlight w:val="none"/>
        </w:rPr>
        <w:t xml:space="preserve">，可</w:t>
      </w:r>
      <w:r>
        <w:rPr>
          <w:rFonts w:hint="eastAsia" w:ascii="宋体" w:hAnsi="宋体"/>
          <w:color w:val="000000"/>
          <w:sz w:val="24"/>
          <w:szCs w:val="21"/>
          <w:highlight w:val="none"/>
        </w:rPr>
        <w:t xml:space="preserve">以逐项</w:t>
      </w:r>
      <w:r>
        <w:rPr>
          <w:rFonts w:ascii="宋体" w:hAnsi="宋体"/>
          <w:color w:val="000000"/>
          <w:sz w:val="24"/>
          <w:szCs w:val="21"/>
          <w:highlight w:val="none"/>
        </w:rPr>
        <w:t xml:space="preserve">另页描述。</w:t>
      </w:r>
      <w:r>
        <w:rPr>
          <w:rFonts w:ascii="宋体" w:hAnsi="宋体"/>
          <w:color w:val="000000"/>
          <w:sz w:val="24"/>
          <w:szCs w:val="21"/>
          <w:highlight w:val="none"/>
        </w:rPr>
      </w:r>
      <w:r/>
    </w:p>
    <w:p>
      <w:pPr>
        <w:pStyle w:val="726"/>
        <w:ind w:firstLine="482"/>
        <w:jc w:val="left"/>
        <w:spacing w:line="360" w:lineRule="auto"/>
        <w:tabs>
          <w:tab w:val="left" w:pos="1800" w:leader="none"/>
          <w:tab w:val="left" w:pos="5580" w:leader="none"/>
        </w:tabs>
        <w:rPr>
          <w:rFonts w:hint="eastAsia" w:ascii="宋体" w:hAnsi="宋体" w:cs="楷体"/>
          <w:b/>
          <w:bCs/>
          <w:color w:val="000000"/>
          <w:sz w:val="24"/>
          <w:highlight w:val="none"/>
        </w:rPr>
      </w:pPr>
      <w:r>
        <w:rPr>
          <w:rFonts w:hint="eastAsia" w:ascii="宋体" w:hAnsi="宋体" w:cs="楷体"/>
          <w:b/>
          <w:bCs/>
          <w:color w:val="000000"/>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楷体"/>
          <w:b/>
          <w:bCs/>
          <w:color w:val="000000"/>
          <w:sz w:val="24"/>
          <w:highlight w:val="none"/>
        </w:rPr>
      </w:r>
      <w:r/>
    </w:p>
    <w:p>
      <w:pPr>
        <w:pStyle w:val="738"/>
        <w:tabs>
          <w:tab w:val="left" w:pos="567" w:leader="none"/>
        </w:tabs>
        <w:rPr>
          <w:color w:val="000000"/>
          <w:highlight w:val="none"/>
        </w:rPr>
      </w:pPr>
      <w:r>
        <w:rPr>
          <w:color w:val="000000"/>
          <w:highlight w:val="none"/>
        </w:rPr>
      </w:r>
      <w:r/>
    </w:p>
    <w:p>
      <w:pPr>
        <w:pStyle w:val="726"/>
        <w:spacing w:before="25" w:after="25" w:line="360" w:lineRule="auto"/>
        <w:rPr>
          <w:color w:val="000000"/>
          <w:sz w:val="24"/>
          <w:highlight w:val="none"/>
          <w:lang w:val="zh-CN"/>
        </w:rPr>
      </w:pPr>
      <w:r/>
      <w:bookmarkEnd w:id="296"/>
      <w:r>
        <w:rPr>
          <w:color w:val="000000"/>
          <w:sz w:val="24"/>
          <w:highlight w:val="none"/>
          <w:lang w:val="zh-CN"/>
        </w:rPr>
        <w:t xml:space="preserve">                  </w:t>
      </w:r>
      <w:r>
        <w:rPr>
          <w:color w:val="000000"/>
          <w:sz w:val="24"/>
          <w:highlight w:val="none"/>
          <w:lang w:val="zh-CN"/>
        </w:rPr>
      </w:r>
      <w:r/>
    </w:p>
    <w:p>
      <w:pPr>
        <w:pStyle w:val="726"/>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jc w:val="center"/>
        <w:spacing w:line="400" w:lineRule="exact"/>
        <w:rPr>
          <w:color w:val="000000"/>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color w:val="000000"/>
          <w:highlight w:val="none"/>
        </w:rPr>
      </w:r>
      <w:r/>
    </w:p>
    <w:p>
      <w:pPr>
        <w:pStyle w:val="726"/>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pStyle w:val="728"/>
        <w:ind w:firstLine="1806"/>
        <w:jc w:val="both"/>
        <w:rPr>
          <w:color w:val="000000"/>
          <w:highlight w:val="none"/>
        </w:rPr>
      </w:pPr>
      <w:r>
        <w:rPr>
          <w:rFonts w:hint="eastAsia" w:ascii="Times New Roman" w:hAnsi="Times New Roman" w:eastAsia="宋体"/>
          <w:color w:val="000000"/>
          <w:spacing w:val="20"/>
          <w:sz w:val="32"/>
          <w:szCs w:val="32"/>
          <w:highlight w:val="none"/>
        </w:rPr>
        <w:t xml:space="preserve">四、中小企业声明函</w:t>
      </w:r>
      <w:r>
        <w:rPr>
          <w:color w:val="000000"/>
          <w:highlight w:val="none"/>
        </w:rPr>
      </w:r>
      <w:r/>
    </w:p>
    <w:p>
      <w:pPr>
        <w:pStyle w:val="728"/>
        <w:jc w:val="left"/>
        <w:spacing w:before="0" w:after="0" w:line="440" w:lineRule="exact"/>
        <w:tabs>
          <w:tab w:val="center" w:pos="4592" w:leader="none"/>
          <w:tab w:val="left" w:pos="7860" w:leader="none"/>
        </w:tabs>
        <w:rPr>
          <w:rFonts w:hint="eastAsia" w:ascii="宋体" w:hAnsi="宋体" w:cs="楷体"/>
          <w:b w:val="0"/>
          <w:color w:val="000000"/>
          <w:sz w:val="24"/>
          <w:highlight w:val="none"/>
        </w:rPr>
      </w:pPr>
      <w:r/>
      <w:bookmarkStart w:id="297" w:name="_Toc311189788"/>
      <w:r>
        <w:rPr>
          <w:rFonts w:hint="eastAsia"/>
          <w:b w:val="0"/>
          <w:color w:val="000000"/>
          <w:sz w:val="24"/>
          <w:highlight w:val="none"/>
          <w:u w:val="single"/>
        </w:rPr>
        <w:t xml:space="preserve">注意事项：请按照第二章第一节《</w:t>
      </w:r>
      <w:r>
        <w:rPr>
          <w:b w:val="0"/>
          <w:color w:val="000000"/>
          <w:sz w:val="24"/>
          <w:highlight w:val="none"/>
          <w:u w:val="single"/>
        </w:rPr>
        <w:t xml:space="preserve">投标人须知资料表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728"/>
        <w:jc w:val="left"/>
        <w:spacing w:before="0" w:after="0" w:line="440" w:lineRule="exact"/>
        <w:tabs>
          <w:tab w:val="center" w:pos="4592" w:leader="none"/>
          <w:tab w:val="left" w:pos="7860" w:leader="none"/>
        </w:tabs>
        <w:rPr>
          <w:rFonts w:hint="eastAsia" w:ascii="宋体" w:hAnsi="宋体" w:cs="楷体"/>
          <w:b w:val="0"/>
          <w:color w:val="000000"/>
          <w:sz w:val="24"/>
          <w:highlight w:val="none"/>
        </w:rPr>
      </w:pPr>
      <w:r>
        <w:rPr>
          <w:rFonts w:hint="eastAsia" w:ascii="宋体" w:hAnsi="宋体" w:cs="楷体"/>
          <w:b w:val="0"/>
          <w:color w:val="000000"/>
          <w:sz w:val="24"/>
          <w:highlight w:val="none"/>
        </w:rPr>
        <w:t xml:space="preserve">               </w:t>
      </w:r>
      <w:r>
        <w:rPr>
          <w:rFonts w:hint="eastAsia" w:ascii="宋体" w:hAnsi="宋体" w:cs="楷体"/>
          <w:b w:val="0"/>
          <w:color w:val="000000"/>
          <w:sz w:val="24"/>
          <w:highlight w:val="none"/>
        </w:rPr>
      </w:r>
      <w:r/>
    </w:p>
    <w:p>
      <w:pPr>
        <w:pStyle w:val="726"/>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t xml:space="preserve">货物</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根据《政府采购促进中小企业发展管理办法》（财库</w:t>
      </w:r>
      <w:r>
        <w:rPr>
          <w:rFonts w:hint="eastAsia" w:ascii="宋体" w:hAnsi="宋体" w:cs="楷体"/>
          <w:color w:val="000000"/>
          <w:sz w:val="24"/>
          <w:highlight w:val="none"/>
          <w:lang w:eastAsia="zh-CN"/>
        </w:rPr>
        <w:t xml:space="preserve">〔2020〕46号</w:t>
      </w:r>
      <w:r>
        <w:rPr>
          <w:rFonts w:hint="eastAsia" w:ascii="宋体" w:hAnsi="宋体" w:cs="楷体"/>
          <w:color w:val="000000"/>
          <w:sz w:val="24"/>
          <w:highlight w:val="none"/>
        </w:rPr>
        <w:t xml:space="preserve">）的规定，本公司（联合体）参加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hint="eastAsia" w:ascii="宋体" w:hAnsi="宋体" w:cs="楷体"/>
          <w:color w:val="000000"/>
          <w:sz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3840"/>
        <w:spacing w:line="440" w:lineRule="exact"/>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s="楷体"/>
          <w:color w:val="000000"/>
          <w:sz w:val="24"/>
          <w:highlight w:val="none"/>
        </w:rPr>
      </w:r>
      <w:r/>
    </w:p>
    <w:p>
      <w:pPr>
        <w:pStyle w:val="726"/>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739"/>
        <w:spacing w:line="440" w:lineRule="exact"/>
        <w:tabs>
          <w:tab w:val="left" w:pos="567" w:leader="none"/>
        </w:tabs>
        <w:rPr>
          <w:rFonts w:hint="eastAsia" w:cs="楷体"/>
          <w:color w:val="000000"/>
          <w:szCs w:val="20"/>
          <w:highlight w:val="none"/>
        </w:rPr>
      </w:pPr>
      <w:r>
        <w:rPr>
          <w:rFonts w:hint="eastAsia" w:cs="楷体"/>
          <w:color w:val="000000"/>
          <w:highlight w:val="none"/>
        </w:rPr>
        <w:t xml:space="preserve">注：</w:t>
      </w:r>
      <w:r>
        <w:rPr>
          <w:rFonts w:hint="eastAsia" w:cs="楷体"/>
          <w:color w:val="000000"/>
          <w:sz w:val="24"/>
          <w:szCs w:val="24"/>
          <w:highlight w:val="none"/>
          <w:lang w:val="en-US" w:eastAsia="zh-CN"/>
        </w:rPr>
        <w:t xml:space="preserve">1</w:t>
      </w:r>
      <w:r>
        <w:rPr>
          <w:rFonts w:hint="eastAsia" w:ascii="宋体" w:hAnsi="宋体" w:eastAsia="宋体" w:cs="楷体"/>
          <w:color w:val="000000"/>
          <w:sz w:val="24"/>
          <w:szCs w:val="24"/>
          <w:highlight w:val="none"/>
          <w:lang w:eastAsia="zh-CN"/>
        </w:rPr>
        <w:t xml:space="preserve">.</w:t>
      </w:r>
      <w:r>
        <w:rPr>
          <w:rFonts w:hint="eastAsia" w:cs="楷体"/>
          <w:color w:val="000000"/>
          <w:highlight w:val="none"/>
        </w:rPr>
        <w:t xml:space="preserve">从业人员、营业收入和资产总额填报上一年度数据，无上一年度数据的新成立企业可不填报。</w:t>
      </w:r>
      <w:r>
        <w:rPr>
          <w:rFonts w:hint="eastAsia" w:cs="楷体"/>
          <w:color w:val="000000"/>
          <w:szCs w:val="20"/>
          <w:highlight w:val="none"/>
        </w:rPr>
      </w:r>
      <w:r/>
    </w:p>
    <w:p>
      <w:pPr>
        <w:pStyle w:val="97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rPr>
        <w:t xml:space="preserve">中小企业划型标准规定参考《工信部联企业</w:t>
      </w:r>
      <w:r>
        <w:rPr>
          <w:rFonts w:hint="eastAsia" w:ascii="宋体" w:hAnsi="宋体" w:eastAsia="宋体" w:cs="楷体"/>
          <w:color w:val="000000"/>
          <w:sz w:val="24"/>
          <w:szCs w:val="24"/>
          <w:highlight w:val="none"/>
          <w:lang w:eastAsia="zh-CN"/>
        </w:rPr>
        <w:t xml:space="preserve">〔2011〕300号</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726"/>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r>
      <w:r/>
    </w:p>
    <w:p>
      <w:pPr>
        <w:pStyle w:val="726"/>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br w:type="page" w:clear="all"/>
      </w:r>
      <w:r>
        <w:rPr>
          <w:rFonts w:hint="eastAsia" w:ascii="宋体" w:hAnsi="宋体" w:cs="楷体"/>
          <w:b/>
          <w:color w:val="000000"/>
          <w:sz w:val="32"/>
          <w:szCs w:val="32"/>
          <w:highlight w:val="none"/>
        </w:rPr>
        <w:t xml:space="preserve">中小企业声明函</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t xml:space="preserve">工程、服务</w:t>
      </w:r>
      <w:r>
        <w:rPr>
          <w:rFonts w:hint="eastAsia" w:ascii="宋体" w:hAnsi="宋体" w:cs="楷体"/>
          <w:b/>
          <w:color w:val="000000"/>
          <w:sz w:val="32"/>
          <w:szCs w:val="32"/>
          <w:highlight w:val="none"/>
          <w:lang w:eastAsia="zh-CN"/>
        </w:rPr>
        <w:t xml:space="preserve">）</w:t>
      </w:r>
      <w:r>
        <w:rPr>
          <w:rFonts w:hint="eastAsia" w:ascii="宋体" w:hAnsi="宋体" w:cs="楷体"/>
          <w:b/>
          <w:color w:val="000000"/>
          <w:sz w:val="32"/>
          <w:szCs w:val="32"/>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根据《政府采购促进中小企业发展管理办法》（财库</w:t>
      </w:r>
      <w:r>
        <w:rPr>
          <w:rFonts w:hint="eastAsia" w:ascii="宋体" w:hAnsi="宋体" w:cs="楷体"/>
          <w:color w:val="000000"/>
          <w:sz w:val="24"/>
          <w:highlight w:val="none"/>
          <w:lang w:eastAsia="zh-CN"/>
        </w:rPr>
        <w:t xml:space="preserve">〔2020〕46号</w:t>
      </w:r>
      <w:r>
        <w:rPr>
          <w:rFonts w:hint="eastAsia" w:ascii="宋体" w:hAnsi="宋体" w:cs="楷体"/>
          <w:color w:val="000000"/>
          <w:sz w:val="24"/>
          <w:highlight w:val="none"/>
        </w:rPr>
        <w:t xml:space="preserve">）的规定，本公司（联合体）参加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（采购文件中明确的所属行业），承接企业为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978"/>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726"/>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726"/>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336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ind w:firstLine="456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978"/>
        <w:ind w:firstLine="400"/>
        <w:rPr>
          <w:color w:val="000000"/>
          <w:highlight w:val="none"/>
        </w:rPr>
      </w:pPr>
      <w:r>
        <w:rPr>
          <w:color w:val="000000"/>
          <w:highlight w:val="none"/>
        </w:rPr>
      </w:r>
      <w:r/>
    </w:p>
    <w:p>
      <w:pPr>
        <w:pStyle w:val="739"/>
        <w:spacing w:line="440" w:lineRule="exact"/>
        <w:tabs>
          <w:tab w:val="left" w:pos="567" w:leader="none"/>
        </w:tabs>
        <w:rPr>
          <w:rFonts w:hint="eastAsia"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highlight w:val="none"/>
        </w:rPr>
      </w:r>
      <w:r/>
    </w:p>
    <w:p>
      <w:pPr>
        <w:pStyle w:val="978"/>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lang w:eastAsia="zh-CN"/>
        </w:rPr>
        <w:t xml:space="preserve">2.</w:t>
      </w:r>
      <w:r>
        <w:rPr>
          <w:rFonts w:hint="eastAsia" w:ascii="宋体" w:hAnsi="宋体" w:eastAsia="宋体" w:cs="楷体"/>
          <w:color w:val="000000"/>
          <w:sz w:val="24"/>
          <w:szCs w:val="24"/>
          <w:highlight w:val="none"/>
        </w:rPr>
        <w:t xml:space="preserve">中小企业划型标准规定参考《工信部联企业</w:t>
      </w:r>
      <w:r>
        <w:rPr>
          <w:rFonts w:hint="eastAsia" w:ascii="宋体" w:hAnsi="宋体" w:eastAsia="宋体" w:cs="楷体"/>
          <w:color w:val="000000"/>
          <w:sz w:val="24"/>
          <w:szCs w:val="24"/>
          <w:highlight w:val="none"/>
          <w:lang w:eastAsia="zh-CN"/>
        </w:rPr>
        <w:t xml:space="preserve">〔2011〕300号</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739"/>
        <w:spacing w:line="440" w:lineRule="exact"/>
        <w:tabs>
          <w:tab w:val="left" w:pos="567" w:leader="none"/>
        </w:tabs>
        <w:rPr>
          <w:rFonts w:hint="eastAsia" w:cs="楷体"/>
          <w:color w:val="000000"/>
          <w:highlight w:val="none"/>
        </w:rPr>
      </w:pPr>
      <w:r>
        <w:rPr>
          <w:rFonts w:hint="eastAsia" w:cs="楷体"/>
          <w:color w:val="000000"/>
          <w:highlight w:val="none"/>
        </w:rPr>
      </w:r>
      <w:r/>
    </w:p>
    <w:p>
      <w:pPr>
        <w:pStyle w:val="739"/>
        <w:spacing w:line="440" w:lineRule="exact"/>
        <w:tabs>
          <w:tab w:val="left" w:pos="567" w:leader="none"/>
        </w:tabs>
        <w:rPr>
          <w:rFonts w:hint="eastAsia" w:cs="楷体"/>
          <w:color w:val="000000"/>
          <w:highlight w:val="none"/>
        </w:rPr>
      </w:pPr>
      <w:r>
        <w:rPr>
          <w:rFonts w:hint="eastAsia" w:cs="楷体"/>
          <w:color w:val="000000"/>
          <w:highlight w:val="none"/>
        </w:rPr>
      </w:r>
      <w:r/>
    </w:p>
    <w:p>
      <w:pPr>
        <w:pStyle w:val="726"/>
        <w:jc w:val="center"/>
        <w:spacing w:before="240" w:after="240" w:line="360" w:lineRule="auto"/>
        <w:rPr>
          <w:b/>
          <w:color w:val="000000"/>
          <w:sz w:val="32"/>
          <w:szCs w:val="32"/>
          <w:highlight w:val="none"/>
        </w:rPr>
      </w:pPr>
      <w:r>
        <w:rPr>
          <w:rFonts w:hint="eastAsia"/>
          <w:b/>
          <w:bCs/>
          <w:color w:val="000000"/>
          <w:sz w:val="32"/>
          <w:szCs w:val="32"/>
          <w:highlight w:val="none"/>
        </w:rPr>
        <w:br w:type="page" w:clear="all"/>
      </w:r>
      <w:r>
        <w:rPr>
          <w:rFonts w:hint="eastAsia"/>
          <w:b/>
          <w:bCs/>
          <w:color w:val="000000"/>
          <w:sz w:val="32"/>
          <w:szCs w:val="32"/>
          <w:highlight w:val="none"/>
        </w:rPr>
        <w:t xml:space="preserve">五、残疾人福利性单位声明函</w:t>
      </w:r>
      <w:r>
        <w:rPr>
          <w:b/>
          <w:bCs/>
          <w:color w:val="000000"/>
          <w:sz w:val="32"/>
          <w:szCs w:val="32"/>
          <w:highlight w:val="none"/>
        </w:rPr>
        <w:t xml:space="preserve"> </w:t>
      </w:r>
      <w:r>
        <w:rPr>
          <w:b/>
          <w:color w:val="000000"/>
          <w:sz w:val="32"/>
          <w:szCs w:val="32"/>
          <w:highlight w:val="none"/>
        </w:rPr>
        <w:t xml:space="preserve">    </w:t>
      </w:r>
      <w:r>
        <w:rPr>
          <w:b/>
          <w:color w:val="000000"/>
          <w:sz w:val="32"/>
          <w:szCs w:val="32"/>
          <w:highlight w:val="none"/>
        </w:rPr>
      </w:r>
      <w:r/>
    </w:p>
    <w:p>
      <w:pPr>
        <w:pStyle w:val="726"/>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olor w:val="000000"/>
          <w:spacing w:val="6"/>
          <w:sz w:val="24"/>
          <w:highlight w:val="none"/>
          <w:lang w:eastAsia="zh-CN"/>
        </w:rPr>
        <w:t xml:space="preserve">〔2017〕141号</w:t>
      </w:r>
      <w:r>
        <w:rPr>
          <w:rFonts w:ascii="宋体" w:hAnsi="宋体"/>
          <w:color w:val="000000"/>
          <w:spacing w:val="6"/>
          <w:sz w:val="24"/>
          <w:highlight w:val="none"/>
        </w:rPr>
        <w:t xml:space="preserve">）的规定，本单位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726"/>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726"/>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726"/>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726"/>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26"/>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726"/>
        <w:ind w:right="1560" w:firstLine="504"/>
        <w:jc w:val="center"/>
        <w:spacing w:line="588" w:lineRule="exact"/>
        <w:tabs>
          <w:tab w:val="left" w:pos="4860" w:leader="none"/>
        </w:tabs>
        <w:rPr>
          <w:rFonts w:hint="eastAsia" w:ascii="宋体" w:hAnsi="宋体"/>
          <w:color w:val="000000"/>
          <w:spacing w:val="6"/>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pacing w:val="6"/>
          <w:sz w:val="24"/>
          <w:highlight w:val="none"/>
        </w:rPr>
      </w:r>
      <w:r/>
    </w:p>
    <w:p>
      <w:pPr>
        <w:pStyle w:val="726"/>
        <w:ind w:right="1560" w:firstLine="504"/>
        <w:jc w:val="center"/>
        <w:spacing w:line="588" w:lineRule="exact"/>
        <w:tabs>
          <w:tab w:val="left" w:pos="4860" w:leader="none"/>
        </w:tabs>
        <w:rPr>
          <w:rFonts w:hint="eastAsia" w:ascii="宋体" w:hAnsi="宋体"/>
          <w:color w:val="000000"/>
          <w:spacing w:val="6"/>
          <w:sz w:val="24"/>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lang w:eastAsia="zh-CN"/>
        </w:rPr>
        <w:t xml:space="preserve">：</w:t>
      </w:r>
      <w:r>
        <w:rPr>
          <w:rFonts w:hint="eastAsia" w:ascii="宋体" w:hAnsi="宋体"/>
          <w:color w:val="000000"/>
          <w:spacing w:val="6"/>
          <w:sz w:val="24"/>
          <w:highlight w:val="none"/>
        </w:rPr>
      </w:r>
      <w:r/>
    </w:p>
    <w:p>
      <w:pPr>
        <w:pStyle w:val="726"/>
        <w:jc w:val="center"/>
        <w:spacing w:before="240" w:after="240" w:line="360" w:lineRule="auto"/>
        <w:rPr>
          <w:b/>
          <w:bCs/>
          <w:color w:val="000000"/>
          <w:sz w:val="32"/>
          <w:szCs w:val="32"/>
          <w:highlight w:val="none"/>
        </w:rPr>
      </w:pPr>
      <w:r/>
      <w:bookmarkEnd w:id="297"/>
      <w:r/>
      <w:bookmarkStart w:id="298" w:name="_Toc425"/>
      <w:r/>
      <w:bookmarkEnd w:id="298"/>
      <w:r/>
      <w:bookmarkStart w:id="299" w:name="_Toc373054875"/>
      <w:r/>
      <w:bookmarkEnd w:id="299"/>
      <w:r/>
      <w:bookmarkStart w:id="300" w:name="_Toc29116"/>
      <w:r/>
      <w:bookmarkEnd w:id="300"/>
      <w:r/>
      <w:bookmarkStart w:id="301" w:name="_Toc30417"/>
      <w:r/>
      <w:bookmarkEnd w:id="301"/>
      <w:r>
        <w:rPr>
          <w:rFonts w:hint="eastAsia" w:ascii="Times New Roman" w:hAnsi="Times New Roman" w:eastAsia="宋体" w:cs="Times New Roman"/>
          <w:b/>
          <w:bCs/>
          <w:color w:val="000000"/>
          <w:sz w:val="32"/>
          <w:szCs w:val="32"/>
          <w:highlight w:val="none"/>
          <w:lang w:val="en-US" w:eastAsia="zh-CN"/>
        </w:rPr>
        <w:t xml:space="preserve">六、</w:t>
      </w:r>
      <w:r>
        <w:rPr>
          <w:rFonts w:hint="eastAsia"/>
          <w:b/>
          <w:bCs/>
          <w:color w:val="000000"/>
          <w:sz w:val="32"/>
          <w:szCs w:val="32"/>
          <w:highlight w:val="none"/>
        </w:rPr>
        <w:t xml:space="preserve">关于符合本国产品标准的声明函（实质性格式）</w:t>
      </w:r>
      <w:r>
        <w:rPr>
          <w:b/>
          <w:bCs/>
          <w:color w:val="000000"/>
          <w:sz w:val="32"/>
          <w:szCs w:val="32"/>
          <w:highlight w:val="none"/>
        </w:rPr>
      </w:r>
      <w:r/>
    </w:p>
    <w:p>
      <w:pPr>
        <w:pStyle w:val="788"/>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788"/>
        <w:ind w:firstLine="420"/>
        <w:spacing w:before="0" w:beforeAutospacing="0" w:after="0" w:afterAutospacing="0" w:line="500" w:lineRule="exac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788"/>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2125345</wp:posOffset>
                </wp:positionH>
                <wp:positionV relativeFrom="paragraph">
                  <wp:posOffset>773430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167.3pt;mso-position-horizontal:absolute;mso-position-vertical-relative:text;margin-top:60.9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1009015</wp:posOffset>
                </wp:positionH>
                <wp:positionV relativeFrom="paragraph">
                  <wp:posOffset>752475</wp:posOffset>
                </wp:positionV>
                <wp:extent cx="805180" cy="13652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79.5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4516755</wp:posOffset>
                </wp:positionH>
                <wp:positionV relativeFrom="paragraph">
                  <wp:posOffset>434340</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355.6pt;mso-position-horizontal:absolute;mso-position-vertical-relative:text;margin-top:34.2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3450590</wp:posOffset>
                </wp:positionH>
                <wp:positionV relativeFrom="paragraph">
                  <wp:posOffset>433070</wp:posOffset>
                </wp:positionV>
                <wp:extent cx="603250" cy="15049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71.7pt;mso-position-horizontal:absolute;mso-position-vertical-relative:text;margin-top:34.1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2313305</wp:posOffset>
                </wp:positionH>
                <wp:positionV relativeFrom="paragraph">
                  <wp:posOffset>459105</wp:posOffset>
                </wp:positionV>
                <wp:extent cx="812165"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2.1pt;mso-position-horizontal:absolute;mso-position-vertical-relative:text;margin-top:36.1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801"/>
          <w:rFonts w:hint="eastAsia"/>
          <w:color w:val="000000"/>
          <w:highlight w:val="none"/>
          <w:u w:val="single"/>
          <w:shd w:val="clear" w:color="auto" w:fill="ffffff"/>
        </w:rPr>
        <w:t xml:space="preserve">（产品名称1）</w:t>
      </w:r>
      <w:r>
        <w:rPr>
          <w:rStyle w:val="801"/>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01"/>
          <w:rFonts w:hint="eastAsia"/>
          <w:color w:val="000000"/>
          <w:highlight w:val="none"/>
          <w:u w:val="single"/>
          <w:shd w:val="clear" w:color="auto" w:fill="ffffff"/>
        </w:rPr>
        <w:t xml:space="preserve">（厂名）</w:t>
      </w:r>
      <w:r>
        <w:rPr>
          <w:rStyle w:val="801"/>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0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01"/>
          <w:rFonts w:hint="eastAsia"/>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801"/>
          <w:rFonts w:hint="eastAsia"/>
          <w:color w:val="000000"/>
          <w:highlight w:val="none"/>
          <w:u w:val="single"/>
          <w:shd w:val="clear" w:color="auto" w:fill="ffffff"/>
        </w:rPr>
        <w:t xml:space="preserve">（规定比例）</w:t>
      </w:r>
      <w:r>
        <w:rPr>
          <w:rStyle w:val="801"/>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80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01"/>
          <w:rFonts w:hint="eastAsia"/>
          <w:color w:val="000000"/>
          <w:highlight w:val="none"/>
          <w:u w:val="single"/>
          <w:shd w:val="clear" w:color="auto" w:fill="ffffff"/>
        </w:rPr>
        <w:t xml:space="preserve">（关键组件）</w:t>
      </w:r>
      <w:r>
        <w:rPr>
          <w:rStyle w:val="801"/>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801"/>
          <w:rFonts w:hint="eastAsia"/>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801"/>
          <w:rFonts w:hint="eastAsia"/>
          <w:color w:val="000000"/>
          <w:highlight w:val="none"/>
          <w:u w:val="single"/>
          <w:shd w:val="clear" w:color="auto" w:fill="ffffff"/>
        </w:rPr>
        <w:t xml:space="preserve">（关键工序）</w:t>
      </w:r>
      <w:r>
        <w:rPr>
          <w:rStyle w:val="801"/>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788"/>
        <w:ind w:firstLine="420"/>
        <w:spacing w:before="0" w:beforeAutospacing="0" w:after="0" w:afterAutospacing="0" w:line="500" w:lineRule="exac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1808480</wp:posOffset>
                </wp:positionH>
                <wp:positionV relativeFrom="paragraph">
                  <wp:posOffset>772160</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142.4pt;mso-position-horizontal:absolute;mso-position-vertical-relative:text;margin-top:60.8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683260</wp:posOffset>
                </wp:positionH>
                <wp:positionV relativeFrom="paragraph">
                  <wp:posOffset>768350</wp:posOffset>
                </wp:positionV>
                <wp:extent cx="814705" cy="1644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53.8pt;mso-position-horizontal:absolute;mso-position-vertical-relative:text;margin-top:60.5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4448175</wp:posOffset>
                </wp:positionH>
                <wp:positionV relativeFrom="paragraph">
                  <wp:posOffset>508000</wp:posOffset>
                </wp:positionV>
                <wp:extent cx="504825" cy="692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04825" cy="692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50.2pt;mso-position-horizontal:absolute;mso-position-vertical-relative:text;margin-top:40.0pt;mso-position-vertical:absolute;width:39.8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2035810</wp:posOffset>
                </wp:positionH>
                <wp:positionV relativeFrom="paragraph">
                  <wp:posOffset>435610</wp:posOffset>
                </wp:positionV>
                <wp:extent cx="842645"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160.3pt;mso-position-horizontal:absolute;mso-position-vertical-relative:text;margin-top:34.3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3291840</wp:posOffset>
                </wp:positionH>
                <wp:positionV relativeFrom="paragraph">
                  <wp:posOffset>450850</wp:posOffset>
                </wp:positionV>
                <wp:extent cx="66675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259.2pt;mso-position-horizontal:absolute;mso-position-vertical-relative:text;margin-top:35.5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4595495</wp:posOffset>
                </wp:positionH>
                <wp:positionV relativeFrom="paragraph">
                  <wp:posOffset>102870</wp:posOffset>
                </wp:positionV>
                <wp:extent cx="643255" cy="13398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4325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61.8pt;mso-position-horizontal:absolute;mso-position-vertical-relative:text;margin-top:8.1pt;mso-position-vertical:absolute;width:50.6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80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801"/>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01"/>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80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801"/>
          <w:rFonts w:hint="eastAsia"/>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80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01"/>
          <w:rFonts w:hint="eastAsia"/>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801"/>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801"/>
          <w:rFonts w:hint="eastAsia"/>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788"/>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788"/>
        <w:ind w:firstLine="42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788"/>
        <w:spacing w:before="0" w:beforeAutospacing="0" w:after="0" w:afterAutospacing="0" w:line="500" w:lineRule="exact"/>
        <w:rPr>
          <w:rFonts w:hint="eastAsia"/>
          <w:color w:val="000000"/>
          <w:highlight w:val="none"/>
        </w:rPr>
      </w:pPr>
      <w:r>
        <w:rPr>
          <w:rFonts w:hint="eastAsia"/>
          <w:color w:val="000000"/>
          <w:highlight w:val="none"/>
        </w:rPr>
      </w:r>
      <w:r/>
    </w:p>
    <w:p>
      <w:pPr>
        <w:pStyle w:val="788"/>
        <w:ind w:firstLine="3960"/>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788"/>
        <w:jc w:val="center"/>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788"/>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788"/>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1.产品如有型号，请在“产品名称”栏一并填写。</w:t>
      </w:r>
      <w:r>
        <w:rPr>
          <w:rFonts w:hint="eastAsia"/>
          <w:color w:val="000000"/>
          <w:highlight w:val="none"/>
        </w:rPr>
      </w:r>
      <w:r/>
    </w:p>
    <w:p>
      <w:pPr>
        <w:pStyle w:val="788"/>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2.生产厂名与厂址应与生产厂营业执照载明的相关信息保持一致。</w:t>
      </w:r>
      <w:r>
        <w:rPr>
          <w:rFonts w:hint="eastAsia"/>
          <w:color w:val="000000"/>
          <w:highlight w:val="none"/>
        </w:rPr>
      </w:r>
      <w:r/>
    </w:p>
    <w:p>
      <w:pPr>
        <w:pStyle w:val="788"/>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rFonts w:hint="eastAsia"/>
          <w:color w:val="000000"/>
          <w:highlight w:val="none"/>
        </w:rPr>
      </w:r>
      <w:r/>
    </w:p>
    <w:p>
      <w:pPr>
        <w:pStyle w:val="788"/>
        <w:spacing w:before="0" w:beforeAutospacing="0" w:after="0" w:afterAutospacing="0" w:line="500" w:lineRule="exact"/>
        <w:rPr>
          <w:rFonts w:hint="eastAsia"/>
          <w:color w:val="000000"/>
          <w:highlight w:val="none"/>
        </w:rPr>
      </w:pPr>
      <w:r>
        <w:rPr>
          <w:rFonts w:hint="eastAsia"/>
          <w:color w:val="000000"/>
          <w:highlight w:val="none"/>
          <w:shd w:val="clear" w:color="auto" w:fill="ffffff"/>
        </w:rPr>
        <w:t xml:space="preserve">4.该产品的关键组件要求实施前，“关键组件”栏可不填，下同。</w:t>
      </w:r>
      <w:r>
        <w:rPr>
          <w:rFonts w:hint="eastAsia"/>
          <w:color w:val="000000"/>
          <w:highlight w:val="none"/>
        </w:rPr>
      </w:r>
      <w:r/>
    </w:p>
    <w:p>
      <w:pPr>
        <w:pStyle w:val="788"/>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rFonts w:hint="eastAsia"/>
          <w:color w:val="000000"/>
          <w:highlight w:val="none"/>
          <w:shd w:val="clear" w:color="auto" w:fill="ffffff"/>
        </w:rPr>
      </w:r>
      <w:r/>
    </w:p>
    <w:p>
      <w:pPr>
        <w:pStyle w:val="788"/>
        <w:spacing w:before="0" w:beforeAutospacing="0" w:after="0" w:afterAutospacing="0" w:line="500" w:lineRule="exact"/>
        <w:rPr>
          <w:rFonts w:hint="eastAsia"/>
          <w:color w:val="000000"/>
          <w:highlight w:val="none"/>
          <w:shd w:val="clear" w:color="auto" w:fill="ffffff"/>
        </w:rPr>
      </w:pPr>
      <w:r>
        <w:rPr>
          <w:rFonts w:hint="eastAsia"/>
          <w:color w:val="000000"/>
          <w:highlight w:val="none"/>
          <w:shd w:val="clear" w:color="auto" w:fill="ffffff"/>
        </w:rPr>
        <w:t xml:space="preserve">6.用斜线划除的地方无需填写。</w:t>
      </w:r>
      <w:r>
        <w:rPr>
          <w:rFonts w:hint="eastAsia"/>
          <w:color w:val="000000"/>
          <w:highlight w:val="none"/>
          <w:shd w:val="clear" w:color="auto" w:fill="ffffff"/>
        </w:rPr>
      </w:r>
      <w:r/>
    </w:p>
    <w:p>
      <w:pPr>
        <w:pStyle w:val="788"/>
        <w:ind w:right="0"/>
        <w:jc w:val="center"/>
        <w:keepLines w:val="0"/>
        <w:keepNext w:val="0"/>
        <w:pageBreakBefore w:val="0"/>
        <w:spacing w:before="0" w:beforeAutospacing="0" w:after="0" w:afterAutospacing="0" w:line="500" w:lineRule="exact"/>
        <w:widowControl/>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788"/>
        <w:ind w:right="0"/>
        <w:jc w:val="center"/>
        <w:keepLines w:val="0"/>
        <w:keepNext w:val="0"/>
        <w:pageBreakBefore w:val="0"/>
        <w:spacing w:before="0" w:beforeAutospacing="0" w:after="0" w:afterAutospacing="0" w:line="500" w:lineRule="exact"/>
        <w:widowControl/>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788"/>
        <w:ind w:right="0"/>
        <w:jc w:val="center"/>
        <w:keepLines w:val="0"/>
        <w:keepNext w:val="0"/>
        <w:pageBreakBefore w:val="0"/>
        <w:spacing w:before="0" w:beforeAutospacing="0" w:after="0" w:afterAutospacing="0" w:line="500" w:lineRule="exact"/>
        <w:widowControl/>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788"/>
        <w:ind w:right="0"/>
        <w:jc w:val="center"/>
        <w:keepLines w:val="0"/>
        <w:keepNext w:val="0"/>
        <w:pageBreakBefore w:val="0"/>
        <w:spacing w:before="0" w:beforeAutospacing="0" w:after="0" w:afterAutospacing="0" w:line="500" w:lineRule="exact"/>
        <w:widowControl/>
        <w:rPr>
          <w:b/>
          <w:color w:val="000000"/>
          <w:spacing w:val="20"/>
          <w:sz w:val="32"/>
          <w:szCs w:val="32"/>
          <w:highlight w:val="none"/>
        </w:rPr>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739"/>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2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采购文件中提出的需求是最基本的服务要求，各投标人须响应这些要求，并可以在此基础上，根据自身优势进一步优化。本方案可包括（但不限于）以下内容：</w:t>
      </w:r>
      <w:r>
        <w:rPr>
          <w:rFonts w:ascii="宋体" w:hAnsi="宋体" w:cs="宋体"/>
          <w:color w:val="000000"/>
          <w:sz w:val="24"/>
          <w:highlight w:val="none"/>
        </w:rPr>
      </w:r>
      <w:r/>
    </w:p>
    <w:p>
      <w:pPr>
        <w:pStyle w:val="726"/>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726"/>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726"/>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726"/>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726"/>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需要招标人协助的事项</w:t>
      </w:r>
      <w:r>
        <w:rPr>
          <w:rFonts w:hint="eastAsia" w:ascii="宋体" w:hAnsi="宋体" w:cs="宋体"/>
          <w:color w:val="000000"/>
          <w:sz w:val="24"/>
          <w:highlight w:val="none"/>
        </w:rPr>
      </w:r>
      <w:r/>
    </w:p>
    <w:p>
      <w:pPr>
        <w:pStyle w:val="726"/>
        <w:numPr>
          <w:ilvl w:val="1"/>
          <w:numId w:val="9"/>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投标人认为需要添加的内容</w:t>
      </w:r>
      <w:r>
        <w:rPr>
          <w:rFonts w:hint="eastAsia" w:ascii="宋体" w:hAnsi="宋体" w:cs="宋体"/>
          <w:color w:val="000000"/>
          <w:sz w:val="24"/>
          <w:highlight w:val="none"/>
        </w:rPr>
      </w:r>
      <w:r/>
    </w:p>
    <w:p>
      <w:pPr>
        <w:pStyle w:val="726"/>
        <w:ind w:firstLine="480"/>
        <w:spacing w:line="400" w:lineRule="exact"/>
        <w:rPr>
          <w:rFonts w:ascii="宋体" w:hAnsi="宋体"/>
          <w:color w:val="000000"/>
          <w:sz w:val="24"/>
          <w:highlight w:val="none"/>
        </w:rPr>
      </w:pPr>
      <w:r>
        <w:rPr>
          <w:rFonts w:ascii="宋体" w:hAnsi="宋体"/>
          <w:color w:val="000000"/>
          <w:sz w:val="24"/>
          <w:highlight w:val="none"/>
        </w:rPr>
      </w:r>
      <w:r/>
    </w:p>
    <w:p>
      <w:pPr>
        <w:pStyle w:val="806"/>
        <w:rPr>
          <w:color w:val="000000"/>
          <w:highlight w:val="none"/>
        </w:rPr>
      </w:pPr>
      <w:r>
        <w:rPr>
          <w:color w:val="000000"/>
          <w:highlight w:val="none"/>
        </w:rPr>
      </w:r>
      <w:r/>
    </w:p>
    <w:p>
      <w:pPr>
        <w:pStyle w:val="726"/>
        <w:ind w:firstLine="4413"/>
        <w:jc w:val="left"/>
        <w:spacing w:line="400" w:lineRule="exact"/>
        <w:widowControl/>
        <w:rPr>
          <w:rFonts w:hint="eastAsia" w:ascii="宋体" w:hAnsi="宋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26"/>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26"/>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jc w:val="center"/>
        <w:rPr>
          <w:rFonts w:hint="eastAsia" w:ascii="楷体_GB2312" w:eastAsia="楷体_GB2312"/>
          <w:color w:val="000000"/>
          <w:sz w:val="24"/>
          <w:highlight w:val="none"/>
        </w:rPr>
      </w:pPr>
      <w:r>
        <w:rPr>
          <w:rFonts w:hint="eastAsia" w:ascii="楷体_GB2312" w:eastAsia="楷体_GB2312"/>
          <w:color w:val="000000"/>
          <w:sz w:val="24"/>
          <w:highlight w:val="none"/>
        </w:rPr>
      </w:r>
      <w:r/>
    </w:p>
    <w:p>
      <w:pPr>
        <w:pStyle w:val="726"/>
        <w:spacing w:line="400" w:lineRule="exact"/>
        <w:rPr>
          <w:rFonts w:ascii="楷体_GB2312" w:eastAsia="楷体_GB2312"/>
          <w:color w:val="000000"/>
          <w:sz w:val="24"/>
          <w:highlight w:val="none"/>
        </w:rPr>
        <w:outlineLvl w:val="1"/>
      </w:pPr>
      <w:r>
        <w:rPr>
          <w:rFonts w:ascii="楷体_GB2312" w:eastAsia="楷体_GB2312"/>
          <w:color w:val="000000"/>
          <w:sz w:val="24"/>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ind w:firstLine="2529"/>
        <w:spacing w:line="400" w:lineRule="exact"/>
        <w:rPr>
          <w:b/>
          <w:color w:val="000000"/>
          <w:spacing w:val="20"/>
          <w:sz w:val="32"/>
          <w:szCs w:val="32"/>
          <w:highlight w:val="none"/>
        </w:rPr>
        <w:outlineLvl w:val="1"/>
      </w:pPr>
      <w:r>
        <w:rPr>
          <w:b/>
          <w:color w:val="000000"/>
          <w:spacing w:val="20"/>
          <w:sz w:val="32"/>
          <w:szCs w:val="32"/>
          <w:highlight w:val="none"/>
        </w:rPr>
      </w:r>
      <w:r/>
    </w:p>
    <w:p>
      <w:pPr>
        <w:pStyle w:val="726"/>
        <w:ind w:firstLine="2529"/>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 </w:t>
      </w:r>
      <w:r>
        <w:rPr>
          <w:b/>
          <w:color w:val="000000"/>
          <w:spacing w:val="20"/>
          <w:sz w:val="32"/>
          <w:szCs w:val="32"/>
          <w:highlight w:val="none"/>
        </w:rPr>
        <w:t xml:space="preserve"> </w:t>
      </w:r>
      <w:r>
        <w:rPr>
          <w:rFonts w:hint="eastAsia"/>
          <w:b/>
          <w:color w:val="000000"/>
          <w:spacing w:val="20"/>
          <w:sz w:val="32"/>
          <w:szCs w:val="32"/>
          <w:highlight w:val="none"/>
        </w:rPr>
      </w:r>
      <w:r/>
    </w:p>
    <w:p>
      <w:pPr>
        <w:pStyle w:val="726"/>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726"/>
        <w:numPr>
          <w:ilvl w:val="0"/>
          <w:numId w:val="10"/>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rFonts w:hint="eastAsia"/>
          <w:color w:val="000000"/>
          <w:sz w:val="20"/>
          <w:szCs w:val="20"/>
          <w:highlight w:val="none"/>
        </w:rPr>
      </w:r>
      <w:r/>
    </w:p>
    <w:p>
      <w:pPr>
        <w:pStyle w:val="72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72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806"/>
        <w:rPr>
          <w:color w:val="000000"/>
          <w:highlight w:val="none"/>
        </w:rPr>
      </w:pPr>
      <w:r>
        <w:rPr>
          <w:color w:val="000000"/>
          <w:highlight w:val="none"/>
        </w:rPr>
      </w:r>
      <w:r/>
    </w:p>
    <w:p>
      <w:pPr>
        <w:pStyle w:val="726"/>
        <w:ind w:firstLine="43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72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26"/>
        <w:keepLines/>
        <w:keepNext/>
        <w:spacing w:after="240" w:line="360" w:lineRule="auto"/>
        <w:widowControl/>
        <w:rPr>
          <w:color w:val="000000"/>
          <w:highlight w:val="none"/>
        </w:rPr>
        <w:outlineLvl w:val="0"/>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726"/>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color w:val="000000"/>
          <w:sz w:val="24"/>
          <w:highlight w:val="none"/>
        </w:rPr>
        <w:t xml:space="preserve">JSZC-</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726"/>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726"/>
        <w:ind w:firstLine="480"/>
        <w:spacing w:line="360" w:lineRule="auto"/>
        <w:tabs>
          <w:tab w:val="left" w:pos="360" w:leader="none"/>
        </w:tabs>
        <w:rPr>
          <w:color w:val="000000"/>
          <w:sz w:val="24"/>
          <w:highlight w:val="none"/>
        </w:rPr>
      </w:pPr>
      <w:r>
        <w:rPr>
          <w:color w:val="000000"/>
          <w:sz w:val="24"/>
          <w:highlight w:val="none"/>
        </w:rPr>
      </w:r>
      <w:r/>
    </w:p>
    <w:p>
      <w:pPr>
        <w:pStyle w:val="726"/>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6"/>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726"/>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72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726"/>
        <w:ind w:firstLine="4080"/>
        <w:spacing w:line="360" w:lineRule="auto"/>
        <w:tabs>
          <w:tab w:val="left" w:pos="360" w:leader="none"/>
        </w:tabs>
        <w:rPr>
          <w:color w:val="000000"/>
          <w:sz w:val="24"/>
          <w:highlight w:val="none"/>
        </w:rPr>
      </w:pPr>
      <w:r>
        <w:rPr>
          <w:color w:val="000000"/>
          <w:sz w:val="24"/>
          <w:highlight w:val="none"/>
        </w:rPr>
      </w:r>
      <w:r/>
    </w:p>
    <w:p>
      <w:pPr>
        <w:pStyle w:val="726"/>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726"/>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726"/>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302" w:name="_格式3__银行出具的资信证明"/>
      <w:r/>
      <w:bookmarkEnd w:id="302"/>
      <w:r/>
      <w:bookmarkStart w:id="303" w:name="_Hlt26671380"/>
      <w:r/>
      <w:bookmarkEnd w:id="303"/>
      <w:r/>
      <w:bookmarkStart w:id="304" w:name="_Hlt26955070"/>
      <w:r/>
      <w:bookmarkEnd w:id="304"/>
      <w:r>
        <w:rPr>
          <w:color w:val="000000"/>
          <w:sz w:val="24"/>
          <w:highlight w:val="none"/>
          <w:u w:val="single"/>
        </w:rPr>
      </w:r>
      <w:r/>
    </w:p>
    <w:p>
      <w:pPr>
        <w:pStyle w:val="726"/>
        <w:ind w:firstLine="480"/>
        <w:spacing w:line="360" w:lineRule="auto"/>
        <w:rPr>
          <w:rFonts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ascii="宋体" w:hAnsi="宋体" w:cs="楷体"/>
          <w:color w:val="000000"/>
          <w:sz w:val="24"/>
          <w:highlight w:val="none"/>
          <w:u w:val="singl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rFonts w:hint="eastAsia"/>
          <w:color w:val="000000"/>
          <w:highlight w:val="none"/>
        </w:rPr>
      </w:pPr>
      <w:r>
        <w:rPr>
          <w:rFonts w:hint="eastAsia"/>
          <w:color w:val="000000"/>
          <w:highlight w:val="none"/>
        </w:rPr>
      </w:r>
      <w:r/>
    </w:p>
    <w:p>
      <w:pPr>
        <w:pStyle w:val="726"/>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rFonts w:hint="eastAsia"/>
          <w:b/>
          <w:color w:val="000000"/>
          <w:spacing w:val="20"/>
          <w:sz w:val="32"/>
          <w:szCs w:val="32"/>
          <w:highlight w:val="none"/>
        </w:rPr>
      </w:r>
      <w:r/>
    </w:p>
    <w:p>
      <w:pPr>
        <w:pStyle w:val="726"/>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w:t>
      </w:r>
      <w:r>
        <w:rPr>
          <w:rFonts w:hint="eastAsia" w:ascii="宋体" w:hAnsi="宋体" w:cs="楷体"/>
          <w:color w:val="000000"/>
          <w:sz w:val="24"/>
          <w:highlight w:val="none"/>
          <w:u w:val="single"/>
          <w:lang w:val="en-US" w:eastAsia="zh-CN"/>
        </w:rPr>
        <w:t xml:space="preserve">       </w:t>
      </w:r>
      <w:r>
        <w:rPr>
          <w:rFonts w:hint="eastAsia" w:ascii="宋体" w:hAnsi="宋体" w:cs="楷体"/>
          <w:color w:val="000000"/>
          <w:sz w:val="24"/>
          <w:highlight w:val="none"/>
          <w:u w:val="none"/>
          <w:lang w:val="en-US" w:eastAsia="zh-CN"/>
        </w:rPr>
        <w:t xml:space="preserve">（采购单位）</w:t>
      </w:r>
      <w:r>
        <w:rPr>
          <w:rFonts w:hint="eastAsia" w:ascii="宋体" w:hAnsi="宋体" w:cs="楷体"/>
          <w:color w:val="000000"/>
          <w:sz w:val="24"/>
          <w:highlight w:val="none"/>
        </w:rPr>
        <w:t xml:space="preserve">及武进区政府采购中心：</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按照《中华人民共和国政府采购法》第二十二条及采购文件的规定，我单位郑重声明如下：</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72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978"/>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72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6"/>
        <w:ind w:firstLine="432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72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72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726"/>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726"/>
        <w:spacing w:line="440" w:lineRule="exact"/>
        <w:widowControl/>
        <w:rPr>
          <w:rFonts w:ascii="宋体" w:hAnsi="宋体"/>
          <w:b/>
          <w:color w:val="000000"/>
          <w:sz w:val="24"/>
          <w:highlight w:val="none"/>
        </w:rPr>
      </w:pPr>
      <w:r>
        <w:rPr>
          <w:rFonts w:ascii="宋体" w:hAnsi="宋体"/>
          <w:b/>
          <w:color w:val="000000"/>
          <w:sz w:val="24"/>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80"/>
        <w:spacing w:after="120" w:line="360" w:lineRule="auto"/>
        <w:rPr>
          <w:rFonts w:hint="eastAsia" w:ascii="Times New Roman" w:eastAsia="宋体"/>
          <w:b/>
          <w:color w:val="000000"/>
          <w:spacing w:val="20"/>
          <w:sz w:val="32"/>
          <w:szCs w:val="32"/>
          <w:highlight w:val="none"/>
          <w:lang w:val="en-US" w:eastAsia="zh-CN"/>
        </w:rPr>
      </w:pPr>
      <w:r>
        <w:rPr>
          <w:rFonts w:hint="eastAsia" w:ascii="Times New Roman" w:eastAsia="宋体"/>
          <w:b/>
          <w:color w:val="000000"/>
          <w:spacing w:val="20"/>
          <w:sz w:val="32"/>
          <w:szCs w:val="32"/>
          <w:highlight w:val="none"/>
          <w:lang w:val="en-US" w:eastAsia="zh-CN"/>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lang w:val="en-US" w:eastAsia="zh-CN"/>
        </w:rPr>
        <w:t xml:space="preserve">、政府采购供应商信用承诺书</w:t>
      </w:r>
      <w:r>
        <w:rPr>
          <w:rFonts w:ascii="Times New Roman" w:eastAsia="宋体"/>
          <w:b/>
          <w:color w:val="000000"/>
          <w:spacing w:val="20"/>
          <w:sz w:val="32"/>
          <w:szCs w:val="32"/>
          <w:highlight w:val="none"/>
          <w:lang w:val="en-US" w:eastAsia="zh-CN"/>
        </w:rPr>
        <w:t xml:space="preserve">（实质性格式）</w:t>
      </w:r>
      <w:r>
        <w:rPr>
          <w:rFonts w:hint="eastAsia" w:ascii="Times New Roman" w:eastAsia="宋体"/>
          <w:b/>
          <w:color w:val="000000"/>
          <w:spacing w:val="20"/>
          <w:sz w:val="32"/>
          <w:szCs w:val="32"/>
          <w:highlight w:val="none"/>
          <w:lang w:val="en-US" w:eastAsia="zh-CN"/>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726"/>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72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726"/>
        <w:ind w:firstLine="5040"/>
        <w:spacing w:line="400" w:lineRule="exact"/>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ascii="宋体" w:hAnsi="宋体" w:cs="楷体"/>
          <w:color w:val="000000"/>
          <w:sz w:val="24"/>
          <w:highlight w:val="none"/>
        </w:rPr>
      </w:r>
      <w:r/>
    </w:p>
    <w:p>
      <w:pPr>
        <w:pStyle w:val="726"/>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975"/>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75"/>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75"/>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975"/>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75"/>
        <w:ind w:right="0" w:firstLine="5160"/>
        <w:jc w:val="both"/>
        <w:spacing w:line="40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十二、</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726"/>
        <w:spacing w:line="560" w:lineRule="exact"/>
        <w:rPr>
          <w:rFonts w:hint="eastAsia" w:ascii="宋体" w:hAnsi="宋体"/>
          <w:color w:val="000000"/>
          <w:sz w:val="24"/>
          <w:szCs w:val="21"/>
          <w:highlight w:val="none"/>
        </w:rPr>
      </w:pPr>
      <w:r/>
      <w:bookmarkStart w:id="305" w:name="_Hlk149905720"/>
      <w:r>
        <w:rPr>
          <w:rFonts w:hint="eastAsia" w:ascii="宋体" w:hAnsi="宋体"/>
          <w:color w:val="000000"/>
          <w:sz w:val="24"/>
          <w:szCs w:val="21"/>
          <w:highlight w:val="none"/>
        </w:rPr>
        <w:t xml:space="preserve">（联合体中各供应商全称）在此达成以下协议：</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自愿组成联合体，参加常州市武进区政府采购中心组织的采购编号为</w:t>
      </w:r>
      <w:r>
        <w:rPr>
          <w:rFonts w:hint="eastAsia" w:ascii="宋体" w:hAnsi="宋体"/>
          <w:color w:val="000000"/>
          <w:sz w:val="24"/>
          <w:szCs w:val="21"/>
          <w:highlight w:val="none"/>
          <w:u w:val="single"/>
        </w:rPr>
        <w:t xml:space="preserve">（编号全称），（项目全称）</w:t>
      </w:r>
      <w:r>
        <w:rPr>
          <w:rFonts w:hint="eastAsia" w:ascii="宋体" w:hAnsi="宋体"/>
          <w:color w:val="000000"/>
          <w:sz w:val="24"/>
          <w:szCs w:val="21"/>
          <w:highlight w:val="none"/>
        </w:rPr>
        <w:t xml:space="preserve">项目 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2.若我们联合中标、成交，（供应商单位</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全称）实施项目中（工作内容）部分工作，并承担相应的责任。（供应商单位</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全称）实施项目中（工作内容）部分工作，并承担相应的责任……。（注：联合体中各供应商都应明示所承担的工作和相应的责任）。</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3.其中</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（小型、微型企业/残疾人福利性单位/监狱企业全称）为</w:t>
      </w:r>
      <w:r>
        <w:rPr>
          <w:rFonts w:ascii="宋体" w:hAnsi="宋体"/>
          <w:color w:val="000000"/>
          <w:sz w:val="24"/>
          <w:szCs w:val="21"/>
          <w:highlight w:val="none"/>
          <w:u w:val="single"/>
        </w:rPr>
        <w:t xml:space="preserve">    </w:t>
      </w:r>
      <w:r>
        <w:rPr>
          <w:rFonts w:hint="eastAsia" w:ascii="宋体" w:hAnsi="宋体"/>
          <w:color w:val="000000"/>
          <w:sz w:val="24"/>
          <w:szCs w:val="21"/>
          <w:highlight w:val="none"/>
        </w:rPr>
        <w:t xml:space="preserve">（小型、微型企业/残疾人福利性单位/监狱企业）企业，且我们约定该公司/单位所承担的合同金额将占本项目合同总金额的</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备注：本招标文件中要求加盖CA电子签章的地方，仅需加盖牵头单位的CA电子签章。</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w:t>
      </w:r>
      <w:r>
        <w:rPr>
          <w:rFonts w:hint="eastAsia" w:ascii="宋体" w:hAnsi="宋体"/>
          <w:color w:val="000000"/>
          <w:sz w:val="24"/>
          <w:szCs w:val="21"/>
          <w:highlight w:val="none"/>
        </w:rPr>
      </w:r>
      <w:r/>
    </w:p>
    <w:p>
      <w:pPr>
        <w:pStyle w:val="726"/>
        <w:ind w:right="480" w:firstLine="645"/>
        <w:jc w:val="right"/>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联合体中各供应商全称（公章）：</w:t>
      </w:r>
      <w:r>
        <w:rPr>
          <w:rFonts w:ascii="宋体" w:hAnsi="宋体"/>
          <w:color w:val="000000"/>
          <w:sz w:val="24"/>
          <w:szCs w:val="21"/>
          <w:highlight w:val="none"/>
        </w:rPr>
        <w:t xml:space="preserve">     </w:t>
      </w:r>
      <w:r>
        <w:rPr>
          <w:rFonts w:hint="eastAsia" w:ascii="宋体" w:hAnsi="宋体"/>
          <w:color w:val="000000"/>
          <w:sz w:val="24"/>
          <w:szCs w:val="21"/>
          <w:highlight w:val="none"/>
        </w:rPr>
      </w:r>
      <w:r/>
    </w:p>
    <w:p>
      <w:pPr>
        <w:pStyle w:val="726"/>
        <w:ind w:firstLine="645"/>
        <w:spacing w:line="560" w:lineRule="exact"/>
        <w:rPr>
          <w:rFonts w:hint="eastAsia" w:ascii="宋体" w:hAnsi="宋体"/>
          <w:color w:val="000000"/>
          <w:sz w:val="24"/>
          <w:szCs w:val="21"/>
          <w:highlight w:val="none"/>
        </w:rPr>
      </w:pPr>
      <w:r>
        <w:rPr>
          <w:rFonts w:ascii="宋体" w:hAnsi="宋体"/>
          <w:color w:val="000000"/>
          <w:sz w:val="24"/>
          <w:szCs w:val="21"/>
          <w:highlight w:val="none"/>
        </w:rPr>
        <w:t xml:space="preserve">                   </w:t>
      </w:r>
      <w:r>
        <w:rPr>
          <w:rFonts w:hint="eastAsia" w:ascii="宋体" w:hAnsi="宋体"/>
          <w:color w:val="000000"/>
          <w:sz w:val="24"/>
          <w:szCs w:val="21"/>
          <w:highlight w:val="none"/>
        </w:rPr>
        <w:t xml:space="preserve">                     日期：</w:t>
      </w:r>
      <w:bookmarkEnd w:id="305"/>
      <w:r>
        <w:rPr>
          <w:rFonts w:hint="eastAsia" w:ascii="宋体" w:hAnsi="宋体"/>
          <w:color w:val="000000"/>
          <w:sz w:val="24"/>
          <w:szCs w:val="21"/>
          <w:highlight w:val="none"/>
        </w:rPr>
      </w:r>
      <w:r/>
    </w:p>
    <w:p>
      <w:pPr>
        <w:pStyle w:val="726"/>
        <w:ind w:firstLine="2168"/>
        <w:keepLines/>
        <w:keepNext/>
        <w:spacing w:after="240" w:line="360" w:lineRule="auto"/>
        <w:widowControl/>
        <w:rPr>
          <w:rFonts w:hint="eastAsia"/>
          <w:b/>
          <w:color w:val="000000"/>
          <w:spacing w:val="20"/>
          <w:sz w:val="32"/>
          <w:szCs w:val="32"/>
          <w:highlight w:val="none"/>
        </w:rPr>
        <w:outlineLvl w:val="0"/>
      </w:pPr>
      <w:r>
        <w:rPr>
          <w:rFonts w:hint="eastAsia"/>
          <w:b/>
          <w:color w:val="000000"/>
          <w:spacing w:val="20"/>
          <w:sz w:val="32"/>
          <w:szCs w:val="32"/>
          <w:highlight w:val="none"/>
        </w:rPr>
      </w:r>
      <w:r/>
    </w:p>
    <w:p>
      <w:pPr>
        <w:pStyle w:val="726"/>
        <w:ind w:firstLine="2168"/>
        <w:keepLines/>
        <w:keepNext/>
        <w:spacing w:after="240" w:line="360" w:lineRule="auto"/>
        <w:widowControl/>
        <w:rPr>
          <w:rFonts w:hint="eastAsia"/>
          <w:b/>
          <w:color w:val="000000"/>
          <w:spacing w:val="20"/>
          <w:sz w:val="32"/>
          <w:szCs w:val="32"/>
          <w:highlight w:val="none"/>
        </w:rPr>
        <w:outlineLvl w:val="0"/>
      </w:pPr>
      <w:r>
        <w:rPr>
          <w:rFonts w:hint="eastAsia"/>
          <w:b/>
          <w:color w:val="000000"/>
          <w:spacing w:val="20"/>
          <w:sz w:val="32"/>
          <w:szCs w:val="32"/>
          <w:highlight w:val="none"/>
        </w:rPr>
      </w:r>
      <w:r/>
    </w:p>
    <w:p>
      <w:pPr>
        <w:pStyle w:val="738"/>
        <w:tabs>
          <w:tab w:val="left" w:pos="567" w:leader="none"/>
        </w:tabs>
        <w:rPr>
          <w:rFonts w:hint="eastAsia"/>
          <w:b/>
          <w:color w:val="000000"/>
          <w:spacing w:val="20"/>
          <w:sz w:val="32"/>
          <w:szCs w:val="32"/>
          <w:highlight w:val="none"/>
        </w:rPr>
      </w:pPr>
      <w:r>
        <w:rPr>
          <w:rFonts w:hint="eastAsia"/>
          <w:b/>
          <w:color w:val="000000"/>
          <w:spacing w:val="20"/>
          <w:sz w:val="32"/>
          <w:szCs w:val="32"/>
          <w:highlight w:val="none"/>
        </w:rPr>
      </w:r>
      <w:r/>
    </w:p>
    <w:p>
      <w:pPr>
        <w:pStyle w:val="738"/>
        <w:tabs>
          <w:tab w:val="left" w:pos="567" w:leader="none"/>
        </w:tabs>
        <w:rPr>
          <w:rFonts w:hint="eastAsia"/>
          <w:b/>
          <w:color w:val="000000"/>
          <w:spacing w:val="20"/>
          <w:sz w:val="32"/>
          <w:szCs w:val="32"/>
          <w:highlight w:val="none"/>
        </w:rPr>
      </w:pPr>
      <w:r>
        <w:rPr>
          <w:rFonts w:hint="eastAsia"/>
          <w:b/>
          <w:color w:val="000000"/>
          <w:spacing w:val="20"/>
          <w:sz w:val="32"/>
          <w:szCs w:val="32"/>
          <w:highlight w:val="none"/>
        </w:rPr>
      </w:r>
      <w:r/>
    </w:p>
    <w:p>
      <w:pPr>
        <w:pStyle w:val="738"/>
        <w:tabs>
          <w:tab w:val="left" w:pos="567" w:leader="none"/>
        </w:tabs>
        <w:rPr>
          <w:rFonts w:hint="eastAsia"/>
          <w:b/>
          <w:color w:val="000000"/>
          <w:spacing w:val="20"/>
          <w:sz w:val="32"/>
          <w:szCs w:val="32"/>
          <w:highlight w:val="none"/>
        </w:rPr>
      </w:pPr>
      <w:r>
        <w:rPr>
          <w:rFonts w:hint="eastAsia"/>
          <w:b/>
          <w:color w:val="000000"/>
          <w:spacing w:val="20"/>
          <w:sz w:val="32"/>
          <w:szCs w:val="32"/>
          <w:highlight w:val="none"/>
        </w:rPr>
      </w:r>
      <w:r/>
    </w:p>
    <w:p>
      <w:pPr>
        <w:pStyle w:val="726"/>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、投标函</w:t>
      </w:r>
      <w:r>
        <w:rPr>
          <w:b/>
          <w:color w:val="000000"/>
          <w:spacing w:val="20"/>
          <w:sz w:val="32"/>
          <w:szCs w:val="32"/>
          <w:highlight w:val="none"/>
        </w:rPr>
        <w:t xml:space="preserve">（实质性格式）</w:t>
      </w:r>
      <w:r>
        <w:rPr>
          <w:b/>
          <w:color w:val="000000"/>
          <w:spacing w:val="20"/>
          <w:sz w:val="32"/>
          <w:szCs w:val="32"/>
          <w:highlight w:val="none"/>
        </w:rPr>
      </w:r>
      <w:r/>
    </w:p>
    <w:p>
      <w:pPr>
        <w:pStyle w:val="726"/>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致：常州市武进区政府采购中心</w:t>
      </w:r>
      <w:r>
        <w:rPr>
          <w:rFonts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根据贵方的JSZC-</w:t>
      </w:r>
      <w:r>
        <w:rPr>
          <w:rFonts w:ascii="宋体" w:hAnsi="宋体"/>
          <w:color w:val="000000"/>
          <w:sz w:val="24"/>
          <w:szCs w:val="21"/>
          <w:highlight w:val="none"/>
        </w:rPr>
        <w:t xml:space="preserve">***</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号招标文件，正式授权_________________(姓名)代表我方______________（投标人的名称），全权处理本次项目投标的有关事宜。</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据此函，兹宣布同意如下：</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highlight w:val="none"/>
        </w:rPr>
      </w:r>
      <w:r/>
    </w:p>
    <w:p>
      <w:pPr>
        <w:pStyle w:val="726"/>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highlight w:val="none"/>
        </w:rPr>
      </w:r>
      <w:r/>
    </w:p>
    <w:p>
      <w:pPr>
        <w:pStyle w:val="726"/>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726"/>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rPr>
          <w:rFonts w:hint="eastAsia" w:ascii="宋体" w:hAnsi="宋体"/>
          <w:color w:val="000000"/>
          <w:sz w:val="24"/>
          <w:szCs w:val="21"/>
          <w:highlight w:val="none"/>
        </w:rPr>
      </w:r>
      <w:r/>
    </w:p>
    <w:p>
      <w:pPr>
        <w:pStyle w:val="726"/>
        <w:ind w:left="420" w:firstLine="4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账          号： </w:t>
      </w:r>
      <w:r>
        <w:rPr>
          <w:rFonts w:ascii="宋体" w:hAnsi="宋体"/>
          <w:color w:val="000000"/>
          <w:sz w:val="24"/>
          <w:szCs w:val="21"/>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rFonts w:hint="eastAsia"/>
          <w:color w:val="000000"/>
          <w:highlight w:val="none"/>
        </w:rPr>
      </w:pPr>
      <w:r>
        <w:rPr>
          <w:rFonts w:hint="eastAsia"/>
          <w:color w:val="000000"/>
          <w:highlight w:val="none"/>
        </w:rPr>
        <w:t xml:space="preserve"> </w:t>
      </w:r>
      <w:r>
        <w:rPr>
          <w:color w:val="000000"/>
          <w:highlight w:val="none"/>
        </w:rPr>
        <w:t xml:space="preserve">                                                                          </w:t>
      </w:r>
      <w:bookmarkStart w:id="306"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06"/>
      <w:r>
        <w:rPr>
          <w:rFonts w:hint="eastAsia"/>
          <w:color w:val="000000"/>
          <w:highlight w:val="none"/>
        </w:rPr>
      </w:r>
      <w:r/>
    </w:p>
    <w:p>
      <w:pPr>
        <w:pStyle w:val="726"/>
        <w:ind w:left="420" w:firstLine="456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日期：________年____月____日</w:t>
      </w:r>
      <w:r>
        <w:rPr>
          <w:rFonts w:hint="eastAsia" w:ascii="宋体" w:hAnsi="宋体"/>
          <w:color w:val="000000"/>
          <w:sz w:val="24"/>
          <w:szCs w:val="21"/>
          <w:highlight w:val="none"/>
        </w:rPr>
      </w:r>
      <w:r/>
    </w:p>
    <w:p>
      <w:pPr>
        <w:pStyle w:val="739"/>
        <w:tabs>
          <w:tab w:val="left" w:pos="567" w:leader="none"/>
        </w:tabs>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pStyle w:val="739"/>
        <w:tabs>
          <w:tab w:val="left" w:pos="567" w:leader="none"/>
        </w:tabs>
        <w:rPr>
          <w:color w:val="000000"/>
          <w:highlight w:val="none"/>
        </w:rPr>
      </w:pPr>
      <w:r>
        <w:rPr>
          <w:color w:val="000000"/>
          <w:highlight w:val="none"/>
        </w:rPr>
      </w:r>
      <w:r/>
    </w:p>
    <w:p>
      <w:pPr>
        <w:pStyle w:val="739"/>
        <w:tabs>
          <w:tab w:val="left" w:pos="567" w:leader="none"/>
        </w:tabs>
        <w:rPr>
          <w:color w:val="000000"/>
          <w:highlight w:val="none"/>
        </w:rPr>
      </w:pPr>
      <w:r>
        <w:rPr>
          <w:color w:val="000000"/>
          <w:highlight w:val="none"/>
        </w:rPr>
      </w:r>
      <w:r/>
    </w:p>
    <w:p>
      <w:pPr>
        <w:pStyle w:val="726"/>
        <w:jc w:val="center"/>
        <w:rPr>
          <w:b/>
          <w:color w:val="000000"/>
          <w:spacing w:val="20"/>
          <w:sz w:val="32"/>
          <w:szCs w:val="32"/>
          <w:highlight w:val="none"/>
        </w:rPr>
      </w:pPr>
      <w:r>
        <w:rPr>
          <w:b/>
          <w:color w:val="000000"/>
          <w:spacing w:val="20"/>
          <w:sz w:val="32"/>
          <w:szCs w:val="32"/>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rFonts w:hint="eastAsia"/>
          <w:color w:val="000000"/>
          <w:highlight w:val="none"/>
        </w:rPr>
      </w:pPr>
      <w:r>
        <w:rPr>
          <w:rFonts w:hint="eastAsia"/>
          <w:color w:val="000000"/>
          <w:highlight w:val="none"/>
        </w:rPr>
      </w:r>
      <w:r/>
    </w:p>
    <w:p>
      <w:pPr>
        <w:pStyle w:val="726"/>
        <w:ind w:firstLine="2168"/>
        <w:keepLines/>
        <w:keepNext/>
        <w:spacing w:after="240" w:line="360" w:lineRule="auto"/>
        <w:widowControl/>
        <w:rPr>
          <w:b/>
          <w:color w:val="000000"/>
          <w:spacing w:val="20"/>
          <w:sz w:val="32"/>
          <w:szCs w:val="32"/>
          <w:highlight w:val="none"/>
        </w:rPr>
        <w:outlineLvl w:val="0"/>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b/>
          <w:color w:val="000000"/>
          <w:spacing w:val="20"/>
          <w:sz w:val="32"/>
          <w:szCs w:val="32"/>
          <w:highlight w:val="none"/>
        </w:rPr>
        <w:t xml:space="preserve">、技术偏离表</w:t>
      </w:r>
      <w:r>
        <w:rPr>
          <w:b/>
          <w:color w:val="000000"/>
          <w:spacing w:val="20"/>
          <w:sz w:val="32"/>
          <w:szCs w:val="32"/>
          <w:highlight w:val="none"/>
        </w:rPr>
        <w:t xml:space="preserve">（实质性格式）</w:t>
      </w:r>
      <w:r>
        <w:rPr>
          <w:b/>
          <w:color w:val="000000"/>
          <w:spacing w:val="20"/>
          <w:sz w:val="32"/>
          <w:szCs w:val="32"/>
          <w:highlight w:val="none"/>
        </w:rPr>
      </w:r>
      <w:r/>
    </w:p>
    <w:p>
      <w:pPr>
        <w:pStyle w:val="726"/>
        <w:spacing w:line="360" w:lineRule="auto"/>
        <w:rPr>
          <w:rFonts w:hint="eastAsia"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hint="eastAsia" w:ascii="宋体" w:hAnsi="宋体" w:cs="宋体"/>
          <w:color w:val="000000"/>
          <w:sz w:val="20"/>
          <w:szCs w:val="21"/>
          <w:highlight w:val="none"/>
          <w:lang w:bidi="ar"/>
        </w:rPr>
      </w:r>
      <w:r/>
    </w:p>
    <w:tbl>
      <w:tblPr>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26"/>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19" w:type="dxa"/>
            <w:vAlign w:val="center"/>
            <w:textDirection w:val="lrTb"/>
            <w:noWrap w:val="false"/>
          </w:tcPr>
          <w:p>
            <w:pPr>
              <w:pStyle w:val="726"/>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59" w:type="dxa"/>
            <w:vAlign w:val="center"/>
            <w:textDirection w:val="lrTb"/>
            <w:noWrap w:val="false"/>
          </w:tcPr>
          <w:p>
            <w:pPr>
              <w:pStyle w:val="726"/>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招标文件技术参数</w:t>
            </w:r>
            <w:r>
              <w:rPr>
                <w:rFonts w:hint="eastAsia" w:ascii="宋体" w:hAnsi="宋体" w:cs="黑体"/>
                <w:bCs/>
                <w:color w:val="000000"/>
                <w:sz w:val="24"/>
                <w:highlight w:val="none"/>
              </w:rPr>
            </w:r>
            <w:r/>
          </w:p>
        </w:tc>
        <w:tc>
          <w:tcPr>
            <w:tcW w:w="1418" w:type="dxa"/>
            <w:vAlign w:val="center"/>
            <w:textDirection w:val="lrTb"/>
            <w:noWrap w:val="false"/>
          </w:tcPr>
          <w:p>
            <w:pPr>
              <w:pStyle w:val="726"/>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投标文件技术参数</w:t>
            </w:r>
            <w:r>
              <w:rPr>
                <w:rFonts w:hint="eastAsia" w:ascii="宋体" w:hAnsi="宋体" w:cs="黑体"/>
                <w:bCs/>
                <w:color w:val="000000"/>
                <w:sz w:val="24"/>
                <w:highlight w:val="none"/>
              </w:rPr>
            </w:r>
            <w:r/>
          </w:p>
        </w:tc>
        <w:tc>
          <w:tcPr>
            <w:tcW w:w="2119" w:type="dxa"/>
            <w:vAlign w:val="center"/>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710" w:type="dxa"/>
            <w:vAlign w:val="center"/>
            <w:textDirection w:val="lrTb"/>
            <w:noWrap w:val="false"/>
          </w:tcPr>
          <w:p>
            <w:pPr>
              <w:pStyle w:val="726"/>
              <w:ind w:firstLine="48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726"/>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19" w:type="dxa"/>
            <w:vAlign w:val="top"/>
            <w:textDirection w:val="lrTb"/>
            <w:noWrap w:val="false"/>
          </w:tcPr>
          <w:p>
            <w:pPr>
              <w:pStyle w:val="726"/>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72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8"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59"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18" w:type="dxa"/>
            <w:vAlign w:val="top"/>
            <w:textDirection w:val="lrTb"/>
            <w:noWrap w:val="false"/>
          </w:tcPr>
          <w:p>
            <w:pPr>
              <w:pStyle w:val="726"/>
              <w:ind w:firstLine="240"/>
              <w:jc w:val="center"/>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2119"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710" w:type="dxa"/>
            <w:vAlign w:val="top"/>
            <w:textDirection w:val="lrTb"/>
            <w:noWrap w:val="false"/>
          </w:tcPr>
          <w:p>
            <w:pPr>
              <w:pStyle w:val="726"/>
              <w:ind w:firstLine="240"/>
              <w:spacing w:line="360" w:lineRule="auto"/>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726"/>
        <w:spacing w:line="360" w:lineRule="auto"/>
        <w:rPr>
          <w:rFonts w:hint="eastAsia" w:ascii="宋体" w:hAnsi="宋体" w:cs="宋体"/>
          <w:color w:val="000000"/>
          <w:sz w:val="20"/>
          <w:szCs w:val="21"/>
          <w:highlight w:val="none"/>
        </w:rPr>
      </w:pPr>
      <w:r>
        <w:rPr>
          <w:rFonts w:hint="eastAsia" w:ascii="宋体" w:hAnsi="宋体" w:cs="宋体"/>
          <w:color w:val="000000"/>
          <w:sz w:val="20"/>
          <w:szCs w:val="21"/>
          <w:highlight w:val="none"/>
        </w:rPr>
        <w:t xml:space="preserve">                                                                                                                                                                                    </w:t>
      </w:r>
      <w:r>
        <w:rPr>
          <w:rFonts w:hint="eastAsia" w:ascii="宋体" w:hAnsi="宋体" w:cs="宋体"/>
          <w:color w:val="000000"/>
          <w:sz w:val="20"/>
          <w:szCs w:val="21"/>
          <w:highlight w:val="none"/>
        </w:rPr>
      </w:r>
      <w:r/>
    </w:p>
    <w:p>
      <w:pPr>
        <w:pStyle w:val="726"/>
        <w:ind w:firstLine="444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72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806"/>
        <w:ind w:firstLine="480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2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726"/>
        <w:numPr>
          <w:ilvl w:val="0"/>
          <w:numId w:val="11"/>
        </w:numPr>
        <w:ind w:firstLine="482"/>
        <w:spacing w:line="440" w:lineRule="exact"/>
        <w:rPr>
          <w:rFonts w:ascii="宋体" w:hAnsi="宋体"/>
          <w:b/>
          <w:bCs/>
          <w:color w:val="000000"/>
          <w:sz w:val="24"/>
          <w:highlight w:val="none"/>
        </w:rPr>
      </w:pPr>
      <w:r>
        <w:rPr>
          <w:rFonts w:hint="eastAsia" w:ascii="宋体" w:hAnsi="宋体"/>
          <w:b/>
          <w:bCs/>
          <w:color w:val="000000"/>
          <w:sz w:val="24"/>
          <w:highlight w:val="none"/>
        </w:rPr>
        <w:t xml:space="preserve">请按上表格式，依照采购文件项目要求相应内容逐项响应。</w:t>
      </w:r>
      <w:r>
        <w:rPr>
          <w:rFonts w:ascii="宋体" w:hAnsi="宋体"/>
          <w:b/>
          <w:bCs/>
          <w:color w:val="000000"/>
          <w:sz w:val="24"/>
          <w:highlight w:val="none"/>
        </w:rPr>
      </w:r>
      <w:r/>
    </w:p>
    <w:p>
      <w:pPr>
        <w:pStyle w:val="726"/>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2、如根据采购文件要求需提供“证明材料”的，需填写证明材料名称；采购文件未要求提供“证明材料”的，可不填写。</w:t>
      </w:r>
      <w:r>
        <w:rPr>
          <w:rFonts w:hint="eastAsia" w:ascii="宋体" w:hAnsi="宋体"/>
          <w:b/>
          <w:bCs/>
          <w:color w:val="000000"/>
          <w:sz w:val="24"/>
          <w:highlight w:val="none"/>
        </w:rPr>
      </w:r>
      <w:r/>
    </w:p>
    <w:p>
      <w:pPr>
        <w:pStyle w:val="726"/>
        <w:ind w:firstLine="482"/>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3、如投标人提供的货物或服务与招标文件的要求存在偏离，偏离情况可填写“正偏离”或“负偏离”；如完全满足招标文件要求，偏离情况填写“完全满足”即可。</w:t>
      </w:r>
      <w:r>
        <w:rPr>
          <w:rFonts w:hint="eastAsia" w:ascii="宋体" w:hAnsi="宋体"/>
          <w:b/>
          <w:bCs/>
          <w:color w:val="000000"/>
          <w:sz w:val="24"/>
          <w:highlight w:val="none"/>
        </w:rPr>
      </w:r>
      <w:r/>
    </w:p>
    <w:p>
      <w:pPr>
        <w:pStyle w:val="726"/>
        <w:spacing w:line="360" w:lineRule="auto"/>
        <w:rPr>
          <w:rFonts w:hint="eastAsia"/>
          <w:color w:val="000000"/>
          <w:sz w:val="20"/>
          <w:szCs w:val="20"/>
          <w:highlight w:val="none"/>
        </w:rPr>
      </w:pPr>
      <w:r>
        <w:rPr>
          <w:rFonts w:hint="eastAsia"/>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t xml:space="preserve">                      </w:t>
      </w: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spacing w:line="360" w:lineRule="auto"/>
        <w:rPr>
          <w:color w:val="000000"/>
          <w:sz w:val="20"/>
          <w:szCs w:val="20"/>
          <w:highlight w:val="none"/>
        </w:rPr>
      </w:pPr>
      <w:r>
        <w:rPr>
          <w:color w:val="000000"/>
          <w:sz w:val="20"/>
          <w:szCs w:val="20"/>
          <w:highlight w:val="none"/>
        </w:rPr>
      </w:r>
      <w:r/>
    </w:p>
    <w:p>
      <w:pPr>
        <w:pStyle w:val="726"/>
        <w:ind w:firstLine="2951"/>
        <w:keepLines/>
        <w:keepNext/>
        <w:spacing w:before="260" w:after="260" w:line="415" w:lineRule="auto"/>
        <w:rPr>
          <w:rFonts w:ascii="宋体" w:hAnsi="宋体"/>
          <w:b/>
          <w:color w:val="000000"/>
          <w:sz w:val="28"/>
          <w:szCs w:val="28"/>
          <w:highlight w:val="none"/>
        </w:rPr>
        <w:outlineLvl w:val="2"/>
      </w:pPr>
      <w:r>
        <w:rPr>
          <w:rFonts w:ascii="宋体" w:hAnsi="宋体"/>
          <w:b/>
          <w:color w:val="000000"/>
          <w:sz w:val="28"/>
          <w:szCs w:val="28"/>
          <w:highlight w:val="none"/>
        </w:rPr>
      </w:r>
      <w:r/>
    </w:p>
    <w:p>
      <w:pPr>
        <w:pStyle w:val="726"/>
        <w:rPr>
          <w:rFonts w:hint="eastAsia"/>
          <w:color w:val="000000"/>
          <w:sz w:val="20"/>
          <w:szCs w:val="20"/>
          <w:highlight w:val="none"/>
        </w:rPr>
      </w:pPr>
      <w:r>
        <w:rPr>
          <w:rFonts w:hint="eastAsia"/>
          <w:color w:val="000000"/>
          <w:sz w:val="20"/>
          <w:szCs w:val="20"/>
          <w:highlight w:val="none"/>
        </w:rPr>
      </w:r>
      <w:r/>
    </w:p>
    <w:p>
      <w:pPr>
        <w:pStyle w:val="72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72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w:t>
      </w:r>
      <w:r>
        <w:rPr>
          <w:rFonts w:ascii="宋体" w:hAnsi="宋体"/>
          <w:b/>
          <w:color w:val="000000"/>
          <w:sz w:val="32"/>
          <w:szCs w:val="32"/>
          <w:highlight w:val="none"/>
        </w:rPr>
        <w:t xml:space="preserve">、</w:t>
      </w: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726"/>
        <w:spacing w:line="360" w:lineRule="auto"/>
        <w:rPr>
          <w:rFonts w:ascii="宋体" w:hAnsi="宋体"/>
          <w:color w:val="000000"/>
          <w:sz w:val="22"/>
          <w:highlight w:val="none"/>
        </w:rPr>
      </w:pPr>
      <w:r>
        <w:rPr>
          <w:rFonts w:ascii="宋体" w:hAnsi="宋体"/>
          <w:color w:val="000000"/>
          <w:sz w:val="22"/>
          <w:highlight w:val="none"/>
        </w:rPr>
      </w:r>
      <w:r/>
    </w:p>
    <w:p>
      <w:pPr>
        <w:pStyle w:val="72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72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72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72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726"/>
        <w:spacing w:line="360" w:lineRule="auto"/>
        <w:rPr>
          <w:rFonts w:ascii="宋体" w:hAnsi="宋体"/>
          <w:color w:val="000000"/>
          <w:sz w:val="24"/>
          <w:highlight w:val="none"/>
        </w:rPr>
      </w:pPr>
      <w:r>
        <w:rPr>
          <w:rFonts w:ascii="宋体" w:hAnsi="宋体"/>
          <w:color w:val="000000"/>
          <w:sz w:val="24"/>
          <w:highlight w:val="none"/>
        </w:rPr>
      </w:r>
      <w:r/>
    </w:p>
    <w:p>
      <w:pPr>
        <w:pStyle w:val="806"/>
        <w:ind w:firstLine="4560"/>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rPr>
          <w:rFonts w:ascii="宋体" w:hAnsi="宋体" w:cs="楷体"/>
          <w:color w:val="000000"/>
          <w:highlight w:val="none"/>
        </w:rPr>
      </w:r>
      <w:r/>
    </w:p>
    <w:p>
      <w:pPr>
        <w:pStyle w:val="806"/>
        <w:ind w:firstLine="456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26"/>
        <w:jc w:val="center"/>
        <w:rPr>
          <w:rFonts w:ascii="宋体" w:hAnsi="宋体"/>
          <w:b/>
          <w:color w:val="000000"/>
          <w:sz w:val="32"/>
          <w:szCs w:val="32"/>
          <w:highlight w:val="none"/>
        </w:rPr>
      </w:pPr>
      <w:r>
        <w:rPr>
          <w:color w:val="000000"/>
          <w:sz w:val="22"/>
          <w:highlight w:val="none"/>
        </w:rPr>
        <w:br w:type="page" w:clear="all"/>
      </w:r>
      <w:r>
        <w:rPr>
          <w:rFonts w:ascii="宋体" w:hAnsi="宋体"/>
          <w:b/>
          <w:color w:val="000000"/>
          <w:sz w:val="32"/>
          <w:szCs w:val="32"/>
          <w:highlight w:val="none"/>
        </w:rPr>
        <w:t xml:space="preserve">2、</w:t>
      </w:r>
      <w:r>
        <w:rPr>
          <w:rFonts w:hint="eastAsia" w:ascii="宋体" w:hAnsi="宋体"/>
          <w:b/>
          <w:color w:val="000000"/>
          <w:sz w:val="32"/>
          <w:szCs w:val="32"/>
          <w:highlight w:val="none"/>
        </w:rPr>
        <w:t xml:space="preserve">相关业绩案例一览表</w:t>
      </w:r>
      <w:r>
        <w:rPr>
          <w:rFonts w:ascii="宋体" w:hAnsi="宋体"/>
          <w:b/>
          <w:color w:val="000000"/>
          <w:sz w:val="32"/>
          <w:szCs w:val="32"/>
          <w:highlight w:val="none"/>
        </w:rPr>
      </w:r>
      <w:r/>
    </w:p>
    <w:p>
      <w:pPr>
        <w:pStyle w:val="72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72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2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2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2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72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726"/>
        <w:spacing w:line="360" w:lineRule="auto"/>
        <w:rPr>
          <w:rFonts w:ascii="宋体" w:hAnsi="宋体" w:cs="宋体"/>
          <w:color w:val="000000"/>
          <w:sz w:val="24"/>
          <w:highlight w:val="none"/>
        </w:rPr>
      </w:pPr>
      <w:r>
        <w:rPr>
          <w:rFonts w:ascii="宋体" w:hAnsi="宋体" w:cs="宋体"/>
          <w:color w:val="000000"/>
          <w:sz w:val="24"/>
          <w:highlight w:val="none"/>
        </w:rPr>
      </w:r>
      <w:r/>
    </w:p>
    <w:p>
      <w:pPr>
        <w:pStyle w:val="726"/>
        <w:ind w:firstLine="516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806"/>
        <w:ind w:firstLine="5040"/>
        <w:rPr>
          <w:color w:val="000000"/>
          <w:highlight w:val="none"/>
          <w:lang w:bidi="ar"/>
        </w:rPr>
      </w:pPr>
      <w:r>
        <w:rPr>
          <w:rFonts w:ascii="黑体" w:eastAsia="黑体" w:cs="黑体"/>
          <w:bCs/>
          <w:color w:val="000000"/>
          <w:highlight w:val="none"/>
          <w:lang w:bidi="ar"/>
        </w:rPr>
        <w:t xml:space="preserve">日期：_____年______月______日</w:t>
      </w:r>
      <w:r>
        <w:rPr>
          <w:color w:val="000000"/>
          <w:highlight w:val="none"/>
          <w:lang w:bidi="ar"/>
        </w:rPr>
      </w:r>
      <w:r/>
    </w:p>
    <w:p>
      <w:pPr>
        <w:pStyle w:val="726"/>
        <w:keepLines/>
        <w:keepNext/>
        <w:spacing w:before="260" w:after="260" w:line="415" w:lineRule="auto"/>
        <w:rPr>
          <w:rFonts w:ascii="宋体" w:hAnsi="宋体"/>
          <w:b/>
          <w:color w:val="000000"/>
          <w:sz w:val="24"/>
          <w:highlight w:val="none"/>
        </w:rPr>
        <w:outlineLvl w:val="2"/>
      </w:pPr>
      <w:r>
        <w:rPr>
          <w:rFonts w:ascii="宋体" w:hAnsi="宋体"/>
          <w:b/>
          <w:color w:val="000000"/>
          <w:sz w:val="24"/>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3、关于招标文件的询问内容</w:t>
      </w:r>
      <w:r>
        <w:rPr>
          <w:b/>
          <w:color w:val="000000"/>
          <w:spacing w:val="20"/>
          <w:sz w:val="32"/>
          <w:szCs w:val="32"/>
          <w:highlight w:val="none"/>
        </w:rPr>
      </w:r>
      <w:r/>
    </w:p>
    <w:p>
      <w:pPr>
        <w:pStyle w:val="72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726"/>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726"/>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726"/>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726"/>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726"/>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726"/>
        <w:ind w:left="3360" w:firstLine="960"/>
        <w:jc w:val="left"/>
        <w:spacing w:line="360" w:lineRule="auto"/>
        <w:widowControl/>
        <w:rPr>
          <w:rFonts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ascii="宋体" w:hAnsi="宋体" w:cs="楷体"/>
          <w:color w:val="000000"/>
          <w:sz w:val="24"/>
          <w:highlight w:val="none"/>
        </w:rPr>
      </w:r>
      <w:r/>
    </w:p>
    <w:p>
      <w:pPr>
        <w:pStyle w:val="726"/>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726"/>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rPr>
          <w:rFonts w:hint="eastAsia"/>
          <w:color w:val="000000"/>
          <w:sz w:val="20"/>
          <w:szCs w:val="2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p>
      <w:pPr>
        <w:pStyle w:val="806"/>
        <w:rPr>
          <w:color w:val="000000"/>
          <w:highlight w:val="none"/>
        </w:rPr>
      </w:pPr>
      <w:r>
        <w:rPr>
          <w:color w:val="000000"/>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华文新魏">
    <w:panose1 w:val="02010800040101010101"/>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Symbol">
    <w:panose1 w:val="05050102010706020507"/>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51</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rPr>
        <w:rStyle w:val="799"/>
      </w:rPr>
      <w:framePr w:wrap="around" w:vAnchor="text" w:hAnchor="margin" w:xAlign="right" w:y="1"/>
    </w:pPr>
    <w:r>
      <w:rPr>
        <w:rStyle w:val="799"/>
      </w:rPr>
    </w:r>
    <w:r/>
  </w:p>
  <w:p>
    <w:pPr>
      <w:pStyle w:val="775"/>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rPr>
        <w:rStyle w:val="799"/>
      </w:rPr>
      <w:framePr w:wrap="around" w:vAnchor="text" w:hAnchor="margin" w:xAlign="right" w:y="1"/>
    </w:pPr>
    <w:r>
      <w:rPr>
        <w:rStyle w:val="799"/>
      </w:rPr>
      <w:fldChar w:fldCharType="begin"/>
    </w:r>
    <w:r>
      <w:rPr>
        <w:rStyle w:val="799"/>
      </w:rPr>
      <w:instrText xml:space="preserve">PAGE  </w:instrText>
    </w:r>
    <w:r>
      <w:rPr>
        <w:rStyle w:val="799"/>
      </w:rPr>
      <w:fldChar w:fldCharType="end"/>
    </w:r>
    <w:r>
      <w:rPr>
        <w:rStyle w:val="799"/>
      </w:rPr>
    </w:r>
    <w:r/>
  </w:p>
  <w:p>
    <w:pPr>
      <w:pStyle w:val="775"/>
      <w:ind w:right="360"/>
      <w:tabs>
        <w:tab w:val="center" w:pos="4153" w:leader="none"/>
        <w:tab w:val="right" w:pos="8306" w:leader="none"/>
      </w:tabs>
    </w:pPr>
    <w:r/>
    <w:r/>
  </w:p>
  <w:p>
    <w:pPr>
      <w:pStyle w:val="7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
  </w:p>
  <w:p>
    <w:pPr>
      <w:pStyle w:val="72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7"/>
      <w:isLgl w:val="false"/>
      <w:suff w:val="tab"/>
      <w:lvlText w:val="%1."/>
      <w:lvlJc w:val="left"/>
      <w:pPr>
        <w:pStyle w:val="726"/>
        <w:ind w:left="420" w:hanging="420"/>
      </w:pPr>
    </w:lvl>
    <w:lvl w:ilvl="1">
      <w:start w:val="1"/>
      <w:numFmt w:val="decimal"/>
      <w:isLgl w:val="false"/>
      <w:suff w:val="tab"/>
      <w:lvlText w:val="（%2）"/>
      <w:lvlJc w:val="left"/>
      <w:pPr>
        <w:pStyle w:val="726"/>
        <w:ind w:left="1140" w:hanging="720"/>
        <w:tabs>
          <w:tab w:val="num" w:pos="1140" w:leader="none"/>
        </w:tabs>
      </w:pPr>
      <w:rPr>
        <w:rFonts w:hint="eastAsia"/>
      </w:r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3">
    <w:multiLevelType w:val="hybridMultilevel"/>
    <w:lvl w:ilvl="0">
      <w:start w:val="1"/>
      <w:numFmt w:val="lowerLetter"/>
      <w:pStyle w:val="911"/>
      <w:isLgl w:val="false"/>
      <w:suff w:val="tab"/>
      <w:lvlText w:val="%1)"/>
      <w:lvlJc w:val="left"/>
      <w:pPr>
        <w:pStyle w:val="726"/>
        <w:ind w:left="902" w:hanging="420"/>
      </w:pPr>
      <w:rPr>
        <w:color w:val="000000"/>
      </w:rPr>
    </w:lvl>
    <w:lvl w:ilvl="1">
      <w:start w:val="1"/>
      <w:numFmt w:val="lowerLetter"/>
      <w:isLgl w:val="false"/>
      <w:suff w:val="tab"/>
      <w:lvlText w:val="%2)"/>
      <w:lvlJc w:val="left"/>
      <w:pPr>
        <w:pStyle w:val="726"/>
        <w:ind w:left="1322" w:hanging="420"/>
      </w:pPr>
    </w:lvl>
    <w:lvl w:ilvl="2">
      <w:start w:val="1"/>
      <w:numFmt w:val="lowerRoman"/>
      <w:isLgl w:val="false"/>
      <w:suff w:val="tab"/>
      <w:lvlText w:val="%3."/>
      <w:lvlJc w:val="right"/>
      <w:pPr>
        <w:pStyle w:val="726"/>
        <w:ind w:left="1742" w:hanging="420"/>
      </w:pPr>
    </w:lvl>
    <w:lvl w:ilvl="3">
      <w:start w:val="1"/>
      <w:numFmt w:val="decimal"/>
      <w:isLgl w:val="false"/>
      <w:suff w:val="tab"/>
      <w:lvlText w:val="%4."/>
      <w:lvlJc w:val="left"/>
      <w:pPr>
        <w:pStyle w:val="726"/>
        <w:ind w:left="2162" w:hanging="420"/>
      </w:pPr>
    </w:lvl>
    <w:lvl w:ilvl="4">
      <w:start w:val="1"/>
      <w:numFmt w:val="lowerLetter"/>
      <w:isLgl w:val="false"/>
      <w:suff w:val="tab"/>
      <w:lvlText w:val="%5)"/>
      <w:lvlJc w:val="left"/>
      <w:pPr>
        <w:pStyle w:val="726"/>
        <w:ind w:left="2582" w:hanging="420"/>
      </w:pPr>
    </w:lvl>
    <w:lvl w:ilvl="5">
      <w:start w:val="1"/>
      <w:numFmt w:val="lowerRoman"/>
      <w:isLgl w:val="false"/>
      <w:suff w:val="tab"/>
      <w:lvlText w:val="%6."/>
      <w:lvlJc w:val="right"/>
      <w:pPr>
        <w:pStyle w:val="726"/>
        <w:ind w:left="3002" w:hanging="420"/>
      </w:pPr>
    </w:lvl>
    <w:lvl w:ilvl="6">
      <w:start w:val="1"/>
      <w:numFmt w:val="decimal"/>
      <w:isLgl w:val="false"/>
      <w:suff w:val="tab"/>
      <w:lvlText w:val="%7."/>
      <w:lvlJc w:val="left"/>
      <w:pPr>
        <w:pStyle w:val="726"/>
        <w:ind w:left="3422" w:hanging="420"/>
      </w:pPr>
    </w:lvl>
    <w:lvl w:ilvl="7">
      <w:start w:val="1"/>
      <w:numFmt w:val="lowerLetter"/>
      <w:isLgl w:val="false"/>
      <w:suff w:val="tab"/>
      <w:lvlText w:val="%8)"/>
      <w:lvlJc w:val="left"/>
      <w:pPr>
        <w:pStyle w:val="726"/>
        <w:ind w:left="3842" w:hanging="420"/>
      </w:pPr>
    </w:lvl>
    <w:lvl w:ilvl="8">
      <w:start w:val="1"/>
      <w:numFmt w:val="lowerRoman"/>
      <w:isLgl w:val="false"/>
      <w:suff w:val="tab"/>
      <w:lvlText w:val="%9."/>
      <w:lvlJc w:val="right"/>
      <w:pPr>
        <w:pStyle w:val="726"/>
        <w:ind w:left="4262" w:hanging="420"/>
      </w:pPr>
    </w:lvl>
  </w:abstractNum>
  <w:abstractNum w:abstractNumId="4">
    <w:multiLevelType w:val="hybridMultilevel"/>
    <w:lvl w:ilvl="0">
      <w:start w:val="1"/>
      <w:numFmt w:val="decimal"/>
      <w:isLgl w:val="false"/>
      <w:suff w:val="tab"/>
      <w:lvlText w:val="%1."/>
      <w:lvlJc w:val="left"/>
      <w:pPr>
        <w:pStyle w:val="726"/>
        <w:ind w:left="1965" w:hanging="705"/>
        <w:tabs>
          <w:tab w:val="num" w:pos="1965" w:leader="none"/>
        </w:tabs>
      </w:pPr>
    </w:lvl>
    <w:lvl w:ilvl="1">
      <w:start w:val="1"/>
      <w:numFmt w:val="decimal"/>
      <w:isLgl w:val="false"/>
      <w:suff w:val="tab"/>
      <w:lvlText w:val="（%2）"/>
      <w:lvlJc w:val="left"/>
      <w:pPr>
        <w:pStyle w:val="726"/>
        <w:ind w:left="1140" w:hanging="720"/>
        <w:tabs>
          <w:tab w:val="num" w:pos="1140" w:leader="none"/>
        </w:tabs>
      </w:pPr>
    </w:lvl>
    <w:lvl w:ilvl="2">
      <w:start w:val="1"/>
      <w:numFmt w:val="lowerRoman"/>
      <w:isLgl w:val="false"/>
      <w:suff w:val="tab"/>
      <w:lvlText w:val="%3."/>
      <w:lvlJc w:val="right"/>
      <w:pPr>
        <w:pStyle w:val="726"/>
        <w:ind w:left="1260" w:hanging="420"/>
        <w:tabs>
          <w:tab w:val="num" w:pos="1260" w:leader="none"/>
        </w:tabs>
      </w:pPr>
    </w:lvl>
    <w:lvl w:ilvl="3">
      <w:start w:val="1"/>
      <w:numFmt w:val="decimal"/>
      <w:isLgl w:val="false"/>
      <w:suff w:val="tab"/>
      <w:lvlText w:val="%4."/>
      <w:lvlJc w:val="left"/>
      <w:pPr>
        <w:pStyle w:val="726"/>
        <w:ind w:left="1680" w:hanging="420"/>
        <w:tabs>
          <w:tab w:val="num" w:pos="1680" w:leader="none"/>
        </w:tabs>
      </w:pPr>
    </w:lvl>
    <w:lvl w:ilvl="4">
      <w:start w:val="1"/>
      <w:numFmt w:val="lowerLetter"/>
      <w:isLgl w:val="false"/>
      <w:suff w:val="tab"/>
      <w:lvlText w:val="%5)"/>
      <w:lvlJc w:val="left"/>
      <w:pPr>
        <w:pStyle w:val="726"/>
        <w:ind w:left="2100" w:hanging="420"/>
        <w:tabs>
          <w:tab w:val="num" w:pos="2100" w:leader="none"/>
        </w:tabs>
      </w:pPr>
    </w:lvl>
    <w:lvl w:ilvl="5">
      <w:start w:val="1"/>
      <w:numFmt w:val="lowerRoman"/>
      <w:isLgl w:val="false"/>
      <w:suff w:val="tab"/>
      <w:lvlText w:val="%6."/>
      <w:lvlJc w:val="right"/>
      <w:pPr>
        <w:pStyle w:val="726"/>
        <w:ind w:left="2520" w:hanging="420"/>
        <w:tabs>
          <w:tab w:val="num" w:pos="2520" w:leader="none"/>
        </w:tabs>
      </w:pPr>
    </w:lvl>
    <w:lvl w:ilvl="6">
      <w:start w:val="1"/>
      <w:numFmt w:val="decimal"/>
      <w:isLgl w:val="false"/>
      <w:suff w:val="tab"/>
      <w:lvlText w:val="%7."/>
      <w:lvlJc w:val="left"/>
      <w:pPr>
        <w:pStyle w:val="726"/>
        <w:ind w:left="2940" w:hanging="420"/>
        <w:tabs>
          <w:tab w:val="num" w:pos="2940" w:leader="none"/>
        </w:tabs>
      </w:pPr>
    </w:lvl>
    <w:lvl w:ilvl="7">
      <w:start w:val="1"/>
      <w:numFmt w:val="lowerLetter"/>
      <w:isLgl w:val="false"/>
      <w:suff w:val="tab"/>
      <w:lvlText w:val="%8)"/>
      <w:lvlJc w:val="left"/>
      <w:pPr>
        <w:pStyle w:val="726"/>
        <w:ind w:left="3360" w:hanging="420"/>
        <w:tabs>
          <w:tab w:val="num" w:pos="3360" w:leader="none"/>
        </w:tabs>
      </w:pPr>
    </w:lvl>
    <w:lvl w:ilvl="8">
      <w:start w:val="1"/>
      <w:numFmt w:val="lowerRoman"/>
      <w:isLgl w:val="false"/>
      <w:suff w:val="tab"/>
      <w:lvlText w:val="%9."/>
      <w:lvlJc w:val="right"/>
      <w:pPr>
        <w:pStyle w:val="726"/>
        <w:ind w:left="3780" w:hanging="420"/>
        <w:tabs>
          <w:tab w:val="num" w:pos="3780" w:leader="none"/>
        </w:tabs>
      </w:pPr>
    </w:lvl>
  </w:abstractNum>
  <w:abstractNum w:abstractNumId="5">
    <w:multiLevelType w:val="hybridMultilevel"/>
    <w:lvl w:ilvl="0">
      <w:start w:val="1"/>
      <w:numFmt w:val="decimal"/>
      <w:pStyle w:val="882"/>
      <w:isLgl w:val="false"/>
      <w:suff w:val="tab"/>
      <w:lvlText w:val="%1."/>
      <w:lvlJc w:val="left"/>
      <w:pPr>
        <w:pStyle w:val="72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31"/>
      <w:isLgl w:val="false"/>
      <w:suff w:val="nothing"/>
      <w:lvlText w:val="%1　"/>
      <w:lvlJc w:val="left"/>
      <w:pPr>
        <w:pStyle w:val="7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26"/>
        <w:ind w:left="-25" w:firstLine="0"/>
      </w:pPr>
      <w:rPr>
        <w:rFonts w:ascii="Times New Roman" w:hAnsi="Times New Roman" w:eastAsia="黑体"/>
        <w:b/>
        <w:i w:val="0"/>
        <w:sz w:val="28"/>
      </w:rPr>
    </w:lvl>
    <w:lvl w:ilvl="3">
      <w:start w:val="1"/>
      <w:numFmt w:val="decimal"/>
      <w:pStyle w:val="867"/>
      <w:isLgl w:val="false"/>
      <w:suff w:val="nothing"/>
      <w:lvlText w:val="%1.%2.%3.%4　"/>
      <w:lvlJc w:val="left"/>
      <w:pPr>
        <w:pStyle w:val="7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26"/>
        <w:ind w:left="-25" w:firstLine="0"/>
      </w:pPr>
      <w:rPr>
        <w:rFonts w:ascii="Times New Roman" w:hAnsi="Times New Roman" w:eastAsia="宋体"/>
        <w:b/>
        <w:i w:val="0"/>
        <w:sz w:val="28"/>
      </w:rPr>
    </w:lvl>
    <w:lvl w:ilvl="6">
      <w:start w:val="1"/>
      <w:numFmt w:val="lowerLetter"/>
      <w:pStyle w:val="888"/>
      <w:isLgl w:val="false"/>
      <w:suff w:val="tab"/>
      <w:lvlText w:val="%7) "/>
      <w:lvlJc w:val="left"/>
      <w:pPr>
        <w:pStyle w:val="726"/>
        <w:ind w:left="-125" w:firstLine="400"/>
        <w:tabs>
          <w:tab w:val="num" w:pos="635" w:leader="none"/>
        </w:tabs>
      </w:pPr>
      <w:rPr>
        <w:rFonts w:ascii="Times New Roman" w:hAnsi="Times New Roman" w:eastAsia="宋体"/>
        <w:b/>
        <w:i w:val="0"/>
        <w:color w:val="000000"/>
        <w:sz w:val="28"/>
        <w:u w:val="none"/>
      </w:rPr>
    </w:lvl>
    <w:lvl w:ilvl="7">
      <w:start w:val="1"/>
      <w:numFmt w:val="decimal"/>
      <w:pStyle w:val="851"/>
      <w:isLgl w:val="false"/>
      <w:suff w:val="tab"/>
      <w:lvlText w:val="%8) "/>
      <w:lvlJc w:val="left"/>
      <w:pPr>
        <w:pStyle w:val="7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2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26"/>
        <w:ind w:left="768" w:hanging="360"/>
        <w:tabs>
          <w:tab w:val="num" w:pos="768" w:leader="none"/>
        </w:tabs>
      </w:pPr>
      <w:rPr>
        <w:rFonts w:hint="eastAsia"/>
      </w:rPr>
    </w:lvl>
    <w:lvl w:ilvl="1">
      <w:start w:val="1"/>
      <w:numFmt w:val="decimal"/>
      <w:pStyle w:val="869"/>
      <w:isLgl w:val="false"/>
      <w:suff w:val="tab"/>
      <w:lvlText w:val="%2、"/>
      <w:lvlJc w:val="left"/>
      <w:pPr>
        <w:pStyle w:val="726"/>
        <w:ind w:left="1188" w:hanging="360"/>
        <w:tabs>
          <w:tab w:val="num" w:pos="1188" w:leader="none"/>
        </w:tabs>
      </w:pPr>
      <w:rPr>
        <w:rFonts w:hint="eastAsia"/>
      </w:rPr>
    </w:lvl>
    <w:lvl w:ilvl="2">
      <w:start w:val="1"/>
      <w:numFmt w:val="decimal"/>
      <w:isLgl w:val="false"/>
      <w:suff w:val="tab"/>
      <w:lvlText w:val="（%3）"/>
      <w:lvlJc w:val="left"/>
      <w:pPr>
        <w:pStyle w:val="726"/>
        <w:ind w:left="1968" w:hanging="720"/>
        <w:tabs>
          <w:tab w:val="num" w:pos="1968" w:leader="none"/>
        </w:tabs>
      </w:pPr>
      <w:rPr>
        <w:rFonts w:hint="eastAsia"/>
        <w:u w:val="none"/>
      </w:rPr>
    </w:lvl>
    <w:lvl w:ilvl="3">
      <w:start w:val="1"/>
      <w:numFmt w:val="decimal"/>
      <w:isLgl w:val="false"/>
      <w:suff w:val="tab"/>
      <w:lvlText w:val="%4."/>
      <w:lvlJc w:val="left"/>
      <w:pPr>
        <w:pStyle w:val="726"/>
        <w:ind w:left="2088" w:hanging="420"/>
        <w:tabs>
          <w:tab w:val="num" w:pos="2088" w:leader="none"/>
        </w:tabs>
      </w:pPr>
    </w:lvl>
    <w:lvl w:ilvl="4">
      <w:start w:val="1"/>
      <w:numFmt w:val="lowerLetter"/>
      <w:isLgl w:val="false"/>
      <w:suff w:val="tab"/>
      <w:lvlText w:val="%5)"/>
      <w:lvlJc w:val="left"/>
      <w:pPr>
        <w:pStyle w:val="726"/>
        <w:ind w:left="2508" w:hanging="420"/>
        <w:tabs>
          <w:tab w:val="num" w:pos="2508" w:leader="none"/>
        </w:tabs>
      </w:pPr>
    </w:lvl>
    <w:lvl w:ilvl="5">
      <w:start w:val="1"/>
      <w:numFmt w:val="lowerRoman"/>
      <w:isLgl w:val="false"/>
      <w:suff w:val="tab"/>
      <w:lvlText w:val="%6."/>
      <w:lvlJc w:val="right"/>
      <w:pPr>
        <w:pStyle w:val="726"/>
        <w:ind w:left="2928" w:hanging="420"/>
        <w:tabs>
          <w:tab w:val="num" w:pos="2928" w:leader="none"/>
        </w:tabs>
      </w:pPr>
    </w:lvl>
    <w:lvl w:ilvl="6">
      <w:start w:val="1"/>
      <w:numFmt w:val="decimal"/>
      <w:isLgl w:val="false"/>
      <w:suff w:val="tab"/>
      <w:lvlText w:val="%7."/>
      <w:lvlJc w:val="left"/>
      <w:pPr>
        <w:pStyle w:val="726"/>
        <w:ind w:left="3348" w:hanging="420"/>
        <w:tabs>
          <w:tab w:val="num" w:pos="3348" w:leader="none"/>
        </w:tabs>
      </w:pPr>
    </w:lvl>
    <w:lvl w:ilvl="7">
      <w:start w:val="1"/>
      <w:numFmt w:val="lowerLetter"/>
      <w:isLgl w:val="false"/>
      <w:suff w:val="tab"/>
      <w:lvlText w:val="%8)"/>
      <w:lvlJc w:val="left"/>
      <w:pPr>
        <w:pStyle w:val="726"/>
        <w:ind w:left="3768" w:hanging="420"/>
        <w:tabs>
          <w:tab w:val="num" w:pos="3768" w:leader="none"/>
        </w:tabs>
      </w:pPr>
    </w:lvl>
    <w:lvl w:ilvl="8">
      <w:start w:val="1"/>
      <w:numFmt w:val="lowerRoman"/>
      <w:isLgl w:val="false"/>
      <w:suff w:val="tab"/>
      <w:lvlText w:val="%9."/>
      <w:lvlJc w:val="right"/>
      <w:pPr>
        <w:pStyle w:val="726"/>
        <w:ind w:left="4188" w:hanging="420"/>
        <w:tabs>
          <w:tab w:val="num" w:pos="4188" w:leader="none"/>
        </w:tabs>
      </w:pPr>
    </w:lvl>
  </w:abstractNum>
  <w:abstractNum w:abstractNumId="8">
    <w:multiLevelType w:val="hybridMultilevel"/>
    <w:lvl w:ilvl="0">
      <w:start w:val="1"/>
      <w:numFmt w:val="decimal"/>
      <w:pStyle w:val="836"/>
      <w:isLgl w:val="false"/>
      <w:suff w:val="tab"/>
      <w:lvlText w:val="%1)"/>
      <w:lvlJc w:val="left"/>
      <w:pPr>
        <w:pStyle w:val="726"/>
        <w:ind w:left="420" w:hanging="420"/>
      </w:pPr>
    </w:lvl>
    <w:lvl w:ilvl="1">
      <w:start w:val="1"/>
      <w:numFmt w:val="lowerLetter"/>
      <w:isLgl w:val="false"/>
      <w:suff w:val="tab"/>
      <w:lvlText w:val="%2)"/>
      <w:lvlJc w:val="left"/>
      <w:pPr>
        <w:pStyle w:val="726"/>
        <w:ind w:left="840" w:hanging="420"/>
      </w:pPr>
    </w:lvl>
    <w:lvl w:ilvl="2">
      <w:start w:val="1"/>
      <w:numFmt w:val="lowerRoman"/>
      <w:isLgl w:val="false"/>
      <w:suff w:val="tab"/>
      <w:lvlText w:val="%3."/>
      <w:lvlJc w:val="right"/>
      <w:pPr>
        <w:pStyle w:val="726"/>
        <w:ind w:left="1260" w:hanging="420"/>
      </w:pPr>
    </w:lvl>
    <w:lvl w:ilvl="3">
      <w:start w:val="1"/>
      <w:numFmt w:val="decimal"/>
      <w:isLgl w:val="false"/>
      <w:suff w:val="tab"/>
      <w:lvlText w:val="%4."/>
      <w:lvlJc w:val="left"/>
      <w:pPr>
        <w:pStyle w:val="726"/>
        <w:ind w:left="1680" w:hanging="420"/>
      </w:pPr>
    </w:lvl>
    <w:lvl w:ilvl="4">
      <w:start w:val="1"/>
      <w:numFmt w:val="lowerLetter"/>
      <w:isLgl w:val="false"/>
      <w:suff w:val="tab"/>
      <w:lvlText w:val="%5)"/>
      <w:lvlJc w:val="left"/>
      <w:pPr>
        <w:pStyle w:val="726"/>
        <w:ind w:left="2100" w:hanging="420"/>
      </w:pPr>
    </w:lvl>
    <w:lvl w:ilvl="5">
      <w:start w:val="1"/>
      <w:numFmt w:val="lowerRoman"/>
      <w:isLgl w:val="false"/>
      <w:suff w:val="tab"/>
      <w:lvlText w:val="%6."/>
      <w:lvlJc w:val="right"/>
      <w:pPr>
        <w:pStyle w:val="726"/>
        <w:ind w:left="2520" w:hanging="420"/>
      </w:pPr>
    </w:lvl>
    <w:lvl w:ilvl="6">
      <w:start w:val="1"/>
      <w:numFmt w:val="decimal"/>
      <w:isLgl w:val="false"/>
      <w:suff w:val="tab"/>
      <w:lvlText w:val="%7."/>
      <w:lvlJc w:val="left"/>
      <w:pPr>
        <w:pStyle w:val="726"/>
        <w:ind w:left="2940" w:hanging="420"/>
      </w:pPr>
    </w:lvl>
    <w:lvl w:ilvl="7">
      <w:start w:val="1"/>
      <w:numFmt w:val="lowerLetter"/>
      <w:isLgl w:val="false"/>
      <w:suff w:val="tab"/>
      <w:lvlText w:val="%8)"/>
      <w:lvlJc w:val="left"/>
      <w:pPr>
        <w:pStyle w:val="726"/>
        <w:ind w:left="3360" w:hanging="420"/>
      </w:pPr>
    </w:lvl>
    <w:lvl w:ilvl="8">
      <w:start w:val="1"/>
      <w:numFmt w:val="lowerRoman"/>
      <w:isLgl w:val="false"/>
      <w:suff w:val="tab"/>
      <w:lvlText w:val="%9."/>
      <w:lvlJc w:val="right"/>
      <w:pPr>
        <w:pStyle w:val="726"/>
        <w:ind w:left="3780" w:hanging="420"/>
      </w:pPr>
    </w:lvl>
  </w:abstractNum>
  <w:abstractNum w:abstractNumId="9">
    <w:multiLevelType w:val="hybridMultilevel"/>
    <w:lvl w:ilvl="0">
      <w:start w:val="1"/>
      <w:numFmt w:val="decimal"/>
      <w:pStyle w:val="936"/>
      <w:isLgl w:val="false"/>
      <w:suff w:val="tab"/>
      <w:lvlText w:val="%1"/>
      <w:lvlJc w:val="left"/>
      <w:pPr>
        <w:pStyle w:val="726"/>
        <w:ind w:left="680" w:hanging="680"/>
      </w:pPr>
      <w:rPr>
        <w:rFonts w:hint="eastAsia" w:ascii="宋体" w:hAnsi="宋体" w:eastAsia="宋体"/>
      </w:rPr>
    </w:lvl>
    <w:lvl w:ilvl="1">
      <w:start w:val="1"/>
      <w:numFmt w:val="decimal"/>
      <w:pStyle w:val="937"/>
      <w:isLgl w:val="false"/>
      <w:suff w:val="tab"/>
      <w:lvlText w:val="%1.%2"/>
      <w:lvlJc w:val="left"/>
      <w:pPr>
        <w:pStyle w:val="726"/>
        <w:ind w:left="851" w:hanging="851"/>
      </w:pPr>
      <w:rPr>
        <w:rFonts w:hint="eastAsia" w:ascii="宋体" w:hAnsi="宋体" w:eastAsia="宋体"/>
        <w:color w:val="000000"/>
      </w:rPr>
    </w:lvl>
    <w:lvl w:ilvl="2">
      <w:start w:val="1"/>
      <w:numFmt w:val="decimal"/>
      <w:pStyle w:val="938"/>
      <w:isLgl w:val="false"/>
      <w:suff w:val="tab"/>
      <w:lvlText w:val="%1.%2.%3"/>
      <w:lvlJc w:val="left"/>
      <w:pPr>
        <w:pStyle w:val="726"/>
        <w:ind w:left="851" w:hanging="851"/>
      </w:pPr>
      <w:rPr>
        <w:rFonts w:hint="eastAsia"/>
      </w:rPr>
    </w:lvl>
    <w:lvl w:ilvl="3">
      <w:start w:val="1"/>
      <w:numFmt w:val="decimal"/>
      <w:isLgl w:val="false"/>
      <w:suff w:val="tab"/>
      <w:lvlText w:val="%1.%2.%3.%4"/>
      <w:lvlJc w:val="left"/>
      <w:pPr>
        <w:pStyle w:val="726"/>
        <w:ind w:left="680" w:hanging="680"/>
      </w:pPr>
      <w:rPr>
        <w:rFonts w:hint="eastAsia"/>
      </w:rPr>
    </w:lvl>
    <w:lvl w:ilvl="4">
      <w:start w:val="1"/>
      <w:numFmt w:val="decimal"/>
      <w:isLgl w:val="false"/>
      <w:suff w:val="tab"/>
      <w:lvlText w:val="%1.%2.%3.%4.%5"/>
      <w:lvlJc w:val="left"/>
      <w:pPr>
        <w:pStyle w:val="726"/>
        <w:ind w:left="680" w:hanging="680"/>
      </w:pPr>
      <w:rPr>
        <w:rFonts w:hint="eastAsia"/>
      </w:rPr>
    </w:lvl>
    <w:lvl w:ilvl="5">
      <w:start w:val="1"/>
      <w:numFmt w:val="decimal"/>
      <w:isLgl w:val="false"/>
      <w:suff w:val="tab"/>
      <w:lvlText w:val="%1.%2.%3.%4.%5.%6"/>
      <w:lvlJc w:val="left"/>
      <w:pPr>
        <w:pStyle w:val="726"/>
        <w:ind w:left="680" w:hanging="680"/>
      </w:pPr>
      <w:rPr>
        <w:rFonts w:hint="eastAsia"/>
      </w:rPr>
    </w:lvl>
    <w:lvl w:ilvl="6">
      <w:start w:val="1"/>
      <w:numFmt w:val="decimal"/>
      <w:isLgl w:val="false"/>
      <w:suff w:val="tab"/>
      <w:lvlText w:val="%1.%2.%3.%4.%5.%6.%7"/>
      <w:lvlJc w:val="left"/>
      <w:pPr>
        <w:pStyle w:val="726"/>
        <w:ind w:left="680" w:hanging="680"/>
      </w:pPr>
      <w:rPr>
        <w:rFonts w:hint="eastAsia"/>
      </w:rPr>
    </w:lvl>
    <w:lvl w:ilvl="7">
      <w:start w:val="1"/>
      <w:numFmt w:val="decimal"/>
      <w:isLgl w:val="false"/>
      <w:suff w:val="tab"/>
      <w:lvlText w:val="%1.%2.%3.%4.%5.%6.%7.%8"/>
      <w:lvlJc w:val="left"/>
      <w:pPr>
        <w:pStyle w:val="726"/>
        <w:ind w:left="680" w:hanging="680"/>
      </w:pPr>
      <w:rPr>
        <w:rFonts w:hint="eastAsia"/>
      </w:rPr>
    </w:lvl>
    <w:lvl w:ilvl="8">
      <w:start w:val="1"/>
      <w:numFmt w:val="decimal"/>
      <w:isLgl w:val="false"/>
      <w:suff w:val="tab"/>
      <w:lvlText w:val="%1.%2.%3.%4.%5.%6.%7.%8.%9"/>
      <w:lvlJc w:val="left"/>
      <w:pPr>
        <w:pStyle w:val="726"/>
        <w:ind w:left="680" w:hanging="680"/>
      </w:pPr>
      <w:rPr>
        <w:rFonts w:hint="eastAsia"/>
      </w:rPr>
    </w:lvl>
  </w:abstractNum>
  <w:abstractNum w:abstractNumId="10">
    <w:multiLevelType w:val="hybridMultilevel"/>
    <w:lvl w:ilvl="0">
      <w:start w:val="1"/>
      <w:numFmt w:val="decimal"/>
      <w:isLgl w:val="false"/>
      <w:suff w:val="nothing"/>
      <w:lvlText w:val="%1、"/>
      <w:lvlJc w:val="left"/>
      <w:pPr>
        <w:pStyle w:val="72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1"/>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6"/>
    <w:next w:val="72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6"/>
    <w:next w:val="7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6"/>
    <w:next w:val="72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6"/>
    <w:next w:val="72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6"/>
    <w:next w:val="72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6"/>
    <w:next w:val="7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6"/>
    <w:next w:val="7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6"/>
    <w:next w:val="7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6"/>
    <w:next w:val="7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6"/>
    <w:next w:val="72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6"/>
    <w:next w:val="72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6"/>
    <w:next w:val="726"/>
    <w:link w:val="38"/>
    <w:uiPriority w:val="29"/>
    <w:qFormat/>
    <w:pPr>
      <w:ind w:left="720" w:right="720"/>
    </w:pPr>
    <w:rPr>
      <w:i/>
    </w:rPr>
  </w:style>
  <w:style w:type="character" w:styleId="38">
    <w:name w:val="Quote Char"/>
    <w:link w:val="37"/>
    <w:uiPriority w:val="29"/>
    <w:rPr>
      <w:i/>
    </w:rPr>
  </w:style>
  <w:style w:type="paragraph" w:styleId="39">
    <w:name w:val="Intense Quote"/>
    <w:basedOn w:val="726"/>
    <w:next w:val="7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6"/>
    <w:next w:val="72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6"/>
    <w:next w:val="726"/>
    <w:uiPriority w:val="39"/>
    <w:unhideWhenUsed/>
    <w:pPr>
      <w:ind w:left="0" w:right="0" w:firstLine="0"/>
      <w:spacing w:after="57"/>
    </w:pPr>
  </w:style>
  <w:style w:type="paragraph" w:styleId="181">
    <w:name w:val="toc 2"/>
    <w:basedOn w:val="726"/>
    <w:next w:val="726"/>
    <w:uiPriority w:val="39"/>
    <w:unhideWhenUsed/>
    <w:pPr>
      <w:ind w:left="283" w:right="0" w:firstLine="0"/>
      <w:spacing w:after="57"/>
    </w:pPr>
  </w:style>
  <w:style w:type="paragraph" w:styleId="182">
    <w:name w:val="toc 3"/>
    <w:basedOn w:val="726"/>
    <w:next w:val="726"/>
    <w:uiPriority w:val="39"/>
    <w:unhideWhenUsed/>
    <w:pPr>
      <w:ind w:left="567" w:right="0" w:firstLine="0"/>
      <w:spacing w:after="57"/>
    </w:pPr>
  </w:style>
  <w:style w:type="paragraph" w:styleId="183">
    <w:name w:val="toc 4"/>
    <w:basedOn w:val="726"/>
    <w:next w:val="726"/>
    <w:uiPriority w:val="39"/>
    <w:unhideWhenUsed/>
    <w:pPr>
      <w:ind w:left="850" w:right="0" w:firstLine="0"/>
      <w:spacing w:after="57"/>
    </w:pPr>
  </w:style>
  <w:style w:type="paragraph" w:styleId="184">
    <w:name w:val="toc 5"/>
    <w:basedOn w:val="726"/>
    <w:next w:val="726"/>
    <w:uiPriority w:val="39"/>
    <w:unhideWhenUsed/>
    <w:pPr>
      <w:ind w:left="1134" w:right="0" w:firstLine="0"/>
      <w:spacing w:after="57"/>
    </w:pPr>
  </w:style>
  <w:style w:type="paragraph" w:styleId="185">
    <w:name w:val="toc 6"/>
    <w:basedOn w:val="726"/>
    <w:next w:val="726"/>
    <w:uiPriority w:val="39"/>
    <w:unhideWhenUsed/>
    <w:pPr>
      <w:ind w:left="1417" w:right="0" w:firstLine="0"/>
      <w:spacing w:after="57"/>
    </w:pPr>
  </w:style>
  <w:style w:type="paragraph" w:styleId="186">
    <w:name w:val="toc 7"/>
    <w:basedOn w:val="726"/>
    <w:next w:val="726"/>
    <w:uiPriority w:val="39"/>
    <w:unhideWhenUsed/>
    <w:pPr>
      <w:ind w:left="1701" w:right="0" w:firstLine="0"/>
      <w:spacing w:after="57"/>
    </w:pPr>
  </w:style>
  <w:style w:type="paragraph" w:styleId="187">
    <w:name w:val="toc 8"/>
    <w:basedOn w:val="726"/>
    <w:next w:val="726"/>
    <w:uiPriority w:val="39"/>
    <w:unhideWhenUsed/>
    <w:pPr>
      <w:ind w:left="1984" w:right="0" w:firstLine="0"/>
      <w:spacing w:after="57"/>
    </w:pPr>
  </w:style>
  <w:style w:type="paragraph" w:styleId="188">
    <w:name w:val="toc 9"/>
    <w:basedOn w:val="726"/>
    <w:next w:val="7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6"/>
    <w:next w:val="726"/>
    <w:uiPriority w:val="99"/>
    <w:unhideWhenUsed/>
    <w:pPr>
      <w:spacing w:after="0" w:afterAutospacing="0"/>
    </w:pPr>
  </w:style>
  <w:style w:type="paragraph" w:styleId="726" w:default="1">
    <w:name w:val="Normal"/>
    <w:next w:val="738"/>
    <w:link w:val="726"/>
    <w:qFormat/>
    <w:pPr>
      <w:jc w:val="both"/>
      <w:widowControl w:val="off"/>
    </w:pPr>
    <w:rPr>
      <w:sz w:val="21"/>
      <w:szCs w:val="24"/>
      <w:lang w:val="en-US" w:eastAsia="zh-CN" w:bidi="ar-SA"/>
    </w:rPr>
  </w:style>
  <w:style w:type="paragraph" w:styleId="727">
    <w:name w:val="标题 1"/>
    <w:basedOn w:val="726"/>
    <w:next w:val="726"/>
    <w:link w:val="741"/>
    <w:qFormat/>
    <w:pPr>
      <w:jc w:val="center"/>
      <w:keepLines/>
      <w:keepNext/>
      <w:spacing w:before="240" w:after="120" w:line="300" w:lineRule="auto"/>
      <w:outlineLvl w:val="0"/>
    </w:pPr>
    <w:rPr>
      <w:rFonts w:ascii="宋体"/>
      <w:b/>
      <w:sz w:val="32"/>
      <w:szCs w:val="20"/>
    </w:rPr>
  </w:style>
  <w:style w:type="paragraph" w:styleId="728">
    <w:name w:val="标题 2"/>
    <w:basedOn w:val="726"/>
    <w:next w:val="726"/>
    <w:link w:val="742"/>
    <w:qFormat/>
    <w:pPr>
      <w:jc w:val="center"/>
      <w:keepLines/>
      <w:keepNext/>
      <w:spacing w:before="120" w:line="300" w:lineRule="auto"/>
      <w:outlineLvl w:val="1"/>
    </w:pPr>
    <w:rPr>
      <w:rFonts w:ascii="Arial" w:hAnsi="Arial" w:eastAsia="黑体"/>
      <w:b/>
      <w:sz w:val="30"/>
      <w:szCs w:val="20"/>
    </w:rPr>
  </w:style>
  <w:style w:type="paragraph" w:styleId="729">
    <w:name w:val="标题 3"/>
    <w:basedOn w:val="726"/>
    <w:next w:val="726"/>
    <w:link w:val="743"/>
    <w:qFormat/>
    <w:pPr>
      <w:jc w:val="left"/>
      <w:keepLines/>
      <w:keepNext/>
      <w:spacing w:before="360" w:after="120"/>
      <w:outlineLvl w:val="2"/>
    </w:pPr>
    <w:rPr>
      <w:rFonts w:ascii="宋体"/>
      <w:b/>
      <w:sz w:val="24"/>
      <w:szCs w:val="20"/>
      <w:u w:val="single"/>
    </w:rPr>
  </w:style>
  <w:style w:type="paragraph" w:styleId="730">
    <w:name w:val="标题 4"/>
    <w:basedOn w:val="726"/>
    <w:next w:val="726"/>
    <w:link w:val="744"/>
    <w:qFormat/>
    <w:pPr>
      <w:keepLines/>
      <w:keepNext/>
      <w:spacing w:before="280" w:after="290" w:line="376" w:lineRule="atLeast"/>
      <w:outlineLvl w:val="3"/>
    </w:pPr>
    <w:rPr>
      <w:rFonts w:ascii="Arial" w:hAnsi="Arial" w:eastAsia="黑体"/>
      <w:b/>
      <w:sz w:val="28"/>
      <w:szCs w:val="20"/>
    </w:rPr>
  </w:style>
  <w:style w:type="paragraph" w:styleId="731">
    <w:name w:val="标题 5"/>
    <w:basedOn w:val="726"/>
    <w:next w:val="726"/>
    <w:link w:val="745"/>
    <w:qFormat/>
    <w:pPr>
      <w:keepLines/>
      <w:keepNext/>
      <w:spacing w:before="280" w:after="290" w:line="376" w:lineRule="atLeast"/>
      <w:outlineLvl w:val="4"/>
    </w:pPr>
    <w:rPr>
      <w:b/>
      <w:sz w:val="28"/>
      <w:szCs w:val="20"/>
    </w:rPr>
  </w:style>
  <w:style w:type="paragraph" w:styleId="732">
    <w:name w:val="标题 6"/>
    <w:basedOn w:val="726"/>
    <w:next w:val="726"/>
    <w:link w:val="746"/>
    <w:qFormat/>
    <w:pPr>
      <w:keepLines/>
      <w:keepNext/>
      <w:spacing w:before="240" w:after="64" w:line="320" w:lineRule="atLeast"/>
      <w:outlineLvl w:val="5"/>
    </w:pPr>
    <w:rPr>
      <w:rFonts w:ascii="Arial" w:hAnsi="Arial" w:eastAsia="黑体"/>
      <w:b/>
      <w:sz w:val="24"/>
      <w:szCs w:val="20"/>
    </w:rPr>
  </w:style>
  <w:style w:type="paragraph" w:styleId="733">
    <w:name w:val="标题 7"/>
    <w:basedOn w:val="726"/>
    <w:next w:val="726"/>
    <w:link w:val="747"/>
    <w:qFormat/>
    <w:pPr>
      <w:keepLines/>
      <w:keepNext/>
      <w:spacing w:before="240" w:after="64" w:line="320" w:lineRule="atLeast"/>
      <w:outlineLvl w:val="6"/>
    </w:pPr>
    <w:rPr>
      <w:b/>
      <w:sz w:val="24"/>
      <w:szCs w:val="20"/>
    </w:rPr>
  </w:style>
  <w:style w:type="paragraph" w:styleId="734">
    <w:name w:val="标题 8"/>
    <w:basedOn w:val="726"/>
    <w:next w:val="726"/>
    <w:link w:val="748"/>
    <w:qFormat/>
    <w:pPr>
      <w:keepLines/>
      <w:keepNext/>
      <w:spacing w:before="240" w:after="64" w:line="320" w:lineRule="atLeast"/>
      <w:outlineLvl w:val="7"/>
    </w:pPr>
    <w:rPr>
      <w:rFonts w:ascii="Arial" w:hAnsi="Arial" w:eastAsia="黑体"/>
      <w:sz w:val="24"/>
      <w:szCs w:val="20"/>
    </w:rPr>
  </w:style>
  <w:style w:type="paragraph" w:styleId="735">
    <w:name w:val="标题 9"/>
    <w:basedOn w:val="726"/>
    <w:next w:val="726"/>
    <w:link w:val="749"/>
    <w:qFormat/>
    <w:pPr>
      <w:keepLines/>
      <w:keepNext/>
      <w:spacing w:before="240" w:after="64" w:line="320" w:lineRule="atLeast"/>
      <w:outlineLvl w:val="8"/>
    </w:pPr>
    <w:rPr>
      <w:rFonts w:ascii="Arial" w:hAnsi="Arial" w:eastAsia="黑体"/>
      <w:szCs w:val="20"/>
    </w:rPr>
  </w:style>
  <w:style w:type="character" w:styleId="736">
    <w:name w:val="默认段落字体"/>
    <w:next w:val="736"/>
    <w:link w:val="726"/>
    <w:uiPriority w:val="1"/>
    <w:unhideWhenUsed/>
    <w:qFormat/>
  </w:style>
  <w:style w:type="table" w:styleId="737">
    <w:name w:val="普通表格"/>
    <w:next w:val="737"/>
    <w:link w:val="726"/>
    <w:uiPriority w:val="99"/>
    <w:unhideWhenUsed/>
    <w:qFormat/>
    <w:tblPr/>
  </w:style>
  <w:style w:type="paragraph" w:styleId="738">
    <w:name w:val="正文首行缩进"/>
    <w:basedOn w:val="739"/>
    <w:next w:val="738"/>
    <w:link w:val="726"/>
    <w:uiPriority w:val="99"/>
    <w:qFormat/>
    <w:pPr>
      <w:ind w:firstLine="420"/>
      <w:tabs>
        <w:tab w:val="left" w:pos="567" w:leader="none"/>
      </w:tabs>
    </w:pPr>
  </w:style>
  <w:style w:type="paragraph" w:styleId="739">
    <w:name w:val="正文文本"/>
    <w:basedOn w:val="726"/>
    <w:next w:val="739"/>
    <w:link w:val="740"/>
    <w:qFormat/>
    <w:pPr>
      <w:spacing w:before="120" w:line="22" w:lineRule="atLeast"/>
      <w:tabs>
        <w:tab w:val="left" w:pos="567" w:leader="none"/>
      </w:tabs>
    </w:pPr>
    <w:rPr>
      <w:rFonts w:ascii="宋体" w:hAnsi="宋体"/>
      <w:sz w:val="24"/>
    </w:rPr>
  </w:style>
  <w:style w:type="character" w:styleId="740">
    <w:name w:val="正文文本 Char"/>
    <w:next w:val="740"/>
    <w:link w:val="739"/>
    <w:qFormat/>
    <w:rPr>
      <w:rFonts w:ascii="宋体" w:hAnsi="宋体"/>
      <w:sz w:val="24"/>
      <w:szCs w:val="24"/>
    </w:rPr>
  </w:style>
  <w:style w:type="character" w:styleId="741">
    <w:name w:val="标题 1 Char"/>
    <w:next w:val="741"/>
    <w:link w:val="727"/>
    <w:qFormat/>
    <w:rPr>
      <w:rFonts w:ascii="宋体"/>
      <w:b/>
      <w:sz w:val="32"/>
    </w:rPr>
  </w:style>
  <w:style w:type="character" w:styleId="742">
    <w:name w:val="标题 2 Char1"/>
    <w:next w:val="742"/>
    <w:link w:val="728"/>
    <w:qFormat/>
    <w:rPr>
      <w:rFonts w:ascii="Arial" w:hAnsi="Arial" w:eastAsia="黑体"/>
      <w:b/>
      <w:sz w:val="30"/>
      <w:lang w:val="en-US" w:eastAsia="zh-CN" w:bidi="ar-SA"/>
    </w:rPr>
  </w:style>
  <w:style w:type="character" w:styleId="743">
    <w:name w:val="标题 3 Char1"/>
    <w:next w:val="743"/>
    <w:link w:val="729"/>
    <w:qFormat/>
    <w:rPr>
      <w:rFonts w:ascii="宋体" w:eastAsia="宋体"/>
      <w:b/>
      <w:sz w:val="24"/>
      <w:u w:val="single"/>
      <w:lang w:val="en-US" w:eastAsia="zh-CN" w:bidi="ar-SA"/>
    </w:rPr>
  </w:style>
  <w:style w:type="character" w:styleId="744">
    <w:name w:val="标题 4 Char"/>
    <w:next w:val="744"/>
    <w:link w:val="730"/>
    <w:qFormat/>
    <w:rPr>
      <w:rFonts w:ascii="Arial" w:hAnsi="Arial" w:eastAsia="黑体"/>
      <w:b/>
      <w:sz w:val="28"/>
    </w:rPr>
  </w:style>
  <w:style w:type="character" w:styleId="745">
    <w:name w:val="标题 5 Char"/>
    <w:next w:val="745"/>
    <w:link w:val="731"/>
    <w:qFormat/>
    <w:rPr>
      <w:b/>
      <w:sz w:val="28"/>
    </w:rPr>
  </w:style>
  <w:style w:type="character" w:styleId="746">
    <w:name w:val="标题 6 Char"/>
    <w:next w:val="746"/>
    <w:link w:val="732"/>
    <w:qFormat/>
    <w:rPr>
      <w:rFonts w:ascii="Arial" w:hAnsi="Arial" w:eastAsia="黑体"/>
      <w:b/>
      <w:sz w:val="24"/>
    </w:rPr>
  </w:style>
  <w:style w:type="character" w:styleId="747">
    <w:name w:val="标题 7 Char"/>
    <w:next w:val="747"/>
    <w:link w:val="733"/>
    <w:qFormat/>
    <w:rPr>
      <w:b/>
      <w:sz w:val="24"/>
    </w:rPr>
  </w:style>
  <w:style w:type="character" w:styleId="748">
    <w:name w:val="标题 8 Char"/>
    <w:next w:val="748"/>
    <w:link w:val="734"/>
    <w:qFormat/>
    <w:rPr>
      <w:rFonts w:ascii="Arial" w:hAnsi="Arial" w:eastAsia="黑体"/>
      <w:sz w:val="24"/>
    </w:rPr>
  </w:style>
  <w:style w:type="character" w:styleId="749">
    <w:name w:val="标题 9 Char"/>
    <w:next w:val="749"/>
    <w:link w:val="735"/>
    <w:qFormat/>
    <w:rPr>
      <w:rFonts w:ascii="Arial" w:hAnsi="Arial" w:eastAsia="黑体"/>
      <w:sz w:val="21"/>
    </w:rPr>
  </w:style>
  <w:style w:type="paragraph" w:styleId="750">
    <w:name w:val="目录 7"/>
    <w:basedOn w:val="726"/>
    <w:next w:val="726"/>
    <w:link w:val="726"/>
    <w:qFormat/>
    <w:pPr>
      <w:ind w:left="2520"/>
    </w:pPr>
  </w:style>
  <w:style w:type="paragraph" w:styleId="751">
    <w:name w:val="正文缩进"/>
    <w:basedOn w:val="726"/>
    <w:next w:val="751"/>
    <w:link w:val="752"/>
    <w:qFormat/>
    <w:pPr>
      <w:ind w:firstLine="420"/>
      <w:jc w:val="left"/>
    </w:pPr>
    <w:rPr>
      <w:rFonts w:ascii="宋体"/>
      <w:sz w:val="24"/>
    </w:rPr>
  </w:style>
  <w:style w:type="character" w:styleId="752">
    <w:name w:val="正文缩进 Char1"/>
    <w:next w:val="752"/>
    <w:link w:val="751"/>
    <w:qFormat/>
    <w:rPr>
      <w:rFonts w:ascii="宋体" w:eastAsia="宋体"/>
      <w:sz w:val="24"/>
      <w:szCs w:val="24"/>
      <w:lang w:val="en-US" w:eastAsia="zh-CN" w:bidi="ar-SA"/>
    </w:rPr>
  </w:style>
  <w:style w:type="paragraph" w:styleId="753">
    <w:name w:val="题注"/>
    <w:basedOn w:val="726"/>
    <w:next w:val="726"/>
    <w:link w:val="726"/>
    <w:qFormat/>
    <w:pPr>
      <w:spacing w:line="480" w:lineRule="auto"/>
    </w:pPr>
    <w:rPr>
      <w:rFonts w:ascii="华文中宋" w:hAnsi="华文中宋" w:eastAsia="华文中宋"/>
      <w:sz w:val="36"/>
      <w:szCs w:val="20"/>
    </w:rPr>
  </w:style>
  <w:style w:type="paragraph" w:styleId="754">
    <w:name w:val="文档结构图"/>
    <w:basedOn w:val="726"/>
    <w:next w:val="754"/>
    <w:link w:val="755"/>
    <w:qFormat/>
    <w:pPr>
      <w:shd w:val="clear" w:color="auto" w:fill="000080"/>
    </w:pPr>
  </w:style>
  <w:style w:type="character" w:styleId="755">
    <w:name w:val="文档结构图 Char"/>
    <w:next w:val="755"/>
    <w:link w:val="754"/>
    <w:qFormat/>
    <w:rPr>
      <w:sz w:val="21"/>
      <w:szCs w:val="24"/>
      <w:shd w:val="clear" w:color="auto" w:fill="000080"/>
    </w:rPr>
  </w:style>
  <w:style w:type="paragraph" w:styleId="756">
    <w:name w:val="批注文字"/>
    <w:basedOn w:val="726"/>
    <w:next w:val="756"/>
    <w:link w:val="757"/>
    <w:uiPriority w:val="99"/>
    <w:qFormat/>
    <w:pPr>
      <w:jc w:val="left"/>
    </w:pPr>
  </w:style>
  <w:style w:type="character" w:styleId="757">
    <w:name w:val="批注文字 Char1"/>
    <w:next w:val="757"/>
    <w:link w:val="756"/>
    <w:uiPriority w:val="99"/>
    <w:qFormat/>
    <w:rPr>
      <w:sz w:val="21"/>
      <w:szCs w:val="24"/>
    </w:rPr>
  </w:style>
  <w:style w:type="paragraph" w:styleId="758">
    <w:name w:val="正文文本 3"/>
    <w:basedOn w:val="726"/>
    <w:next w:val="758"/>
    <w:link w:val="759"/>
    <w:qFormat/>
    <w:pPr>
      <w:spacing w:after="120"/>
    </w:pPr>
    <w:rPr>
      <w:sz w:val="16"/>
      <w:szCs w:val="16"/>
    </w:rPr>
  </w:style>
  <w:style w:type="character" w:styleId="759">
    <w:name w:val="正文文本 3 Char"/>
    <w:next w:val="759"/>
    <w:link w:val="758"/>
    <w:qFormat/>
    <w:rPr>
      <w:sz w:val="16"/>
      <w:szCs w:val="16"/>
    </w:rPr>
  </w:style>
  <w:style w:type="paragraph" w:styleId="760">
    <w:name w:val="正文文本缩进"/>
    <w:basedOn w:val="726"/>
    <w:next w:val="760"/>
    <w:link w:val="761"/>
    <w:qFormat/>
    <w:pPr>
      <w:ind w:firstLine="570"/>
      <w:spacing w:line="360" w:lineRule="auto"/>
    </w:pPr>
    <w:rPr>
      <w:sz w:val="24"/>
    </w:rPr>
  </w:style>
  <w:style w:type="character" w:styleId="761">
    <w:name w:val="正文文本缩进 Char2"/>
    <w:next w:val="761"/>
    <w:link w:val="760"/>
    <w:qFormat/>
    <w:rPr>
      <w:rFonts w:eastAsia="宋体"/>
      <w:sz w:val="24"/>
      <w:szCs w:val="24"/>
      <w:lang w:val="en-US" w:eastAsia="zh-CN" w:bidi="ar-SA"/>
    </w:rPr>
  </w:style>
  <w:style w:type="paragraph" w:styleId="762">
    <w:name w:val="列表 2"/>
    <w:basedOn w:val="726"/>
    <w:next w:val="762"/>
    <w:link w:val="726"/>
    <w:qFormat/>
    <w:pPr>
      <w:ind w:left="100" w:hanging="200"/>
    </w:pPr>
  </w:style>
  <w:style w:type="paragraph" w:styleId="763">
    <w:name w:val="文本块"/>
    <w:basedOn w:val="726"/>
    <w:next w:val="763"/>
    <w:link w:val="726"/>
    <w:qFormat/>
    <w:pPr>
      <w:ind w:left="480" w:right="-341" w:firstLine="513"/>
      <w:widowControl/>
    </w:pPr>
    <w:rPr>
      <w:sz w:val="24"/>
      <w:szCs w:val="20"/>
    </w:rPr>
  </w:style>
  <w:style w:type="paragraph" w:styleId="764">
    <w:name w:val="目录 5"/>
    <w:basedOn w:val="726"/>
    <w:next w:val="726"/>
    <w:link w:val="726"/>
    <w:qFormat/>
    <w:pPr>
      <w:ind w:left="1680"/>
    </w:pPr>
  </w:style>
  <w:style w:type="paragraph" w:styleId="765">
    <w:name w:val="目录 3"/>
    <w:basedOn w:val="726"/>
    <w:next w:val="726"/>
    <w:link w:val="726"/>
    <w:uiPriority w:val="39"/>
    <w:qFormat/>
    <w:pPr>
      <w:ind w:left="840"/>
    </w:pPr>
  </w:style>
  <w:style w:type="paragraph" w:styleId="766">
    <w:name w:val="纯文本"/>
    <w:basedOn w:val="726"/>
    <w:next w:val="766"/>
    <w:link w:val="767"/>
    <w:qFormat/>
    <w:rPr>
      <w:rFonts w:hint="eastAsia" w:ascii="宋体" w:hAnsi="Courier New"/>
      <w:szCs w:val="20"/>
    </w:rPr>
  </w:style>
  <w:style w:type="character" w:styleId="767">
    <w:name w:val="纯文本 Char"/>
    <w:next w:val="767"/>
    <w:link w:val="766"/>
    <w:qFormat/>
    <w:rPr>
      <w:rFonts w:hint="eastAsia" w:ascii="宋体" w:hAnsi="Courier New" w:eastAsia="宋体" w:cs="宋体"/>
      <w:sz w:val="21"/>
    </w:rPr>
  </w:style>
  <w:style w:type="paragraph" w:styleId="768">
    <w:name w:val="目录 8"/>
    <w:basedOn w:val="726"/>
    <w:next w:val="726"/>
    <w:link w:val="726"/>
    <w:qFormat/>
    <w:pPr>
      <w:ind w:left="2940"/>
    </w:pPr>
  </w:style>
  <w:style w:type="paragraph" w:styleId="769">
    <w:name w:val="日期"/>
    <w:basedOn w:val="726"/>
    <w:next w:val="726"/>
    <w:link w:val="770"/>
    <w:qFormat/>
    <w:pPr>
      <w:ind w:left="100"/>
    </w:pPr>
    <w:rPr>
      <w:rFonts w:ascii="仿宋_GB2312" w:hAnsi="宋体" w:eastAsia="仿宋_GB2312"/>
      <w:color w:val="000000"/>
      <w:sz w:val="24"/>
    </w:rPr>
  </w:style>
  <w:style w:type="character" w:styleId="770">
    <w:name w:val="日期 Char"/>
    <w:next w:val="770"/>
    <w:link w:val="769"/>
    <w:qFormat/>
    <w:rPr>
      <w:rFonts w:ascii="仿宋_GB2312" w:hAnsi="宋体" w:eastAsia="仿宋_GB2312"/>
      <w:color w:val="000000"/>
      <w:sz w:val="24"/>
      <w:szCs w:val="24"/>
    </w:rPr>
  </w:style>
  <w:style w:type="paragraph" w:styleId="771">
    <w:name w:val="正文文本缩进 2"/>
    <w:basedOn w:val="726"/>
    <w:next w:val="771"/>
    <w:link w:val="772"/>
    <w:qFormat/>
    <w:pPr>
      <w:ind w:firstLine="480"/>
    </w:pPr>
    <w:rPr>
      <w:rFonts w:ascii="仿宋_GB2312" w:eastAsia="仿宋_GB2312"/>
      <w:sz w:val="24"/>
    </w:rPr>
  </w:style>
  <w:style w:type="character" w:styleId="772">
    <w:name w:val="正文文本缩进 2 Char"/>
    <w:next w:val="772"/>
    <w:link w:val="771"/>
    <w:qFormat/>
    <w:rPr>
      <w:rFonts w:ascii="仿宋_GB2312" w:eastAsia="仿宋_GB2312"/>
      <w:sz w:val="24"/>
      <w:szCs w:val="24"/>
    </w:rPr>
  </w:style>
  <w:style w:type="paragraph" w:styleId="773">
    <w:name w:val="批注框文本"/>
    <w:basedOn w:val="726"/>
    <w:next w:val="773"/>
    <w:link w:val="774"/>
    <w:qFormat/>
    <w:rPr>
      <w:sz w:val="18"/>
      <w:szCs w:val="18"/>
    </w:rPr>
  </w:style>
  <w:style w:type="character" w:styleId="774">
    <w:name w:val="批注框文本 Char"/>
    <w:next w:val="774"/>
    <w:link w:val="773"/>
    <w:qFormat/>
    <w:rPr>
      <w:sz w:val="18"/>
      <w:szCs w:val="18"/>
    </w:rPr>
  </w:style>
  <w:style w:type="paragraph" w:styleId="775">
    <w:name w:val="页脚"/>
    <w:basedOn w:val="726"/>
    <w:next w:val="775"/>
    <w:link w:val="776"/>
    <w:uiPriority w:val="99"/>
    <w:qFormat/>
    <w:pPr>
      <w:jc w:val="left"/>
      <w:tabs>
        <w:tab w:val="center" w:pos="4153" w:leader="none"/>
        <w:tab w:val="right" w:pos="8306" w:leader="none"/>
      </w:tabs>
    </w:pPr>
    <w:rPr>
      <w:rFonts w:ascii="宋体"/>
      <w:sz w:val="18"/>
      <w:szCs w:val="20"/>
    </w:rPr>
  </w:style>
  <w:style w:type="character" w:styleId="776">
    <w:name w:val="页脚 Char1"/>
    <w:next w:val="776"/>
    <w:link w:val="775"/>
    <w:uiPriority w:val="99"/>
    <w:qFormat/>
    <w:rPr>
      <w:rFonts w:ascii="宋体" w:eastAsia="宋体"/>
      <w:sz w:val="18"/>
      <w:lang w:val="en-US" w:eastAsia="zh-CN" w:bidi="ar-SA"/>
    </w:rPr>
  </w:style>
  <w:style w:type="paragraph" w:styleId="777">
    <w:name w:val="页眉"/>
    <w:basedOn w:val="726"/>
    <w:next w:val="777"/>
    <w:link w:val="778"/>
    <w:qFormat/>
    <w:pPr>
      <w:jc w:val="center"/>
      <w:tabs>
        <w:tab w:val="center" w:pos="4153" w:leader="none"/>
        <w:tab w:val="right" w:pos="8306" w:leader="none"/>
      </w:tabs>
      <w:pBdr>
        <w:bottom w:val="single" w:color="000000" w:sz="6" w:space="1"/>
      </w:pBdr>
    </w:pPr>
    <w:rPr>
      <w:sz w:val="18"/>
      <w:szCs w:val="18"/>
    </w:rPr>
  </w:style>
  <w:style w:type="character" w:styleId="778">
    <w:name w:val="页眉 Char1"/>
    <w:next w:val="778"/>
    <w:link w:val="777"/>
    <w:qFormat/>
    <w:rPr>
      <w:rFonts w:eastAsia="宋体"/>
      <w:sz w:val="18"/>
      <w:szCs w:val="18"/>
      <w:lang w:val="en-US" w:eastAsia="zh-CN" w:bidi="ar-SA"/>
    </w:rPr>
  </w:style>
  <w:style w:type="paragraph" w:styleId="779">
    <w:name w:val="目录 1"/>
    <w:basedOn w:val="726"/>
    <w:next w:val="726"/>
    <w:link w:val="726"/>
    <w:uiPriority w:val="39"/>
    <w:qFormat/>
    <w:pPr>
      <w:spacing w:line="300" w:lineRule="auto"/>
      <w:tabs>
        <w:tab w:val="left" w:pos="1050" w:leader="none"/>
        <w:tab w:val="right" w:pos="8937" w:leader="dot"/>
      </w:tabs>
    </w:pPr>
    <w:rPr>
      <w:rFonts w:ascii="宋体" w:hAnsi="宋体"/>
      <w:b/>
      <w:sz w:val="24"/>
    </w:rPr>
  </w:style>
  <w:style w:type="paragraph" w:styleId="780">
    <w:name w:val="目录 4"/>
    <w:basedOn w:val="726"/>
    <w:next w:val="726"/>
    <w:link w:val="726"/>
    <w:qFormat/>
    <w:pPr>
      <w:ind w:left="1260"/>
    </w:pPr>
  </w:style>
  <w:style w:type="paragraph" w:styleId="781">
    <w:name w:val="目录 6"/>
    <w:basedOn w:val="726"/>
    <w:next w:val="726"/>
    <w:link w:val="726"/>
    <w:qFormat/>
    <w:pPr>
      <w:ind w:left="2100"/>
    </w:pPr>
  </w:style>
  <w:style w:type="paragraph" w:styleId="782">
    <w:name w:val="正文文本缩进 3"/>
    <w:basedOn w:val="726"/>
    <w:next w:val="782"/>
    <w:link w:val="783"/>
    <w:qFormat/>
    <w:pPr>
      <w:ind w:left="720" w:firstLine="480"/>
      <w:jc w:val="left"/>
      <w:spacing w:before="120" w:line="22" w:lineRule="atLeast"/>
    </w:pPr>
    <w:rPr>
      <w:rFonts w:ascii="宋体"/>
      <w:sz w:val="24"/>
      <w:szCs w:val="20"/>
    </w:rPr>
  </w:style>
  <w:style w:type="character" w:styleId="783">
    <w:name w:val="正文文本缩进 3 Char"/>
    <w:next w:val="783"/>
    <w:link w:val="782"/>
    <w:qFormat/>
    <w:rPr>
      <w:rFonts w:ascii="宋体"/>
      <w:sz w:val="24"/>
    </w:rPr>
  </w:style>
  <w:style w:type="paragraph" w:styleId="784">
    <w:name w:val="目录 2"/>
    <w:basedOn w:val="726"/>
    <w:next w:val="726"/>
    <w:link w:val="726"/>
    <w:uiPriority w:val="39"/>
    <w:qFormat/>
    <w:pPr>
      <w:ind w:left="420"/>
      <w:spacing w:line="312" w:lineRule="auto"/>
      <w:tabs>
        <w:tab w:val="right" w:pos="8937" w:leader="dot"/>
      </w:tabs>
    </w:pPr>
  </w:style>
  <w:style w:type="paragraph" w:styleId="785">
    <w:name w:val="目录 9"/>
    <w:basedOn w:val="726"/>
    <w:next w:val="726"/>
    <w:link w:val="726"/>
    <w:qFormat/>
    <w:pPr>
      <w:ind w:left="3360"/>
    </w:pPr>
  </w:style>
  <w:style w:type="paragraph" w:styleId="786">
    <w:name w:val="HTML 预设格式"/>
    <w:basedOn w:val="726"/>
    <w:next w:val="786"/>
    <w:link w:val="7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787">
    <w:name w:val="HTML 预设格式 Char"/>
    <w:next w:val="787"/>
    <w:link w:val="786"/>
    <w:qFormat/>
    <w:rPr>
      <w:rFonts w:ascii="宋体" w:hAnsi="宋体" w:cs="宋体"/>
      <w:sz w:val="24"/>
      <w:szCs w:val="24"/>
    </w:rPr>
  </w:style>
  <w:style w:type="paragraph" w:styleId="788">
    <w:name w:val="普通(网站)"/>
    <w:basedOn w:val="726"/>
    <w:next w:val="788"/>
    <w:link w:val="726"/>
    <w:uiPriority w:val="99"/>
    <w:unhideWhenUsed/>
    <w:qFormat/>
    <w:pPr>
      <w:jc w:val="left"/>
      <w:spacing w:before="100" w:beforeAutospacing="1" w:after="100" w:afterAutospacing="1"/>
      <w:widowControl/>
    </w:pPr>
    <w:rPr>
      <w:rFonts w:ascii="宋体" w:hAnsi="宋体" w:cs="宋体"/>
      <w:sz w:val="24"/>
    </w:rPr>
  </w:style>
  <w:style w:type="paragraph" w:styleId="789">
    <w:name w:val="索引 1"/>
    <w:basedOn w:val="726"/>
    <w:next w:val="726"/>
    <w:link w:val="726"/>
    <w:qFormat/>
    <w:rPr>
      <w:szCs w:val="20"/>
    </w:rPr>
  </w:style>
  <w:style w:type="paragraph" w:styleId="790">
    <w:name w:val="标题"/>
    <w:basedOn w:val="726"/>
    <w:next w:val="790"/>
    <w:link w:val="791"/>
    <w:qFormat/>
    <w:pPr>
      <w:jc w:val="center"/>
      <w:outlineLvl w:val="0"/>
    </w:pPr>
    <w:rPr>
      <w:b/>
      <w:sz w:val="32"/>
      <w:szCs w:val="20"/>
    </w:rPr>
  </w:style>
  <w:style w:type="character" w:styleId="791">
    <w:name w:val="标题 Char1"/>
    <w:next w:val="791"/>
    <w:link w:val="790"/>
    <w:qFormat/>
    <w:rPr>
      <w:b/>
      <w:sz w:val="32"/>
    </w:rPr>
  </w:style>
  <w:style w:type="paragraph" w:styleId="792">
    <w:name w:val="批注主题"/>
    <w:basedOn w:val="756"/>
    <w:next w:val="756"/>
    <w:link w:val="793"/>
    <w:qFormat/>
    <w:rPr>
      <w:b/>
      <w:bCs/>
    </w:rPr>
  </w:style>
  <w:style w:type="character" w:styleId="793">
    <w:name w:val="批注主题 Char"/>
    <w:next w:val="793"/>
    <w:link w:val="792"/>
    <w:qFormat/>
    <w:rPr>
      <w:rFonts w:ascii="Times New Roman" w:hAnsi="Times New Roman" w:eastAsia="宋体" w:cs="Times New Roman"/>
      <w:b/>
      <w:bCs/>
      <w:sz w:val="21"/>
      <w:szCs w:val="24"/>
      <w:lang w:val="en-US" w:eastAsia="zh-CN" w:bidi="ar-SA"/>
    </w:rPr>
  </w:style>
  <w:style w:type="paragraph" w:styleId="794">
    <w:name w:val="正文首行缩进 2"/>
    <w:basedOn w:val="760"/>
    <w:next w:val="794"/>
    <w:link w:val="795"/>
    <w:qFormat/>
    <w:pPr>
      <w:ind w:left="420" w:firstLine="420"/>
      <w:spacing w:after="120" w:line="480" w:lineRule="exact"/>
    </w:pPr>
    <w:rPr>
      <w:szCs w:val="20"/>
    </w:rPr>
  </w:style>
  <w:style w:type="character" w:styleId="795">
    <w:name w:val="正文首行缩进 2 Char"/>
    <w:next w:val="795"/>
    <w:link w:val="794"/>
    <w:qFormat/>
    <w:rPr>
      <w:rFonts w:eastAsia="宋体"/>
      <w:sz w:val="24"/>
      <w:szCs w:val="24"/>
      <w:lang w:val="en-US" w:eastAsia="zh-CN" w:bidi="ar-SA"/>
    </w:rPr>
  </w:style>
  <w:style w:type="table" w:styleId="796">
    <w:name w:val="网格型"/>
    <w:basedOn w:val="737"/>
    <w:next w:val="796"/>
    <w:link w:val="726"/>
    <w:uiPriority w:val="39"/>
    <w:qFormat/>
    <w:tblPr/>
  </w:style>
  <w:style w:type="table" w:styleId="797">
    <w:name w:val="中等深浅网格 1 - 强调文字颜色 2"/>
    <w:basedOn w:val="737"/>
    <w:next w:val="797"/>
    <w:link w:val="726"/>
    <w:qFormat/>
    <w:rPr>
      <w:sz w:val="21"/>
      <w:szCs w:val="24"/>
    </w:rPr>
    <w:tblPr/>
  </w:style>
  <w:style w:type="character" w:styleId="798">
    <w:name w:val="要点"/>
    <w:next w:val="798"/>
    <w:link w:val="726"/>
    <w:qFormat/>
    <w:rPr>
      <w:b/>
      <w:bCs/>
    </w:rPr>
  </w:style>
  <w:style w:type="character" w:styleId="799">
    <w:name w:val="页码"/>
    <w:next w:val="799"/>
    <w:link w:val="726"/>
    <w:qFormat/>
  </w:style>
  <w:style w:type="character" w:styleId="800">
    <w:name w:val="已访问的超链接"/>
    <w:next w:val="800"/>
    <w:link w:val="726"/>
    <w:qFormat/>
    <w:rPr>
      <w:color w:val="333333"/>
      <w:u w:val="none"/>
    </w:rPr>
  </w:style>
  <w:style w:type="character" w:styleId="801">
    <w:name w:val="强调"/>
    <w:next w:val="801"/>
    <w:link w:val="726"/>
    <w:qFormat/>
    <w:rPr>
      <w:color w:val="cc0033"/>
    </w:rPr>
  </w:style>
  <w:style w:type="character" w:styleId="802">
    <w:name w:val="超链接"/>
    <w:next w:val="802"/>
    <w:link w:val="726"/>
    <w:uiPriority w:val="99"/>
    <w:qFormat/>
    <w:rPr>
      <w:color w:val="333333"/>
      <w:u w:val="none"/>
    </w:rPr>
  </w:style>
  <w:style w:type="character" w:styleId="803">
    <w:name w:val="批注引用"/>
    <w:next w:val="803"/>
    <w:link w:val="726"/>
    <w:uiPriority w:val="99"/>
    <w:qFormat/>
    <w:rPr>
      <w:sz w:val="21"/>
      <w:szCs w:val="21"/>
    </w:rPr>
  </w:style>
  <w:style w:type="character" w:styleId="804">
    <w:name w:val="HTML 引文"/>
    <w:next w:val="804"/>
    <w:link w:val="726"/>
    <w:qFormat/>
    <w:rPr>
      <w:i/>
      <w:iCs/>
    </w:rPr>
  </w:style>
  <w:style w:type="paragraph" w:styleId="805">
    <w:name w:val="正文文本11"/>
    <w:basedOn w:val="726"/>
    <w:next w:val="726"/>
    <w:link w:val="726"/>
    <w:qFormat/>
    <w:rPr>
      <w:rFonts w:ascii="楷体_GB2312" w:hAnsi="Arial" w:eastAsia="楷体_GB2312"/>
      <w:sz w:val="28"/>
      <w:szCs w:val="28"/>
    </w:rPr>
  </w:style>
  <w:style w:type="paragraph" w:styleId="806">
    <w:name w:val="Default"/>
    <w:next w:val="806"/>
    <w:link w:val="726"/>
    <w:qFormat/>
    <w:pPr>
      <w:widowControl w:val="off"/>
    </w:pPr>
    <w:rPr>
      <w:rFonts w:ascii="Symbol" w:hAnsi="Symbol" w:cs="Symbol"/>
      <w:color w:val="000000"/>
      <w:sz w:val="24"/>
      <w:szCs w:val="24"/>
      <w:lang w:val="en-US" w:eastAsia="zh-CN" w:bidi="ar-SA"/>
    </w:rPr>
  </w:style>
  <w:style w:type="character" w:styleId="807">
    <w:name w:val="批注文字 字符"/>
    <w:next w:val="807"/>
    <w:link w:val="726"/>
    <w:uiPriority w:val="99"/>
    <w:qFormat/>
    <w:rPr>
      <w:rFonts w:ascii="Times New Roman" w:hAnsi="Times New Roman" w:eastAsia="宋体" w:cs="Times New Roman"/>
      <w:sz w:val="24"/>
      <w:lang w:val="en-US" w:eastAsia="zh-CN" w:bidi="ar-SA"/>
    </w:rPr>
  </w:style>
  <w:style w:type="character" w:styleId="808">
    <w:name w:val="c21"/>
    <w:next w:val="808"/>
    <w:link w:val="726"/>
    <w:qFormat/>
    <w:rPr>
      <w:rFonts w:ascii="ˎ̥" w:hAnsi="ˎ̥"/>
      <w:color w:val="000000"/>
      <w:sz w:val="20"/>
      <w:szCs w:val="20"/>
      <w:u w:val="none"/>
    </w:rPr>
  </w:style>
  <w:style w:type="character" w:styleId="809">
    <w:name w:val="title4"/>
    <w:next w:val="809"/>
    <w:link w:val="726"/>
    <w:qFormat/>
    <w:rPr>
      <w:b/>
      <w:bCs/>
      <w:color w:val="1d87b3"/>
      <w:sz w:val="15"/>
      <w:szCs w:val="15"/>
    </w:rPr>
  </w:style>
  <w:style w:type="character" w:styleId="810">
    <w:name w:val="标题 2 Char Char"/>
    <w:next w:val="810"/>
    <w:link w:val="726"/>
    <w:qFormat/>
    <w:rPr>
      <w:rFonts w:ascii="Arial" w:hAnsi="Arial" w:eastAsia="黑体"/>
      <w:b/>
      <w:bCs/>
      <w:sz w:val="32"/>
      <w:szCs w:val="32"/>
      <w:lang w:val="en-US" w:eastAsia="zh-CN" w:bidi="ar-SA"/>
    </w:rPr>
  </w:style>
  <w:style w:type="character" w:styleId="811">
    <w:name w:val="black1"/>
    <w:next w:val="811"/>
    <w:link w:val="726"/>
    <w:qFormat/>
    <w:rPr>
      <w:color w:val="000000"/>
    </w:rPr>
  </w:style>
  <w:style w:type="character" w:styleId="812">
    <w:name w:val="street-address"/>
    <w:next w:val="812"/>
    <w:link w:val="726"/>
    <w:qFormat/>
  </w:style>
  <w:style w:type="character" w:styleId="813">
    <w:name w:val="locality"/>
    <w:next w:val="813"/>
    <w:link w:val="726"/>
    <w:qFormat/>
  </w:style>
  <w:style w:type="character" w:styleId="814">
    <w:name w:val="正文文本缩进 Char1"/>
    <w:next w:val="814"/>
    <w:link w:val="815"/>
    <w:qFormat/>
    <w:rPr>
      <w:rFonts w:ascii="宋体" w:hAnsi="宋体" w:eastAsia="宋体"/>
      <w:sz w:val="24"/>
      <w:szCs w:val="24"/>
      <w:lang w:bidi="ar-SA"/>
    </w:rPr>
  </w:style>
  <w:style w:type="paragraph" w:styleId="815">
    <w:name w:val="正文文本缩进1"/>
    <w:basedOn w:val="726"/>
    <w:next w:val="815"/>
    <w:link w:val="814"/>
    <w:qFormat/>
    <w:pPr>
      <w:ind w:firstLine="480"/>
      <w:spacing w:line="480" w:lineRule="exact"/>
    </w:pPr>
    <w:rPr>
      <w:rFonts w:ascii="宋体" w:hAnsi="宋体"/>
      <w:sz w:val="24"/>
    </w:rPr>
  </w:style>
  <w:style w:type="character" w:styleId="816">
    <w:name w:val="Char Char11"/>
    <w:next w:val="816"/>
    <w:link w:val="726"/>
    <w:qFormat/>
    <w:rPr>
      <w:rFonts w:ascii="宋体" w:eastAsia="宋体"/>
      <w:b/>
      <w:sz w:val="24"/>
      <w:u w:val="single"/>
      <w:lang w:val="en-US" w:eastAsia="zh-CN" w:bidi="ar-SA"/>
    </w:rPr>
  </w:style>
  <w:style w:type="character" w:styleId="817">
    <w:name w:val="txt"/>
    <w:next w:val="817"/>
    <w:link w:val="726"/>
    <w:qFormat/>
  </w:style>
  <w:style w:type="character" w:styleId="818">
    <w:name w:val="正文缩进 Char Char"/>
    <w:next w:val="818"/>
    <w:link w:val="819"/>
    <w:qFormat/>
    <w:rPr>
      <w:rFonts w:ascii="宋体" w:eastAsia="宋体"/>
      <w:color w:val="000000"/>
      <w:sz w:val="28"/>
      <w:lang w:bidi="ar-SA"/>
    </w:rPr>
  </w:style>
  <w:style w:type="paragraph" w:styleId="819">
    <w:name w:val="正文缩进1"/>
    <w:basedOn w:val="726"/>
    <w:next w:val="819"/>
    <w:link w:val="818"/>
    <w:qFormat/>
    <w:pPr>
      <w:ind w:firstLine="567"/>
      <w:spacing w:line="480" w:lineRule="exact"/>
      <w:widowControl/>
    </w:pPr>
    <w:rPr>
      <w:rFonts w:ascii="宋体"/>
      <w:color w:val="000000"/>
      <w:sz w:val="28"/>
      <w:szCs w:val="20"/>
    </w:rPr>
  </w:style>
  <w:style w:type="character" w:styleId="820">
    <w:name w:val="普通文字1 Char1"/>
    <w:next w:val="820"/>
    <w:link w:val="726"/>
    <w:qFormat/>
    <w:rPr>
      <w:rFonts w:ascii="宋体" w:hAnsi="Courier New" w:eastAsia="宋体"/>
      <w:sz w:val="21"/>
      <w:lang w:val="en-US" w:eastAsia="zh-CN" w:bidi="ar-SA"/>
    </w:rPr>
  </w:style>
  <w:style w:type="character" w:styleId="821">
    <w:name w:val="chanpin1"/>
    <w:next w:val="821"/>
    <w:link w:val="726"/>
    <w:qFormat/>
    <w:rPr>
      <w:rFonts w:ascii="ˎ̥" w:hAnsi="ˎ̥"/>
      <w:color w:val="000000"/>
      <w:sz w:val="20"/>
      <w:szCs w:val="20"/>
      <w:u w:val="none"/>
    </w:rPr>
  </w:style>
  <w:style w:type="character" w:styleId="822">
    <w:name w:val="列出段落 Char1"/>
    <w:next w:val="822"/>
    <w:link w:val="823"/>
    <w:uiPriority w:val="34"/>
    <w:qFormat/>
    <w:rPr>
      <w:rFonts w:ascii="Calibri" w:hAnsi="Calibri" w:eastAsia="宋体"/>
      <w:sz w:val="21"/>
      <w:szCs w:val="22"/>
      <w:lang w:val="en-US" w:eastAsia="zh-CN" w:bidi="ar-SA"/>
    </w:rPr>
  </w:style>
  <w:style w:type="paragraph" w:styleId="823">
    <w:name w:val="列出段落"/>
    <w:basedOn w:val="726"/>
    <w:next w:val="823"/>
    <w:link w:val="822"/>
    <w:uiPriority w:val="34"/>
    <w:qFormat/>
    <w:pPr>
      <w:ind w:firstLine="420"/>
    </w:pPr>
    <w:rPr>
      <w:rFonts w:ascii="Calibri" w:hAnsi="Calibri"/>
      <w:szCs w:val="22"/>
    </w:rPr>
  </w:style>
  <w:style w:type="character" w:styleId="824">
    <w:name w:val="标题 3 Char Char"/>
    <w:next w:val="824"/>
    <w:link w:val="726"/>
    <w:qFormat/>
    <w:rPr>
      <w:rFonts w:eastAsia="宋体"/>
      <w:b/>
      <w:bCs/>
      <w:sz w:val="32"/>
      <w:szCs w:val="32"/>
      <w:lang w:val="en-US" w:eastAsia="zh-CN" w:bidi="ar-SA"/>
    </w:rPr>
  </w:style>
  <w:style w:type="character" w:styleId="825">
    <w:name w:val="段1 Char"/>
    <w:next w:val="825"/>
    <w:link w:val="726"/>
    <w:qFormat/>
    <w:rPr>
      <w:rFonts w:ascii="宋体" w:eastAsia="宋体"/>
      <w:sz w:val="24"/>
      <w:lang w:val="en-US" w:eastAsia="zh-CN" w:bidi="ar-SA"/>
    </w:rPr>
  </w:style>
  <w:style w:type="character" w:styleId="826">
    <w:name w:val="chanpin拷贝"/>
    <w:next w:val="826"/>
    <w:link w:val="726"/>
    <w:qFormat/>
  </w:style>
  <w:style w:type="character" w:styleId="827">
    <w:name w:val="纯文本 Char1"/>
    <w:next w:val="827"/>
    <w:link w:val="726"/>
    <w:qFormat/>
    <w:rPr>
      <w:rFonts w:ascii="宋体" w:hAnsi="Courier New" w:eastAsia="宋体"/>
      <w:sz w:val="21"/>
      <w:lang w:val="en-US" w:eastAsia="zh-CN" w:bidi="ar-SA"/>
    </w:rPr>
  </w:style>
  <w:style w:type="character" w:styleId="828">
    <w:name w:val="apple-style-span"/>
    <w:next w:val="828"/>
    <w:link w:val="726"/>
    <w:qFormat/>
    <w:rPr>
      <w:rFonts w:cs="Times New Roman"/>
    </w:rPr>
  </w:style>
  <w:style w:type="paragraph" w:styleId="829">
    <w:name w:val="二级条标题"/>
    <w:basedOn w:val="830"/>
    <w:next w:val="726"/>
    <w:link w:val="726"/>
    <w:qFormat/>
    <w:pPr>
      <w:numPr>
        <w:ilvl w:val="0"/>
        <w:numId w:val="0"/>
      </w:numPr>
      <w:ind w:hanging="840"/>
      <w:tabs>
        <w:tab w:val="left" w:pos="360" w:leader="none"/>
        <w:tab w:val="left" w:pos="840" w:leader="none"/>
      </w:tabs>
      <w:outlineLvl w:val="2"/>
    </w:pPr>
    <w:rPr>
      <w:rFonts w:ascii="宋体" w:eastAsia="宋体"/>
      <w:b w:val="0"/>
    </w:rPr>
  </w:style>
  <w:style w:type="paragraph" w:styleId="830">
    <w:name w:val="一级条标题"/>
    <w:basedOn w:val="831"/>
    <w:next w:val="726"/>
    <w:link w:val="726"/>
    <w:qFormat/>
    <w:pPr>
      <w:numPr>
        <w:ilvl w:val="1"/>
      </w:numPr>
      <w:ind w:left="0" w:hanging="840"/>
      <w:tabs>
        <w:tab w:val="left" w:pos="360" w:leader="none"/>
        <w:tab w:val="left" w:pos="840" w:leader="none"/>
      </w:tabs>
      <w:outlineLvl w:val="1"/>
    </w:pPr>
  </w:style>
  <w:style w:type="paragraph" w:styleId="831">
    <w:name w:val="章标题"/>
    <w:next w:val="726"/>
    <w:link w:val="72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32">
    <w:name w:val="font7"/>
    <w:basedOn w:val="726"/>
    <w:next w:val="832"/>
    <w:link w:val="726"/>
    <w:qFormat/>
    <w:pPr>
      <w:jc w:val="left"/>
      <w:spacing w:before="100" w:beforeAutospacing="1" w:after="100" w:afterAutospacing="1"/>
      <w:widowControl/>
    </w:pPr>
    <w:rPr>
      <w:rFonts w:eastAsia="Arial Unicode MS"/>
      <w:b/>
      <w:bCs/>
      <w:color w:val="000000"/>
      <w:sz w:val="20"/>
      <w:szCs w:val="20"/>
    </w:rPr>
  </w:style>
  <w:style w:type="paragraph" w:styleId="833">
    <w:name w:val="字元 字元"/>
    <w:basedOn w:val="726"/>
    <w:next w:val="833"/>
    <w:link w:val="726"/>
    <w:qFormat/>
    <w:rPr>
      <w:rFonts w:ascii="Tahoma" w:hAnsi="Tahoma"/>
      <w:sz w:val="24"/>
      <w:szCs w:val="20"/>
    </w:rPr>
  </w:style>
  <w:style w:type="paragraph" w:styleId="834">
    <w:name w:val="Char3 Char Char Char"/>
    <w:basedOn w:val="726"/>
    <w:next w:val="834"/>
    <w:link w:val="726"/>
    <w:qFormat/>
    <w:rPr>
      <w:rFonts w:ascii="Tahoma" w:hAnsi="Tahoma"/>
      <w:sz w:val="24"/>
      <w:szCs w:val="20"/>
    </w:rPr>
  </w:style>
  <w:style w:type="paragraph" w:styleId="835">
    <w:name w:val="font6"/>
    <w:basedOn w:val="726"/>
    <w:next w:val="835"/>
    <w:link w:val="726"/>
    <w:qFormat/>
    <w:pPr>
      <w:jc w:val="left"/>
      <w:spacing w:before="100" w:beforeAutospacing="1" w:after="100" w:afterAutospacing="1"/>
      <w:widowControl/>
    </w:pPr>
    <w:rPr>
      <w:rFonts w:ascii="宋体" w:hAnsi="宋体" w:cs="宋体"/>
      <w:sz w:val="20"/>
      <w:szCs w:val="20"/>
    </w:rPr>
  </w:style>
  <w:style w:type="paragraph" w:styleId="836">
    <w:name w:val="项目编号2"/>
    <w:basedOn w:val="837"/>
    <w:next w:val="836"/>
    <w:link w:val="726"/>
    <w:qFormat/>
    <w:pPr>
      <w:numPr>
        <w:numId w:val="3"/>
      </w:numPr>
    </w:pPr>
  </w:style>
  <w:style w:type="paragraph" w:styleId="837">
    <w:name w:val="项目编号1"/>
    <w:basedOn w:val="726"/>
    <w:next w:val="837"/>
    <w:link w:val="726"/>
    <w:qFormat/>
    <w:pPr>
      <w:numPr>
        <w:ilvl w:val="0"/>
        <w:numId w:val="2"/>
      </w:numPr>
      <w:spacing w:before="100" w:beforeAutospacing="1" w:after="100" w:afterAutospacing="1" w:line="360" w:lineRule="auto"/>
    </w:pPr>
    <w:rPr>
      <w:sz w:val="24"/>
    </w:rPr>
  </w:style>
  <w:style w:type="paragraph" w:styleId="838">
    <w:name w:val="图中文字"/>
    <w:basedOn w:val="726"/>
    <w:next w:val="838"/>
    <w:link w:val="726"/>
    <w:qFormat/>
    <w:pPr>
      <w:jc w:val="center"/>
      <w:spacing w:line="0" w:lineRule="atLeast"/>
    </w:pPr>
    <w:rPr>
      <w:sz w:val="24"/>
      <w:szCs w:val="20"/>
    </w:rPr>
  </w:style>
  <w:style w:type="paragraph" w:styleId="839">
    <w:name w:val="xl46"/>
    <w:basedOn w:val="726"/>
    <w:next w:val="839"/>
    <w:link w:val="72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40">
    <w:name w:val="xl25"/>
    <w:basedOn w:val="726"/>
    <w:next w:val="840"/>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41">
    <w:name w:val="Char2"/>
    <w:basedOn w:val="726"/>
    <w:next w:val="841"/>
    <w:link w:val="726"/>
    <w:qFormat/>
    <w:rPr>
      <w:rFonts w:ascii="Tahoma" w:hAnsi="Tahoma"/>
      <w:sz w:val="24"/>
      <w:szCs w:val="20"/>
    </w:rPr>
  </w:style>
  <w:style w:type="paragraph" w:styleId="842">
    <w:name w:val="xl35"/>
    <w:basedOn w:val="726"/>
    <w:next w:val="842"/>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43">
    <w:name w:val="xl40"/>
    <w:basedOn w:val="726"/>
    <w:next w:val="843"/>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44">
    <w:name w:val="xl52"/>
    <w:basedOn w:val="726"/>
    <w:next w:val="844"/>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45">
    <w:name w:val="xl43"/>
    <w:basedOn w:val="726"/>
    <w:next w:val="845"/>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46">
    <w:name w:val="background1"/>
    <w:basedOn w:val="726"/>
    <w:next w:val="846"/>
    <w:link w:val="726"/>
    <w:qFormat/>
    <w:pPr>
      <w:jc w:val="left"/>
      <w:spacing w:before="100" w:beforeAutospacing="1" w:after="100" w:afterAutospacing="1"/>
      <w:widowControl/>
    </w:pPr>
    <w:rPr>
      <w:rFonts w:ascii="宋体" w:hAnsi="宋体" w:cs="宋体"/>
      <w:sz w:val="24"/>
    </w:rPr>
  </w:style>
  <w:style w:type="paragraph" w:styleId="847">
    <w:name w:val="Char Char Char Char Char Char Char"/>
    <w:basedOn w:val="726"/>
    <w:next w:val="847"/>
    <w:link w:val="726"/>
    <w:qFormat/>
    <w:pPr>
      <w:ind w:firstLine="200"/>
      <w:spacing w:line="360" w:lineRule="auto"/>
    </w:pPr>
    <w:rPr>
      <w:rFonts w:eastAsia="仿宋_GB2312"/>
      <w:sz w:val="24"/>
    </w:rPr>
  </w:style>
  <w:style w:type="paragraph" w:styleId="848">
    <w:name w:val="xl38"/>
    <w:basedOn w:val="726"/>
    <w:next w:val="848"/>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49">
    <w:name w:val="xl36"/>
    <w:basedOn w:val="726"/>
    <w:next w:val="849"/>
    <w:link w:val="72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0">
    <w:name w:val="正文 + 宋体"/>
    <w:basedOn w:val="726"/>
    <w:next w:val="850"/>
    <w:link w:val="726"/>
    <w:qFormat/>
    <w:pPr>
      <w:ind w:left="360" w:hanging="360"/>
      <w:jc w:val="left"/>
      <w:widowControl/>
    </w:pPr>
    <w:rPr>
      <w:rFonts w:ascii="宋体" w:hAnsi="宋体" w:cs="宋体"/>
      <w:b/>
      <w:bCs/>
      <w:color w:val="000000"/>
      <w:sz w:val="18"/>
      <w:szCs w:val="18"/>
    </w:rPr>
  </w:style>
  <w:style w:type="paragraph" w:styleId="851">
    <w:name w:val="正文列项_数字"/>
    <w:basedOn w:val="726"/>
    <w:next w:val="851"/>
    <w:link w:val="726"/>
    <w:qFormat/>
    <w:pPr>
      <w:numPr>
        <w:ilvl w:val="7"/>
        <w:numId w:val="1"/>
      </w:numPr>
      <w:ind w:left="680" w:hanging="150"/>
      <w:spacing w:line="460" w:lineRule="exact"/>
      <w:tabs>
        <w:tab w:val="clear" w:pos="860" w:leader="none"/>
      </w:tabs>
      <w:outlineLvl w:val="7"/>
    </w:pPr>
    <w:rPr>
      <w:rFonts w:ascii="宋体"/>
      <w:sz w:val="28"/>
      <w:szCs w:val="20"/>
    </w:rPr>
  </w:style>
  <w:style w:type="paragraph" w:styleId="852">
    <w:name w:val="xl39"/>
    <w:basedOn w:val="726"/>
    <w:next w:val="85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3">
    <w:name w:val="xl37"/>
    <w:basedOn w:val="726"/>
    <w:next w:val="853"/>
    <w:link w:val="72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54">
    <w:name w:val="xl32"/>
    <w:basedOn w:val="726"/>
    <w:next w:val="854"/>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55">
    <w:name w:val="font8"/>
    <w:basedOn w:val="726"/>
    <w:next w:val="855"/>
    <w:link w:val="726"/>
    <w:qFormat/>
    <w:pPr>
      <w:jc w:val="left"/>
      <w:spacing w:before="100" w:beforeAutospacing="1" w:after="100" w:afterAutospacing="1"/>
      <w:widowControl/>
    </w:pPr>
    <w:rPr>
      <w:sz w:val="36"/>
      <w:szCs w:val="36"/>
    </w:rPr>
  </w:style>
  <w:style w:type="paragraph" w:styleId="856">
    <w:name w:val="Char"/>
    <w:basedOn w:val="726"/>
    <w:next w:val="856"/>
    <w:link w:val="726"/>
    <w:qFormat/>
    <w:pPr>
      <w:tabs>
        <w:tab w:val="left" w:pos="360" w:leader="none"/>
      </w:tabs>
    </w:pPr>
    <w:rPr>
      <w:sz w:val="24"/>
    </w:rPr>
  </w:style>
  <w:style w:type="paragraph" w:styleId="857">
    <w:name w:val="Char Char Char Char Char Char Char Char Char Char Char Char Char Char Char Char"/>
    <w:basedOn w:val="726"/>
    <w:next w:val="857"/>
    <w:link w:val="726"/>
    <w:qFormat/>
    <w:pPr>
      <w:jc w:val="center"/>
      <w:spacing w:after="160" w:line="240" w:lineRule="exact"/>
      <w:widowControl/>
    </w:pPr>
    <w:rPr>
      <w:rFonts w:ascii="宋体" w:hAnsi="宋体"/>
      <w:b/>
      <w:sz w:val="30"/>
      <w:szCs w:val="30"/>
      <w:lang w:eastAsia="en-US"/>
    </w:rPr>
  </w:style>
  <w:style w:type="paragraph" w:styleId="858">
    <w:name w:val="xl45"/>
    <w:basedOn w:val="726"/>
    <w:next w:val="858"/>
    <w:link w:val="72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59">
    <w:name w:val="Char Char1 Char Char Char Char Char Char"/>
    <w:basedOn w:val="726"/>
    <w:next w:val="859"/>
    <w:link w:val="726"/>
    <w:qFormat/>
    <w:pPr>
      <w:jc w:val="left"/>
      <w:spacing w:after="160" w:line="240" w:lineRule="exact"/>
      <w:widowControl/>
    </w:pPr>
    <w:rPr>
      <w:rFonts w:ascii="Verdana" w:hAnsi="Verdana" w:eastAsia="仿宋_GB2312"/>
      <w:sz w:val="24"/>
      <w:szCs w:val="20"/>
      <w:lang w:eastAsia="en-US"/>
    </w:rPr>
  </w:style>
  <w:style w:type="paragraph" w:styleId="860">
    <w:name w:val="Char Char1"/>
    <w:basedOn w:val="754"/>
    <w:next w:val="860"/>
    <w:link w:val="726"/>
    <w:qFormat/>
    <w:rPr>
      <w:rFonts w:ascii="Tahoma" w:hAnsi="Tahoma"/>
      <w:sz w:val="24"/>
    </w:rPr>
  </w:style>
  <w:style w:type="paragraph" w:styleId="861">
    <w:name w:val="xl26"/>
    <w:basedOn w:val="726"/>
    <w:next w:val="861"/>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62">
    <w:name w:val="xl30"/>
    <w:basedOn w:val="726"/>
    <w:next w:val="862"/>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63">
    <w:name w:val="xl41"/>
    <w:basedOn w:val="726"/>
    <w:next w:val="863"/>
    <w:link w:val="72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64">
    <w:name w:val="样式 宋体 五号 行距: 单倍行距"/>
    <w:basedOn w:val="726"/>
    <w:next w:val="864"/>
    <w:link w:val="726"/>
    <w:qFormat/>
    <w:pPr>
      <w:jc w:val="left"/>
    </w:pPr>
    <w:rPr>
      <w:rFonts w:ascii="宋体" w:hAnsi="宋体"/>
      <w:szCs w:val="20"/>
    </w:rPr>
  </w:style>
  <w:style w:type="paragraph" w:styleId="865">
    <w:name w:val="Char1 Char Char Char1"/>
    <w:basedOn w:val="726"/>
    <w:next w:val="865"/>
    <w:link w:val="726"/>
    <w:qFormat/>
    <w:rPr>
      <w:rFonts w:ascii="Tahoma" w:hAnsi="Tahoma" w:cs="仿宋_GB2312"/>
      <w:sz w:val="24"/>
      <w:szCs w:val="28"/>
    </w:rPr>
  </w:style>
  <w:style w:type="paragraph" w:styleId="866">
    <w:name w:val="四级条标题"/>
    <w:basedOn w:val="867"/>
    <w:next w:val="726"/>
    <w:link w:val="726"/>
    <w:qFormat/>
    <w:pPr>
      <w:numPr>
        <w:ilvl w:val="4"/>
      </w:numPr>
      <w:ind w:left="0" w:hanging="840"/>
      <w:tabs>
        <w:tab w:val="left" w:pos="360" w:leader="none"/>
        <w:tab w:val="left" w:pos="840" w:leader="none"/>
      </w:tabs>
      <w:outlineLvl w:val="4"/>
    </w:pPr>
  </w:style>
  <w:style w:type="paragraph" w:styleId="867">
    <w:name w:val="三级条标题"/>
    <w:basedOn w:val="829"/>
    <w:next w:val="726"/>
    <w:link w:val="726"/>
    <w:qFormat/>
    <w:pPr>
      <w:numPr>
        <w:ilvl w:val="3"/>
        <w:numId w:val="1"/>
      </w:numPr>
      <w:ind w:left="0" w:hanging="840"/>
      <w:tabs>
        <w:tab w:val="left" w:pos="360" w:leader="none"/>
        <w:tab w:val="left" w:pos="840" w:leader="none"/>
      </w:tabs>
      <w:outlineLvl w:val="3"/>
    </w:pPr>
  </w:style>
  <w:style w:type="paragraph" w:styleId="868">
    <w:name w:val="??"/>
    <w:next w:val="868"/>
    <w:link w:val="726"/>
    <w:qFormat/>
    <w:pPr>
      <w:jc w:val="both"/>
      <w:widowControl w:val="off"/>
    </w:pPr>
    <w:rPr>
      <w:sz w:val="21"/>
      <w:lang w:val="en-US" w:eastAsia="en-US" w:bidi="ar-SA"/>
    </w:rPr>
  </w:style>
  <w:style w:type="paragraph" w:styleId="869">
    <w:name w:val="样式 标题 2 + 宋体 五号 行距: 单倍行距"/>
    <w:basedOn w:val="728"/>
    <w:next w:val="869"/>
    <w:link w:val="72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70">
    <w:name w:val="List Paragraph1"/>
    <w:basedOn w:val="726"/>
    <w:next w:val="870"/>
    <w:link w:val="726"/>
    <w:qFormat/>
    <w:pPr>
      <w:ind w:firstLine="420"/>
    </w:pPr>
    <w:rPr>
      <w:rFonts w:ascii="Calibri" w:hAnsi="Calibri"/>
      <w:szCs w:val="22"/>
    </w:rPr>
  </w:style>
  <w:style w:type="paragraph" w:styleId="871">
    <w:name w:val="项目符号1"/>
    <w:basedOn w:val="872"/>
    <w:next w:val="871"/>
    <w:link w:val="726"/>
    <w:qFormat/>
    <w:pPr>
      <w:ind w:left="-25" w:firstLine="0"/>
    </w:pPr>
  </w:style>
  <w:style w:type="paragraph" w:styleId="872">
    <w:name w:val="正文文本样式"/>
    <w:basedOn w:val="726"/>
    <w:next w:val="872"/>
    <w:link w:val="726"/>
    <w:qFormat/>
    <w:pPr>
      <w:ind w:firstLine="482"/>
      <w:spacing w:line="360" w:lineRule="auto"/>
    </w:pPr>
    <w:rPr>
      <w:rFonts w:cs="宋体"/>
      <w:sz w:val="24"/>
      <w:szCs w:val="20"/>
    </w:rPr>
  </w:style>
  <w:style w:type="paragraph" w:styleId="873">
    <w:name w:val="xl27"/>
    <w:basedOn w:val="726"/>
    <w:next w:val="87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4">
    <w:name w:val="font5"/>
    <w:basedOn w:val="726"/>
    <w:next w:val="874"/>
    <w:link w:val="726"/>
    <w:qFormat/>
    <w:pPr>
      <w:jc w:val="left"/>
      <w:spacing w:before="100" w:beforeAutospacing="1" w:after="100" w:afterAutospacing="1"/>
      <w:widowControl/>
    </w:pPr>
    <w:rPr>
      <w:rFonts w:ascii="宋体" w:hAnsi="宋体" w:cs="宋体"/>
      <w:sz w:val="18"/>
      <w:szCs w:val="18"/>
    </w:rPr>
  </w:style>
  <w:style w:type="paragraph" w:styleId="875">
    <w:name w:val="五级条标题"/>
    <w:basedOn w:val="866"/>
    <w:next w:val="726"/>
    <w:link w:val="726"/>
    <w:qFormat/>
    <w:pPr>
      <w:numPr>
        <w:ilvl w:val="5"/>
      </w:numPr>
      <w:ind w:left="0" w:hanging="840"/>
      <w:tabs>
        <w:tab w:val="left" w:pos="360" w:leader="none"/>
        <w:tab w:val="left" w:pos="840" w:leader="none"/>
      </w:tabs>
      <w:outlineLvl w:val="5"/>
    </w:pPr>
  </w:style>
  <w:style w:type="paragraph" w:styleId="876">
    <w:name w:val="xl49"/>
    <w:basedOn w:val="726"/>
    <w:next w:val="876"/>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877">
    <w:name w:val="文档正文"/>
    <w:basedOn w:val="726"/>
    <w:next w:val="877"/>
    <w:link w:val="726"/>
    <w:qFormat/>
    <w:pPr>
      <w:spacing w:before="120" w:after="120" w:line="180" w:lineRule="auto"/>
    </w:pPr>
    <w:rPr>
      <w:rFonts w:ascii="Arial" w:hAnsi="Arial"/>
      <w:szCs w:val="20"/>
    </w:rPr>
  </w:style>
  <w:style w:type="paragraph" w:styleId="878">
    <w:name w:val="xl33"/>
    <w:basedOn w:val="726"/>
    <w:next w:val="878"/>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79">
    <w:name w:val="xl42"/>
    <w:basedOn w:val="726"/>
    <w:next w:val="87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880">
    <w:name w:val="Char Char Char1 Char"/>
    <w:basedOn w:val="726"/>
    <w:next w:val="880"/>
    <w:link w:val="726"/>
    <w:qFormat/>
    <w:rPr>
      <w:rFonts w:ascii="Tahoma" w:hAnsi="Tahoma"/>
      <w:sz w:val="24"/>
      <w:szCs w:val="20"/>
    </w:rPr>
  </w:style>
  <w:style w:type="paragraph" w:styleId="881">
    <w:name w:val="xl44"/>
    <w:basedOn w:val="726"/>
    <w:next w:val="881"/>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882">
    <w:name w:val="1名"/>
    <w:basedOn w:val="726"/>
    <w:next w:val="882"/>
    <w:link w:val="726"/>
    <w:qFormat/>
    <w:pPr>
      <w:numPr>
        <w:ilvl w:val="0"/>
        <w:numId w:val="5"/>
      </w:numPr>
      <w:spacing w:before="120"/>
      <w:tabs>
        <w:tab w:val="left" w:pos="360" w:leader="none"/>
      </w:tabs>
    </w:pPr>
    <w:rPr>
      <w:rFonts w:ascii="宋体"/>
      <w:sz w:val="28"/>
      <w:szCs w:val="20"/>
    </w:rPr>
  </w:style>
  <w:style w:type="paragraph" w:styleId="883">
    <w:name w:val="font9"/>
    <w:basedOn w:val="726"/>
    <w:next w:val="883"/>
    <w:link w:val="726"/>
    <w:qFormat/>
    <w:pPr>
      <w:jc w:val="left"/>
      <w:spacing w:before="100" w:beforeAutospacing="1" w:after="100" w:afterAutospacing="1"/>
      <w:widowControl/>
    </w:pPr>
    <w:rPr>
      <w:rFonts w:hint="eastAsia" w:ascii="宋体" w:hAnsi="宋体" w:cs="Arial Unicode MS"/>
      <w:color w:val="000000"/>
      <w:sz w:val="20"/>
      <w:szCs w:val="20"/>
    </w:rPr>
  </w:style>
  <w:style w:type="paragraph" w:styleId="884">
    <w:name w:val="Char Char Char1 Char1"/>
    <w:basedOn w:val="726"/>
    <w:next w:val="884"/>
    <w:link w:val="726"/>
    <w:qFormat/>
    <w:rPr>
      <w:rFonts w:ascii="Tahoma" w:hAnsi="Tahoma"/>
      <w:sz w:val="24"/>
      <w:szCs w:val="20"/>
    </w:rPr>
  </w:style>
  <w:style w:type="paragraph" w:styleId="885">
    <w:name w:val="Char Char Char Char Char Char Char Char Char Char"/>
    <w:basedOn w:val="726"/>
    <w:next w:val="885"/>
    <w:link w:val="726"/>
    <w:qFormat/>
  </w:style>
  <w:style w:type="paragraph" w:styleId="886">
    <w:name w:val="Char Char1 Char Char Char Char Char Char Char Char"/>
    <w:basedOn w:val="726"/>
    <w:next w:val="886"/>
    <w:link w:val="726"/>
    <w:qFormat/>
    <w:pPr>
      <w:jc w:val="left"/>
      <w:spacing w:after="160" w:line="240" w:lineRule="exact"/>
      <w:widowControl/>
    </w:pPr>
    <w:rPr>
      <w:rFonts w:ascii="Verdana" w:hAnsi="Verdana"/>
      <w:sz w:val="20"/>
      <w:szCs w:val="20"/>
      <w:lang w:eastAsia="en-US"/>
    </w:rPr>
  </w:style>
  <w:style w:type="paragraph" w:styleId="887">
    <w:name w:val="Char1"/>
    <w:basedOn w:val="726"/>
    <w:next w:val="887"/>
    <w:link w:val="726"/>
    <w:qFormat/>
    <w:pPr>
      <w:tabs>
        <w:tab w:val="left" w:pos="360" w:leader="none"/>
      </w:tabs>
    </w:pPr>
    <w:rPr>
      <w:sz w:val="24"/>
    </w:rPr>
  </w:style>
  <w:style w:type="paragraph" w:styleId="888">
    <w:name w:val="正文列项_字母"/>
    <w:basedOn w:val="726"/>
    <w:next w:val="888"/>
    <w:link w:val="726"/>
    <w:qFormat/>
    <w:pPr>
      <w:numPr>
        <w:ilvl w:val="6"/>
        <w:numId w:val="1"/>
      </w:numPr>
      <w:ind w:left="480" w:hanging="180"/>
      <w:spacing w:line="460" w:lineRule="exact"/>
      <w:tabs>
        <w:tab w:val="clear" w:pos="635" w:leader="none"/>
      </w:tabs>
      <w:outlineLvl w:val="6"/>
    </w:pPr>
    <w:rPr>
      <w:rFonts w:ascii="宋体"/>
      <w:sz w:val="28"/>
      <w:szCs w:val="20"/>
    </w:rPr>
  </w:style>
  <w:style w:type="paragraph" w:styleId="889">
    <w:name w:val="xl28"/>
    <w:basedOn w:val="726"/>
    <w:next w:val="889"/>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0">
    <w:name w:val="xl47"/>
    <w:basedOn w:val="726"/>
    <w:next w:val="890"/>
    <w:link w:val="72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1">
    <w:name w:val="默认段落字体 Para Char Char Char Char"/>
    <w:basedOn w:val="726"/>
    <w:next w:val="891"/>
    <w:link w:val="726"/>
    <w:qFormat/>
    <w:rPr>
      <w:rFonts w:ascii="Arial" w:hAnsi="Arial" w:cs="Arial"/>
      <w:szCs w:val="21"/>
    </w:rPr>
  </w:style>
  <w:style w:type="paragraph" w:styleId="892">
    <w:name w:val="xl48"/>
    <w:basedOn w:val="726"/>
    <w:next w:val="892"/>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893">
    <w:name w:val="xl31"/>
    <w:basedOn w:val="726"/>
    <w:next w:val="893"/>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894">
    <w:name w:val="xl53"/>
    <w:basedOn w:val="726"/>
    <w:next w:val="894"/>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95">
    <w:name w:val="Char Char Char"/>
    <w:basedOn w:val="726"/>
    <w:next w:val="895"/>
    <w:link w:val="726"/>
    <w:qFormat/>
    <w:rPr>
      <w:rFonts w:ascii="Tahoma" w:hAnsi="Tahoma"/>
      <w:sz w:val="24"/>
      <w:szCs w:val="20"/>
    </w:rPr>
  </w:style>
  <w:style w:type="paragraph" w:styleId="896">
    <w:name w:val="xl50"/>
    <w:basedOn w:val="726"/>
    <w:next w:val="896"/>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897">
    <w:name w:val="缺省文本"/>
    <w:basedOn w:val="726"/>
    <w:next w:val="897"/>
    <w:link w:val="726"/>
    <w:qFormat/>
    <w:pPr>
      <w:jc w:val="left"/>
    </w:pPr>
    <w:rPr>
      <w:sz w:val="24"/>
    </w:rPr>
  </w:style>
  <w:style w:type="paragraph" w:styleId="898">
    <w:name w:val="Char Char Char1"/>
    <w:basedOn w:val="726"/>
    <w:next w:val="898"/>
    <w:link w:val="726"/>
    <w:qFormat/>
    <w:rPr>
      <w:rFonts w:ascii="Tahoma" w:hAnsi="Tahoma"/>
      <w:sz w:val="24"/>
      <w:szCs w:val="20"/>
    </w:rPr>
  </w:style>
  <w:style w:type="paragraph" w:styleId="899">
    <w:name w:val="Char Char Char Char Char Char Char1"/>
    <w:basedOn w:val="726"/>
    <w:next w:val="899"/>
    <w:link w:val="726"/>
    <w:qFormat/>
    <w:pPr>
      <w:ind w:firstLine="200"/>
      <w:spacing w:line="360" w:lineRule="auto"/>
    </w:pPr>
    <w:rPr>
      <w:rFonts w:eastAsia="仿宋_GB2312"/>
      <w:sz w:val="24"/>
    </w:rPr>
  </w:style>
  <w:style w:type="paragraph" w:styleId="900">
    <w:name w:val="xl51"/>
    <w:basedOn w:val="726"/>
    <w:next w:val="900"/>
    <w:link w:val="72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1">
    <w:name w:val="样式2"/>
    <w:basedOn w:val="789"/>
    <w:next w:val="901"/>
    <w:link w:val="726"/>
    <w:qFormat/>
    <w:pPr>
      <w:jc w:val="center"/>
      <w:spacing w:line="360" w:lineRule="auto"/>
    </w:pPr>
    <w:rPr>
      <w:sz w:val="24"/>
    </w:rPr>
  </w:style>
  <w:style w:type="paragraph" w:styleId="902">
    <w:name w:val="xl24"/>
    <w:basedOn w:val="726"/>
    <w:next w:val="902"/>
    <w:link w:val="72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3">
    <w:name w:val="xl29"/>
    <w:basedOn w:val="726"/>
    <w:next w:val="903"/>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04">
    <w:name w:val="正文 + 楷体_GB2312"/>
    <w:basedOn w:val="726"/>
    <w:next w:val="904"/>
    <w:link w:val="726"/>
    <w:qFormat/>
    <w:pPr>
      <w:jc w:val="left"/>
      <w:widowControl/>
    </w:pPr>
    <w:rPr>
      <w:rFonts w:ascii="楷体_GB2312" w:eastAsia="楷体_GB2312" w:cs="Arial"/>
      <w:sz w:val="24"/>
    </w:rPr>
  </w:style>
  <w:style w:type="paragraph" w:styleId="905">
    <w:name w:val="xl34"/>
    <w:basedOn w:val="726"/>
    <w:next w:val="905"/>
    <w:link w:val="72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06">
    <w:name w:val="1 Char Char Char Char"/>
    <w:basedOn w:val="726"/>
    <w:next w:val="906"/>
    <w:link w:val="726"/>
    <w:qFormat/>
    <w:rPr>
      <w:rFonts w:ascii="Tahoma" w:hAnsi="Tahoma"/>
      <w:sz w:val="24"/>
      <w:szCs w:val="20"/>
    </w:rPr>
  </w:style>
  <w:style w:type="paragraph" w:styleId="907">
    <w:name w:val="列出段落1"/>
    <w:basedOn w:val="726"/>
    <w:next w:val="907"/>
    <w:link w:val="726"/>
    <w:qFormat/>
    <w:pPr>
      <w:ind w:firstLine="420"/>
    </w:pPr>
    <w:rPr>
      <w:rFonts w:ascii="Calibri" w:hAnsi="Calibri"/>
      <w:szCs w:val="22"/>
    </w:rPr>
  </w:style>
  <w:style w:type="paragraph" w:styleId="908">
    <w:name w:val="default"/>
    <w:basedOn w:val="726"/>
    <w:next w:val="908"/>
    <w:link w:val="726"/>
    <w:qFormat/>
    <w:pPr>
      <w:jc w:val="left"/>
      <w:spacing w:before="100" w:beforeAutospacing="1" w:after="100" w:afterAutospacing="1"/>
      <w:widowControl/>
    </w:pPr>
    <w:rPr>
      <w:rFonts w:ascii="宋体" w:hAnsi="宋体" w:cs="宋体"/>
      <w:sz w:val="24"/>
    </w:rPr>
  </w:style>
  <w:style w:type="paragraph" w:styleId="909">
    <w:name w:val="字元 字元1"/>
    <w:basedOn w:val="726"/>
    <w:next w:val="909"/>
    <w:link w:val="726"/>
    <w:qFormat/>
    <w:rPr>
      <w:rFonts w:ascii="Tahoma" w:hAnsi="Tahoma"/>
      <w:sz w:val="24"/>
      <w:szCs w:val="20"/>
    </w:rPr>
  </w:style>
  <w:style w:type="paragraph" w:styleId="910">
    <w:name w:val="_Style 160"/>
    <w:next w:val="910"/>
    <w:link w:val="726"/>
    <w:qFormat/>
    <w:rPr>
      <w:sz w:val="21"/>
      <w:szCs w:val="24"/>
      <w:lang w:val="en-US" w:eastAsia="zh-CN" w:bidi="ar-SA"/>
    </w:rPr>
  </w:style>
  <w:style w:type="paragraph" w:styleId="911">
    <w:name w:val="项目编号3"/>
    <w:basedOn w:val="872"/>
    <w:next w:val="911"/>
    <w:link w:val="726"/>
    <w:qFormat/>
    <w:pPr>
      <w:numPr>
        <w:ilvl w:val="0"/>
        <w:numId w:val="6"/>
      </w:numPr>
    </w:pPr>
  </w:style>
  <w:style w:type="paragraph" w:styleId="912">
    <w:name w:val="Char21"/>
    <w:basedOn w:val="726"/>
    <w:next w:val="912"/>
    <w:link w:val="726"/>
    <w:qFormat/>
    <w:rPr>
      <w:rFonts w:ascii="Tahoma" w:hAnsi="Tahoma"/>
      <w:sz w:val="24"/>
      <w:szCs w:val="20"/>
    </w:rPr>
  </w:style>
  <w:style w:type="paragraph" w:styleId="913">
    <w:name w:val="表格文字"/>
    <w:basedOn w:val="760"/>
    <w:next w:val="913"/>
    <w:link w:val="726"/>
    <w:qFormat/>
    <w:pPr>
      <w:ind w:firstLine="0"/>
      <w:spacing w:before="20" w:after="20" w:line="240" w:lineRule="auto"/>
    </w:pPr>
    <w:rPr>
      <w:rFonts w:ascii="Century Gothic" w:hAnsi="Century Gothic"/>
      <w:sz w:val="20"/>
      <w:szCs w:val="20"/>
    </w:rPr>
  </w:style>
  <w:style w:type="paragraph" w:styleId="914">
    <w:name w:val="Char Char Char Char Char Char Char Char Char Char1"/>
    <w:basedOn w:val="726"/>
    <w:next w:val="914"/>
    <w:link w:val="726"/>
    <w:qFormat/>
    <w:rPr>
      <w:rFonts w:ascii="宋体" w:hAnsi="宋体" w:cs="Courier New"/>
      <w:sz w:val="32"/>
      <w:szCs w:val="32"/>
    </w:rPr>
  </w:style>
  <w:style w:type="paragraph" w:styleId="915">
    <w:name w:val="正文文本样式 加粗"/>
    <w:basedOn w:val="872"/>
    <w:next w:val="915"/>
    <w:link w:val="726"/>
    <w:qFormat/>
    <w:rPr>
      <w:b/>
    </w:rPr>
  </w:style>
  <w:style w:type="paragraph" w:styleId="916">
    <w:name w:val="Char2 Char Char Char Char Char Char"/>
    <w:basedOn w:val="726"/>
    <w:next w:val="916"/>
    <w:link w:val="726"/>
    <w:qFormat/>
    <w:pPr>
      <w:jc w:val="center"/>
      <w:spacing w:line="400" w:lineRule="exact"/>
      <w:widowControl/>
    </w:pPr>
  </w:style>
  <w:style w:type="paragraph" w:styleId="917">
    <w:name w:val="Char Char4"/>
    <w:basedOn w:val="726"/>
    <w:next w:val="917"/>
    <w:link w:val="726"/>
    <w:qFormat/>
    <w:pPr>
      <w:jc w:val="center"/>
      <w:spacing w:line="400" w:lineRule="exact"/>
      <w:widowControl/>
    </w:pPr>
  </w:style>
  <w:style w:type="paragraph" w:styleId="918">
    <w:name w:val="Char3 Char Char Char1"/>
    <w:basedOn w:val="726"/>
    <w:next w:val="918"/>
    <w:link w:val="726"/>
    <w:qFormat/>
    <w:rPr>
      <w:rFonts w:ascii="Tahoma" w:hAnsi="Tahoma"/>
      <w:sz w:val="24"/>
      <w:szCs w:val="20"/>
    </w:rPr>
  </w:style>
  <w:style w:type="paragraph" w:styleId="919">
    <w:name w:val="无间隔"/>
    <w:next w:val="919"/>
    <w:link w:val="726"/>
    <w:qFormat/>
    <w:pPr>
      <w:jc w:val="both"/>
      <w:widowControl w:val="off"/>
    </w:pPr>
    <w:rPr>
      <w:sz w:val="21"/>
      <w:szCs w:val="24"/>
      <w:lang w:val="en-US" w:eastAsia="zh-CN" w:bidi="ar-SA"/>
    </w:rPr>
  </w:style>
  <w:style w:type="paragraph" w:styleId="920">
    <w:name w:val="22222222222222"/>
    <w:basedOn w:val="726"/>
    <w:next w:val="920"/>
    <w:link w:val="726"/>
    <w:qFormat/>
    <w:pPr>
      <w:ind w:firstLine="480"/>
      <w:jc w:val="left"/>
      <w:spacing w:line="360" w:lineRule="auto"/>
      <w:widowControl/>
    </w:pPr>
    <w:rPr>
      <w:color w:val="ff0000"/>
      <w:sz w:val="24"/>
      <w:szCs w:val="20"/>
    </w:rPr>
  </w:style>
  <w:style w:type="character" w:styleId="921">
    <w:name w:val="中等深浅网格 1 - 强调文字颜色 2 Char"/>
    <w:next w:val="921"/>
    <w:link w:val="922"/>
    <w:qFormat/>
    <w:rPr>
      <w:sz w:val="21"/>
      <w:szCs w:val="24"/>
      <w:lang w:val="zh-CN" w:eastAsia="zh-CN" w:bidi="ar-SA"/>
    </w:rPr>
  </w:style>
  <w:style w:type="paragraph" w:styleId="922">
    <w:name w:val="1"/>
    <w:next w:val="922"/>
    <w:link w:val="921"/>
    <w:qFormat/>
    <w:rPr>
      <w:sz w:val="21"/>
      <w:szCs w:val="24"/>
      <w:lang w:val="zh-CN" w:eastAsia="zh-CN" w:bidi="ar-SA"/>
    </w:rPr>
  </w:style>
  <w:style w:type="paragraph" w:styleId="923">
    <w:name w:val="图文"/>
    <w:basedOn w:val="726"/>
    <w:next w:val="923"/>
    <w:link w:val="726"/>
    <w:qFormat/>
    <w:pPr>
      <w:spacing w:after="50" w:line="360" w:lineRule="auto"/>
    </w:pPr>
    <w:rPr>
      <w:sz w:val="24"/>
    </w:rPr>
  </w:style>
  <w:style w:type="paragraph" w:styleId="924">
    <w:name w:val="xl23"/>
    <w:basedOn w:val="726"/>
    <w:next w:val="924"/>
    <w:link w:val="726"/>
    <w:qFormat/>
    <w:pPr>
      <w:spacing w:before="100" w:beforeAutospacing="1" w:after="100" w:afterAutospacing="1" w:line="360" w:lineRule="auto"/>
      <w:widowControl/>
    </w:pPr>
    <w:rPr>
      <w:sz w:val="24"/>
      <w:szCs w:val="20"/>
    </w:rPr>
  </w:style>
  <w:style w:type="paragraph" w:styleId="925">
    <w:name w:val="正文表格"/>
    <w:basedOn w:val="726"/>
    <w:next w:val="925"/>
    <w:link w:val="926"/>
    <w:qFormat/>
    <w:pPr>
      <w:jc w:val="left"/>
    </w:pPr>
    <w:rPr>
      <w:rFonts w:ascii="宋体" w:hAnsi="宋体"/>
      <w:color w:val="000000"/>
      <w:szCs w:val="21"/>
    </w:rPr>
  </w:style>
  <w:style w:type="character" w:styleId="926">
    <w:name w:val="正文表格 Char"/>
    <w:next w:val="926"/>
    <w:link w:val="925"/>
    <w:qFormat/>
    <w:rPr>
      <w:rFonts w:ascii="宋体" w:hAnsi="宋体"/>
      <w:color w:val="000000"/>
      <w:sz w:val="21"/>
      <w:szCs w:val="21"/>
    </w:rPr>
  </w:style>
  <w:style w:type="paragraph" w:styleId="927">
    <w:name w:val="正文重点"/>
    <w:basedOn w:val="726"/>
    <w:next w:val="927"/>
    <w:link w:val="928"/>
    <w:qFormat/>
    <w:pPr>
      <w:ind w:firstLine="482"/>
      <w:jc w:val="left"/>
      <w:spacing w:line="360" w:lineRule="auto"/>
    </w:pPr>
    <w:rPr>
      <w:b/>
      <w:sz w:val="24"/>
      <w:szCs w:val="20"/>
    </w:rPr>
  </w:style>
  <w:style w:type="character" w:styleId="928">
    <w:name w:val="正文重点 Char"/>
    <w:next w:val="928"/>
    <w:link w:val="927"/>
    <w:qFormat/>
    <w:rPr>
      <w:b/>
      <w:sz w:val="24"/>
    </w:rPr>
  </w:style>
  <w:style w:type="paragraph" w:styleId="929">
    <w:name w:val="标题1-附件"/>
    <w:basedOn w:val="727"/>
    <w:next w:val="929"/>
    <w:link w:val="726"/>
    <w:qFormat/>
    <w:pPr>
      <w:jc w:val="left"/>
    </w:pPr>
    <w:rPr>
      <w:sz w:val="24"/>
      <w:szCs w:val="24"/>
    </w:rPr>
  </w:style>
  <w:style w:type="paragraph" w:styleId="930">
    <w:name w:val="正文小标题"/>
    <w:basedOn w:val="726"/>
    <w:next w:val="751"/>
    <w:link w:val="931"/>
    <w:qFormat/>
    <w:pPr>
      <w:ind w:firstLine="482"/>
      <w:jc w:val="left"/>
      <w:spacing w:before="312" w:after="312"/>
    </w:pPr>
    <w:rPr>
      <w:rFonts w:ascii="宋体" w:hAnsi="宋体"/>
      <w:b/>
      <w:i/>
      <w:color w:val="ff0000"/>
      <w:sz w:val="24"/>
      <w:szCs w:val="20"/>
    </w:rPr>
  </w:style>
  <w:style w:type="character" w:styleId="931">
    <w:name w:val="正文小标题 Char"/>
    <w:next w:val="931"/>
    <w:link w:val="930"/>
    <w:qFormat/>
    <w:rPr>
      <w:rFonts w:ascii="宋体" w:hAnsi="宋体"/>
      <w:b/>
      <w:i/>
      <w:color w:val="ff0000"/>
      <w:sz w:val="24"/>
    </w:rPr>
  </w:style>
  <w:style w:type="paragraph" w:styleId="932">
    <w:name w:val="正文大标题"/>
    <w:basedOn w:val="930"/>
    <w:next w:val="751"/>
    <w:link w:val="933"/>
    <w:qFormat/>
    <w:pPr>
      <w:jc w:val="center"/>
    </w:pPr>
    <w:rPr>
      <w:i w:val="0"/>
      <w:color w:val="000000"/>
      <w:sz w:val="28"/>
      <w:szCs w:val="21"/>
    </w:rPr>
  </w:style>
  <w:style w:type="character" w:styleId="933">
    <w:name w:val="正文大标题 Char"/>
    <w:next w:val="933"/>
    <w:link w:val="932"/>
    <w:qFormat/>
    <w:rPr>
      <w:rFonts w:ascii="宋体" w:hAnsi="宋体"/>
      <w:b/>
      <w:color w:val="000000"/>
      <w:sz w:val="28"/>
      <w:szCs w:val="21"/>
    </w:rPr>
  </w:style>
  <w:style w:type="paragraph" w:styleId="934">
    <w:name w:val="注释"/>
    <w:basedOn w:val="726"/>
    <w:next w:val="934"/>
    <w:link w:val="935"/>
    <w:qFormat/>
    <w:pPr>
      <w:ind w:left="420" w:hanging="420"/>
      <w:jc w:val="left"/>
    </w:pPr>
    <w:rPr>
      <w:rFonts w:ascii="宋体" w:hAnsi="宋体"/>
      <w:szCs w:val="21"/>
    </w:rPr>
  </w:style>
  <w:style w:type="character" w:styleId="935">
    <w:name w:val="注释 Char"/>
    <w:next w:val="935"/>
    <w:link w:val="934"/>
    <w:qFormat/>
    <w:rPr>
      <w:rFonts w:ascii="宋体" w:hAnsi="宋体"/>
      <w:sz w:val="21"/>
      <w:szCs w:val="21"/>
    </w:rPr>
  </w:style>
  <w:style w:type="paragraph" w:styleId="936">
    <w:name w:val="正文须知-1级"/>
    <w:basedOn w:val="726"/>
    <w:next w:val="726"/>
    <w:link w:val="726"/>
    <w:qFormat/>
    <w:pPr>
      <w:numPr>
        <w:ilvl w:val="0"/>
        <w:numId w:val="7"/>
      </w:numPr>
      <w:spacing w:line="300" w:lineRule="auto"/>
    </w:pPr>
    <w:rPr>
      <w:rFonts w:ascii="宋体" w:hAnsi="Calibri"/>
      <w:sz w:val="24"/>
      <w:szCs w:val="21"/>
    </w:rPr>
  </w:style>
  <w:style w:type="paragraph" w:styleId="937">
    <w:name w:val="正文须知-2级"/>
    <w:basedOn w:val="726"/>
    <w:next w:val="937"/>
    <w:link w:val="726"/>
    <w:qFormat/>
    <w:pPr>
      <w:numPr>
        <w:ilvl w:val="1"/>
        <w:numId w:val="7"/>
      </w:numPr>
      <w:spacing w:line="300" w:lineRule="auto"/>
    </w:pPr>
    <w:rPr>
      <w:rFonts w:ascii="宋体" w:hAnsi="Calibri"/>
      <w:sz w:val="24"/>
      <w:szCs w:val="21"/>
    </w:rPr>
  </w:style>
  <w:style w:type="paragraph" w:styleId="938">
    <w:name w:val="正文须知-3级"/>
    <w:basedOn w:val="726"/>
    <w:next w:val="938"/>
    <w:link w:val="726"/>
    <w:qFormat/>
    <w:pPr>
      <w:numPr>
        <w:ilvl w:val="2"/>
        <w:numId w:val="7"/>
      </w:numPr>
      <w:ind w:hanging="355"/>
      <w:spacing w:line="300" w:lineRule="auto"/>
    </w:pPr>
    <w:rPr>
      <w:rFonts w:ascii="宋体" w:hAnsi="Calibri"/>
      <w:sz w:val="24"/>
      <w:szCs w:val="21"/>
    </w:rPr>
  </w:style>
  <w:style w:type="character" w:styleId="939">
    <w:name w:val="纯文本 字符"/>
    <w:next w:val="939"/>
    <w:link w:val="726"/>
    <w:uiPriority w:val="99"/>
    <w:qFormat/>
    <w:rPr>
      <w:rFonts w:ascii="宋体" w:hAnsi="Courier New" w:eastAsia="宋体" w:cs="Times New Roman"/>
      <w:sz w:val="21"/>
      <w:szCs w:val="21"/>
      <w:lang w:val="en-US" w:eastAsia="zh-CN" w:bidi="ar-SA"/>
    </w:rPr>
  </w:style>
  <w:style w:type="paragraph" w:styleId="940">
    <w:name w:val="表格1"/>
    <w:basedOn w:val="726"/>
    <w:next w:val="940"/>
    <w:link w:val="726"/>
    <w:qFormat/>
    <w:pPr>
      <w:ind w:firstLine="480"/>
      <w:jc w:val="center"/>
    </w:pPr>
    <w:rPr>
      <w:sz w:val="24"/>
      <w:szCs w:val="20"/>
    </w:rPr>
  </w:style>
  <w:style w:type="character" w:styleId="941">
    <w:name w:val="纯文本 字符1"/>
    <w:next w:val="941"/>
    <w:link w:val="726"/>
    <w:qFormat/>
    <w:rPr>
      <w:rFonts w:ascii="宋体" w:hAnsi="Courier New"/>
    </w:rPr>
  </w:style>
  <w:style w:type="character" w:styleId="942">
    <w:name w:val="bjh-p"/>
    <w:next w:val="942"/>
    <w:link w:val="726"/>
    <w:qFormat/>
  </w:style>
  <w:style w:type="paragraph" w:styleId="943">
    <w:name w:val="无标题条"/>
    <w:next w:val="726"/>
    <w:link w:val="726"/>
    <w:qFormat/>
    <w:pPr>
      <w:jc w:val="both"/>
    </w:pPr>
    <w:rPr>
      <w:sz w:val="21"/>
      <w:lang w:val="en-US" w:eastAsia="zh-CN" w:bidi="ar-SA"/>
    </w:rPr>
  </w:style>
  <w:style w:type="character" w:styleId="944">
    <w:name w:val="正文格式 Char"/>
    <w:next w:val="944"/>
    <w:link w:val="945"/>
    <w:qFormat/>
    <w:rPr>
      <w:rFonts w:ascii="宋体" w:hAnsi="宋体"/>
      <w:sz w:val="24"/>
      <w:szCs w:val="24"/>
      <w:lang w:val="en-GB"/>
    </w:rPr>
  </w:style>
  <w:style w:type="paragraph" w:styleId="945">
    <w:name w:val="正文格式"/>
    <w:basedOn w:val="726"/>
    <w:next w:val="945"/>
    <w:link w:val="944"/>
    <w:qFormat/>
    <w:pPr>
      <w:ind w:firstLine="480"/>
      <w:spacing w:line="360" w:lineRule="auto"/>
    </w:pPr>
    <w:rPr>
      <w:rFonts w:ascii="宋体" w:hAnsi="宋体"/>
      <w:sz w:val="24"/>
      <w:lang w:val="en-GB"/>
    </w:rPr>
  </w:style>
  <w:style w:type="character" w:styleId="946">
    <w:name w:val="标题 3 Char"/>
    <w:next w:val="946"/>
    <w:link w:val="726"/>
    <w:qFormat/>
    <w:rPr>
      <w:rFonts w:ascii="宋体" w:eastAsia="宋体"/>
      <w:b/>
      <w:sz w:val="24"/>
      <w:u w:val="single"/>
      <w:lang w:val="en-US" w:eastAsia="zh-CN" w:bidi="ar-SA"/>
    </w:rPr>
  </w:style>
  <w:style w:type="character" w:styleId="947">
    <w:name w:val="正文缩进 Char"/>
    <w:next w:val="947"/>
    <w:link w:val="726"/>
    <w:qFormat/>
    <w:rPr>
      <w:rFonts w:ascii="宋体" w:eastAsia="宋体"/>
      <w:sz w:val="24"/>
      <w:szCs w:val="24"/>
      <w:lang w:val="en-US" w:eastAsia="zh-CN" w:bidi="ar-SA"/>
    </w:rPr>
  </w:style>
  <w:style w:type="character" w:styleId="948">
    <w:name w:val="Char Char111"/>
    <w:next w:val="948"/>
    <w:link w:val="726"/>
    <w:qFormat/>
    <w:rPr>
      <w:rFonts w:ascii="宋体" w:eastAsia="宋体"/>
      <w:b/>
      <w:sz w:val="24"/>
      <w:u w:val="single"/>
      <w:lang w:val="en-US" w:eastAsia="zh-CN" w:bidi="ar-SA"/>
    </w:rPr>
  </w:style>
  <w:style w:type="character" w:styleId="949">
    <w:name w:val="正文文本缩进 Char"/>
    <w:next w:val="949"/>
    <w:link w:val="726"/>
    <w:qFormat/>
    <w:rPr>
      <w:rFonts w:eastAsia="宋体"/>
      <w:sz w:val="24"/>
      <w:szCs w:val="24"/>
      <w:lang w:val="en-US" w:eastAsia="zh-CN" w:bidi="ar-SA"/>
    </w:rPr>
  </w:style>
  <w:style w:type="character" w:styleId="950">
    <w:name w:val="列出段落 Char"/>
    <w:next w:val="950"/>
    <w:link w:val="726"/>
    <w:qFormat/>
    <w:rPr>
      <w:rFonts w:ascii="Calibri" w:hAnsi="Calibri" w:eastAsia="宋体"/>
      <w:sz w:val="21"/>
      <w:szCs w:val="22"/>
      <w:lang w:val="en-US" w:eastAsia="zh-CN" w:bidi="ar-SA"/>
    </w:rPr>
  </w:style>
  <w:style w:type="character" w:styleId="951">
    <w:name w:val="页眉 Char"/>
    <w:next w:val="951"/>
    <w:link w:val="726"/>
    <w:qFormat/>
    <w:rPr>
      <w:rFonts w:eastAsia="宋体"/>
      <w:sz w:val="18"/>
      <w:szCs w:val="18"/>
      <w:lang w:val="en-US" w:eastAsia="zh-CN" w:bidi="ar-SA"/>
    </w:rPr>
  </w:style>
  <w:style w:type="character" w:styleId="952">
    <w:name w:val="标题 2 Char"/>
    <w:next w:val="952"/>
    <w:link w:val="726"/>
    <w:qFormat/>
    <w:rPr>
      <w:rFonts w:ascii="Arial" w:hAnsi="Arial" w:eastAsia="黑体"/>
      <w:b/>
      <w:sz w:val="30"/>
      <w:lang w:val="en-US" w:eastAsia="zh-CN" w:bidi="ar-SA"/>
    </w:rPr>
  </w:style>
  <w:style w:type="paragraph" w:styleId="953">
    <w:name w:val="字元 字元2"/>
    <w:basedOn w:val="726"/>
    <w:next w:val="953"/>
    <w:link w:val="726"/>
    <w:qFormat/>
    <w:rPr>
      <w:rFonts w:ascii="Tahoma" w:hAnsi="Tahoma"/>
      <w:sz w:val="24"/>
      <w:szCs w:val="20"/>
    </w:rPr>
  </w:style>
  <w:style w:type="paragraph" w:styleId="954">
    <w:name w:val="Char3 Char Char Char2"/>
    <w:basedOn w:val="726"/>
    <w:next w:val="954"/>
    <w:link w:val="726"/>
    <w:qFormat/>
    <w:rPr>
      <w:rFonts w:ascii="Tahoma" w:hAnsi="Tahoma"/>
      <w:sz w:val="24"/>
      <w:szCs w:val="20"/>
    </w:rPr>
  </w:style>
  <w:style w:type="paragraph" w:styleId="955">
    <w:name w:val="正文文本缩进2"/>
    <w:basedOn w:val="726"/>
    <w:next w:val="955"/>
    <w:link w:val="726"/>
    <w:qFormat/>
    <w:pPr>
      <w:ind w:firstLine="480"/>
      <w:spacing w:line="480" w:lineRule="exact"/>
    </w:pPr>
    <w:rPr>
      <w:rFonts w:ascii="宋体" w:hAnsi="宋体"/>
      <w:sz w:val="24"/>
      <w:lang w:val="zh-CN" w:eastAsia="zh-CN"/>
    </w:rPr>
  </w:style>
  <w:style w:type="paragraph" w:styleId="956">
    <w:name w:val="Char3"/>
    <w:basedOn w:val="726"/>
    <w:next w:val="956"/>
    <w:link w:val="726"/>
    <w:qFormat/>
    <w:pPr>
      <w:tabs>
        <w:tab w:val="left" w:pos="360" w:leader="none"/>
      </w:tabs>
    </w:pPr>
    <w:rPr>
      <w:sz w:val="24"/>
    </w:rPr>
  </w:style>
  <w:style w:type="paragraph" w:styleId="957">
    <w:name w:val="Char Char Char Char Char Char Char Char Char Char Char Char Char Char Char Char1"/>
    <w:basedOn w:val="726"/>
    <w:next w:val="957"/>
    <w:link w:val="726"/>
    <w:qFormat/>
    <w:pPr>
      <w:jc w:val="center"/>
      <w:spacing w:after="160" w:line="240" w:lineRule="exact"/>
      <w:widowControl/>
    </w:pPr>
    <w:rPr>
      <w:rFonts w:ascii="宋体" w:hAnsi="宋体"/>
      <w:b/>
      <w:sz w:val="30"/>
      <w:szCs w:val="30"/>
      <w:lang w:eastAsia="en-US"/>
    </w:rPr>
  </w:style>
  <w:style w:type="paragraph" w:styleId="958">
    <w:name w:val="Char Char1 Char Char Char Char Char Char1"/>
    <w:basedOn w:val="726"/>
    <w:next w:val="958"/>
    <w:link w:val="726"/>
    <w:qFormat/>
    <w:pPr>
      <w:jc w:val="left"/>
      <w:spacing w:after="160" w:line="240" w:lineRule="exact"/>
      <w:widowControl/>
    </w:pPr>
    <w:rPr>
      <w:rFonts w:ascii="Verdana" w:hAnsi="Verdana" w:eastAsia="仿宋_GB2312"/>
      <w:sz w:val="24"/>
      <w:szCs w:val="20"/>
      <w:lang w:eastAsia="en-US"/>
    </w:rPr>
  </w:style>
  <w:style w:type="paragraph" w:styleId="959">
    <w:name w:val="列出段落2"/>
    <w:basedOn w:val="726"/>
    <w:next w:val="959"/>
    <w:link w:val="726"/>
    <w:qFormat/>
    <w:pPr>
      <w:ind w:firstLine="420"/>
    </w:pPr>
    <w:rPr>
      <w:rFonts w:ascii="Calibri" w:hAnsi="Calibri"/>
      <w:szCs w:val="22"/>
    </w:rPr>
  </w:style>
  <w:style w:type="paragraph" w:styleId="960">
    <w:name w:val="Char Char Char1 Char2"/>
    <w:basedOn w:val="726"/>
    <w:next w:val="960"/>
    <w:link w:val="726"/>
    <w:qFormat/>
    <w:rPr>
      <w:rFonts w:ascii="Tahoma" w:hAnsi="Tahoma"/>
      <w:sz w:val="24"/>
      <w:szCs w:val="20"/>
    </w:rPr>
  </w:style>
  <w:style w:type="paragraph" w:styleId="961">
    <w:name w:val="Char Char Char2"/>
    <w:basedOn w:val="726"/>
    <w:next w:val="961"/>
    <w:link w:val="726"/>
    <w:qFormat/>
    <w:rPr>
      <w:rFonts w:ascii="Tahoma" w:hAnsi="Tahoma"/>
      <w:sz w:val="24"/>
      <w:szCs w:val="20"/>
    </w:rPr>
  </w:style>
  <w:style w:type="paragraph" w:styleId="962">
    <w:name w:val="Char Char Char Char Char Char Char2"/>
    <w:basedOn w:val="726"/>
    <w:next w:val="962"/>
    <w:link w:val="726"/>
    <w:qFormat/>
    <w:pPr>
      <w:ind w:firstLine="200"/>
      <w:spacing w:line="360" w:lineRule="auto"/>
    </w:pPr>
    <w:rPr>
      <w:rFonts w:eastAsia="仿宋_GB2312"/>
      <w:sz w:val="24"/>
    </w:rPr>
  </w:style>
  <w:style w:type="paragraph" w:styleId="963">
    <w:name w:val="正文缩进2"/>
    <w:basedOn w:val="726"/>
    <w:next w:val="963"/>
    <w:link w:val="726"/>
    <w:qFormat/>
    <w:pPr>
      <w:ind w:firstLine="567"/>
      <w:spacing w:line="480" w:lineRule="exact"/>
      <w:widowControl/>
    </w:pPr>
    <w:rPr>
      <w:rFonts w:ascii="宋体"/>
      <w:color w:val="000000"/>
      <w:sz w:val="28"/>
      <w:szCs w:val="20"/>
      <w:lang w:val="zh-CN" w:eastAsia="zh-CN"/>
    </w:rPr>
  </w:style>
  <w:style w:type="paragraph" w:styleId="964">
    <w:name w:val="Revision"/>
    <w:next w:val="964"/>
    <w:link w:val="726"/>
    <w:qFormat/>
    <w:rPr>
      <w:sz w:val="21"/>
      <w:szCs w:val="24"/>
      <w:lang w:val="en-US" w:eastAsia="zh-CN" w:bidi="ar-SA"/>
    </w:rPr>
  </w:style>
  <w:style w:type="paragraph" w:styleId="965">
    <w:name w:val="Char22"/>
    <w:basedOn w:val="726"/>
    <w:next w:val="965"/>
    <w:link w:val="726"/>
    <w:qFormat/>
    <w:rPr>
      <w:rFonts w:ascii="Tahoma" w:hAnsi="Tahoma"/>
      <w:sz w:val="24"/>
      <w:szCs w:val="20"/>
    </w:rPr>
  </w:style>
  <w:style w:type="paragraph" w:styleId="966">
    <w:name w:val="Char Char Char Char Char Char Char Char Char Char2"/>
    <w:basedOn w:val="726"/>
    <w:next w:val="966"/>
    <w:link w:val="726"/>
    <w:qFormat/>
    <w:rPr>
      <w:rFonts w:ascii="宋体" w:hAnsi="宋体" w:cs="Courier New"/>
      <w:sz w:val="32"/>
      <w:szCs w:val="32"/>
    </w:rPr>
  </w:style>
  <w:style w:type="paragraph" w:styleId="967">
    <w:name w:val="Char2 Char Char Char Char Char Char1"/>
    <w:basedOn w:val="726"/>
    <w:next w:val="967"/>
    <w:link w:val="726"/>
    <w:qFormat/>
    <w:pPr>
      <w:jc w:val="center"/>
      <w:spacing w:line="400" w:lineRule="exact"/>
      <w:widowControl/>
    </w:pPr>
  </w:style>
  <w:style w:type="character" w:styleId="968">
    <w:name w:val="页脚 Char"/>
    <w:next w:val="968"/>
    <w:link w:val="726"/>
    <w:qFormat/>
    <w:rPr>
      <w:rFonts w:ascii="宋体" w:eastAsia="宋体"/>
      <w:sz w:val="18"/>
      <w:lang w:val="en-US" w:eastAsia="zh-CN" w:bidi="ar-SA"/>
    </w:rPr>
  </w:style>
  <w:style w:type="paragraph" w:styleId="969">
    <w:name w:val="Char Char41"/>
    <w:basedOn w:val="726"/>
    <w:next w:val="969"/>
    <w:link w:val="726"/>
    <w:qFormat/>
    <w:pPr>
      <w:jc w:val="center"/>
      <w:spacing w:line="400" w:lineRule="exact"/>
      <w:widowControl/>
    </w:pPr>
  </w:style>
  <w:style w:type="character" w:styleId="970">
    <w:name w:val="批注文字 Char"/>
    <w:next w:val="970"/>
    <w:link w:val="726"/>
    <w:uiPriority w:val="99"/>
    <w:qFormat/>
    <w:rPr>
      <w:sz w:val="21"/>
      <w:szCs w:val="24"/>
    </w:rPr>
  </w:style>
  <w:style w:type="character" w:styleId="971">
    <w:name w:val="标题 Char"/>
    <w:next w:val="971"/>
    <w:link w:val="726"/>
    <w:qFormat/>
    <w:rPr>
      <w:b/>
      <w:sz w:val="32"/>
    </w:rPr>
  </w:style>
  <w:style w:type="paragraph" w:styleId="972">
    <w:name w:val="图例"/>
    <w:basedOn w:val="726"/>
    <w:next w:val="972"/>
    <w:link w:val="726"/>
    <w:qFormat/>
    <w:pPr>
      <w:jc w:val="center"/>
      <w:spacing w:before="120" w:after="120" w:line="360" w:lineRule="auto"/>
    </w:pPr>
    <w:rPr>
      <w:rFonts w:eastAsia="仿宋_GB2312"/>
      <w:b/>
      <w:sz w:val="24"/>
      <w:szCs w:val="20"/>
    </w:rPr>
  </w:style>
  <w:style w:type="table" w:styleId="973">
    <w:name w:val="Table Normal"/>
    <w:next w:val="973"/>
    <w:link w:val="726"/>
    <w:uiPriority w:val="2"/>
    <w:unhideWhenUsed/>
    <w:qFormat/>
    <w:pPr>
      <w:widowControl w:val="off"/>
    </w:pPr>
    <w:rPr>
      <w:rFonts w:ascii="Calibri" w:hAnsi="Calibri"/>
      <w:sz w:val="22"/>
      <w:szCs w:val="22"/>
      <w:lang w:val="en-US" w:eastAsia="en-US" w:bidi="ar-SA"/>
    </w:rPr>
    <w:tblPr/>
  </w:style>
  <w:style w:type="paragraph" w:styleId="974">
    <w:name w:val="Table Paragraph"/>
    <w:basedOn w:val="726"/>
    <w:next w:val="974"/>
    <w:link w:val="726"/>
    <w:uiPriority w:val="1"/>
    <w:qFormat/>
    <w:pPr>
      <w:jc w:val="left"/>
    </w:pPr>
    <w:rPr>
      <w:rFonts w:ascii="宋体" w:hAnsi="宋体" w:cs="宋体"/>
      <w:sz w:val="22"/>
      <w:szCs w:val="22"/>
      <w:lang w:eastAsia="en-US"/>
    </w:rPr>
  </w:style>
  <w:style w:type="paragraph" w:styleId="975">
    <w:name w:val="成文日期"/>
    <w:basedOn w:val="726"/>
    <w:next w:val="975"/>
    <w:link w:val="976"/>
    <w:qFormat/>
    <w:pPr>
      <w:ind w:right="400" w:firstLine="200"/>
      <w:jc w:val="right"/>
      <w:spacing w:line="570" w:lineRule="exact"/>
    </w:pPr>
    <w:rPr>
      <w:rFonts w:ascii="仿宋_GB2312" w:eastAsia="仿宋_GB2312"/>
      <w:sz w:val="32"/>
      <w:szCs w:val="20"/>
    </w:rPr>
  </w:style>
  <w:style w:type="character" w:styleId="976">
    <w:name w:val="成文日期 Char"/>
    <w:next w:val="976"/>
    <w:link w:val="975"/>
    <w:qFormat/>
    <w:rPr>
      <w:rFonts w:ascii="仿宋_GB2312" w:eastAsia="仿宋_GB2312"/>
      <w:sz w:val="32"/>
    </w:rPr>
  </w:style>
  <w:style w:type="paragraph" w:styleId="977">
    <w:name w:val="修订"/>
    <w:next w:val="977"/>
    <w:link w:val="726"/>
    <w:uiPriority w:val="99"/>
    <w:unhideWhenUsed/>
    <w:rPr>
      <w:sz w:val="21"/>
      <w:szCs w:val="24"/>
      <w:lang w:val="en-US" w:eastAsia="zh-CN" w:bidi="ar-SA"/>
    </w:rPr>
  </w:style>
  <w:style w:type="paragraph" w:styleId="978">
    <w:name w:val="正文1"/>
    <w:basedOn w:val="726"/>
    <w:next w:val="978"/>
    <w:link w:val="726"/>
    <w:qFormat/>
    <w:pPr>
      <w:contextualSpacing/>
      <w:ind w:firstLine="200"/>
      <w:jc w:val="left"/>
      <w:spacing w:before="120" w:after="120"/>
      <w:widowControl/>
    </w:pPr>
    <w:rPr>
      <w:rFonts w:ascii="Calibri" w:hAnsi="Calibri" w:eastAsia="Adobe 仿宋 Std R"/>
      <w:sz w:val="20"/>
      <w:szCs w:val="21"/>
    </w:rPr>
  </w:style>
  <w:style w:type="character" w:styleId="979">
    <w:name w:val="材料标题 Char"/>
    <w:next w:val="979"/>
    <w:link w:val="980"/>
    <w:qFormat/>
    <w:rPr>
      <w:rFonts w:ascii="方正小标宋简体" w:eastAsia="方正小标宋简体"/>
      <w:color w:val="000000"/>
      <w:sz w:val="44"/>
      <w:szCs w:val="44"/>
    </w:rPr>
  </w:style>
  <w:style w:type="paragraph" w:styleId="980">
    <w:name w:val="材料标题"/>
    <w:basedOn w:val="726"/>
    <w:next w:val="980"/>
    <w:link w:val="979"/>
    <w:qFormat/>
    <w:pPr>
      <w:jc w:val="center"/>
      <w:spacing w:line="700" w:lineRule="exact"/>
    </w:pPr>
    <w:rPr>
      <w:rFonts w:ascii="方正小标宋简体" w:eastAsia="方正小标宋简体"/>
      <w:color w:val="000000"/>
      <w:sz w:val="44"/>
      <w:szCs w:val="44"/>
    </w:rPr>
  </w:style>
  <w:style w:type="character" w:styleId="981">
    <w:name w:val="未处理的提及"/>
    <w:next w:val="981"/>
    <w:link w:val="726"/>
    <w:uiPriority w:val="99"/>
    <w:unhideWhenUsed/>
    <w:rPr>
      <w:color w:val="605e5c"/>
      <w:shd w:val="clear" w:color="auto" w:fill="e1dfdd"/>
    </w:rPr>
  </w:style>
  <w:style w:type="character" w:styleId="982">
    <w:name w:val="grame"/>
    <w:basedOn w:val="736"/>
    <w:next w:val="982"/>
    <w:link w:val="726"/>
  </w:style>
  <w:style w:type="paragraph" w:styleId="983">
    <w:name w:val="列表段落1"/>
    <w:basedOn w:val="726"/>
    <w:next w:val="983"/>
    <w:link w:val="726"/>
    <w:uiPriority w:val="34"/>
    <w:qFormat/>
    <w:pPr>
      <w:contextualSpacing/>
      <w:ind w:left="720"/>
      <w:jc w:val="left"/>
      <w:widowControl/>
    </w:pPr>
    <w:rPr>
      <w:rFonts w:ascii="Calibri" w:hAnsi="Calibri"/>
      <w:sz w:val="24"/>
      <w:lang w:eastAsia="en-US" w:bidi="en-US"/>
    </w:rPr>
  </w:style>
  <w:style w:type="paragraph" w:styleId="984">
    <w:name w:val="普通正文"/>
    <w:basedOn w:val="726"/>
    <w:next w:val="984"/>
    <w:link w:val="726"/>
    <w:qFormat/>
    <w:pPr>
      <w:ind w:firstLine="480"/>
      <w:jc w:val="left"/>
      <w:spacing w:before="120" w:after="120" w:line="360" w:lineRule="auto"/>
    </w:pPr>
    <w:rPr>
      <w:rFonts w:ascii="Arial" w:hAnsi="Arial"/>
      <w:sz w:val="24"/>
    </w:rPr>
  </w:style>
  <w:style w:type="character" w:styleId="19339" w:default="1">
    <w:name w:val="Default Paragraph Font"/>
    <w:uiPriority w:val="1"/>
    <w:semiHidden/>
    <w:unhideWhenUsed/>
  </w:style>
  <w:style w:type="numbering" w:styleId="19340" w:default="1">
    <w:name w:val="No List"/>
    <w:uiPriority w:val="99"/>
    <w:semiHidden/>
    <w:unhideWhenUsed/>
  </w:style>
  <w:style w:type="table" w:styleId="193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杨瀚宸</cp:lastModifiedBy>
  <cp:revision>93</cp:revision>
  <dcterms:created xsi:type="dcterms:W3CDTF">2022-05-30T08:08:00Z</dcterms:created>
  <dcterms:modified xsi:type="dcterms:W3CDTF">2026-06-17T06:26:02Z</dcterms:modified>
</cp:coreProperties>
</file>