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885"/>
        <w:ind w:firstLine="0"/>
        <w:jc w:val="center"/>
        <w:spacing w:line="240" w:lineRule="auto"/>
        <w:rPr>
          <w:rFonts w:ascii="微软雅黑" w:eastAsia="微软雅黑"/>
          <w:bCs/>
          <w:color w:val="auto"/>
          <w:sz w:val="52"/>
          <w:szCs w:val="52"/>
          <w:highlight w:val="none"/>
        </w:rPr>
        <w:outlineLvl w:val="9"/>
      </w:pPr>
      <w:r>
        <w:rPr>
          <w:rFonts w:hint="eastAsia" w:ascii="微软雅黑" w:eastAsia="微软雅黑"/>
          <w:bCs/>
          <w:color w:val="auto"/>
          <w:sz w:val="52"/>
          <w:szCs w:val="52"/>
          <w:highlight w:val="none"/>
        </w:rPr>
        <w:t xml:space="preserve">如皋市政府采购竞争性磋商文件</w:t>
      </w:r>
      <w:r/>
    </w:p>
    <w:p>
      <w:pPr>
        <w:pStyle w:val="885"/>
        <w:ind w:left="0" w:firstLine="0"/>
        <w:spacing w:line="240" w:lineRule="auto"/>
        <w:rPr>
          <w:b/>
          <w:bCs/>
          <w:color w:val="auto"/>
          <w:sz w:val="32"/>
          <w:highlight w:val="none"/>
        </w:rPr>
      </w:pPr>
      <w:r>
        <w:rPr>
          <w:b/>
          <w:bCs/>
          <w:color w:val="auto"/>
          <w:sz w:val="32"/>
          <w:highlight w:val="none"/>
        </w:rPr>
      </w:r>
      <w:r/>
    </w:p>
    <w:p>
      <w:pPr>
        <w:pStyle w:val="885"/>
        <w:ind w:left="0" w:firstLine="0"/>
        <w:spacing w:line="240" w:lineRule="auto"/>
        <w:rPr>
          <w:b/>
          <w:bCs/>
          <w:color w:val="auto"/>
          <w:sz w:val="32"/>
          <w:highlight w:val="none"/>
        </w:rPr>
      </w:pPr>
      <w:r>
        <w:rPr>
          <w:b/>
          <w:bCs/>
          <w:color w:val="auto"/>
          <w:sz w:val="32"/>
          <w:highlight w:val="none"/>
        </w:rPr>
      </w:r>
      <w:r/>
    </w:p>
    <w:p>
      <w:pPr>
        <w:pStyle w:val="885"/>
        <w:ind w:left="0" w:firstLine="0"/>
        <w:jc w:val="center"/>
        <w:spacing w:line="240" w:lineRule="auto"/>
        <w:rPr>
          <w:rFonts w:hint="eastAsia"/>
          <w:b/>
          <w:bCs/>
          <w:color w:val="auto"/>
          <w:sz w:val="32"/>
          <w:highlight w:val="none"/>
          <w:lang w:val="en-US" w:eastAsia="zh-CN"/>
        </w:rPr>
      </w:pPr>
      <w:r>
        <w:rPr>
          <w:b/>
          <w:bCs/>
          <w:color w:val="auto"/>
          <w:sz w:val="32"/>
          <w:highlight w:val="none"/>
        </w:rPr>
        <w:t xml:space="preserve">项目名称：</w:t>
      </w:r>
      <w:r>
        <w:rPr>
          <w:rFonts w:hint="eastAsia"/>
          <w:b/>
          <w:bCs/>
          <w:color w:val="auto"/>
          <w:sz w:val="32"/>
          <w:highlight w:val="none"/>
          <w:lang w:val="en-US" w:eastAsia="zh-CN"/>
        </w:rPr>
        <w:t xml:space="preserve">东陈镇2026年生活垃圾转送服务</w:t>
      </w:r>
      <w:r/>
    </w:p>
    <w:p>
      <w:pPr>
        <w:pStyle w:val="885"/>
        <w:ind w:left="0" w:firstLine="0"/>
        <w:jc w:val="center"/>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JSZC-320682-NTZJ-C2026-0014</w:t>
      </w:r>
      <w:r/>
    </w:p>
    <w:p>
      <w:pPr>
        <w:pStyle w:val="885"/>
        <w:ind w:firstLine="0"/>
        <w:jc w:val="center"/>
        <w:spacing w:line="240" w:lineRule="auto"/>
        <w:rPr>
          <w:b/>
          <w:bCs/>
          <w:color w:val="auto"/>
          <w:sz w:val="32"/>
          <w:highlight w:val="none"/>
        </w:rPr>
      </w:pPr>
      <w:r>
        <w:rPr>
          <w:b/>
          <w:bCs/>
          <w:color w:val="auto"/>
          <w:sz w:val="32"/>
          <w:highlight w:val="none"/>
        </w:rPr>
      </w:r>
      <w:r/>
    </w:p>
    <w:p>
      <w:pPr>
        <w:pStyle w:val="885"/>
        <w:ind w:firstLine="0"/>
        <w:jc w:val="center"/>
        <w:spacing w:line="240" w:lineRule="auto"/>
        <w:rPr>
          <w:b/>
          <w:bCs/>
          <w:color w:val="auto"/>
          <w:sz w:val="32"/>
          <w:highlight w:val="none"/>
        </w:rPr>
      </w:pPr>
      <w:r/>
      <w:bookmarkStart w:id="76" w:name="_GoBack"/>
      <w:r/>
      <w:bookmarkEnd w:id="76"/>
      <w:r/>
      <w:r/>
    </w:p>
    <w:p>
      <w:pPr>
        <w:pStyle w:val="885"/>
        <w:ind w:firstLine="0"/>
        <w:jc w:val="center"/>
        <w:spacing w:line="240" w:lineRule="auto"/>
        <w:rPr>
          <w:b/>
          <w:bCs/>
          <w:color w:val="auto"/>
          <w:sz w:val="32"/>
          <w:highlight w:val="none"/>
        </w:rPr>
      </w:pPr>
      <w:r>
        <w:rPr>
          <w:b/>
          <w:bCs/>
          <w:color w:val="auto"/>
          <w:sz w:val="32"/>
          <w:highlight w:val="none"/>
        </w:rPr>
      </w:r>
      <w:r/>
    </w:p>
    <w:p>
      <w:pPr>
        <w:pStyle w:val="885"/>
        <w:ind w:firstLine="0"/>
        <w:jc w:val="center"/>
        <w:spacing w:line="240" w:lineRule="auto"/>
        <w:rPr>
          <w:b/>
          <w:bCs/>
          <w:color w:val="auto"/>
          <w:sz w:val="32"/>
          <w:highlight w:val="none"/>
        </w:rPr>
      </w:pPr>
      <w:r>
        <w:rPr>
          <w:b/>
          <w:bCs/>
          <w:color w:val="auto"/>
          <w:sz w:val="32"/>
          <w:highlight w:val="none"/>
        </w:rPr>
      </w:r>
      <w:r/>
    </w:p>
    <w:p>
      <w:pPr>
        <w:pStyle w:val="885"/>
        <w:ind w:firstLine="851"/>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lang w:val="en-US" w:eastAsia="zh-CN"/>
        </w:rPr>
        <w:t xml:space="preserve">如皋市东陈镇人民政府</w:t>
      </w:r>
      <w:r/>
    </w:p>
    <w:p>
      <w:pPr>
        <w:pStyle w:val="885"/>
        <w:ind w:firstLine="851"/>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lang w:val="en-US" w:eastAsia="zh-CN"/>
        </w:rPr>
        <w:t xml:space="preserve">南通中江工程项目管理有限公司</w:t>
      </w:r>
      <w:r/>
    </w:p>
    <w:p>
      <w:pPr>
        <w:pStyle w:val="885"/>
        <w:ind w:firstLine="0"/>
        <w:jc w:val="center"/>
        <w:spacing w:line="240" w:lineRule="auto"/>
        <w:rPr>
          <w:rFonts w:hint="eastAsia" w:ascii="微软雅黑" w:eastAsia="微软雅黑" w:cs="Times New Roman"/>
          <w:bCs/>
          <w:color w:val="auto"/>
          <w:sz w:val="32"/>
          <w:szCs w:val="32"/>
          <w:highlight w:val="none"/>
          <w:lang w:val="en-US" w:eastAsia="zh-CN"/>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06</w:t>
      </w:r>
      <w:r>
        <w:rPr>
          <w:rFonts w:hint="eastAsia"/>
          <w:b/>
          <w:bCs/>
          <w:color w:val="auto"/>
          <w:sz w:val="32"/>
          <w:highlight w:val="none"/>
        </w:rPr>
        <w:t xml:space="preserve">月</w:t>
      </w:r>
      <w:r>
        <w:rPr>
          <w:rFonts w:hint="eastAsia"/>
          <w:b/>
          <w:bCs/>
          <w:color w:val="auto"/>
          <w:sz w:val="32"/>
          <w:highlight w:val="none"/>
          <w:lang w:val="en-US" w:eastAsia="zh-CN"/>
        </w:rPr>
        <w:t xml:space="preserve">29</w:t>
      </w:r>
      <w:r>
        <w:rPr>
          <w:rFonts w:hint="eastAsia"/>
          <w:b/>
          <w:bCs/>
          <w:color w:val="auto"/>
          <w:sz w:val="32"/>
          <w:highlight w:val="none"/>
        </w:rPr>
        <w:t xml:space="preserve">日</w:t>
      </w:r>
      <w:r>
        <w:rPr>
          <w:b/>
          <w:bCs/>
          <w:color w:val="auto"/>
          <w:sz w:val="32"/>
          <w:highlight w:val="none"/>
        </w:rPr>
        <w:br w:type="page" w:clear="all"/>
      </w:r>
      <w:r>
        <w:rPr>
          <w:rFonts w:hint="eastAsia" w:ascii="微软雅黑" w:eastAsia="微软雅黑" w:cs="Times New Roman"/>
          <w:bCs/>
          <w:color w:val="auto"/>
          <w:sz w:val="32"/>
          <w:szCs w:val="32"/>
          <w:highlight w:val="none"/>
          <w:lang w:val="en-US" w:eastAsia="zh-CN"/>
        </w:rPr>
        <w:t xml:space="preserve">目   录</w:t>
      </w:r>
      <w:r/>
    </w:p>
    <w:p>
      <w:pPr>
        <w:pStyle w:val="87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TOC \o "1-2" \h \u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_Toc10695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第1章 竞争性磋商公告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_Toc10695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_Toc970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_Toc970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_Toc12736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_Toc12736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_Toc6227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三、获取竞争性磋商文件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_Toc6227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_Toc26090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四、竞争性磋商响应文件提交和开启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_Toc26090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_Toc16672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_Toc16672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_Toc19385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_Toc19385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_Toc24238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_Toc24238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_Toc14146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第2章 磋商须知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_Toc14146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_Toc15387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 参加磋商费用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_Toc15387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_Toc30979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2. 磋商文件的约束力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_Toc30979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_Toc14943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_Toc14943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_Toc16063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_Toc16063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_Toc1591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5. 磋商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_Toc26679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_Toc26679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_Toc13935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_Toc13935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_Toc22228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8.无效响应和磋商活动终止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_Toc22228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_Toc23916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_Toc23916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_Toc14206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_Toc14206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_Toc12330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_Toc12330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_Toc13836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_Toc13836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_Toc26350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_Toc26350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_Toc20517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color w:val="auto"/>
          <w:sz w:val="24"/>
          <w:szCs w:val="24"/>
          <w:highlight w:val="none"/>
        </w:rPr>
        <w:t xml:space="preserve">服务要求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_Toc20517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四、服务标准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_Toc7150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五、服务期限和地点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_Toc7150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_Toc17687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六、考核方案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_Toc17687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_Toc5248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 xml:space="preserve">七、</w:t>
      </w:r>
      <w:r>
        <w:rPr>
          <w:rFonts w:hint="eastAsia" w:ascii="黑体" w:hAnsi="黑体" w:eastAsia="黑体" w:cs="黑体"/>
          <w:color w:val="auto"/>
          <w:sz w:val="24"/>
          <w:szCs w:val="24"/>
          <w:highlight w:val="none"/>
        </w:rPr>
        <w:t xml:space="preserve">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_Toc5248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_Toc29258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 xml:space="preserve">八、</w:t>
      </w:r>
      <w:r>
        <w:rPr>
          <w:rFonts w:hint="eastAsia" w:ascii="黑体" w:hAnsi="黑体" w:eastAsia="黑体" w:cs="黑体"/>
          <w:color w:val="auto"/>
          <w:sz w:val="24"/>
          <w:szCs w:val="24"/>
          <w:highlight w:val="none"/>
        </w:rPr>
        <w:t xml:space="preserve">磋商过程中可能会实质性变动的内容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_Toc29258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_Toc11980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 xml:space="preserve">九、报价要求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_Toc11980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_Toc2520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 xml:space="preserve">十、其他要求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_Toc2520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_Toc20585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_Toc20585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_Toc6472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第5章 评审标准和方法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_Toc6472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_Toc15850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第6章 竞争性磋商响应文件组成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_Toc15850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_Toc4984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_Toc4984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_Toc17633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_Toc17633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_Toc25883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_Toc25883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85"/>
        <w:ind w:firstLine="0"/>
        <w:jc w:val="center"/>
        <w:keepLines w:val="0"/>
        <w:keepNext w:val="0"/>
        <w:pageBreakBefore w:val="0"/>
        <w:spacing w:line="500" w:lineRule="exact"/>
        <w:widowControl w:val="off"/>
        <w:rPr>
          <w:rFonts w:hint="eastAsia" w:ascii="黑体" w:hAnsi="黑体" w:eastAsia="黑体" w:cs="黑体"/>
          <w:bCs/>
          <w:color w:val="auto"/>
          <w:sz w:val="24"/>
          <w:szCs w:val="24"/>
          <w:highlight w:val="none"/>
          <w:lang w:val="en-US" w:eastAsia="zh-CN"/>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color w:val="auto"/>
          <w:sz w:val="24"/>
          <w:szCs w:val="24"/>
          <w:highlight w:val="none"/>
          <w:lang w:val="en-US" w:eastAsia="zh-CN"/>
        </w:rPr>
        <w:fldChar w:fldCharType="end"/>
      </w:r>
      <w:r/>
    </w:p>
    <w:p>
      <w:pPr>
        <w:pStyle w:val="885"/>
        <w:ind w:firstLine="0"/>
        <w:jc w:val="center"/>
        <w:spacing w:line="240" w:lineRule="auto"/>
        <w:rPr>
          <w:rFonts w:ascii="微软雅黑" w:eastAsia="微软雅黑"/>
          <w:bCs/>
          <w:color w:val="auto"/>
          <w:sz w:val="32"/>
          <w:szCs w:val="32"/>
          <w:highlight w:val="none"/>
        </w:rPr>
        <w:outlineLvl w:val="0"/>
      </w:pPr>
      <w:r/>
      <w:bookmarkStart w:id="0" w:name="_Toc10695"/>
      <w:r>
        <w:rPr>
          <w:rFonts w:hint="eastAsia" w:ascii="微软雅黑" w:eastAsia="微软雅黑"/>
          <w:bCs/>
          <w:color w:val="auto"/>
          <w:sz w:val="32"/>
          <w:szCs w:val="32"/>
          <w:highlight w:val="none"/>
        </w:rPr>
        <w:t xml:space="preserve">第1章 竞争性磋商公告</w:t>
      </w:r>
      <w:bookmarkEnd w:id="0"/>
      <w:r/>
      <w:r/>
    </w:p>
    <w:p>
      <w:pPr>
        <w:pStyle w:val="868"/>
        <w:ind w:firstLine="560"/>
        <w:spacing w:after="0" w:line="500" w:lineRule="exact"/>
        <w:rPr>
          <w:rFonts w:ascii="黑体" w:hAnsi="黑体" w:eastAsia="黑体"/>
          <w:color w:val="auto"/>
          <w:sz w:val="28"/>
          <w:szCs w:val="28"/>
          <w:highlight w:val="none"/>
        </w:rPr>
        <w:outlineLvl w:val="1"/>
      </w:pPr>
      <w:r/>
      <w:bookmarkStart w:id="1" w:name="_Toc28359089"/>
      <w:r/>
      <w:bookmarkStart w:id="2" w:name="_Toc970"/>
      <w:r/>
      <w:bookmarkStart w:id="3" w:name="_Toc35393629"/>
      <w:r/>
      <w:bookmarkStart w:id="4" w:name="_Toc28359012"/>
      <w:r/>
      <w:bookmarkStart w:id="5" w:name="_Toc35393798"/>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东陈镇2026年生活垃圾转送服务</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val="en-US" w:eastAsia="zh-CN"/>
        </w:rPr>
        <w:t xml:space="preserve">JSZC-320682-NTZJ-C2026-0014</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人民币309.40万元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人民币309.40万元/年，其中垃圾清运154.70元/吨，报价超过最高限价视为无效响应。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本项目为东陈镇2026年生活垃圾转送服务项目，预估量每年2万吨（据实结算），</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val="en-US" w:eastAsia="zh-CN"/>
        </w:rPr>
        <w:t xml:space="preserve">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7.本项目是否接受联合体：否。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hint="eastAsia" w:ascii="仿宋" w:hAnsi="仿宋" w:eastAsia="仿宋"/>
          <w:color w:val="auto"/>
          <w:sz w:val="28"/>
          <w:szCs w:val="28"/>
          <w:highlight w:val="none"/>
        </w:rPr>
      </w:pPr>
      <w:r/>
      <w:bookmarkStart w:id="7" w:name="_Toc28359090"/>
      <w:r/>
      <w:bookmarkStart w:id="8" w:name="_Toc35393630"/>
      <w:r/>
      <w:bookmarkStart w:id="9" w:name="_Toc12736"/>
      <w:r/>
      <w:bookmarkStart w:id="10" w:name="_Toc35393799"/>
      <w:r/>
      <w:bookmarkStart w:id="11" w:name="_Toc28359013"/>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项目类型：服务。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.项目所属行业：其</w:t>
      </w:r>
      <w:r>
        <w:rPr>
          <w:rFonts w:ascii="仿宋" w:hAnsi="仿宋" w:eastAsia="仿宋"/>
          <w:color w:val="auto"/>
          <w:sz w:val="28"/>
          <w:szCs w:val="28"/>
          <w:highlight w:val="none"/>
        </w:rPr>
        <w:t xml:space="preserve">他未列明行业。</w:t>
      </w:r>
      <w:r/>
    </w:p>
    <w:p>
      <w:pPr>
        <w:pStyle w:val="868"/>
        <w:ind w:firstLine="560"/>
        <w:spacing w:after="0"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1.《中华人民共和国政府采购法》第二十二条规定的条件：</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76"/>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76"/>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76"/>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876"/>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876"/>
        <w:ind w:firstLine="567"/>
        <w:spacing w:before="0" w:beforeAutospacing="0" w:after="0" w:afterAutospacing="0" w:line="500" w:lineRule="exact"/>
        <w:shd w:val="clear" w:color="auto" w:fill="ffffff"/>
        <w:rPr>
          <w:rFonts w:hint="default" w:ascii="仿宋" w:hAnsi="仿宋" w:eastAsia="仿宋"/>
          <w:b/>
          <w:bCs/>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 本项目的特定资格要求：</w:t>
      </w:r>
      <w:r>
        <w:rPr>
          <w:rFonts w:hint="eastAsia" w:ascii="仿宋" w:hAnsi="仿宋" w:eastAsia="仿宋"/>
          <w:b/>
          <w:bCs/>
          <w:color w:val="auto"/>
          <w:sz w:val="28"/>
          <w:szCs w:val="28"/>
          <w:highlight w:val="none"/>
          <w:lang w:val="en-US" w:eastAsia="zh-CN"/>
        </w:rPr>
        <w:t xml:space="preserve">无。</w:t>
      </w:r>
      <w:r/>
    </w:p>
    <w:p>
      <w:pPr>
        <w:pStyle w:val="876"/>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68"/>
        <w:ind w:firstLine="560"/>
        <w:spacing w:after="0" w:line="500" w:lineRule="exact"/>
        <w:rPr>
          <w:rFonts w:ascii="黑体" w:hAnsi="黑体" w:eastAsia="黑体"/>
          <w:color w:val="auto"/>
          <w:sz w:val="28"/>
          <w:szCs w:val="28"/>
          <w:highlight w:val="none"/>
        </w:rPr>
        <w:outlineLvl w:val="1"/>
      </w:pPr>
      <w:r/>
      <w:bookmarkStart w:id="14" w:name="_Toc35393800"/>
      <w:r/>
      <w:bookmarkStart w:id="15" w:name="_Toc6227"/>
      <w:r/>
      <w:bookmarkStart w:id="16" w:name="_Toc35393631"/>
      <w:r>
        <w:rPr>
          <w:rFonts w:hint="eastAsia" w:ascii="黑体" w:hAnsi="黑体" w:eastAsia="黑体"/>
          <w:color w:val="auto"/>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868"/>
        <w:ind w:firstLine="560"/>
        <w:spacing w:after="0" w:line="500" w:lineRule="exact"/>
        <w:rPr>
          <w:rFonts w:ascii="黑体" w:hAnsi="黑体" w:eastAsia="黑体"/>
          <w:color w:val="auto"/>
          <w:sz w:val="28"/>
          <w:szCs w:val="28"/>
          <w:highlight w:val="none"/>
        </w:rPr>
        <w:outlineLvl w:val="1"/>
      </w:pPr>
      <w:r/>
      <w:bookmarkStart w:id="17" w:name="_Toc28359092"/>
      <w:r/>
      <w:bookmarkStart w:id="18" w:name="_Toc28359015"/>
      <w:r/>
      <w:bookmarkStart w:id="19" w:name="_Toc35393632"/>
      <w:r/>
      <w:bookmarkStart w:id="20" w:name="_Toc35393801"/>
      <w:r/>
      <w:bookmarkStart w:id="21" w:name="_Toc26090"/>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竞争性磋商响应文件提交和开启</w:t>
      </w:r>
      <w:bookmarkEnd w:id="21"/>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13</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月13</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868"/>
        <w:ind w:firstLine="560"/>
        <w:spacing w:after="0" w:line="500" w:lineRule="exact"/>
        <w:rPr>
          <w:rFonts w:ascii="黑体" w:hAnsi="黑体" w:eastAsia="黑体"/>
          <w:color w:val="auto"/>
          <w:sz w:val="28"/>
          <w:szCs w:val="28"/>
          <w:highlight w:val="none"/>
        </w:rPr>
        <w:outlineLvl w:val="1"/>
      </w:pPr>
      <w:r/>
      <w:bookmarkStart w:id="22" w:name="_Toc28359017"/>
      <w:r/>
      <w:bookmarkStart w:id="23" w:name="_Toc16672"/>
      <w:r/>
      <w:bookmarkStart w:id="24" w:name="_Toc35393634"/>
      <w:r/>
      <w:bookmarkStart w:id="25" w:name="_Toc28359094"/>
      <w:r/>
      <w:bookmarkStart w:id="26" w:name="_Toc35393803"/>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868"/>
        <w:ind w:firstLine="560"/>
        <w:spacing w:after="0" w:line="500" w:lineRule="exact"/>
        <w:rPr>
          <w:rFonts w:ascii="黑体" w:hAnsi="黑体" w:eastAsia="黑体"/>
          <w:color w:val="auto"/>
          <w:sz w:val="28"/>
          <w:szCs w:val="28"/>
          <w:highlight w:val="none"/>
        </w:rPr>
        <w:outlineLvl w:val="1"/>
      </w:pPr>
      <w:r/>
      <w:bookmarkStart w:id="27" w:name="_Toc35393804"/>
      <w:r/>
      <w:bookmarkStart w:id="28" w:name="_Toc35393635"/>
      <w:r/>
      <w:bookmarkStart w:id="29" w:name="_Toc19385"/>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82"/>
          <w:rFonts w:ascii="仿宋" w:hAnsi="仿宋" w:eastAsia="仿宋" w:cs="宋体"/>
          <w:bCs/>
          <w:color w:val="auto"/>
          <w:sz w:val="28"/>
          <w:szCs w:val="28"/>
          <w:highlight w:val="none"/>
        </w:rPr>
        <w:t xml:space="preserve">http://jsxcmm.com/help/gys.html</w:t>
      </w:r>
      <w:r>
        <w:rPr>
          <w:rStyle w:val="882"/>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outlineLvl w:val="9"/>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lang w:eastAsia="zh-CN"/>
        </w:rPr>
        <w:t xml:space="preserve">。</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868"/>
        <w:ind w:firstLine="560"/>
        <w:spacing w:after="0" w:line="500" w:lineRule="exact"/>
        <w:rPr>
          <w:rFonts w:ascii="黑体" w:hAnsi="黑体" w:eastAsia="黑体"/>
          <w:color w:val="auto"/>
          <w:sz w:val="28"/>
          <w:szCs w:val="28"/>
          <w:highlight w:val="none"/>
        </w:rPr>
        <w:outlineLvl w:val="1"/>
      </w:pPr>
      <w:r/>
      <w:bookmarkStart w:id="30" w:name="_Toc35393636"/>
      <w:r/>
      <w:bookmarkStart w:id="31" w:name="_Toc35393805"/>
      <w:r/>
      <w:bookmarkStart w:id="32" w:name="_Toc24238"/>
      <w:r/>
      <w:bookmarkStart w:id="33" w:name="_Toc28359018"/>
      <w:r/>
      <w:bookmarkStart w:id="34" w:name="_Toc28359095"/>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outlineLvl w:val="9"/>
      </w:pPr>
      <w:r/>
      <w:bookmarkStart w:id="35" w:name="_Toc28359019"/>
      <w:r/>
      <w:bookmarkStart w:id="36" w:name="_Toc35393637"/>
      <w:r/>
      <w:bookmarkStart w:id="37" w:name="_Toc35393806"/>
      <w:r/>
      <w:bookmarkStart w:id="38" w:name="_Toc28359096"/>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hint="default" w:ascii="仿宋" w:hAnsi="仿宋" w:eastAsia="仿宋"/>
          <w:color w:val="auto"/>
          <w:sz w:val="28"/>
          <w:szCs w:val="28"/>
          <w:highlight w:val="none"/>
          <w:u w:val="none"/>
          <w:lang w:val="en-US" w:eastAsia="zh-CN"/>
        </w:rPr>
        <w:outlineLvl w:val="9"/>
      </w:pPr>
      <w:r/>
      <w:bookmarkStart w:id="39" w:name="_Toc35393807"/>
      <w:r/>
      <w:bookmarkStart w:id="40" w:name="_Toc35393638"/>
      <w:r/>
      <w:bookmarkStart w:id="41" w:name="_Toc28359020"/>
      <w:r/>
      <w:bookmarkStart w:id="42" w:name="_Toc28359097"/>
      <w:r>
        <w:rPr>
          <w:rFonts w:hint="eastAsia" w:ascii="仿宋" w:hAnsi="仿宋" w:eastAsia="仿宋"/>
          <w:color w:val="auto"/>
          <w:sz w:val="28"/>
          <w:szCs w:val="28"/>
          <w:highlight w:val="none"/>
        </w:rPr>
        <w:t xml:space="preserve">名    </w:t>
      </w:r>
      <w:r>
        <w:rPr>
          <w:rFonts w:hint="eastAsia" w:ascii="仿宋" w:hAnsi="仿宋" w:eastAsia="仿宋"/>
          <w:color w:val="auto"/>
          <w:sz w:val="28"/>
          <w:szCs w:val="28"/>
          <w:highlight w:val="none"/>
          <w:u w:val="none"/>
        </w:rPr>
        <w:t xml:space="preserve">称：</w:t>
      </w:r>
      <w:r>
        <w:rPr>
          <w:rFonts w:hint="eastAsia" w:ascii="仿宋" w:hAnsi="仿宋" w:eastAsia="仿宋"/>
          <w:color w:val="auto"/>
          <w:sz w:val="28"/>
          <w:szCs w:val="28"/>
          <w:highlight w:val="none"/>
          <w:u w:val="none"/>
          <w:lang w:val="en-US" w:eastAsia="zh-CN"/>
        </w:rPr>
        <w:t xml:space="preserve">如皋市东陈镇人民政府</w:t>
      </w:r>
      <w:r/>
    </w:p>
    <w:p>
      <w:pPr>
        <w:ind w:left="1129" w:hanging="350"/>
        <w:jc w:val="left"/>
        <w:spacing w:line="500" w:lineRule="exact"/>
        <w:rPr>
          <w:rFonts w:ascii="仿宋" w:hAnsi="仿宋" w:eastAsia="仿宋"/>
          <w:color w:val="auto"/>
          <w:sz w:val="28"/>
          <w:szCs w:val="28"/>
          <w:highlight w:val="none"/>
          <w:u w:val="none"/>
        </w:rPr>
        <w:outlineLvl w:val="9"/>
      </w:pPr>
      <w:r>
        <w:rPr>
          <w:rFonts w:hint="eastAsia" w:ascii="仿宋" w:hAnsi="仿宋" w:eastAsia="仿宋"/>
          <w:color w:val="auto"/>
          <w:sz w:val="28"/>
          <w:szCs w:val="28"/>
          <w:highlight w:val="none"/>
          <w:u w:val="none"/>
        </w:rPr>
        <w:t xml:space="preserve">地    址：江苏省南通如皋市东陈镇府前街88号</w:t>
      </w:r>
      <w:r/>
    </w:p>
    <w:p>
      <w:pPr>
        <w:ind w:left="1129" w:hanging="350"/>
        <w:jc w:val="left"/>
        <w:spacing w:line="500" w:lineRule="exact"/>
        <w:rPr>
          <w:rFonts w:hint="default" w:ascii="仿宋" w:hAnsi="仿宋" w:eastAsia="仿宋"/>
          <w:color w:val="auto"/>
          <w:sz w:val="28"/>
          <w:szCs w:val="28"/>
          <w:highlight w:val="none"/>
          <w:u w:val="none"/>
          <w:lang w:val="en-US" w:eastAsia="zh-CN"/>
        </w:rPr>
        <w:outlineLvl w:val="9"/>
      </w:pPr>
      <w:r>
        <w:rPr>
          <w:rFonts w:hint="eastAsia" w:ascii="仿宋" w:hAnsi="仿宋" w:eastAsia="仿宋"/>
          <w:color w:val="auto"/>
          <w:sz w:val="28"/>
          <w:szCs w:val="28"/>
          <w:highlight w:val="none"/>
          <w:u w:val="none"/>
          <w:lang w:val="en-US" w:eastAsia="zh-CN"/>
        </w:rPr>
        <w:t xml:space="preserve">项目经办人姓名：李建峰</w:t>
      </w:r>
      <w:r/>
    </w:p>
    <w:p>
      <w:pPr>
        <w:ind w:left="1129" w:hanging="350"/>
        <w:jc w:val="left"/>
        <w:spacing w:line="500" w:lineRule="exact"/>
        <w:rPr>
          <w:rFonts w:hint="default" w:ascii="仿宋" w:hAnsi="仿宋" w:eastAsia="仿宋"/>
          <w:color w:val="auto"/>
          <w:sz w:val="28"/>
          <w:szCs w:val="28"/>
          <w:highlight w:val="none"/>
          <w:u w:val="none"/>
          <w:lang w:val="en-US" w:eastAsia="zh-CN"/>
        </w:rPr>
        <w:outlineLvl w:val="9"/>
      </w:pPr>
      <w:r>
        <w:rPr>
          <w:rFonts w:hint="eastAsia" w:ascii="仿宋" w:hAnsi="仿宋" w:eastAsia="仿宋"/>
          <w:color w:val="auto"/>
          <w:sz w:val="28"/>
          <w:szCs w:val="28"/>
          <w:highlight w:val="none"/>
          <w:u w:val="none"/>
          <w:lang w:val="en-US" w:eastAsia="zh-CN"/>
        </w:rPr>
        <w:t xml:space="preserve">项目经办人联系方式：15371970105</w:t>
      </w:r>
      <w:r/>
    </w:p>
    <w:p>
      <w:pPr>
        <w:ind w:firstLine="540"/>
        <w:spacing w:line="500" w:lineRule="exact"/>
        <w:rPr>
          <w:rFonts w:ascii="仿宋" w:hAnsi="仿宋" w:eastAsia="仿宋" w:cs="宋体"/>
          <w:color w:val="auto"/>
          <w:sz w:val="28"/>
          <w:szCs w:val="28"/>
          <w:highlight w:val="none"/>
        </w:rPr>
        <w:outlineLvl w:val="9"/>
      </w:pPr>
      <w:r>
        <w:rPr>
          <w:rFonts w:hint="eastAsia" w:ascii="仿宋" w:hAnsi="仿宋" w:eastAsia="仿宋" w:cs="宋体"/>
          <w:color w:val="auto"/>
          <w:sz w:val="28"/>
          <w:szCs w:val="28"/>
          <w:highlight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 </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keepLines w:val="0"/>
        <w:keepNext w:val="0"/>
        <w:pageBreakBefore w:val="0"/>
        <w:spacing w:line="500" w:lineRule="exact"/>
        <w:widowControl w:val="off"/>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rPr>
        <w:t xml:space="preserve">1.</w:t>
      </w:r>
      <w:r>
        <w:rPr>
          <w:rFonts w:hint="eastAsia" w:ascii="仿宋" w:hAnsi="仿宋" w:eastAsia="仿宋"/>
          <w:b/>
          <w:color w:val="auto"/>
          <w:sz w:val="28"/>
          <w:szCs w:val="28"/>
          <w:highlight w:val="none"/>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885"/>
        <w:ind w:firstLine="562"/>
        <w:keepLines w:val="0"/>
        <w:keepNext w:val="0"/>
        <w:pageBreakBefore w:val="0"/>
        <w:spacing w:before="0" w:after="0"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85"/>
        <w:ind w:firstLine="0"/>
        <w:jc w:val="center"/>
        <w:spacing w:line="240" w:lineRule="auto"/>
        <w:rPr>
          <w:rFonts w:ascii="微软雅黑" w:eastAsia="微软雅黑"/>
          <w:bCs/>
          <w:color w:val="auto"/>
          <w:sz w:val="32"/>
          <w:szCs w:val="32"/>
          <w:highlight w:val="none"/>
        </w:rPr>
        <w:outlineLvl w:val="0"/>
      </w:pPr>
      <w:r>
        <w:rPr>
          <w:rFonts w:ascii="仿宋" w:hAnsi="仿宋" w:eastAsia="仿宋"/>
          <w:b/>
          <w:color w:val="auto"/>
          <w:sz w:val="28"/>
          <w:szCs w:val="28"/>
          <w:highlight w:val="none"/>
        </w:rPr>
        <w:br w:type="page" w:clear="all"/>
      </w:r>
      <w:bookmarkStart w:id="43" w:name="_Toc14146"/>
      <w:r>
        <w:rPr>
          <w:rFonts w:hint="eastAsia" w:ascii="微软雅黑" w:eastAsia="微软雅黑"/>
          <w:bCs/>
          <w:color w:val="auto"/>
          <w:sz w:val="32"/>
          <w:szCs w:val="32"/>
          <w:highlight w:val="none"/>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4" w:name="_Toc15387"/>
      <w:r>
        <w:rPr>
          <w:rFonts w:hint="eastAsia" w:ascii="黑体" w:hAnsi="黑体" w:eastAsia="黑体"/>
          <w:color w:val="auto"/>
          <w:sz w:val="28"/>
          <w:szCs w:val="28"/>
          <w:highlight w:val="none"/>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color w:val="auto"/>
          <w:sz w:val="28"/>
          <w:szCs w:val="28"/>
          <w:highlight w:val="none"/>
        </w:rPr>
        <w:outlineLvl w:val="1"/>
      </w:pPr>
      <w:r/>
      <w:bookmarkStart w:id="45" w:name="_Toc30979"/>
      <w:r>
        <w:rPr>
          <w:rFonts w:hint="eastAsia" w:ascii="黑体" w:hAnsi="黑体" w:eastAsia="黑体"/>
          <w:color w:val="auto"/>
          <w:sz w:val="28"/>
          <w:szCs w:val="28"/>
          <w:highlight w:val="none"/>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6" w:name="_Toc14943"/>
      <w:r>
        <w:rPr>
          <w:rFonts w:hint="eastAsia" w:ascii="黑体" w:hAnsi="黑体" w:eastAsia="黑体"/>
          <w:color w:val="auto"/>
          <w:sz w:val="28"/>
          <w:szCs w:val="28"/>
          <w:highlight w:val="none"/>
        </w:rPr>
        <w:t xml:space="preserve">3.响应文件编制</w:t>
      </w:r>
      <w:bookmarkEnd w:id="46"/>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7" w:name="_Toc16063"/>
      <w:r>
        <w:rPr>
          <w:rFonts w:hint="eastAsia" w:ascii="黑体" w:hAnsi="黑体" w:eastAsia="黑体"/>
          <w:color w:val="auto"/>
          <w:sz w:val="28"/>
          <w:szCs w:val="28"/>
          <w:highlight w:val="none"/>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1"/>
      </w:pPr>
      <w:r/>
      <w:bookmarkStart w:id="48" w:name="_Toc1591"/>
      <w:r>
        <w:rPr>
          <w:rFonts w:hint="eastAsia" w:ascii="黑体" w:hAnsi="黑体" w:eastAsia="黑体"/>
          <w:color w:val="auto"/>
          <w:sz w:val="28"/>
          <w:szCs w:val="28"/>
          <w:highlight w:val="none"/>
        </w:rPr>
        <w:t xml:space="preserve">5. 磋商</w:t>
      </w:r>
      <w:bookmarkEnd w:id="48"/>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人以上单数组成。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49" w:name="_Toc26679"/>
      <w:r>
        <w:rPr>
          <w:rFonts w:hint="eastAsia" w:ascii="黑体" w:hAnsi="黑体" w:eastAsia="黑体"/>
          <w:bCs/>
          <w:color w:val="auto"/>
          <w:sz w:val="28"/>
          <w:szCs w:val="28"/>
          <w:highlight w:val="none"/>
        </w:rPr>
        <w:t xml:space="preserve">6.成交和合同</w:t>
      </w:r>
      <w:bookmarkEnd w:id="49"/>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0" w:name="_Toc13935"/>
      <w:r>
        <w:rPr>
          <w:rFonts w:hint="eastAsia" w:ascii="黑体" w:hAnsi="黑体" w:eastAsia="黑体"/>
          <w:bCs/>
          <w:color w:val="auto"/>
          <w:sz w:val="28"/>
          <w:szCs w:val="28"/>
          <w:highlight w:val="none"/>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7.1.7《中小企业划型标准规定》（工信部联企业〔2011〕300号）</w:t>
      </w:r>
      <w:r/>
    </w:p>
    <w:tbl>
      <w:tblPr>
        <w:tblStyle w:val="86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2000≤Y&lt;40000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6000≤Y&lt;80000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300≤Y&lt;6000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5≤X&lt;20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5000≤Y&lt;50000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10≤X&lt;50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200≤Y&lt;3000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1000≤Y&lt;200000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8000≤Z &lt;120000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100≤Z &lt;8000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bl>
    <w:p>
      <w:pPr>
        <w:ind w:firstLine="42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 残疾人福利单位价格扣除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 监狱和戒毒企业价格扣除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8"/>
          <w:szCs w:val="28"/>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sz w:val="28"/>
          <w:szCs w:val="28"/>
          <w:highlight w:val="none"/>
        </w:rPr>
        <w:fldChar w:fldCharType="begin"/>
      </w:r>
      <w:r>
        <w:rPr>
          <w:color w:val="auto"/>
          <w:sz w:val="28"/>
          <w:szCs w:val="28"/>
          <w:highlight w:val="none"/>
        </w:rPr>
        <w:instrText xml:space="preserve"> HYPERLINK "http://gks.mof.gov.cn/zhengfucaigouguanli/201903/P020190329702478575295.pdf" </w:instrText>
      </w:r>
      <w:r>
        <w:rPr>
          <w:color w:val="auto"/>
          <w:sz w:val="28"/>
          <w:szCs w:val="28"/>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886"/>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pStyle w:val="886"/>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 根据《江苏省政府采购供应商监督管理暂行办法》的规定，诚信记录分每减10分，给予本项目总分值2%的扣分，扣分最多不超过本项目总分值6%。</w:t>
      </w:r>
      <w:r/>
    </w:p>
    <w:p>
      <w:pPr>
        <w:pStyle w:val="886"/>
        <w:ind w:firstLine="560"/>
        <w:keepLines w:val="0"/>
        <w:keepNext w:val="0"/>
        <w:pageBreakBefore w:val="0"/>
        <w:spacing w:line="500" w:lineRule="exact"/>
        <w:widowControl w:val="off"/>
        <w:rPr>
          <w:rFonts w:hint="default"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7.9 商品包装环保要求：应当按《关于印发〈商品包装政府采购需求标准（试行）〉、〈快递包装政府采购需求标准（试行）〉的通知》（财办库〔2020〕123号）文件执行。</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（1）商品包装层数不得超过 3 层，空隙率不大于 40%；</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（2）商品包装尽可能使用单一材质的包装材料，如因功能需求必需使用不同材质，不同材质间应便于分离；</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（3）商品包装中铅、汞、镉、六价铬的总含量应不大于100mg/kg；</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（4）商品包装印刷使用的油墨中挥发性有机化合物(VOCs)含量应不大于 5%（以重量计）；</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（5）塑料材质商品包装上呈现的印刷颜色不得超过 6 色；</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（6）纸质商品包装应使用 75%以上的可再生纤维原料生产；</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（7）木质商品包装的原料应来源于可持续性森林。</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2.快递包装环保要求：</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（1）快递包装中重金属（铅、汞、镉、六价铬）总量应不大于 100mg/kg；</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（2）快递包装印刷使用的油墨中不应添加邻苯二甲酸酯，其挥发性有机化合物(VOCs)含量应不大于5%（以重量计）；</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（3）快递包装中使用纸基材的包装材料，纸基材中的有机氯的含量应不大于 150 mg/kg；</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（5）快递中使用的塑料包装袋不得使用聚氯乙烯作为原料，且原料应为单一材质制成，生物分解率大于60%；</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（6）快递中使用的充气类填充物不得使用聚氯乙烯作为原料，且原料为单一材质制成，生物分解率大于60%；</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（7）快递中使用的集装袋应为单一材质制成，其重复使用次数应不小于 80 次；</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（8）快递中应使用幅宽不大于45mm 的生物降解胶带；</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（9）快递包装中不得使用溶剂型胶粘剂；</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（11）快递应使用电子面单；</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（12）直接使用商品包装作为快递包装的商品，其商品包装满足《商品包装政府采购需求标准（试行）》即可；</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（13）快递包装产品质量和封装方式应符合相关国家或行业标准技术指标要求。</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7.10 绿色数据中心（如有）</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（1）采购数据中心相关设备、运维服务，应当有利于节约能源、环境保护和资源循环利用。</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（3）成交供应商未按合同约定提供设备或服务的，采购人依法追究其违约责任。对供应商提供虚假材料谋取中标、成交的，依法由相关部门予以处理。</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88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lang w:val="en-US" w:eastAsia="zh-CN"/>
        </w:rPr>
        <w:t xml:space="preserve">7.13 绿色低碳管理目标和服务要求：在物业、合同能源管理等服务类采购项目中，要强化绿色低碳管理目标和服务要求，促进绿色产品和服务推广应用。</w:t>
      </w:r>
      <w:r/>
    </w:p>
    <w:p>
      <w:pPr>
        <w:ind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1" w:name="_Toc22228"/>
      <w:r>
        <w:rPr>
          <w:rFonts w:hint="eastAsia" w:ascii="黑体" w:hAnsi="黑体" w:eastAsia="黑体"/>
          <w:bCs/>
          <w:color w:val="auto"/>
          <w:sz w:val="28"/>
          <w:szCs w:val="28"/>
          <w:highlight w:val="none"/>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8.1.3 未通过符合性审查的。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8.2.3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因重大变故，采购任务取消的。</w:t>
      </w:r>
      <w:r/>
    </w:p>
    <w:p>
      <w:pPr>
        <w:ind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52" w:name="_Toc23916"/>
      <w:r>
        <w:rPr>
          <w:rFonts w:hint="eastAsia" w:ascii="黑体" w:hAnsi="黑体" w:eastAsia="黑体"/>
          <w:color w:val="auto"/>
          <w:sz w:val="28"/>
          <w:szCs w:val="28"/>
          <w:highlight w:val="none"/>
        </w:rPr>
        <w:t xml:space="preserve">9. 询问、质疑和投诉</w:t>
      </w:r>
      <w:bookmarkEnd w:id="52"/>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color w:val="auto"/>
          <w:sz w:val="28"/>
          <w:szCs w:val="28"/>
          <w:highlight w:val="none"/>
          <w:lang w:eastAsia="zh-CN"/>
        </w:rPr>
        <w:t xml:space="preserve">采购文件</w:t>
      </w:r>
      <w:r>
        <w:rPr>
          <w:rFonts w:hint="eastAsia" w:ascii="仿宋" w:hAnsi="仿宋" w:eastAsia="仿宋"/>
          <w:b/>
          <w:color w:val="auto"/>
          <w:sz w:val="28"/>
          <w:szCs w:val="28"/>
          <w:highlight w:val="none"/>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outlineLvl w:val="9"/>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outlineLvl w:val="9"/>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outlineLvl w:val="9"/>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outlineLvl w:val="9"/>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outlineLvl w:val="9"/>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53" w:name="_Toc14206"/>
      <w:r>
        <w:rPr>
          <w:rFonts w:hint="eastAsia" w:ascii="黑体" w:hAnsi="黑体" w:eastAsia="黑体"/>
          <w:color w:val="auto"/>
          <w:sz w:val="28"/>
          <w:szCs w:val="28"/>
          <w:highlight w:val="none"/>
        </w:rPr>
        <w:t xml:space="preserve">10. 政府采购合同信用融资扶持政策</w:t>
      </w:r>
      <w:bookmarkEnd w:id="53"/>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54" w:name="_Toc12330"/>
      <w:r>
        <w:rPr>
          <w:rFonts w:hint="eastAsia" w:ascii="黑体" w:hAnsi="黑体" w:eastAsia="黑体"/>
          <w:color w:val="auto"/>
          <w:sz w:val="28"/>
          <w:szCs w:val="28"/>
          <w:highlight w:val="none"/>
        </w:rPr>
        <w:t xml:space="preserve">11. 采购代理服务费</w:t>
      </w:r>
      <w:bookmarkEnd w:id="54"/>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r/>
    </w:p>
    <w:p>
      <w:pPr>
        <w:ind w:firstLine="560"/>
        <w:jc w:val="left"/>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lang w:eastAsia="zh-CN"/>
        </w:rPr>
      </w:r>
      <w:bookmarkEnd w:id="6"/>
      <w:r/>
      <w:r/>
    </w:p>
    <w:p>
      <w:pPr>
        <w:pStyle w:val="885"/>
        <w:ind w:firstLine="0"/>
        <w:jc w:val="center"/>
        <w:spacing w:line="240" w:lineRule="auto"/>
        <w:rPr>
          <w:rFonts w:ascii="微软雅黑" w:eastAsia="微软雅黑"/>
          <w:bCs/>
          <w:color w:val="auto"/>
          <w:sz w:val="32"/>
          <w:szCs w:val="32"/>
          <w:highlight w:val="none"/>
        </w:rPr>
        <w:outlineLvl w:val="0"/>
      </w:pPr>
      <w:r>
        <w:rPr>
          <w:rFonts w:ascii="微软雅黑" w:eastAsia="微软雅黑"/>
          <w:bCs/>
          <w:color w:val="auto"/>
          <w:sz w:val="32"/>
          <w:szCs w:val="32"/>
          <w:highlight w:val="none"/>
        </w:rPr>
        <w:br w:type="page" w:clear="all"/>
      </w:r>
      <w:bookmarkStart w:id="55" w:name="_Toc43"/>
      <w:r>
        <w:rPr>
          <w:rFonts w:hint="eastAsia" w:ascii="微软雅黑" w:eastAsia="微软雅黑"/>
          <w:bCs/>
          <w:color w:val="auto"/>
          <w:sz w:val="32"/>
          <w:szCs w:val="32"/>
          <w:highlight w:val="none"/>
        </w:rPr>
        <w:t xml:space="preserve">第3章 采购需求</w:t>
      </w:r>
      <w:bookmarkEnd w:id="55"/>
      <w:r/>
      <w:r/>
    </w:p>
    <w:p>
      <w:pPr>
        <w:ind w:firstLine="562"/>
        <w:jc w:val="left"/>
        <w:spacing w:line="500" w:lineRule="exac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需求说明。</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供</w:t>
      </w:r>
      <w:r>
        <w:rPr>
          <w:rFonts w:ascii="仿宋" w:hAnsi="仿宋" w:eastAsia="仿宋" w:cs="Times New Roman"/>
          <w:b/>
          <w:bCs/>
          <w:color w:val="auto"/>
          <w:sz w:val="28"/>
          <w:szCs w:val="28"/>
          <w:highlight w:val="none"/>
        </w:rPr>
        <w:t xml:space="preserve">应商不能简单照搬照抄</w:t>
      </w:r>
      <w:r>
        <w:rPr>
          <w:rFonts w:hint="eastAsia" w:ascii="仿宋" w:hAnsi="仿宋" w:eastAsia="仿宋" w:cs="Times New Roman"/>
          <w:b/>
          <w:bCs/>
          <w:color w:val="auto"/>
          <w:sz w:val="28"/>
          <w:szCs w:val="28"/>
          <w:highlight w:val="none"/>
        </w:rPr>
        <w:t xml:space="preserve">磋商</w:t>
      </w:r>
      <w:r>
        <w:rPr>
          <w:rFonts w:ascii="仿宋" w:hAnsi="仿宋" w:eastAsia="仿宋" w:cs="Times New Roman"/>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 xml:space="preserve">采购人</w:t>
      </w:r>
      <w:r>
        <w:rPr>
          <w:rFonts w:ascii="仿宋" w:hAnsi="仿宋" w:eastAsia="仿宋" w:cs="Times New Roman"/>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6" w:name="_Toc13925"/>
      <w:r/>
      <w:bookmarkStart w:id="57" w:name="_Toc20585"/>
      <w:r>
        <w:rPr>
          <w:rFonts w:hint="eastAsia" w:ascii="黑体" w:hAnsi="黑体" w:eastAsia="黑体"/>
          <w:color w:val="auto"/>
          <w:sz w:val="28"/>
          <w:szCs w:val="28"/>
          <w:highlight w:val="none"/>
        </w:rPr>
        <w:t xml:space="preserve">一、项目简介</w:t>
      </w:r>
      <w:bookmarkEnd w:id="56"/>
      <w:r/>
      <w:r/>
    </w:p>
    <w:p>
      <w:pPr>
        <w:ind w:firstLine="560"/>
        <w:spacing w:line="500" w:lineRule="exact"/>
        <w:rPr>
          <w:rFonts w:hint="default" w:ascii="仿宋" w:hAnsi="仿宋" w:eastAsia="仿宋"/>
          <w:color w:val="auto"/>
          <w:sz w:val="28"/>
          <w:szCs w:val="28"/>
          <w:highlight w:val="none"/>
          <w:lang w:val="en-US" w:eastAsia="zh-CN"/>
        </w:rPr>
        <w:outlineLvl w:val="9"/>
      </w:pPr>
      <w:r/>
      <w:bookmarkStart w:id="58" w:name="_Toc10487"/>
      <w:r>
        <w:rPr>
          <w:rFonts w:hint="eastAsia" w:ascii="仿宋" w:hAnsi="仿宋" w:eastAsia="仿宋"/>
          <w:b w:val="0"/>
          <w:bCs w:val="0"/>
          <w:color w:val="auto"/>
          <w:sz w:val="28"/>
          <w:szCs w:val="28"/>
          <w:highlight w:val="none"/>
        </w:rPr>
        <w:t xml:space="preserve">本项目为如皋市东陈镇生活垃圾中转运输及配套处置服务，</w:t>
      </w:r>
      <w:r>
        <w:rPr>
          <w:rFonts w:hint="eastAsia" w:ascii="仿宋" w:hAnsi="仿宋" w:eastAsia="仿宋"/>
          <w:color w:val="auto"/>
          <w:sz w:val="28"/>
          <w:szCs w:val="28"/>
          <w:highlight w:val="none"/>
        </w:rPr>
        <w:t xml:space="preserve">含垃圾中转站运营维护，垃圾压榨后运送至</w:t>
      </w:r>
      <w:r>
        <w:rPr>
          <w:rFonts w:hint="eastAsia" w:ascii="仿宋" w:hAnsi="仿宋" w:eastAsia="仿宋" w:cs="仿宋"/>
          <w:color w:val="auto"/>
          <w:sz w:val="28"/>
          <w:szCs w:val="28"/>
          <w:highlight w:val="none"/>
        </w:rPr>
        <w:t xml:space="preserve">政府指定的地点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垃圾渗漏液处置，垃圾站污水处理及运维，应急处置及处理等。</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bookmarkEnd w:id="58"/>
      <w:r/>
      <w:r/>
    </w:p>
    <w:p>
      <w:pPr>
        <w:ind w:firstLine="560"/>
        <w:spacing w:line="500" w:lineRule="exact"/>
        <w:rPr>
          <w:rFonts w:hint="eastAsia" w:ascii="仿宋" w:hAnsi="仿宋" w:eastAsia="仿宋"/>
          <w:b w:val="0"/>
          <w:bCs w:val="0"/>
          <w:color w:val="auto"/>
          <w:sz w:val="28"/>
          <w:szCs w:val="28"/>
          <w:highlight w:val="none"/>
        </w:rPr>
        <w:outlineLvl w:val="9"/>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一</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rPr>
        <w:t xml:space="preserve">原东陈、</w:t>
      </w:r>
      <w:r>
        <w:rPr>
          <w:rFonts w:hint="eastAsia" w:ascii="仿宋" w:hAnsi="仿宋" w:eastAsia="仿宋"/>
          <w:b w:val="0"/>
          <w:bCs w:val="0"/>
          <w:color w:val="auto"/>
          <w:sz w:val="28"/>
          <w:szCs w:val="28"/>
          <w:highlight w:val="none"/>
          <w:lang w:val="en-US" w:eastAsia="zh-CN"/>
        </w:rPr>
        <w:t xml:space="preserve">南凌</w:t>
      </w:r>
      <w:r>
        <w:rPr>
          <w:rFonts w:hint="eastAsia" w:ascii="仿宋" w:hAnsi="仿宋" w:eastAsia="仿宋"/>
          <w:b w:val="0"/>
          <w:bCs w:val="0"/>
          <w:color w:val="auto"/>
          <w:sz w:val="28"/>
          <w:szCs w:val="28"/>
          <w:highlight w:val="none"/>
        </w:rPr>
        <w:t xml:space="preserve">两座垃圾站设备、设施的运行维护</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房屋、场地维护</w:t>
      </w:r>
      <w:r>
        <w:rPr>
          <w:rFonts w:hint="eastAsia" w:ascii="仿宋" w:hAnsi="仿宋" w:eastAsia="仿宋"/>
          <w:b w:val="0"/>
          <w:bCs w:val="0"/>
          <w:color w:val="auto"/>
          <w:sz w:val="28"/>
          <w:szCs w:val="28"/>
          <w:highlight w:val="none"/>
        </w:rPr>
        <w:t xml:space="preserve">；</w:t>
      </w:r>
      <w:r/>
    </w:p>
    <w:p>
      <w:pPr>
        <w:ind w:firstLine="560"/>
        <w:spacing w:line="500" w:lineRule="exact"/>
        <w:rPr>
          <w:rFonts w:hint="eastAsia" w:ascii="仿宋" w:hAnsi="仿宋" w:eastAsia="仿宋"/>
          <w:b w:val="0"/>
          <w:bCs w:val="0"/>
          <w:color w:val="auto"/>
          <w:sz w:val="28"/>
          <w:szCs w:val="28"/>
          <w:highlight w:val="none"/>
        </w:rPr>
        <w:outlineLvl w:val="9"/>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二</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垃圾站污水处理及运维、有限空间作业、应急处置，</w:t>
      </w:r>
      <w:r>
        <w:rPr>
          <w:rFonts w:hint="eastAsia" w:ascii="仿宋" w:hAnsi="仿宋" w:eastAsia="仿宋"/>
          <w:b w:val="0"/>
          <w:bCs w:val="0"/>
          <w:color w:val="auto"/>
          <w:sz w:val="28"/>
          <w:szCs w:val="28"/>
          <w:highlight w:val="none"/>
        </w:rPr>
        <w:t xml:space="preserve">垃圾渗滤液的处理</w:t>
      </w:r>
      <w:r>
        <w:rPr>
          <w:rFonts w:hint="eastAsia" w:ascii="仿宋" w:hAnsi="仿宋" w:eastAsia="仿宋"/>
          <w:b w:val="0"/>
          <w:bCs w:val="0"/>
          <w:color w:val="auto"/>
          <w:sz w:val="28"/>
          <w:szCs w:val="28"/>
          <w:highlight w:val="none"/>
          <w:lang w:val="en-US" w:eastAsia="zh-CN"/>
        </w:rPr>
        <w:t xml:space="preserve">并达到处置要求</w:t>
      </w:r>
      <w:r>
        <w:rPr>
          <w:rFonts w:hint="eastAsia" w:ascii="仿宋" w:hAnsi="仿宋" w:eastAsia="仿宋"/>
          <w:b w:val="0"/>
          <w:bCs w:val="0"/>
          <w:color w:val="auto"/>
          <w:sz w:val="28"/>
          <w:szCs w:val="28"/>
          <w:highlight w:val="none"/>
        </w:rPr>
        <w:t xml:space="preserve">，垃圾渗滤液预处理装置的维护；</w:t>
      </w:r>
      <w:r/>
    </w:p>
    <w:p>
      <w:pPr>
        <w:ind w:firstLine="560"/>
        <w:spacing w:line="500" w:lineRule="exact"/>
        <w:rPr>
          <w:rFonts w:hint="eastAsia" w:ascii="仿宋" w:hAnsi="仿宋" w:eastAsia="仿宋"/>
          <w:b w:val="0"/>
          <w:bCs w:val="0"/>
          <w:color w:val="auto"/>
          <w:sz w:val="28"/>
          <w:szCs w:val="28"/>
          <w:highlight w:val="none"/>
        </w:rPr>
        <w:outlineLvl w:val="9"/>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三</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rPr>
        <w:t xml:space="preserve">垃圾</w:t>
      </w:r>
      <w:r>
        <w:rPr>
          <w:rFonts w:hint="eastAsia" w:ascii="仿宋" w:hAnsi="仿宋" w:eastAsia="仿宋"/>
          <w:b w:val="0"/>
          <w:bCs w:val="0"/>
          <w:color w:val="auto"/>
          <w:sz w:val="28"/>
          <w:szCs w:val="28"/>
          <w:highlight w:val="none"/>
          <w:lang w:eastAsia="zh-CN"/>
        </w:rPr>
        <w:t xml:space="preserve">压榨并运送</w:t>
      </w:r>
      <w:r>
        <w:rPr>
          <w:rFonts w:hint="eastAsia" w:ascii="仿宋" w:hAnsi="仿宋" w:eastAsia="仿宋"/>
          <w:b w:val="0"/>
          <w:bCs w:val="0"/>
          <w:color w:val="auto"/>
          <w:sz w:val="28"/>
          <w:szCs w:val="28"/>
          <w:highlight w:val="none"/>
        </w:rPr>
        <w:t xml:space="preserve">至政府指定的地点；</w:t>
      </w:r>
      <w:r/>
    </w:p>
    <w:p>
      <w:pPr>
        <w:ind w:firstLine="560"/>
        <w:spacing w:line="500" w:lineRule="exact"/>
        <w:rPr>
          <w:rFonts w:hint="eastAsia" w:ascii="仿宋" w:hAnsi="仿宋" w:eastAsia="仿宋"/>
          <w:b w:val="0"/>
          <w:bCs w:val="0"/>
          <w:color w:val="auto"/>
          <w:sz w:val="28"/>
          <w:szCs w:val="28"/>
          <w:highlight w:val="none"/>
          <w:lang w:eastAsia="zh-CN"/>
        </w:rPr>
        <w:outlineLvl w:val="9"/>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四</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rPr>
        <w:t xml:space="preserve">垃圾转运使用车辆要符合相关部门规定的要求，专业运输必须使用专业运输企业的车辆，采取封闭式运输，驾驶员</w:t>
      </w:r>
      <w:r>
        <w:rPr>
          <w:rFonts w:hint="eastAsia" w:ascii="仿宋" w:hAnsi="仿宋" w:eastAsia="仿宋"/>
          <w:b w:val="0"/>
          <w:bCs w:val="0"/>
          <w:color w:val="auto"/>
          <w:sz w:val="28"/>
          <w:szCs w:val="28"/>
          <w:highlight w:val="none"/>
          <w:lang w:eastAsia="zh-CN"/>
        </w:rPr>
        <w:t xml:space="preserve">须</w:t>
      </w:r>
      <w:r>
        <w:rPr>
          <w:rFonts w:hint="eastAsia" w:ascii="仿宋" w:hAnsi="仿宋" w:eastAsia="仿宋"/>
          <w:b w:val="0"/>
          <w:bCs w:val="0"/>
          <w:color w:val="auto"/>
          <w:sz w:val="28"/>
          <w:szCs w:val="28"/>
          <w:highlight w:val="none"/>
        </w:rPr>
        <w:t xml:space="preserve">具有相应的有效驾驶证件，并严格遵守相关交通法律法规</w:t>
      </w:r>
      <w:r>
        <w:rPr>
          <w:rFonts w:hint="eastAsia" w:ascii="仿宋" w:hAnsi="仿宋" w:eastAsia="仿宋"/>
          <w:b w:val="0"/>
          <w:bCs w:val="0"/>
          <w:color w:val="auto"/>
          <w:sz w:val="28"/>
          <w:szCs w:val="28"/>
          <w:highlight w:val="none"/>
          <w:lang w:eastAsia="zh-CN"/>
        </w:rPr>
        <w:t xml:space="preserve">；</w:t>
      </w:r>
      <w:r/>
    </w:p>
    <w:p>
      <w:pPr>
        <w:ind w:firstLine="560"/>
        <w:spacing w:line="500" w:lineRule="exact"/>
        <w:rPr>
          <w:rFonts w:hint="eastAsia" w:ascii="仿宋" w:hAnsi="仿宋" w:eastAsia="仿宋"/>
          <w:b w:val="0"/>
          <w:bCs w:val="0"/>
          <w:color w:val="auto"/>
          <w:sz w:val="28"/>
          <w:szCs w:val="28"/>
          <w:highlight w:val="none"/>
          <w:lang w:eastAsia="zh-CN"/>
        </w:rPr>
        <w:outlineLvl w:val="9"/>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五</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成交人</w:t>
      </w:r>
      <w:r>
        <w:rPr>
          <w:rFonts w:hint="eastAsia" w:ascii="仿宋" w:hAnsi="仿宋" w:eastAsia="仿宋"/>
          <w:b w:val="0"/>
          <w:bCs w:val="0"/>
          <w:color w:val="auto"/>
          <w:sz w:val="28"/>
          <w:szCs w:val="28"/>
          <w:highlight w:val="none"/>
        </w:rPr>
        <w:t xml:space="preserve">负责提供满足清运要求的运输车辆、清运设备</w:t>
      </w:r>
      <w:r>
        <w:rPr>
          <w:rFonts w:hint="eastAsia" w:ascii="仿宋" w:hAnsi="仿宋" w:eastAsia="仿宋"/>
          <w:b w:val="0"/>
          <w:bCs w:val="0"/>
          <w:color w:val="auto"/>
          <w:sz w:val="28"/>
          <w:szCs w:val="28"/>
          <w:highlight w:val="none"/>
          <w:lang w:val="en-US" w:eastAsia="zh-CN"/>
        </w:rPr>
        <w:t xml:space="preserve">及应急设施设备</w:t>
      </w:r>
      <w:r>
        <w:rPr>
          <w:rFonts w:hint="eastAsia" w:ascii="仿宋" w:hAnsi="仿宋" w:eastAsia="仿宋"/>
          <w:b w:val="0"/>
          <w:bCs w:val="0"/>
          <w:color w:val="auto"/>
          <w:sz w:val="28"/>
          <w:szCs w:val="28"/>
          <w:highlight w:val="none"/>
        </w:rPr>
        <w:t xml:space="preserve">、驾驶人员</w:t>
      </w:r>
      <w:r>
        <w:rPr>
          <w:rFonts w:hint="eastAsia" w:ascii="仿宋" w:hAnsi="仿宋" w:eastAsia="仿宋"/>
          <w:b w:val="0"/>
          <w:bCs w:val="0"/>
          <w:color w:val="auto"/>
          <w:sz w:val="28"/>
          <w:szCs w:val="28"/>
          <w:highlight w:val="none"/>
          <w:lang w:val="en-US" w:eastAsia="zh-CN"/>
        </w:rPr>
        <w:t xml:space="preserve">及</w:t>
      </w:r>
      <w:r>
        <w:rPr>
          <w:rFonts w:hint="eastAsia" w:ascii="仿宋" w:hAnsi="仿宋" w:eastAsia="仿宋"/>
          <w:b w:val="0"/>
          <w:bCs w:val="0"/>
          <w:color w:val="auto"/>
          <w:sz w:val="28"/>
          <w:szCs w:val="28"/>
          <w:highlight w:val="none"/>
        </w:rPr>
        <w:t xml:space="preserve">装运人员，并做好日常</w:t>
      </w:r>
      <w:r>
        <w:rPr>
          <w:rFonts w:hint="eastAsia" w:ascii="仿宋" w:hAnsi="仿宋" w:eastAsia="仿宋"/>
          <w:b w:val="0"/>
          <w:bCs w:val="0"/>
          <w:color w:val="auto"/>
          <w:sz w:val="28"/>
          <w:szCs w:val="28"/>
          <w:highlight w:val="none"/>
          <w:lang w:val="en-US" w:eastAsia="zh-CN"/>
        </w:rPr>
        <w:t xml:space="preserve">人员、设备</w:t>
      </w:r>
      <w:r>
        <w:rPr>
          <w:rFonts w:hint="eastAsia" w:ascii="仿宋" w:hAnsi="仿宋" w:eastAsia="仿宋"/>
          <w:b w:val="0"/>
          <w:bCs w:val="0"/>
          <w:color w:val="auto"/>
          <w:sz w:val="28"/>
          <w:szCs w:val="28"/>
          <w:highlight w:val="none"/>
        </w:rPr>
        <w:t xml:space="preserve">管理</w:t>
      </w:r>
      <w:r>
        <w:rPr>
          <w:rFonts w:hint="eastAsia" w:ascii="仿宋" w:hAnsi="仿宋" w:eastAsia="仿宋"/>
          <w:b w:val="0"/>
          <w:bCs w:val="0"/>
          <w:color w:val="auto"/>
          <w:sz w:val="28"/>
          <w:szCs w:val="28"/>
          <w:highlight w:val="none"/>
          <w:lang w:eastAsia="zh-CN"/>
        </w:rPr>
        <w:t xml:space="preserve">；</w:t>
      </w:r>
      <w:r/>
    </w:p>
    <w:p>
      <w:pPr>
        <w:ind w:firstLine="560"/>
        <w:spacing w:line="500" w:lineRule="exact"/>
        <w:rPr>
          <w:rFonts w:hint="default" w:ascii="仿宋" w:hAnsi="仿宋" w:eastAsia="仿宋"/>
          <w:b w:val="0"/>
          <w:bCs w:val="0"/>
          <w:color w:val="auto"/>
          <w:sz w:val="28"/>
          <w:szCs w:val="28"/>
          <w:highlight w:val="none"/>
          <w:lang w:val="en-US" w:eastAsia="zh-CN"/>
        </w:rPr>
        <w:outlineLvl w:val="9"/>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六</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提供移动应急垃圾处置及污水处置设施；</w:t>
      </w:r>
      <w:r/>
    </w:p>
    <w:p>
      <w:pPr>
        <w:ind w:firstLine="560"/>
        <w:spacing w:line="500" w:lineRule="exact"/>
        <w:rPr>
          <w:rFonts w:hint="eastAsia" w:ascii="仿宋" w:hAnsi="仿宋" w:eastAsia="仿宋"/>
          <w:b w:val="0"/>
          <w:bCs w:val="0"/>
          <w:color w:val="auto"/>
          <w:sz w:val="28"/>
          <w:szCs w:val="28"/>
          <w:highlight w:val="none"/>
          <w:lang w:eastAsia="zh-CN"/>
        </w:rPr>
        <w:outlineLvl w:val="9"/>
      </w:pPr>
      <w:r>
        <w:rPr>
          <w:rFonts w:hint="eastAsia" w:ascii="仿宋" w:hAnsi="仿宋" w:eastAsia="仿宋"/>
          <w:b w:val="0"/>
          <w:bCs w:val="0"/>
          <w:color w:val="auto"/>
          <w:sz w:val="28"/>
          <w:szCs w:val="28"/>
          <w:highlight w:val="none"/>
          <w:lang w:val="en-US" w:eastAsia="zh-CN"/>
        </w:rPr>
        <w:t xml:space="preserve">（七）现东陈镇垃圾转送服务暂估量每年不超过20000吨，超过部分不予另行结算。</w:t>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三、服务要求</w:t>
      </w:r>
      <w:r/>
    </w:p>
    <w:p>
      <w:pPr>
        <w:ind w:firstLine="562"/>
        <w:spacing w:line="500" w:lineRule="exact"/>
        <w:rPr>
          <w:rFonts w:hint="eastAsia" w:ascii="仿宋" w:hAnsi="仿宋" w:eastAsia="仿宋"/>
          <w:b/>
          <w:bCs/>
          <w:color w:val="auto"/>
          <w:sz w:val="28"/>
          <w:szCs w:val="28"/>
          <w:highlight w:val="none"/>
          <w:lang w:val="en-US" w:eastAsia="zh-CN"/>
        </w:rPr>
        <w:outlineLvl w:val="9"/>
      </w:pPr>
      <w:r>
        <w:rPr>
          <w:rFonts w:hint="eastAsia" w:ascii="仿宋" w:hAnsi="仿宋" w:eastAsia="仿宋"/>
          <w:b/>
          <w:bCs/>
          <w:color w:val="auto"/>
          <w:sz w:val="28"/>
          <w:szCs w:val="28"/>
          <w:highlight w:val="none"/>
          <w:lang w:val="en-US" w:eastAsia="zh-CN"/>
        </w:rPr>
        <w:t xml:space="preserve">（一）垃圾中转站操作规范</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1.垃圾中转站开放时间与垃圾收集时间对应，个别因垃圾量大，适当提前和延时开放以留出收运进站和转运时间。</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2.垃圾中转站内应有防止粉尘飘散和垃圾飞扬、防污染扩散、污水收集处理系统等设施，以防止污水污染地表水和地下水。</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3.垃圾中转站内应有除臭设施，并在开放时间保持启用状态。</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4.垃圾中转站内外应通风良好，无恶臭，墙壁、窗户及机械部分应无积尘、蛛网、无杂物、干净、整洁、无乱贴、乱画、站内张贴管理规章制度。</w:t>
      </w:r>
      <w:r/>
    </w:p>
    <w:p>
      <w:pPr>
        <w:ind w:firstLine="56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5.垃圾中转站应有专人管理，管理员、操作员必须经过安全、操作等相关的职业培训，持证上岗，</w:t>
      </w:r>
      <w:r>
        <w:rPr>
          <w:rFonts w:hint="eastAsia" w:ascii="仿宋" w:hAnsi="仿宋" w:eastAsia="仿宋" w:cs="仿宋"/>
          <w:color w:val="auto"/>
          <w:sz w:val="28"/>
          <w:szCs w:val="28"/>
          <w:highlight w:val="none"/>
        </w:rPr>
        <w:t xml:space="preserve">必须专门服务于本</w:t>
      </w:r>
      <w:r>
        <w:rPr>
          <w:rFonts w:hint="eastAsia" w:ascii="仿宋" w:hAnsi="仿宋" w:eastAsia="仿宋" w:cs="仿宋"/>
          <w:color w:val="auto"/>
          <w:sz w:val="28"/>
          <w:szCs w:val="28"/>
          <w:highlight w:val="none"/>
          <w:lang w:val="en-US" w:eastAsia="zh-CN"/>
        </w:rPr>
        <w:t xml:space="preserve">项目且</w:t>
      </w:r>
      <w:r>
        <w:rPr>
          <w:rFonts w:hint="eastAsia" w:ascii="仿宋" w:hAnsi="仿宋" w:eastAsia="仿宋" w:cs="仿宋"/>
          <w:color w:val="auto"/>
          <w:sz w:val="28"/>
          <w:szCs w:val="28"/>
          <w:highlight w:val="none"/>
        </w:rPr>
        <w:t xml:space="preserve">不得</w:t>
      </w:r>
      <w:r>
        <w:rPr>
          <w:rFonts w:hint="eastAsia" w:ascii="仿宋" w:hAnsi="仿宋" w:eastAsia="仿宋" w:cs="仿宋"/>
          <w:color w:val="auto"/>
          <w:sz w:val="28"/>
          <w:szCs w:val="28"/>
          <w:highlight w:val="none"/>
          <w:lang w:val="en-US" w:eastAsia="zh-CN"/>
        </w:rPr>
        <w:t xml:space="preserve">随意</w:t>
      </w:r>
      <w:r>
        <w:rPr>
          <w:rFonts w:hint="eastAsia" w:ascii="仿宋" w:hAnsi="仿宋" w:eastAsia="仿宋" w:cs="仿宋"/>
          <w:color w:val="auto"/>
          <w:sz w:val="28"/>
          <w:szCs w:val="28"/>
          <w:highlight w:val="none"/>
        </w:rPr>
        <w:t xml:space="preserve">更换。</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6.不得随意改变中转站内所有设施设备的使用功能，不允许堆放私人杂物，站内物品、工具、操作台应有序整洁，保持干净，无污物，码放要整齐，不影响观瞻，不影响车辆进出及操作。</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7.如进行垃圾分类，分拣人员应佩戴胸卡上岗，分拣出来的物品按指定地点码放整齐，不得乱堆乱放，中转站管理人员必须对分拣人员加强管理。</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8.所有垃圾贮存设备应加盖封闭。垃圾收集车、运输车禁止发生跑、冒、滴、漏等现象，应在中转站内卸清全部垃圾。</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9.在垃圾卸料、压缩过程中，应启动空气净化系统除臭降尘，确保站内外的空气清新。垃圾转运车辆作业时应控制噪音扰民。</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10.装载垃圾时打开排污水阀，离站前检查污水阀是否关闭复位，并保证垃圾箱密封，确保运输途中不发生滴漏、满溢、抛撒。</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11.垃圾箱装车过程中箱体离开地面时要对箱体进行清洗，垃圾箱出站后必须对站内进行清洗。</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12.集装箱后门要求扣好后钩，上盖一定要盖严，不得有污物及挂物。集装箱要整洁完好，无损坏，定期油饰，遇有重大活动可增加油饰次数。</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13.转运作业场地和道路每次作业完毕后，应对设备箱体和水槽进行清掏，做到槽内无垃圾、无积水、无蛆、下水通畅；对站内的卫生进行清扫冲洗，设施设备全方位清洗干净，摆放整齐。地面要用水冲刷尘土，无积水。</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14.站内垃圾转运设施、设备应干净、整洁，无积垢、无锈渍，无吊挂垃圾。对转运设施定期保养，及时维护维修，各支点部位每次清除干净，润滑到位，确保设备正常运行。</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15.蚊蝇滋生季节，应每天喷灭蚊灭蝇药物，在可视范围内，基本无蚊蝇。</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16.收集站和中转站禁止转运建筑垃圾，建筑垃圾严禁进站。</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17.如因垃圾站内任何问题与周围居民发生纠纷。一切由中标方自行处置。</w:t>
      </w:r>
      <w:r/>
    </w:p>
    <w:p>
      <w:pPr>
        <w:ind w:firstLine="281"/>
        <w:spacing w:line="500" w:lineRule="exact"/>
        <w:rPr>
          <w:rFonts w:hint="eastAsia" w:ascii="仿宋" w:hAnsi="仿宋" w:eastAsia="仿宋"/>
          <w:b/>
          <w:bCs/>
          <w:color w:val="auto"/>
          <w:sz w:val="28"/>
          <w:szCs w:val="28"/>
          <w:highlight w:val="none"/>
          <w:lang w:val="en-US" w:eastAsia="zh-CN"/>
        </w:rPr>
        <w:outlineLvl w:val="9"/>
      </w:pPr>
      <w:r>
        <w:rPr>
          <w:rFonts w:hint="eastAsia" w:ascii="仿宋" w:hAnsi="仿宋" w:eastAsia="仿宋"/>
          <w:b/>
          <w:bCs/>
          <w:color w:val="auto"/>
          <w:sz w:val="28"/>
          <w:szCs w:val="28"/>
          <w:highlight w:val="none"/>
          <w:lang w:val="en-US" w:eastAsia="zh-CN"/>
        </w:rPr>
        <w:t xml:space="preserve">（二）垃圾中转站服务要求</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1.每天对服务范围内的垃圾清运至垃圾站并压缩成型，并联系待运；</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2.垃圾清运车必须全封闭运输，清运工在垃圾清运过程中必须做到无抛洒水滴漏等现象；</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3.垃圾送达后，操作工要及时压缩，不得积压。如遇停电、机械故障，造成垃圾二次翻运由成交人负责转运；</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4.垃圾中转站操作工必须保持工作场所清洁；</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5.注意操作安全，规范操作程序；</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6.注意清运过程中的交通安全，不开违章车：</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7.所有员工仪表端庄、精神饱满、举止文明、礼貌待人接物，穿工作服挂牌上岗。垃圾中转站上班时间：5月-9月5:00-19:00；10月-12月、1月-4月6:00-17:00。做到值班室正常有人值班。</w:t>
      </w:r>
      <w:r/>
    </w:p>
    <w:p>
      <w:pPr>
        <w:ind w:firstLine="281"/>
        <w:spacing w:line="500" w:lineRule="exact"/>
        <w:rPr>
          <w:rFonts w:hint="eastAsia" w:ascii="仿宋" w:hAnsi="仿宋" w:eastAsia="仿宋" w:cs="Times New Roman"/>
          <w:b/>
          <w:bCs/>
          <w:color w:val="auto"/>
          <w:sz w:val="28"/>
          <w:szCs w:val="28"/>
          <w:highlight w:val="none"/>
          <w:lang w:val="en-US" w:eastAsia="zh-CN"/>
        </w:rPr>
        <w:outlineLvl w:val="9"/>
      </w:pPr>
      <w:r>
        <w:rPr>
          <w:rFonts w:hint="eastAsia" w:ascii="仿宋" w:hAnsi="仿宋" w:eastAsia="仿宋" w:cs="Times New Roman"/>
          <w:b/>
          <w:bCs/>
          <w:color w:val="auto"/>
          <w:sz w:val="28"/>
          <w:szCs w:val="28"/>
          <w:highlight w:val="none"/>
          <w:lang w:val="en-US" w:eastAsia="zh-CN"/>
        </w:rPr>
        <w:t xml:space="preserve">（三）人员、设备要求</w:t>
      </w:r>
      <w:r/>
    </w:p>
    <w:p>
      <w:pPr>
        <w:ind w:firstLine="562"/>
        <w:spacing w:line="500" w:lineRule="exact"/>
        <w:rPr>
          <w:rFonts w:hint="eastAsia" w:ascii="仿宋" w:hAnsi="仿宋" w:eastAsia="仿宋"/>
          <w:b/>
          <w:bCs/>
          <w:color w:val="auto"/>
          <w:sz w:val="28"/>
          <w:szCs w:val="28"/>
          <w:highlight w:val="none"/>
          <w:lang w:val="en-US" w:eastAsia="zh-CN"/>
        </w:rPr>
        <w:outlineLvl w:val="9"/>
      </w:pPr>
      <w:r>
        <w:rPr>
          <w:rFonts w:hint="eastAsia" w:ascii="仿宋" w:hAnsi="仿宋" w:eastAsia="仿宋"/>
          <w:b/>
          <w:bCs/>
          <w:color w:val="auto"/>
          <w:sz w:val="28"/>
          <w:szCs w:val="28"/>
          <w:highlight w:val="none"/>
          <w:lang w:val="en-US" w:eastAsia="zh-CN"/>
        </w:rPr>
        <w:t xml:space="preserve">1.人员配备要求</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（1）响应供应商应建立健全完善的管理组织架构，配置各类车辆驾驶员5人、操作工5人，项目经理、现场管理及技术人员7人，合计配置总人数不少于17人。</w:t>
      </w:r>
      <w:r/>
    </w:p>
    <w:p>
      <w:pPr>
        <w:pStyle w:val="876"/>
        <w:ind w:firstLine="567"/>
        <w:spacing w:before="0" w:beforeAutospacing="0" w:after="0" w:afterAutospacing="0" w:line="500" w:lineRule="exact"/>
        <w:shd w:val="clear" w:color="auto" w:fill="ffffff"/>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（2）响应供应商依法为符合条件的人员缴纳保险，工资不低于江苏省最低工资标准。</w:t>
      </w:r>
      <w:r>
        <w:rPr>
          <w:rFonts w:hint="eastAsia" w:ascii="仿宋" w:hAnsi="仿宋" w:eastAsia="仿宋"/>
          <w:b/>
          <w:bCs/>
          <w:color w:val="auto"/>
          <w:sz w:val="28"/>
          <w:szCs w:val="28"/>
          <w:highlight w:val="none"/>
          <w:lang w:val="en-US" w:eastAsia="zh-CN"/>
        </w:rPr>
        <w:t xml:space="preserve">须提供下列人员</w:t>
      </w:r>
      <w:r>
        <w:rPr>
          <w:rFonts w:hint="eastAsia" w:ascii="仿宋" w:hAnsi="仿宋" w:eastAsia="仿宋"/>
          <w:b/>
          <w:bCs/>
          <w:iCs/>
          <w:color w:val="auto"/>
          <w:sz w:val="28"/>
          <w:szCs w:val="28"/>
          <w:highlight w:val="none"/>
        </w:rPr>
        <w:t xml:space="preserve">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cs="仿宋"/>
          <w:b/>
          <w:bCs/>
          <w:color w:val="auto"/>
          <w:sz w:val="28"/>
          <w:szCs w:val="28"/>
          <w:highlight w:val="none"/>
          <w:lang w:val="en-US" w:eastAsia="zh-CN"/>
        </w:rPr>
        <w:t xml:space="preserve">不提供视为无效响应。</w:t>
      </w:r>
      <w:r/>
    </w:p>
    <w:p>
      <w:pPr>
        <w:pStyle w:val="868"/>
        <w:jc w:val="center"/>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项目人员配备表</w:t>
      </w:r>
      <w:r/>
    </w:p>
    <w:tbl>
      <w:tblPr>
        <w:tblStyle w:val="865"/>
        <w:tblW w:w="7218" w:type="dxa"/>
        <w:tblInd w:w="9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4275"/>
        <w:gridCol w:w="1612"/>
      </w:tblGrid>
      <w:tr>
        <w:trPr>
          <w:trHeight w:val="478"/>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序号</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岗位名称</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人数</w:t>
            </w:r>
            <w:r/>
          </w:p>
        </w:tc>
      </w:tr>
      <w:tr>
        <w:trPr>
          <w:trHeight w:val="347"/>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c>
          <w:tcPr>
            <w:shd w:val="clear" w:color="auto" w:fill="auto"/>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项目经理</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347"/>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2</w:t>
            </w:r>
            <w:r/>
          </w:p>
        </w:tc>
        <w:tc>
          <w:tcPr>
            <w:shd w:val="clear" w:color="auto" w:fill="auto"/>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环境工程师</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347"/>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3</w:t>
            </w:r>
            <w:r/>
          </w:p>
        </w:tc>
        <w:tc>
          <w:tcPr>
            <w:shd w:val="clear" w:color="auto" w:fill="auto"/>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污废水处理人员</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379"/>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4</w:t>
            </w:r>
            <w:r/>
          </w:p>
        </w:tc>
        <w:tc>
          <w:tcPr>
            <w:shd w:val="clear" w:color="auto" w:fill="auto"/>
            <w:tcW w:w="427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现场管理员（兼安全员）</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469"/>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信息化管理员</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546"/>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6</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驾驶员</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r>
      <w:tr>
        <w:trPr>
          <w:trHeight w:val="546"/>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7</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操作工</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r>
      <w:tr>
        <w:trPr>
          <w:trHeight w:val="450"/>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8</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值守人员</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2</w:t>
            </w:r>
            <w:r/>
          </w:p>
        </w:tc>
      </w:tr>
      <w:tr>
        <w:trPr>
          <w:trHeight w:val="487"/>
        </w:trPr>
        <w:tc>
          <w:tcPr>
            <w:gridSpan w:val="2"/>
            <w:tcW w:w="5606"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合计</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17</w:t>
            </w:r>
            <w:r/>
          </w:p>
        </w:tc>
      </w:tr>
    </w:tbl>
    <w:p>
      <w:pPr>
        <w:pStyle w:val="893"/>
        <w:jc w:val="left"/>
        <w:keepLines w:val="0"/>
        <w:keepNext w:val="0"/>
        <w:pageBreakBefore w:val="0"/>
        <w:spacing w:after="0"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备注：</w:t>
      </w:r>
      <w:r/>
    </w:p>
    <w:p>
      <w:pPr>
        <w:pStyle w:val="893"/>
        <w:ind w:firstLine="562"/>
        <w:jc w:val="left"/>
        <w:keepLines w:val="0"/>
        <w:keepNext w:val="0"/>
        <w:pageBreakBefore w:val="0"/>
        <w:spacing w:after="0"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①响应供应商</w:t>
      </w:r>
      <w:r>
        <w:rPr>
          <w:rFonts w:hint="eastAsia" w:ascii="仿宋" w:hAnsi="仿宋" w:eastAsia="仿宋" w:cs="仿宋"/>
          <w:b/>
          <w:bCs/>
          <w:color w:val="auto"/>
          <w:sz w:val="28"/>
          <w:szCs w:val="28"/>
          <w:highlight w:val="none"/>
        </w:rPr>
        <w:t xml:space="preserve">项目组所有人员均须符合行业作业与安全标准。须在项目服务期限内在项目所在地范围内驻点办公并设置停车场地，须做到采购人随叫随到。</w:t>
      </w:r>
      <w:r>
        <w:rPr>
          <w:rFonts w:hint="eastAsia" w:ascii="仿宋" w:hAnsi="仿宋" w:eastAsia="仿宋" w:cs="仿宋"/>
          <w:b/>
          <w:bCs/>
          <w:color w:val="auto"/>
          <w:sz w:val="28"/>
          <w:szCs w:val="28"/>
          <w:highlight w:val="none"/>
          <w:lang w:val="en-US" w:eastAsia="zh-CN"/>
        </w:rPr>
        <w:t xml:space="preserve">须提供承诺函（格式自拟），不提供视为无效响应。</w:t>
      </w:r>
      <w:r/>
    </w:p>
    <w:p>
      <w:pPr>
        <w:pStyle w:val="893"/>
        <w:ind w:firstLine="552"/>
        <w:jc w:val="left"/>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lang w:val="en-US" w:eastAsia="zh-CN"/>
        </w:rPr>
        <w:t xml:space="preserve">②</w:t>
      </w:r>
      <w:r>
        <w:rPr>
          <w:rFonts w:hint="eastAsia" w:ascii="仿宋" w:hAnsi="仿宋" w:eastAsia="仿宋" w:cs="仿宋"/>
          <w:color w:val="auto"/>
          <w:sz w:val="28"/>
          <w:szCs w:val="28"/>
          <w:highlight w:val="none"/>
          <w:lang w:val="en-US" w:eastAsia="zh-CN"/>
        </w:rPr>
        <w:t xml:space="preserve">响应供应商</w:t>
      </w:r>
      <w:r>
        <w:rPr>
          <w:rFonts w:hint="eastAsia" w:ascii="仿宋" w:hAnsi="仿宋" w:eastAsia="仿宋" w:cs="仿宋"/>
          <w:color w:val="auto"/>
          <w:spacing w:val="-2"/>
          <w:sz w:val="28"/>
          <w:szCs w:val="28"/>
          <w:highlight w:val="none"/>
          <w:lang w:val="en-US" w:eastAsia="zh-CN"/>
        </w:rPr>
        <w:t xml:space="preserve">须确保垃圾运输车辆及作业人员合规上路、安全运营。</w:t>
      </w:r>
      <w:r>
        <w:rPr>
          <w:rFonts w:hint="eastAsia" w:ascii="仿宋" w:hAnsi="仿宋" w:eastAsia="仿宋" w:cs="仿宋"/>
          <w:color w:val="auto"/>
          <w:sz w:val="28"/>
          <w:szCs w:val="28"/>
          <w:highlight w:val="none"/>
        </w:rPr>
        <w:t xml:space="preserve">专职驾驶人员必须持证（驾驶证）上岗，驾驶适证车辆。保证安全、文明驾驶，进站、装载、运输、倾倒等作业保证文明有序。严格遵守《</w:t>
      </w:r>
      <w:r>
        <w:rPr>
          <w:rFonts w:hint="eastAsia" w:ascii="仿宋" w:hAnsi="仿宋" w:eastAsia="仿宋" w:cs="仿宋"/>
          <w:color w:val="auto"/>
          <w:sz w:val="28"/>
          <w:szCs w:val="28"/>
          <w:highlight w:val="none"/>
          <w:lang w:eastAsia="zh-CN"/>
        </w:rPr>
        <w:t xml:space="preserve">中华人民共和国道路交通安全法</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及</w:t>
      </w:r>
      <w:r>
        <w:rPr>
          <w:rFonts w:hint="eastAsia" w:ascii="仿宋" w:hAnsi="仿宋" w:eastAsia="仿宋" w:cs="仿宋"/>
          <w:color w:val="auto"/>
          <w:sz w:val="28"/>
          <w:szCs w:val="28"/>
          <w:highlight w:val="none"/>
        </w:rPr>
        <w:t xml:space="preserve">操作规程，严禁开快车、病车、赌气车；严禁疲劳驾驶、酒后开车；在转运过程中应保持车辆号牌清晰，不得遮挡公司标识及车辆号牌；每天作业完成后应清洗干净按规定停放运输车辆；要自觉接受媒体及社会的监督。</w:t>
      </w:r>
      <w:r/>
    </w:p>
    <w:p>
      <w:pPr>
        <w:pStyle w:val="893"/>
        <w:ind w:firstLine="560"/>
        <w:jc w:val="left"/>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w:t>
      </w:r>
      <w:r>
        <w:rPr>
          <w:rFonts w:hint="eastAsia" w:ascii="仿宋" w:hAnsi="仿宋" w:eastAsia="仿宋" w:cs="仿宋"/>
          <w:color w:val="auto"/>
          <w:sz w:val="28"/>
          <w:szCs w:val="28"/>
          <w:highlight w:val="none"/>
        </w:rPr>
        <w:t xml:space="preserve">驾驶人员必须严格遵守各项规章制度，认真履行垃圾清运职责，听从采购人工作安排和垃圾清运调度，不得以任何理由拒绝采购人的要求。严格按照采购人的调度方案调运生活垃圾，</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，随时准备处理应急、突击任务，确保无积存生活垃圾。</w:t>
      </w:r>
      <w:r/>
    </w:p>
    <w:p>
      <w:pPr>
        <w:pStyle w:val="867"/>
        <w:numPr>
          <w:ilvl w:val="0"/>
          <w:numId w:val="0"/>
        </w:numPr>
        <w:ind w:firstLine="482"/>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车辆要求</w:t>
      </w:r>
      <w:r/>
    </w:p>
    <w:p>
      <w:pPr>
        <w:pStyle w:val="876"/>
        <w:ind w:left="0" w:right="0"/>
        <w:jc w:val="center"/>
        <w:keepLines w:val="0"/>
        <w:keepNext w:val="0"/>
        <w:spacing w:before="0" w:beforeAutospacing="0" w:after="0" w:afterAutospacing="0"/>
        <w:widowControl w:val="off"/>
        <w:rPr>
          <w:rFonts w:hint="eastAsia"/>
          <w:color w:val="auto"/>
          <w:highlight w:val="none"/>
          <w:lang w:eastAsia="zh-CN"/>
        </w:rPr>
        <w:suppressLineNumbers w:val="0"/>
      </w:pPr>
      <w:r>
        <w:rPr>
          <w:rFonts w:hint="eastAsia" w:ascii="仿宋" w:hAnsi="仿宋" w:eastAsia="仿宋" w:cs="仿宋"/>
          <w:b/>
          <w:bCs/>
          <w:color w:val="auto"/>
          <w:sz w:val="28"/>
          <w:szCs w:val="28"/>
          <w:highlight w:val="none"/>
        </w:rPr>
        <w:t xml:space="preserve">设备设施最低配置</w:t>
      </w:r>
      <w:r>
        <w:rPr>
          <w:rFonts w:hint="default" w:ascii="仿宋_GB2312" w:hAnsi="Times New Roman" w:eastAsia="仿宋_GB2312" w:cs="仿宋_GB2312"/>
          <w:b/>
          <w:bCs/>
          <w:color w:val="auto"/>
          <w:sz w:val="28"/>
          <w:szCs w:val="28"/>
          <w:highlight w:val="none"/>
          <w:lang w:val="en-US" w:eastAsia="zh-CN" w:bidi="ar"/>
        </w:rPr>
        <w:t xml:space="preserve">一览表</w:t>
      </w:r>
      <w:r/>
    </w:p>
    <w:tbl>
      <w:tblPr>
        <w:tblStyle w:val="865"/>
        <w:tblW w:w="9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3773"/>
        <w:gridCol w:w="2340"/>
        <w:gridCol w:w="949"/>
        <w:gridCol w:w="1238"/>
      </w:tblGrid>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单位</w:t>
            </w:r>
            <w:r/>
          </w:p>
        </w:tc>
      </w:tr>
      <w:tr>
        <w:trPr>
          <w:jc w:val="center"/>
          <w:trHeight w:val="949"/>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lang w:val="en-US" w:eastAsia="zh-CN" w:bidi="ar"/>
              </w:rPr>
              <w:t xml:space="preserve">重型特殊结构货车（垃圾后装压缩车）</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lang w:val="en-US" w:eastAsia="zh-CN" w:bidi="ar"/>
              </w:rPr>
              <w:t xml:space="preserve">总质量≥7000kg</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辆</w:t>
            </w:r>
            <w:r/>
          </w:p>
        </w:tc>
      </w:tr>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i w:val="0"/>
                <w:iCs w:val="0"/>
                <w:color w:val="auto"/>
                <w:sz w:val="28"/>
                <w:szCs w:val="28"/>
                <w:highlight w:val="none"/>
                <w:vertAlign w:val="baseline"/>
                <w:lang w:val="en-US" w:eastAsia="zh-CN" w:bidi="ar"/>
              </w:rPr>
              <w:suppressLineNumbers w:val="0"/>
            </w:pPr>
            <w:r>
              <w:rPr>
                <w:rFonts w:hint="eastAsia" w:ascii="仿宋" w:hAnsi="仿宋" w:eastAsia="仿宋" w:cs="仿宋"/>
                <w:i w:val="0"/>
                <w:iCs w:val="0"/>
                <w:color w:val="auto"/>
                <w:sz w:val="28"/>
                <w:szCs w:val="28"/>
                <w:highlight w:val="none"/>
                <w:vertAlign w:val="baseli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辆</w:t>
            </w:r>
            <w:r/>
          </w:p>
        </w:tc>
      </w:tr>
      <w:tr>
        <w:trPr>
          <w:jc w:val="center"/>
          <w:trHeight w:val="486"/>
        </w:trPr>
        <w:tc>
          <w:tcPr>
            <w:gridSpan w:val="3"/>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i w:val="0"/>
                <w:iCs w:val="0"/>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辆</w:t>
            </w:r>
            <w:r/>
          </w:p>
        </w:tc>
      </w:tr>
    </w:tbl>
    <w:p>
      <w:pPr>
        <w:pStyle w:val="867"/>
        <w:keepLines w:val="0"/>
        <w:keepNext w:val="0"/>
        <w:pageBreakBefore w:val="0"/>
        <w:spacing w:line="50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备注：</w:t>
      </w:r>
      <w:r/>
    </w:p>
    <w:p>
      <w:pPr>
        <w:pStyle w:val="893"/>
        <w:ind w:firstLine="562"/>
        <w:jc w:val="left"/>
        <w:keepLines w:val="0"/>
        <w:keepNext w:val="0"/>
        <w:pageBreakBefore w:val="0"/>
        <w:spacing w:after="0"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1.响应供应商</w:t>
      </w:r>
      <w:r>
        <w:rPr>
          <w:rFonts w:hint="eastAsia" w:ascii="仿宋" w:hAnsi="仿宋" w:eastAsia="仿宋" w:cs="仿宋"/>
          <w:b/>
          <w:bCs/>
          <w:color w:val="auto"/>
          <w:sz w:val="28"/>
          <w:szCs w:val="28"/>
          <w:highlight w:val="none"/>
          <w:lang w:eastAsia="zh-CN"/>
        </w:rPr>
        <w:t xml:space="preserve">至少须常规配备</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辆总质量</w:t>
      </w:r>
      <w:r>
        <w:rPr>
          <w:rFonts w:hint="eastAsia" w:ascii="仿宋" w:hAnsi="仿宋" w:eastAsia="仿宋" w:cs="仿宋"/>
          <w:b/>
          <w:bCs/>
          <w:color w:val="auto"/>
          <w:sz w:val="28"/>
          <w:szCs w:val="28"/>
          <w:highlight w:val="none"/>
          <w:lang w:val="en-US" w:eastAsia="zh-CN"/>
        </w:rPr>
        <w:t xml:space="preserve">≥7000kg</w:t>
      </w:r>
      <w:r>
        <w:rPr>
          <w:rFonts w:hint="eastAsia" w:ascii="仿宋" w:hAnsi="仿宋" w:eastAsia="仿宋" w:cs="仿宋"/>
          <w:b/>
          <w:bCs/>
          <w:color w:val="auto"/>
          <w:sz w:val="28"/>
          <w:szCs w:val="28"/>
          <w:highlight w:val="none"/>
          <w:lang w:eastAsia="zh-CN"/>
        </w:rPr>
        <w:t xml:space="preserve">及以上吨位</w:t>
      </w:r>
      <w:r>
        <w:rPr>
          <w:rFonts w:hint="eastAsia" w:ascii="仿宋" w:hAnsi="仿宋" w:eastAsia="仿宋" w:cs="仿宋"/>
          <w:b/>
          <w:bCs/>
          <w:color w:val="auto"/>
          <w:sz w:val="28"/>
          <w:szCs w:val="28"/>
          <w:highlight w:val="none"/>
          <w:lang w:val="en-US" w:eastAsia="zh-CN"/>
        </w:rPr>
        <w:t xml:space="preserve">重型特殊结构货车（垃圾后装压缩车）</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1辆装载机。其中重型特殊结构货车（垃圾后装压缩车）须提供相应车辆有效登记证（登记日期须在项目开标之前）、行驶证、保险单据、购置发票、车辆带牌照的清晰照片；装载机须提供购置发票、清晰照片。不提供或提供不全视为无效响应。</w:t>
      </w:r>
      <w:r/>
    </w:p>
    <w:p>
      <w:pPr>
        <w:pStyle w:val="893"/>
        <w:ind w:firstLine="560"/>
        <w:jc w:val="left"/>
        <w:keepLines w:val="0"/>
        <w:keepNext w:val="0"/>
        <w:pageBreakBefore w:val="0"/>
        <w:spacing w:after="0" w:line="5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2.响应供应商</w:t>
      </w:r>
      <w:r>
        <w:rPr>
          <w:rFonts w:hint="eastAsia" w:ascii="仿宋" w:hAnsi="仿宋" w:eastAsia="仿宋" w:cs="仿宋"/>
          <w:color w:val="auto"/>
          <w:sz w:val="28"/>
          <w:szCs w:val="28"/>
          <w:highlight w:val="none"/>
          <w:lang w:eastAsia="zh-CN"/>
        </w:rPr>
        <w:t xml:space="preserve">提供的作业车辆须与本项目中转站设备配套装卸，</w:t>
      </w:r>
      <w:r>
        <w:rPr>
          <w:rFonts w:hint="eastAsia" w:ascii="仿宋" w:hAnsi="仿宋" w:eastAsia="仿宋" w:cs="仿宋"/>
          <w:color w:val="auto"/>
          <w:sz w:val="28"/>
          <w:szCs w:val="28"/>
          <w:highlight w:val="none"/>
          <w:lang w:val="en-US" w:eastAsia="zh-CN"/>
        </w:rPr>
        <w:t xml:space="preserve">响应供应商</w:t>
      </w:r>
      <w:r>
        <w:rPr>
          <w:rFonts w:hint="eastAsia" w:ascii="仿宋" w:hAnsi="仿宋" w:eastAsia="仿宋" w:cs="仿宋"/>
          <w:color w:val="auto"/>
          <w:sz w:val="28"/>
          <w:szCs w:val="28"/>
          <w:highlight w:val="none"/>
          <w:lang w:eastAsia="zh-CN"/>
        </w:rPr>
        <w:t xml:space="preserve">自行踏勘现场现有设备情况后确认并选择好车型</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lang w:eastAsia="zh-CN"/>
        </w:rPr>
        <w:t xml:space="preserve">，如</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lang w:eastAsia="zh-CN"/>
        </w:rPr>
        <w:t xml:space="preserve">后不能满足现场使用需求的，</w:t>
      </w:r>
      <w:r>
        <w:rPr>
          <w:rFonts w:hint="eastAsia" w:ascii="仿宋" w:hAnsi="仿宋" w:eastAsia="仿宋" w:cs="仿宋"/>
          <w:color w:val="auto"/>
          <w:sz w:val="28"/>
          <w:szCs w:val="28"/>
          <w:highlight w:val="none"/>
          <w:lang w:val="en-US" w:eastAsia="zh-CN"/>
        </w:rPr>
        <w:t xml:space="preserve">响应供应商</w:t>
      </w:r>
      <w:r>
        <w:rPr>
          <w:rFonts w:hint="eastAsia" w:ascii="仿宋" w:hAnsi="仿宋" w:eastAsia="仿宋" w:cs="仿宋"/>
          <w:color w:val="auto"/>
          <w:sz w:val="28"/>
          <w:szCs w:val="28"/>
          <w:highlight w:val="none"/>
          <w:lang w:eastAsia="zh-CN"/>
        </w:rPr>
        <w:t xml:space="preserve">自行承担相应的责任。</w:t>
      </w:r>
      <w:r/>
    </w:p>
    <w:p>
      <w:pPr>
        <w:pStyle w:val="893"/>
        <w:ind w:firstLine="560"/>
        <w:jc w:val="left"/>
        <w:keepLines w:val="0"/>
        <w:keepNext w:val="0"/>
        <w:pageBreakBefore w:val="0"/>
        <w:spacing w:after="0" w:line="5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作业车辆外观整洁，车容车况良好，密闭运输。所有车辆符合法律法规要求，并具有机动车辆保险手续，所产生费用及事故责任均由</w:t>
      </w:r>
      <w:r>
        <w:rPr>
          <w:rFonts w:hint="eastAsia" w:ascii="仿宋" w:hAnsi="仿宋" w:eastAsia="仿宋" w:cs="仿宋"/>
          <w:color w:val="auto"/>
          <w:sz w:val="28"/>
          <w:szCs w:val="28"/>
          <w:highlight w:val="none"/>
          <w:lang w:val="en-US" w:eastAsia="zh-CN"/>
        </w:rPr>
        <w:t xml:space="preserve">响应供应商</w:t>
      </w:r>
      <w:r>
        <w:rPr>
          <w:rFonts w:hint="eastAsia" w:ascii="仿宋" w:hAnsi="仿宋" w:eastAsia="仿宋" w:cs="仿宋"/>
          <w:color w:val="auto"/>
          <w:sz w:val="28"/>
          <w:szCs w:val="28"/>
          <w:highlight w:val="none"/>
          <w:lang w:eastAsia="zh-CN"/>
        </w:rPr>
        <w:t xml:space="preserve">自行承担。</w:t>
      </w:r>
      <w:r/>
    </w:p>
    <w:p>
      <w:pPr>
        <w:pStyle w:val="893"/>
        <w:ind w:firstLine="560"/>
        <w:jc w:val="left"/>
        <w:keepLines w:val="0"/>
        <w:keepNext w:val="0"/>
        <w:pageBreakBefore w:val="0"/>
        <w:spacing w:after="0"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作业车辆应配置污水收集装置，确保完好、运行正常，并及时定点排放污水，杜绝滴漏、遗洒等污染路面现象，全面符合环保及相关管理要求，因违规产生的一切责任由</w:t>
      </w:r>
      <w:r>
        <w:rPr>
          <w:rFonts w:hint="eastAsia" w:ascii="仿宋" w:hAnsi="仿宋" w:eastAsia="仿宋" w:cs="仿宋"/>
          <w:color w:val="auto"/>
          <w:sz w:val="28"/>
          <w:szCs w:val="28"/>
          <w:highlight w:val="none"/>
          <w:lang w:val="en-US" w:eastAsia="zh-CN"/>
        </w:rPr>
        <w:t xml:space="preserve">响应供应商</w:t>
      </w:r>
      <w:r>
        <w:rPr>
          <w:rFonts w:hint="eastAsia" w:ascii="仿宋" w:hAnsi="仿宋" w:eastAsia="仿宋" w:cs="仿宋"/>
          <w:color w:val="auto"/>
          <w:sz w:val="28"/>
          <w:szCs w:val="28"/>
          <w:highlight w:val="none"/>
          <w:lang w:eastAsia="zh-CN"/>
        </w:rPr>
        <w:t xml:space="preserve">自行承担。</w:t>
      </w:r>
      <w:r/>
    </w:p>
    <w:p>
      <w:pPr>
        <w:ind w:firstLine="281"/>
        <w:keepLines w:val="0"/>
        <w:pageBreakBefore w:val="0"/>
        <w:spacing w:line="500" w:lineRule="exact"/>
        <w:rPr>
          <w:rFonts w:hint="eastAsia" w:ascii="仿宋" w:hAnsi="仿宋" w:eastAsia="仿宋" w:cs="Times New Roman"/>
          <w:b/>
          <w:bCs/>
          <w:color w:val="auto"/>
          <w:sz w:val="28"/>
          <w:szCs w:val="28"/>
          <w:highlight w:val="none"/>
          <w:lang w:val="en-US" w:eastAsia="zh-CN"/>
        </w:rPr>
        <w:outlineLvl w:val="9"/>
      </w:pPr>
      <w:r>
        <w:rPr>
          <w:rFonts w:hint="eastAsia" w:ascii="仿宋" w:hAnsi="仿宋" w:eastAsia="仿宋" w:cs="Times New Roman"/>
          <w:b/>
          <w:bCs/>
          <w:color w:val="auto"/>
          <w:sz w:val="28"/>
          <w:szCs w:val="28"/>
          <w:highlight w:val="none"/>
          <w:lang w:val="en-US" w:eastAsia="zh-CN"/>
        </w:rPr>
        <w:t xml:space="preserve">（四）垃圾中转站考核标准</w:t>
      </w:r>
      <w:r/>
    </w:p>
    <w:p>
      <w:pPr>
        <w:ind w:firstLine="560"/>
        <w:keepLines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1.场地要求</w:t>
      </w:r>
      <w:r/>
    </w:p>
    <w:p>
      <w:pPr>
        <w:pStyle w:val="867"/>
        <w:ind w:firstLine="480"/>
        <w:keepLines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临时收运点要设置合理，不影响车辆、行人通行，不压占盲道，与周围环境相协调。</w:t>
      </w:r>
      <w:r>
        <w:rPr>
          <w:rFonts w:hint="eastAsia" w:ascii="仿宋" w:hAnsi="仿宋" w:eastAsia="仿宋" w:cs="仿宋"/>
          <w:color w:val="auto"/>
          <w:sz w:val="28"/>
          <w:szCs w:val="28"/>
          <w:highlight w:val="none"/>
          <w:lang w:eastAsia="zh-CN"/>
        </w:rPr>
        <w:t xml:space="preserve">运输车辆在上下班高峰期，必须按照道路交通的管制要求，规范行驶，避让行人和非机动车。在中转站装载作业过程中，要小心驾驶，避免碰撞，减少噪声，避免作业扰民。</w:t>
      </w:r>
      <w:r/>
    </w:p>
    <w:p>
      <w:pPr>
        <w:ind w:firstLine="560"/>
        <w:keepLines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2.规范设置</w:t>
      </w:r>
      <w:r/>
    </w:p>
    <w:p>
      <w:pPr>
        <w:ind w:firstLine="560"/>
        <w:keepLines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（1）有条件的临时收运点应设置标志牌，公布收运点名称、管理单位、责任人及联系电话、作业时间，标志牌应保持完好、整洁。</w:t>
      </w:r>
      <w:r/>
    </w:p>
    <w:p>
      <w:pPr>
        <w:ind w:firstLine="560"/>
        <w:keepLines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（2）应配备冲洗设施。</w:t>
      </w:r>
      <w:r/>
    </w:p>
    <w:p>
      <w:pPr>
        <w:ind w:firstLine="560"/>
        <w:keepLines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3.场地秩序</w:t>
      </w:r>
      <w:r/>
    </w:p>
    <w:p>
      <w:pPr>
        <w:ind w:firstLine="560"/>
        <w:keepLines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地面应硬质化，作业车辆停放整齐，不得采用手写方式进行标识。不得将破损不堪的垃圾收集车和桶摆放在收运点。</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Times New Roman"/>
          <w:color w:val="auto"/>
          <w:sz w:val="28"/>
          <w:szCs w:val="28"/>
          <w:highlight w:val="none"/>
          <w:lang w:val="en-US" w:eastAsia="zh-CN"/>
        </w:rPr>
        <w:t xml:space="preserve">分类存放</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接收生活垃圾以外的其他垃圾，要分类收集，分别存放。大件物品存放要有序摆放，尽快清运。收运容器外面要统一标识，分清类别，不得混装混运。</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5.收运容器卫生</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收运容器表面无明显污渍、积尘。每天清洗，保证容器内壁无积尘、无堆积污垢、无蛆虫。垃圾容器完好，无破损。垃圾容器应密闭覆盖，确保无超高、超装垃圾，无裸露、暴露垃圾。</w:t>
      </w:r>
      <w:r/>
    </w:p>
    <w:p>
      <w:pPr>
        <w:pStyle w:val="867"/>
        <w:ind w:firstLine="480"/>
        <w:keepLines w:val="0"/>
        <w:pageBreakBefore w:val="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清运车辆运输过程中，必须文明驾驶，无抛、冒、洒、滴、漏现象，如因作业不规范，从而引起公安、</w:t>
      </w:r>
      <w:r>
        <w:rPr>
          <w:rFonts w:hint="eastAsia" w:ascii="仿宋" w:hAnsi="仿宋" w:eastAsia="仿宋" w:cs="仿宋"/>
          <w:color w:val="auto"/>
          <w:sz w:val="28"/>
          <w:szCs w:val="28"/>
          <w:highlight w:val="none"/>
          <w:lang w:val="en-US" w:eastAsia="zh-CN"/>
        </w:rPr>
        <w:t xml:space="preserve">城管</w:t>
      </w:r>
      <w:r>
        <w:rPr>
          <w:rFonts w:hint="eastAsia" w:ascii="仿宋" w:hAnsi="仿宋" w:eastAsia="仿宋" w:cs="仿宋"/>
          <w:color w:val="auto"/>
          <w:sz w:val="28"/>
          <w:szCs w:val="28"/>
          <w:highlight w:val="none"/>
          <w:lang w:eastAsia="zh-CN"/>
        </w:rPr>
        <w:t xml:space="preserve">、环保等相关督查部门追责，投标单位自行处理。</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7.车容车貌</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垃圾装运过程中垃圾运输车应保持整洁卫生，运输过程中垃圾覆盖封闭，无超高、超装、超载行为。车身干净，无外挂垃圾，沿途无垃圾漏撒与污水滴漏。</w:t>
      </w:r>
      <w:r/>
    </w:p>
    <w:p>
      <w:pPr>
        <w:ind w:firstLine="560"/>
        <w:keepLines w:val="0"/>
        <w:pageBreakBefore w:val="0"/>
        <w:spacing w:line="50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8.禁止事项</w:t>
      </w:r>
      <w:r/>
    </w:p>
    <w:p>
      <w:pPr>
        <w:ind w:firstLine="560"/>
        <w:keepLines w:val="0"/>
        <w:pageBreakBefore w:val="0"/>
        <w:spacing w:line="500" w:lineRule="exact"/>
        <w:rPr>
          <w:rFonts w:hint="eastAsia"/>
          <w:color w:val="auto"/>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禁止使用五类车：摩托车、电动车、三轮车、非法残疾人机动轮椅车、改（拼）装报废车）收集运输垃圾。</w:t>
      </w:r>
      <w:r/>
    </w:p>
    <w:p>
      <w:pPr>
        <w:ind w:firstLine="560"/>
        <w:keepLines w:val="0"/>
        <w:pageBreakBefore w:val="0"/>
        <w:spacing w:line="500" w:lineRule="exact"/>
        <w:rPr>
          <w:rFonts w:ascii="黑体" w:hAnsi="黑体" w:eastAsia="黑体"/>
          <w:color w:val="auto"/>
          <w:sz w:val="28"/>
          <w:szCs w:val="28"/>
          <w:highlight w:val="none"/>
        </w:rPr>
        <w:outlineLvl w:val="1"/>
      </w:pPr>
      <w:r/>
      <w:bookmarkStart w:id="59" w:name="_Toc31068"/>
      <w:r>
        <w:rPr>
          <w:rFonts w:hint="eastAsia" w:ascii="黑体" w:hAnsi="黑体" w:eastAsia="黑体"/>
          <w:color w:val="auto"/>
          <w:sz w:val="28"/>
          <w:szCs w:val="28"/>
          <w:highlight w:val="none"/>
        </w:rPr>
        <w:t xml:space="preserve">四、服务标准</w:t>
      </w:r>
      <w:bookmarkEnd w:id="59"/>
      <w:r/>
      <w:r/>
    </w:p>
    <w:p>
      <w:pPr>
        <w:ind w:firstLine="560"/>
        <w:keepLines w:val="0"/>
        <w:pageBreakBefore w:val="0"/>
        <w:spacing w:line="500" w:lineRule="exact"/>
        <w:rPr>
          <w:rFonts w:hint="eastAsia" w:ascii="仿宋" w:hAnsi="仿宋" w:eastAsia="仿宋"/>
          <w:bCs/>
          <w:color w:val="auto"/>
          <w:sz w:val="28"/>
          <w:szCs w:val="28"/>
          <w:highlight w:val="none"/>
        </w:rPr>
      </w:pPr>
      <w:r/>
      <w:bookmarkStart w:id="60" w:name="_Hlk40719223"/>
      <w:r>
        <w:rPr>
          <w:rFonts w:hint="eastAsia" w:ascii="仿宋" w:hAnsi="仿宋" w:eastAsia="仿宋"/>
          <w:bCs/>
          <w:color w:val="auto"/>
          <w:sz w:val="28"/>
          <w:szCs w:val="28"/>
          <w:highlight w:val="none"/>
        </w:rPr>
        <w:t xml:space="preserve">（一）响应供应商不能简单照搬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提供的需求，必须按</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技术规格逐项作出实质性应答，如照搬照抄项目需求中的技术的，中标后成交人在同采购人签订合同和履约环节中不得提出异议，一切后果和损失由成交人承担。</w:t>
      </w:r>
      <w:r/>
    </w:p>
    <w:p>
      <w:pPr>
        <w:ind w:firstLine="560"/>
        <w:keepLines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）成交人应采取必要的安全措施保证</w:t>
      </w:r>
      <w:r>
        <w:rPr>
          <w:rFonts w:hint="eastAsia" w:ascii="仿宋" w:hAnsi="仿宋" w:eastAsia="仿宋"/>
          <w:bCs/>
          <w:color w:val="auto"/>
          <w:sz w:val="28"/>
          <w:szCs w:val="28"/>
          <w:highlight w:val="none"/>
          <w:lang w:val="en-US" w:eastAsia="zh-CN"/>
        </w:rPr>
        <w:t xml:space="preserve">服务过程中的</w:t>
      </w:r>
      <w:r>
        <w:rPr>
          <w:rFonts w:hint="eastAsia" w:ascii="仿宋" w:hAnsi="仿宋" w:eastAsia="仿宋"/>
          <w:bCs/>
          <w:color w:val="auto"/>
          <w:sz w:val="28"/>
          <w:szCs w:val="28"/>
          <w:highlight w:val="none"/>
        </w:rPr>
        <w:t xml:space="preserve">的运输及安装的安全，并承担</w:t>
      </w:r>
      <w:r>
        <w:rPr>
          <w:rFonts w:hint="eastAsia" w:ascii="仿宋" w:hAnsi="仿宋" w:eastAsia="仿宋"/>
          <w:bCs/>
          <w:color w:val="auto"/>
          <w:sz w:val="28"/>
          <w:szCs w:val="28"/>
          <w:highlight w:val="none"/>
          <w:lang w:val="en-US" w:eastAsia="zh-CN"/>
        </w:rPr>
        <w:t xml:space="preserve">服务</w:t>
      </w:r>
      <w:r>
        <w:rPr>
          <w:rFonts w:hint="eastAsia" w:ascii="仿宋" w:hAnsi="仿宋" w:eastAsia="仿宋"/>
          <w:bCs/>
          <w:color w:val="auto"/>
          <w:sz w:val="28"/>
          <w:szCs w:val="28"/>
          <w:highlight w:val="none"/>
        </w:rPr>
        <w:t xml:space="preserve">过程中产生的风险。</w:t>
      </w:r>
      <w:r/>
    </w:p>
    <w:p>
      <w:pPr>
        <w:ind w:firstLine="560"/>
        <w:keepLines w:val="0"/>
        <w:pageBreakBefore w:val="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所有成交产品的技术标准按国家标准执行，无国家标准的，按行业标准执行，无国家和行业标准的，按企业标准执行；但在采购文件中有特别要求的，按采购文件中规定的要求执行，并且符合相关法律、法规规定的要求。</w:t>
      </w:r>
      <w:bookmarkEnd w:id="60"/>
      <w:r/>
      <w:r/>
    </w:p>
    <w:p>
      <w:pPr>
        <w:ind w:firstLine="560"/>
        <w:keepLines w:val="0"/>
        <w:pageBreakBefore w:val="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）在项目采购或实施过程中，如国家标准修改，应按照新国家标准实施；如本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规定高于国家标准，无论新旧标准，均按本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规定低于国家标准，无论新旧标准，均按国家标准规定实施。如本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内有内容相互矛盾，以高标准高要求的为准。以上有关风险等由供应商自行考虑并承担。</w:t>
      </w:r>
      <w:r/>
    </w:p>
    <w:p>
      <w:pPr>
        <w:ind w:firstLine="560"/>
        <w:keepLines w:val="0"/>
        <w:pageBreakBefore w:val="0"/>
        <w:spacing w:line="500" w:lineRule="exact"/>
        <w:rPr>
          <w:rFonts w:ascii="黑体" w:hAnsi="黑体" w:eastAsia="黑体"/>
          <w:color w:val="auto"/>
          <w:sz w:val="28"/>
          <w:szCs w:val="28"/>
          <w:highlight w:val="none"/>
        </w:rPr>
        <w:outlineLvl w:val="1"/>
      </w:pPr>
      <w:r/>
      <w:bookmarkStart w:id="61" w:name="_Toc21326"/>
      <w:r>
        <w:rPr>
          <w:rFonts w:hint="eastAsia" w:ascii="黑体" w:hAnsi="黑体" w:eastAsia="黑体"/>
          <w:color w:val="auto"/>
          <w:sz w:val="28"/>
          <w:szCs w:val="28"/>
          <w:highlight w:val="none"/>
        </w:rPr>
        <w:t xml:space="preserve">五、服务期限和地点</w:t>
      </w:r>
      <w:bookmarkEnd w:id="61"/>
      <w:r/>
      <w:r/>
    </w:p>
    <w:p>
      <w:pPr>
        <w:ind w:firstLine="560"/>
        <w:keepLines w:val="0"/>
        <w:pageBreakBefore w:val="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服务期限：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r/>
    </w:p>
    <w:p>
      <w:pPr>
        <w:ind w:firstLine="560"/>
        <w:keepLines w:val="0"/>
        <w:pageBreakBefore w:val="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r/>
    </w:p>
    <w:p>
      <w:pPr>
        <w:ind w:firstLine="560"/>
        <w:keepLines w:val="0"/>
        <w:pageBreakBefore w:val="0"/>
        <w:spacing w:line="500" w:lineRule="exact"/>
        <w:rPr>
          <w:rFonts w:ascii="黑体" w:hAnsi="黑体" w:eastAsia="黑体"/>
          <w:color w:val="auto"/>
          <w:sz w:val="28"/>
          <w:szCs w:val="28"/>
          <w:highlight w:val="none"/>
        </w:rPr>
        <w:outlineLvl w:val="1"/>
      </w:pPr>
      <w:r/>
      <w:bookmarkStart w:id="62" w:name="_Toc22979"/>
      <w:r>
        <w:rPr>
          <w:rFonts w:hint="eastAsia" w:ascii="黑体" w:hAnsi="黑体" w:eastAsia="黑体"/>
          <w:color w:val="auto"/>
          <w:sz w:val="28"/>
          <w:szCs w:val="28"/>
          <w:highlight w:val="none"/>
        </w:rPr>
        <w:t xml:space="preserve">六、考核方案</w:t>
      </w:r>
      <w:bookmarkEnd w:id="62"/>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bookmarkStart w:id="63" w:name="_Toc26741"/>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lang w:eastAsia="zh-CN"/>
        </w:rPr>
        <w:t xml:space="preserve">）垃圾清运考核标准</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eastAsia="zh-CN"/>
        </w:rPr>
        <w:t xml:space="preserve">1.按垃圾分类要求配置垃圾收集桶，做到分类收集、分类转运，转运垃圾量100%，做到日产日清无积存。</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eastAsia="zh-CN"/>
        </w:rPr>
        <w:t xml:space="preserve">2.垃圾运输做到车走地净。</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eastAsia="zh-CN"/>
        </w:rPr>
        <w:t xml:space="preserve">3.车容整洁，车体外无污物、灰垢、密封运输，垃圾车辆运输途中不得有滴、泼、洒、漏 现象。车辆外严禁挂垃圾袋，保持车容车貌整洁。</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eastAsia="zh-CN"/>
        </w:rPr>
        <w:t xml:space="preserve">4.垃圾按指定的转运站运送。</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eastAsia="zh-CN"/>
        </w:rPr>
        <w:t xml:space="preserve">5.垃圾处置合格，无填埋，无焚烧。</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eastAsia="zh-CN"/>
        </w:rPr>
        <w:t xml:space="preserve">6.垃圾运送员需穿着全装上岗，严格遵守交规。</w:t>
      </w:r>
      <w:r/>
    </w:p>
    <w:p>
      <w:pPr>
        <w:ind w:firstLine="560"/>
        <w:keepLines w:val="0"/>
        <w:pageBreakBefore w:val="0"/>
        <w:spacing w:line="500" w:lineRule="exact"/>
        <w:rPr>
          <w:rFonts w:hint="eastAsia" w:ascii="仿宋" w:hAnsi="仿宋" w:eastAsia="仿宋"/>
          <w:bCs/>
          <w:color w:val="auto"/>
          <w:sz w:val="28"/>
          <w:szCs w:val="28"/>
          <w:highlight w:val="none"/>
          <w:lang w:eastAsia="zh-CN"/>
        </w:rPr>
        <w:outlineLvl w:val="9"/>
      </w:pP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lang w:eastAsia="zh-CN"/>
        </w:rPr>
        <w:t xml:space="preserve">.及时冲洗垃圾容器，不得出现作业人员故意破坏垃圾容器的现象。</w:t>
      </w:r>
      <w:r/>
    </w:p>
    <w:p>
      <w:pPr>
        <w:ind w:firstLine="560"/>
        <w:keepLines w:val="0"/>
        <w:pageBreakBefore w:val="0"/>
        <w:spacing w:line="500" w:lineRule="exact"/>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lang w:eastAsia="zh-CN"/>
        </w:rPr>
        <w:t xml:space="preserve">）</w:t>
      </w:r>
      <w:r>
        <w:rPr>
          <w:rFonts w:hint="eastAsia" w:ascii="仿宋" w:hAnsi="仿宋" w:eastAsia="仿宋" w:cs="Times New Roman"/>
          <w:bCs/>
          <w:color w:val="auto"/>
          <w:sz w:val="28"/>
          <w:szCs w:val="28"/>
          <w:highlight w:val="none"/>
          <w:lang w:val="en-US" w:eastAsia="zh-Hans"/>
        </w:rPr>
        <w:t xml:space="preserve">东陈镇垃圾转运服务作业规范及考核细则</w:t>
      </w:r>
      <w:r>
        <w:rPr>
          <w:rFonts w:hint="eastAsia" w:ascii="仿宋" w:hAnsi="仿宋" w:eastAsia="仿宋" w:cs="Times New Roman"/>
          <w:bCs/>
          <w:color w:val="auto"/>
          <w:sz w:val="28"/>
          <w:szCs w:val="28"/>
          <w:highlight w:val="none"/>
          <w:lang w:val="en-US" w:eastAsia="zh-CN"/>
        </w:rPr>
        <w:t xml:space="preserve">：</w:t>
      </w:r>
      <w:r/>
    </w:p>
    <w:p>
      <w:pPr>
        <w:pStyle w:val="863"/>
        <w:ind w:firstLine="540"/>
        <w:keepLines w:val="0"/>
        <w:pageBreakBefore w:val="0"/>
        <w:spacing w:before="0" w:beforeAutospacing="0" w:after="0" w:afterAutospacing="0" w:line="500" w:lineRule="exact"/>
        <w:rPr>
          <w:rFonts w:ascii="微软雅黑" w:hAnsi="微软雅黑" w:eastAsia="微软雅黑"/>
          <w:b/>
          <w:bCs/>
          <w:color w:val="auto"/>
          <w:sz w:val="27"/>
          <w:highlight w:val="none"/>
        </w:rPr>
      </w:pPr>
      <w:r>
        <w:rPr>
          <w:rFonts w:ascii="微软雅黑" w:hAnsi="微软雅黑" w:eastAsia="微软雅黑"/>
          <w:b/>
          <w:bCs/>
          <w:color w:val="auto"/>
          <w:sz w:val="27"/>
          <w:highlight w:val="none"/>
        </w:rPr>
        <w:t xml:space="preserve"> </w:t>
      </w:r>
      <w:r>
        <w:rPr>
          <w:rFonts w:hint="eastAsia" w:ascii="仿宋" w:hAnsi="仿宋" w:eastAsia="仿宋" w:cs="Times New Roman"/>
          <w:b/>
          <w:bCs w:val="0"/>
          <w:color w:val="auto"/>
          <w:sz w:val="28"/>
          <w:szCs w:val="28"/>
          <w:highlight w:val="none"/>
          <w:lang w:val="en-US" w:eastAsia="zh-Hans" w:bidi="ar-SA"/>
        </w:rPr>
        <w:t xml:space="preserve">垃圾转运服务作业规范</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一、作业质量标准和工作要求</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出车前检查车辆是否完好，箱体是否密闭；</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按时到达指定中转站，装卸垃圾时，驾驶员应与中转站操作工密切配合，按照中转站设备使用说明使用相关设备。同时要做到垃圾日产日清；</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运输时做到密闭化，车辆整洁，垃圾无吊挂，沿途不散落、滴洒，严禁搭乘与作业无关人员；</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垃圾运到处理场后，应服从调度、安排，倾卸垃圾后车厢必须归位后再起步；</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装运中遵守交通规则，注意行车安全，防止事故发生；</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每天作业结束后，将车辆冲洗干净，停放到指定地点。</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二、为切实加强考核管理，完善考核监管机制，推动工作落实，提升垃圾转运效率，根据相关规章和标准规范的规定，结合项目实际情况，特制订本考核办法。</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（一）考核内容</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垃圾车辆管理，包括驾驶员工作规范、车辆维护等。</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（二）考核方式</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考核通过随机抽查与通知检查、明查与突击检查等多种形式，全面了解掌握作业车辆及中转站管理质量情况。</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季度考核：由巡查人员开展日常巡查工作，发现存在问题当场拍照并通知</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确认并落实整改，同时根据扣分标准予以相应扣分，按季度进行评分；</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公众监督：对群众投诉、媒体曝光的问题，经核实属于</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责任的，通知</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处理并按规定进行扣分，拖延处理或造成不良影响的，加倍扣分。扣分根据投诉或曝光日期计入月度考核中，不重复扣分。</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（三）结果运用</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采取“每日计量、季度结算、结合季度绩效考核结果”的办法。每季度暂按垃圾转运处置服务费中标价和实际垃圾处理量的80%支付，余款于合同满一年后根据考核情况支付</w:t>
      </w:r>
      <w:r>
        <w:rPr>
          <w:rFonts w:hint="eastAsia" w:ascii="仿宋" w:hAnsi="仿宋" w:eastAsia="仿宋" w:cs="仿宋"/>
          <w:color w:val="auto"/>
          <w:sz w:val="28"/>
          <w:szCs w:val="28"/>
          <w:highlight w:val="none"/>
        </w:rPr>
        <w:t xml:space="preserve">。当季度考评分值90分（含90分）以上的，全额拨付当季服务费；得分在85—90（含85分），按实际扣减分数每分2000元扣减当季服务费，得分在85分以下，按实际扣减分数每分3000元扣减当季服务费。按照最终结算的服务费，对该服务季度已经按月度实际支付的垃圾转运处理费以“多退少补”的方式处理（不计息）。</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（四）其他事项</w:t>
      </w:r>
      <w:r/>
    </w:p>
    <w:p>
      <w:pPr>
        <w:pStyle w:val="876"/>
        <w:ind w:firstLine="84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如果出现以下现象之一，采购人可以采取解除合同措施，并要求</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赔偿损失。</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（1）若</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在服务期内累计出现2次季度考核评分低于80分或出现1次季度</w:t>
      </w:r>
      <w:r>
        <w:rPr>
          <w:rFonts w:hint="eastAsia" w:ascii="仿宋" w:hAnsi="仿宋" w:eastAsia="仿宋" w:cs="仿宋"/>
          <w:color w:val="auto"/>
          <w:sz w:val="28"/>
          <w:szCs w:val="28"/>
          <w:highlight w:val="none"/>
          <w:lang w:eastAsia="zh-CN"/>
        </w:rPr>
        <w:t xml:space="preserve">考核</w:t>
      </w:r>
      <w:r>
        <w:rPr>
          <w:rFonts w:hint="eastAsia" w:ascii="仿宋" w:hAnsi="仿宋" w:eastAsia="仿宋" w:cs="仿宋"/>
          <w:color w:val="auto"/>
          <w:sz w:val="28"/>
          <w:szCs w:val="28"/>
          <w:highlight w:val="none"/>
        </w:rPr>
        <w:t xml:space="preserve">评分低于60分的；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（2）在重大创建活动的迎检过程中，因保障不力、责任失分，造成检查未通过的；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（3）因管理不善、违反劳动法等法律法规，发生群体性事件，造成恶劣影响的；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（4）存在违反廉政合同或威胁、侮辱、诽谤管理人员等行为的；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（5）存在违反国家法律行为或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犯罪活动的；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在服务期间因管理不善导致出现重大安全事故，被新闻媒体曝光，并在社会上造成不良影响及严重后果的；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（7）不能按约定继续履行合同的。</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（五）有关要求</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严格按照</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和标准、规范以及采购文件、政府采购合同的约定，高质量、高水平落实责任范围内的各项清运工作，并接受各级考核监管部门的检查和监督；</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建立健全垃圾清运作业质量自查自评工作机制，健全内部日常作业巡查和监管工作，整理完善自查资料档案，做到制度健全、工作落实、资料齐全，促进垃圾清运作业质量的不断提高；</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日常考核和季度考核各项资料应齐全，考核人员应客观、公平、公正，季度考核参加人员应不少于两人同时在场，日常考核应有照片等佐证；</w:t>
      </w:r>
      <w:r/>
    </w:p>
    <w:p>
      <w:pPr>
        <w:pStyle w:val="876"/>
        <w:ind w:firstLine="560"/>
        <w:keepLines w:val="0"/>
        <w:pageBreakBefore w:val="0"/>
        <w:spacing w:before="0" w:beforeAutospacing="0" w:after="0" w:afterAutospacing="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对群众投诉、媒体曝光的环境卫生问题以及重大节日、活动和上级交办的环卫（垃圾清运）工作要认真</w:t>
      </w:r>
      <w:r>
        <w:rPr>
          <w:rFonts w:hint="eastAsia" w:ascii="仿宋" w:hAnsi="仿宋" w:eastAsia="仿宋" w:cs="仿宋"/>
          <w:color w:val="auto"/>
          <w:sz w:val="28"/>
          <w:szCs w:val="28"/>
          <w:highlight w:val="none"/>
          <w:lang w:eastAsia="zh-CN"/>
        </w:rPr>
        <w:t xml:space="preserve">制定</w:t>
      </w:r>
      <w:r>
        <w:rPr>
          <w:rFonts w:hint="eastAsia" w:ascii="仿宋" w:hAnsi="仿宋" w:eastAsia="仿宋" w:cs="仿宋"/>
          <w:color w:val="auto"/>
          <w:sz w:val="28"/>
          <w:szCs w:val="28"/>
          <w:highlight w:val="none"/>
        </w:rPr>
        <w:t xml:space="preserve">工作措施，落实整改工作，确保发现的环境卫生问题得以及时、有效地解决。对数字城管案件、12345政府热线、110应急事项、市民投诉等应</w:t>
      </w:r>
      <w:r>
        <w:rPr>
          <w:rFonts w:hint="eastAsia" w:ascii="仿宋" w:hAnsi="仿宋" w:eastAsia="仿宋" w:cs="仿宋"/>
          <w:color w:val="auto"/>
          <w:sz w:val="28"/>
          <w:szCs w:val="28"/>
          <w:highlight w:val="none"/>
          <w:lang w:eastAsia="zh-CN"/>
        </w:rPr>
        <w:t xml:space="preserve">及时</w:t>
      </w:r>
      <w:r>
        <w:rPr>
          <w:rFonts w:hint="eastAsia" w:ascii="仿宋" w:hAnsi="仿宋" w:eastAsia="仿宋" w:cs="仿宋"/>
          <w:color w:val="auto"/>
          <w:sz w:val="28"/>
          <w:szCs w:val="28"/>
          <w:highlight w:val="none"/>
        </w:rPr>
        <w:t xml:space="preserve">响应、整改，按规定时间回复。</w:t>
      </w:r>
      <w:r/>
    </w:p>
    <w:p>
      <w:pPr>
        <w:pStyle w:val="876"/>
        <w:jc w:val="center"/>
        <w:keepLines w:val="0"/>
        <w:pageBreakBefore w:val="0"/>
        <w:spacing w:before="0" w:beforeAutospacing="0" w:after="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垃圾转运服务考核细则</w:t>
      </w:r>
      <w:r/>
    </w:p>
    <w:tbl>
      <w:tblPr>
        <w:tblStyle w:val="865"/>
        <w:tblW w:w="5398" w:type="pct"/>
        <w:jc w:val="center"/>
        <w:tblLayout w:type="autofit"/>
        <w:tblCellMar>
          <w:left w:w="0" w:type="dxa"/>
          <w:top w:w="0" w:type="dxa"/>
          <w:right w:w="0" w:type="dxa"/>
          <w:bottom w:w="0" w:type="dxa"/>
        </w:tblCellMar>
        <w:tblLook w:val="04A0" w:firstRow="1" w:lastRow="0" w:firstColumn="1" w:lastColumn="0" w:noHBand="0" w:noVBand="1"/>
      </w:tblPr>
      <w:tblGrid>
        <w:gridCol w:w="1046"/>
        <w:gridCol w:w="1026"/>
        <w:gridCol w:w="1193"/>
        <w:gridCol w:w="978"/>
        <w:gridCol w:w="2851"/>
        <w:gridCol w:w="3238"/>
      </w:tblGrid>
      <w:tr>
        <w:trPr>
          <w:jc w:val="center"/>
          <w:trHeight w:val="23"/>
          <w:tblHeade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textDirection w:val="lrTb"/>
            <w:noWrap w:val="false"/>
          </w:tcPr>
          <w:p>
            <w:pPr>
              <w:pStyle w:val="876"/>
              <w:jc w:val="center"/>
              <w:rPr>
                <w:rFonts w:hint="eastAsia" w:ascii="仿宋" w:hAnsi="仿宋" w:eastAsia="仿宋" w:cs="仿宋"/>
                <w:color w:val="auto"/>
                <w:sz w:val="24"/>
                <w:szCs w:val="24"/>
                <w:highlight w:val="none"/>
              </w:rPr>
            </w:pPr>
            <w:r>
              <w:rPr>
                <w:rStyle w:val="879"/>
                <w:rFonts w:hint="eastAsia" w:ascii="仿宋" w:hAnsi="仿宋" w:eastAsia="仿宋" w:cs="仿宋"/>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textDirection w:val="lrTb"/>
            <w:noWrap w:val="false"/>
          </w:tcPr>
          <w:p>
            <w:pPr>
              <w:pStyle w:val="876"/>
              <w:jc w:val="center"/>
              <w:rPr>
                <w:rFonts w:hint="eastAsia" w:ascii="仿宋" w:hAnsi="仿宋" w:eastAsia="仿宋" w:cs="仿宋"/>
                <w:color w:val="auto"/>
                <w:sz w:val="24"/>
                <w:szCs w:val="24"/>
                <w:highlight w:val="none"/>
              </w:rPr>
            </w:pPr>
            <w:r>
              <w:rPr>
                <w:rStyle w:val="879"/>
                <w:rFonts w:hint="eastAsia" w:ascii="仿宋" w:hAnsi="仿宋" w:eastAsia="仿宋" w:cs="仿宋"/>
                <w:color w:val="auto"/>
                <w:sz w:val="24"/>
                <w:szCs w:val="24"/>
                <w:highlight w:val="none"/>
              </w:rPr>
              <w:t xml:space="preserve">考核一级指标</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Style w:val="879"/>
                <w:rFonts w:hint="eastAsia" w:ascii="仿宋" w:hAnsi="仿宋" w:eastAsia="仿宋" w:cs="仿宋"/>
                <w:color w:val="auto"/>
                <w:sz w:val="24"/>
                <w:szCs w:val="24"/>
                <w:highlight w:val="none"/>
              </w:rPr>
              <w:t xml:space="preserve">二级指标</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Style w:val="879"/>
                <w:rFonts w:hint="eastAsia" w:ascii="仿宋" w:hAnsi="仿宋" w:eastAsia="仿宋" w:cs="仿宋"/>
                <w:color w:val="auto"/>
                <w:sz w:val="24"/>
                <w:szCs w:val="24"/>
                <w:highlight w:val="none"/>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jc w:val="center"/>
              <w:rPr>
                <w:rFonts w:hint="eastAsia" w:ascii="仿宋" w:hAnsi="仿宋" w:eastAsia="仿宋" w:cs="仿宋"/>
                <w:color w:val="auto"/>
                <w:sz w:val="24"/>
                <w:szCs w:val="24"/>
                <w:highlight w:val="none"/>
              </w:rPr>
            </w:pPr>
            <w:r>
              <w:rPr>
                <w:rStyle w:val="879"/>
                <w:rFonts w:hint="eastAsia" w:ascii="仿宋" w:hAnsi="仿宋" w:eastAsia="仿宋" w:cs="仿宋"/>
                <w:color w:val="auto"/>
                <w:sz w:val="24"/>
                <w:szCs w:val="24"/>
                <w:highlight w:val="none"/>
              </w:rPr>
              <w:t xml:space="preserve">考核要求</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jc w:val="center"/>
              <w:rPr>
                <w:rFonts w:hint="eastAsia" w:ascii="仿宋" w:hAnsi="仿宋" w:eastAsia="仿宋" w:cs="仿宋"/>
                <w:color w:val="auto"/>
                <w:sz w:val="24"/>
                <w:szCs w:val="24"/>
                <w:highlight w:val="none"/>
              </w:rPr>
            </w:pPr>
            <w:r>
              <w:rPr>
                <w:rStyle w:val="879"/>
                <w:rFonts w:hint="eastAsia" w:ascii="仿宋" w:hAnsi="仿宋" w:eastAsia="仿宋" w:cs="仿宋"/>
                <w:color w:val="auto"/>
                <w:sz w:val="24"/>
                <w:szCs w:val="24"/>
                <w:highlight w:val="none"/>
              </w:rPr>
              <w:t xml:space="preserve">扣分原则</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垃圾清运标准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25分</w:t>
            </w:r>
            <w:r>
              <w:rPr>
                <w:rFonts w:hint="eastAsia" w:ascii="仿宋" w:hAnsi="仿宋" w:eastAsia="仿宋" w:cs="仿宋"/>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垃圾计量管理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配合垃圾处置场所做好对运输垃圾称重计量，各项数据、信息应详细记录存档。</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未配合计量，对处置场所工作造成影响的，每车次扣1分。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W w:w="50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9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线路备案管理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合理确定清运线路安排，并报市容环卫主管部门备案。</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清运线路未报备给属地管理部门，每发生一次扣5分。</w:t>
            </w:r>
            <w:r/>
          </w:p>
        </w:tc>
      </w:tr>
      <w:tr>
        <w:trPr>
          <w:jc w:val="center"/>
          <w:trHeight w:val="23"/>
        </w:trPr>
        <w:tc>
          <w:tcPr>
            <w:tcBorders>
              <w:top w:val="none" w:color="000000" w:sz="4" w:space="0"/>
              <w:left w:val="single" w:color="000000" w:sz="8" w:space="0"/>
              <w:bottom w:val="single" w:color="000000" w:sz="8" w:space="0"/>
              <w:right w:val="single" w:color="000000" w:sz="8" w:space="0"/>
            </w:tcBorders>
            <w:tcW w:w="50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9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清运频次</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按产生垃圾量合理安排清运频次收运垃圾，确保垃圾日产日清。</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垃圾没有做到日产日清的，每发现一次扣1分。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车容</w:t>
            </w:r>
            <w:r/>
          </w:p>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车貌</w:t>
            </w:r>
            <w:r/>
          </w:p>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车辆电子识别</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垃圾运输车辆安装统一的车辆行驶记录仪、车载视频监控和电子识别卡。</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未安装车辆行驶过程记录仪、电子识别卡的，每车扣1分；安装后未使用的，每车扣1分。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W w:w="50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9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车辆标识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车辆必须规范地喷涂清运图案后方可上路作业</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未喷涂清运图案的，每车扣1分。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W w:w="50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9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车辆容貌</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垃圾运输车辆外观整洁，实行密闭化运输，垃圾不落地，垃圾不外露，沿途不撇漏。</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垃圾运输车辆不整洁，外观积尘，尘垢明显的；垃圾落地的；车身垃圾吊挂，垃圾外露，垃圾遗撇，污水滴漏；每车次扣0.5分。</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转运场作业规范（5分）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规范作业</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转运站规范管理，及时清理清洗转运场环境卫生，保持场内外及其他环卫责任区块干净整洁，无臭味或蜘蛛网。</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垃圾转运场内、周边及其他环卫责任区块不干净整洁、有臭味或蜘蛛网每处扣1分。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安全文明清运（20分）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安全作业</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安全管理制度落实，车队设有专职安全员，定期组织全员安全培训活动。垃圾清运车辆驾驶人员持证上岗，严格按照操作规程进行作业。</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无安全管理制度的扣10分，安全管理制度不够完善的扣1分，车队未设专职安全员的扣1分，未定期举办安全培训活动的每次扣1分。垃圾清运车辆驾驶人员未持证上岗的每人次扣1分。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W w:w="50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9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安全事故</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车辆行驶、垃圾清理等重点环节要注重安全，车辆在住宅小区、背街小巷等狭窄道路确保安全低速通过。无有责交通事故，生产事故。</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发生1人以上人员伤残的有责交通事故、生产事故每人次扣2分。发生1人以上人员伤亡的有责交通事故、生产事故每人次扣3分。</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应急情况处理（10分）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应急保障管理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根据重大活动保障、灾害性天气情况，制定完备的工作预案，并根据上级指示要求，按时做好临时性应急保障工作。</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没有应急预案的扣10分，预案不够完善的扣2分。未能按时做好应</w:t>
            </w:r>
            <w:r>
              <w:rPr>
                <w:rFonts w:hint="eastAsia" w:ascii="仿宋" w:hAnsi="仿宋" w:eastAsia="仿宋" w:cs="仿宋"/>
                <w:color w:val="auto"/>
                <w:sz w:val="24"/>
                <w:szCs w:val="24"/>
                <w:highlight w:val="none"/>
                <w:lang w:eastAsia="zh-CN"/>
              </w:rPr>
              <w:t xml:space="preserve">急</w:t>
            </w:r>
            <w:r>
              <w:rPr>
                <w:rFonts w:hint="eastAsia" w:ascii="仿宋" w:hAnsi="仿宋" w:eastAsia="仿宋" w:cs="仿宋"/>
                <w:color w:val="auto"/>
                <w:sz w:val="24"/>
                <w:szCs w:val="24"/>
                <w:highlight w:val="none"/>
              </w:rPr>
              <w:t xml:space="preserve">保障任务的，每发生一次扣5分。</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vMerge w:val="restart"/>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巡查走访管理（10分）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巡查督查</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建立巡查制度，做好巡查日报，并将日报分月、分年汇总整理成册。</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未建立巡查制度的扣5分，巡查日报台账不齐全的扣1分。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W w:w="50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96"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走访听取意见</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建立联系走访制度，至少每2个月组织1次听取服务对象反馈的意见，争创优质服务。</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未落实联系走访制度的扣5分，未全覆盖的扣1分。</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06"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6"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社会监督管理（5分）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77"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社会评价反馈</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3" w:type="pct"/>
            <w:vAlign w:val="center"/>
            <w:textDirection w:val="lrTb"/>
            <w:noWrap w:val="false"/>
          </w:tcPr>
          <w:p>
            <w:pPr>
              <w:pStyle w:val="87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379"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争创群众满</w:t>
            </w:r>
            <w:r>
              <w:rPr>
                <w:rFonts w:hint="eastAsia" w:ascii="仿宋" w:hAnsi="仿宋" w:eastAsia="仿宋" w:cs="仿宋"/>
                <w:color w:val="auto"/>
                <w:sz w:val="24"/>
                <w:szCs w:val="24"/>
                <w:highlight w:val="none"/>
                <w:lang w:eastAsia="zh-CN"/>
              </w:rPr>
              <w:t xml:space="preserve">意度</w:t>
            </w:r>
            <w:r>
              <w:rPr>
                <w:rFonts w:hint="eastAsia" w:ascii="仿宋" w:hAnsi="仿宋" w:eastAsia="仿宋" w:cs="仿宋"/>
                <w:color w:val="auto"/>
                <w:sz w:val="24"/>
                <w:szCs w:val="24"/>
                <w:highlight w:val="none"/>
              </w:rPr>
              <w:t xml:space="preserve">，从专业化、精细化、标准化管理入手，提高市民对清运的满意度。</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566" w:type="pct"/>
            <w:vAlign w:val="center"/>
            <w:textDirection w:val="lrTb"/>
            <w:noWrap w:val="false"/>
          </w:tcPr>
          <w:p>
            <w:pPr>
              <w:pStyle w:val="8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对社会监督员、志愿者</w:t>
            </w:r>
            <w:r>
              <w:rPr>
                <w:rFonts w:hint="eastAsia" w:ascii="仿宋" w:hAnsi="仿宋" w:eastAsia="仿宋" w:cs="仿宋"/>
                <w:color w:val="auto"/>
                <w:sz w:val="24"/>
                <w:szCs w:val="24"/>
                <w:highlight w:val="none"/>
                <w:lang w:eastAsia="zh-CN"/>
              </w:rPr>
              <w:t xml:space="preserve">反映</w:t>
            </w:r>
            <w:r>
              <w:rPr>
                <w:rFonts w:hint="eastAsia" w:ascii="仿宋" w:hAnsi="仿宋" w:eastAsia="仿宋" w:cs="仿宋"/>
                <w:color w:val="auto"/>
                <w:sz w:val="24"/>
                <w:szCs w:val="24"/>
                <w:highlight w:val="none"/>
              </w:rPr>
              <w:t xml:space="preserve">的清运问题，每件扣0.5分。对新闻媒体</w:t>
            </w:r>
            <w:r>
              <w:rPr>
                <w:rFonts w:hint="eastAsia" w:ascii="仿宋" w:hAnsi="仿宋" w:eastAsia="仿宋" w:cs="仿宋"/>
                <w:color w:val="auto"/>
                <w:sz w:val="24"/>
                <w:szCs w:val="24"/>
                <w:highlight w:val="none"/>
                <w:lang w:eastAsia="zh-CN"/>
              </w:rPr>
              <w:t xml:space="preserve">反映</w:t>
            </w:r>
            <w:r>
              <w:rPr>
                <w:rFonts w:hint="eastAsia" w:ascii="仿宋" w:hAnsi="仿宋" w:eastAsia="仿宋" w:cs="仿宋"/>
                <w:color w:val="auto"/>
                <w:sz w:val="24"/>
                <w:szCs w:val="24"/>
                <w:highlight w:val="none"/>
              </w:rPr>
              <w:t xml:space="preserve">的问题，每件扣1分。未在规定时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完成整改的，予以加倍扣分。</w:t>
            </w:r>
            <w:r/>
          </w:p>
        </w:tc>
      </w:tr>
    </w:tbl>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w:t>
      </w:r>
      <w:bookmarkEnd w:id="63"/>
      <w:r/>
      <w:bookmarkStart w:id="64" w:name="_Toc26116"/>
      <w:r>
        <w:rPr>
          <w:rFonts w:hint="eastAsia" w:ascii="黑体" w:hAnsi="黑体" w:eastAsia="黑体"/>
          <w:color w:val="auto"/>
          <w:sz w:val="28"/>
          <w:szCs w:val="28"/>
          <w:highlight w:val="none"/>
        </w:rPr>
        <w:t xml:space="preserve">付款方式</w:t>
      </w:r>
      <w:bookmarkEnd w:id="64"/>
      <w:r/>
      <w:r/>
    </w:p>
    <w:p>
      <w:pPr>
        <w:ind w:firstLine="560"/>
        <w:spacing w:line="500" w:lineRule="exact"/>
        <w:rPr>
          <w:rFonts w:hint="eastAsia" w:ascii="仿宋" w:hAnsi="仿宋" w:eastAsia="仿宋" w:cs="Times New Roman"/>
          <w:color w:val="auto"/>
          <w:sz w:val="28"/>
          <w:szCs w:val="28"/>
          <w:highlight w:val="none"/>
          <w:lang w:val="en-US" w:eastAsia="zh-CN"/>
        </w:rPr>
        <w:outlineLvl w:val="9"/>
      </w:pPr>
      <w:r/>
      <w:bookmarkStart w:id="65" w:name="_Toc32404"/>
      <w:r>
        <w:rPr>
          <w:rFonts w:hint="eastAsia" w:ascii="仿宋" w:hAnsi="仿宋" w:eastAsia="仿宋" w:cs="Times New Roman"/>
          <w:color w:val="auto"/>
          <w:sz w:val="28"/>
          <w:szCs w:val="28"/>
          <w:highlight w:val="none"/>
          <w:lang w:val="en-US" w:eastAsia="zh-CN"/>
        </w:rPr>
        <w:t xml:space="preserve">采取“每日计量、季度结算、结合季度绩效考核结果”的办法。每季度暂按垃圾转运处置服务费中标价和实际垃圾处理量的80%支付，余款于合同满一年后根据考核情况支付。</w:t>
      </w:r>
      <w:r/>
    </w:p>
    <w:p>
      <w:pPr>
        <w:ind w:firstLine="560"/>
        <w:spacing w:line="500" w:lineRule="exact"/>
        <w:rPr>
          <w:rFonts w:ascii="仿宋" w:hAnsi="仿宋" w:eastAsia="仿宋"/>
          <w:color w:val="auto"/>
          <w:sz w:val="28"/>
          <w:szCs w:val="28"/>
          <w:highlight w:val="none"/>
        </w:rPr>
        <w:outlineLvl w:val="1"/>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、磋商过程中可能会实质性变动的内容</w:t>
      </w:r>
      <w:bookmarkEnd w:id="65"/>
      <w:r/>
      <w:r/>
    </w:p>
    <w:p>
      <w:pPr>
        <w:ind w:firstLine="56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outlineLvl w:val="1"/>
      </w:pPr>
      <w:r/>
      <w:bookmarkStart w:id="66" w:name="_Toc9065"/>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、其他要求</w:t>
      </w:r>
      <w:bookmarkEnd w:id="66"/>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val="en-US" w:eastAsia="zh-CN"/>
        </w:rPr>
        <w:t xml:space="preserve">报价要求：</w:t>
      </w:r>
      <w:r/>
    </w:p>
    <w:p>
      <w:pPr>
        <w:ind w:firstLine="562"/>
        <w:spacing w:line="500" w:lineRule="exact"/>
        <w:rPr>
          <w:rFonts w:hint="eastAsia" w:ascii="仿宋" w:hAnsi="仿宋" w:eastAsia="仿宋"/>
          <w:b/>
          <w:bCs/>
          <w:color w:val="auto"/>
          <w:sz w:val="28"/>
          <w:szCs w:val="28"/>
          <w:highlight w:val="none"/>
        </w:rPr>
        <w:outlineLvl w:val="9"/>
      </w:pPr>
      <w:r>
        <w:rPr>
          <w:rFonts w:hint="eastAsia" w:ascii="仿宋" w:hAnsi="仿宋" w:eastAsia="仿宋"/>
          <w:b/>
          <w:bCs/>
          <w:color w:val="auto"/>
          <w:sz w:val="28"/>
          <w:szCs w:val="28"/>
          <w:highlight w:val="none"/>
          <w:lang w:val="en-US" w:eastAsia="zh-CN"/>
        </w:rPr>
        <w:t xml:space="preserve">本项目按转运每吨垃圾的单价报价（元/吨），依据采购人与垃圾接受单位共同出具的“确认单”确认的吨数据实结算，每年结算总量不超过20000吨，超过部分成交人无偿服务。响应供应商</w:t>
      </w:r>
      <w:r>
        <w:rPr>
          <w:rFonts w:hint="eastAsia" w:ascii="仿宋" w:hAnsi="仿宋" w:eastAsia="仿宋"/>
          <w:b/>
          <w:bCs/>
          <w:color w:val="auto"/>
          <w:sz w:val="28"/>
          <w:szCs w:val="28"/>
          <w:highlight w:val="none"/>
        </w:rPr>
        <w:t xml:space="preserve">报价应包含运输、装卸、保险、验收、人员培训、</w:t>
      </w:r>
      <w:r>
        <w:rPr>
          <w:rFonts w:hint="eastAsia" w:ascii="仿宋" w:hAnsi="仿宋" w:eastAsia="仿宋"/>
          <w:b/>
          <w:bCs/>
          <w:color w:val="auto"/>
          <w:sz w:val="28"/>
          <w:szCs w:val="28"/>
          <w:highlight w:val="none"/>
          <w:lang w:val="en-US" w:eastAsia="zh-CN"/>
        </w:rPr>
        <w:t xml:space="preserve">设备运行维护、</w:t>
      </w:r>
      <w:r>
        <w:rPr>
          <w:rFonts w:hint="eastAsia" w:ascii="仿宋" w:hAnsi="仿宋" w:eastAsia="仿宋"/>
          <w:b/>
          <w:bCs/>
          <w:color w:val="auto"/>
          <w:sz w:val="28"/>
          <w:szCs w:val="28"/>
          <w:highlight w:val="none"/>
        </w:rPr>
        <w:t xml:space="preserve">检验、税金、代理服务费等与本项目相关的一切费用。成交价之外采购人不再支付任何费用。</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（二）报价含响应供应商为完成采购文件全部要求内容应承担的一切成本、费用和支出以及供应商的合理利润等交付使用前一切费用。不接受选择性报价。</w:t>
      </w:r>
      <w:r/>
    </w:p>
    <w:p>
      <w:pPr>
        <w:ind w:firstLine="560"/>
        <w:jc w:val="left"/>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rPr>
        <w:t xml:space="preserve">（三）</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后不得将</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项目分包或者转让给其他主体实施。</w:t>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contextualSpacing/>
        <w:ind w:firstLine="560"/>
        <w:shd w:val="clear" w:color="auto" w:fill="ffffff"/>
        <w:widowControl/>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hint="eastAsia" w:ascii="微软雅黑" w:eastAsia="微软雅黑"/>
          <w:bCs/>
          <w:color w:val="auto"/>
          <w:sz w:val="32"/>
          <w:szCs w:val="32"/>
          <w:highlight w:val="none"/>
        </w:rPr>
      </w:pPr>
      <w:r>
        <w:rPr>
          <w:rFonts w:hint="eastAsia" w:ascii="微软雅黑" w:eastAsia="微软雅黑"/>
          <w:bCs/>
          <w:color w:val="auto"/>
          <w:sz w:val="32"/>
          <w:szCs w:val="32"/>
          <w:highlight w:val="none"/>
        </w:rPr>
        <w:br w:type="page" w:clear="all"/>
      </w:r>
      <w:bookmarkEnd w:id="57"/>
      <w:r/>
      <w:r/>
    </w:p>
    <w:p>
      <w:pPr>
        <w:pStyle w:val="885"/>
        <w:ind w:firstLine="0"/>
        <w:jc w:val="center"/>
        <w:spacing w:line="240" w:lineRule="auto"/>
        <w:rPr>
          <w:rFonts w:ascii="微软雅黑" w:eastAsia="微软雅黑"/>
          <w:bCs/>
          <w:color w:val="auto"/>
          <w:sz w:val="32"/>
          <w:szCs w:val="32"/>
          <w:highlight w:val="none"/>
        </w:rPr>
        <w:outlineLvl w:val="0"/>
      </w:pPr>
      <w:r/>
      <w:bookmarkStart w:id="67" w:name="_Toc2962"/>
      <w:r/>
      <w:bookmarkStart w:id="68" w:name="_Toc6472"/>
      <w:r>
        <w:rPr>
          <w:rFonts w:hint="eastAsia" w:ascii="微软雅黑" w:eastAsia="微软雅黑"/>
          <w:bCs/>
          <w:color w:val="auto"/>
          <w:sz w:val="32"/>
          <w:szCs w:val="32"/>
          <w:highlight w:val="none"/>
        </w:rPr>
        <w:t xml:space="preserve">第4章 合同文本</w:t>
      </w:r>
      <w:bookmarkEnd w:id="67"/>
      <w:r/>
      <w:r/>
    </w:p>
    <w:p>
      <w:pPr>
        <w:jc w:val="center"/>
        <w:spacing w:before="19"/>
        <w:widowControl/>
        <w:rPr>
          <w:rFonts w:ascii="微软雅黑" w:eastAsia="微软雅黑"/>
          <w:color w:val="auto"/>
          <w:sz w:val="32"/>
          <w:szCs w:val="32"/>
          <w:highlight w:val="none"/>
        </w:rPr>
      </w:pPr>
      <w:r>
        <w:rPr>
          <w:rFonts w:hint="eastAsia" w:ascii="微软雅黑" w:eastAsia="微软雅黑"/>
          <w:color w:val="auto"/>
          <w:sz w:val="32"/>
          <w:szCs w:val="32"/>
          <w:highlight w:val="none"/>
        </w:rPr>
        <w:t xml:space="preserve">如皋市政府采购合同</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项目名称：</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项目编号：</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甲方：</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乙方：</w:t>
      </w:r>
      <w:r/>
    </w:p>
    <w:p>
      <w:pPr>
        <w:rPr>
          <w:rFonts w:ascii="仿宋_GB2312" w:hAnsi="宋体" w:eastAsia="仿宋_GB2312"/>
          <w:color w:val="auto"/>
          <w:sz w:val="32"/>
          <w:szCs w:val="32"/>
          <w:highlight w:val="none"/>
        </w:rPr>
      </w:pPr>
      <w:r>
        <w:rPr>
          <w:rFonts w:ascii="仿宋_GB2312" w:hAnsi="宋体" w:eastAsia="仿宋_GB2312"/>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项目）委托（南通</w:t>
      </w:r>
      <w:r>
        <w:rPr>
          <w:rFonts w:hint="eastAsia" w:ascii="仿宋" w:hAnsi="仿宋" w:eastAsia="仿宋"/>
          <w:color w:val="auto"/>
          <w:sz w:val="24"/>
          <w:highlight w:val="none"/>
          <w:lang w:val="en-US" w:eastAsia="zh-CN"/>
        </w:rPr>
        <w:t xml:space="preserve">中江工程</w:t>
      </w:r>
      <w:r>
        <w:rPr>
          <w:rFonts w:hint="eastAsia" w:ascii="仿宋" w:hAnsi="仿宋" w:eastAsia="仿宋"/>
          <w:color w:val="auto"/>
          <w:sz w:val="24"/>
          <w:highlight w:val="none"/>
        </w:rPr>
        <w:t xml:space="preserve">项目管理有限公司）进行了政府采购。按照评委会评审推荐、甲方确定乙方为成交单位。现甲乙双方协商同意签订本合同。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1.采购文件；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2.竞争性磋商响应文件；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3.乙方在参加采购活动时的书面承诺；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4.中标（成交）通知书；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5.合同补充条款或说明；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6.保密协议或条款；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7.相关附件、图纸及电子版资料。</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第二条  合同内容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服务名称：详见合同附件中《服务一览表》  </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第三条  合同总金额</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本合同服务总金额：￥元。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大写：元。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分项价款在《服务一览表》中有明确规定。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本合同总价款包括服务期间必须的日常易耗品、工具、调试费、培训费等相关费用。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第四条  权利义务和质量保证</w:t>
      </w:r>
      <w:r/>
    </w:p>
    <w:p>
      <w:pPr>
        <w:pStyle w:val="868"/>
        <w:ind w:firstLine="480"/>
        <w:spacing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68"/>
        <w:ind w:firstLine="480"/>
        <w:spacing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第五条  付款方式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2.乙方向甲方提交下列文件材料，经甲方审核无误后支付采购资金：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（1）经甲方确认的发票；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（2）经甲乙双方确认签订的《验收报告》（或按项目进度阶段性《验收报告》）；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（3）其他材料。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3.款项的支付进度以招标采购文件的有关规定为准。如招标采购文件未作特别规定，则付款进度应符合如下约定：</w:t>
      </w:r>
      <w:r/>
    </w:p>
    <w:p>
      <w:pPr>
        <w:ind w:firstLine="482"/>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采取“每日计量、季度结算、结合季度绩效考核结果”的办法。每季度暂按垃圾转运处置服务费中标价和实际垃圾处理量的80%支付，余款于合同满一年后根据考核情况支付。</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1.服务期限：  至 。</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服务地点： 。</w:t>
      </w:r>
      <w:r/>
    </w:p>
    <w:p>
      <w:pPr>
        <w:ind w:firstLine="720"/>
        <w:rPr>
          <w:rFonts w:ascii="仿宋" w:hAnsi="仿宋" w:eastAsia="仿宋"/>
          <w:color w:val="auto"/>
          <w:sz w:val="24"/>
          <w:highlight w:val="none"/>
          <w:u w:val="single"/>
        </w:rPr>
      </w:pPr>
      <w:r>
        <w:rPr>
          <w:rFonts w:hint="eastAsia" w:ascii="仿宋" w:hAnsi="仿宋" w:eastAsia="仿宋"/>
          <w:color w:val="auto"/>
          <w:sz w:val="24"/>
          <w:highlight w:val="none"/>
        </w:rPr>
        <w:t xml:space="preserve">验收时间： 。</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验收地点： 。</w:t>
      </w:r>
      <w:r/>
    </w:p>
    <w:p>
      <w:pPr>
        <w:pStyle w:val="868"/>
        <w:numPr>
          <w:ilvl w:val="0"/>
          <w:numId w:val="2"/>
        </w:numPr>
        <w:ind w:firstLine="480"/>
        <w:spacing w:line="240" w:lineRule="auto"/>
        <w:tabs>
          <w:tab w:val="left" w:pos="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乙方应对提供的服务成果作出全面自查和整理，并列出清单，作为甲方验收和使用的服务条件依据，清单应随提供的服务成果交给甲方。</w:t>
      </w:r>
      <w:r/>
    </w:p>
    <w:p>
      <w:pPr>
        <w:pStyle w:val="868"/>
        <w:numPr>
          <w:ilvl w:val="0"/>
          <w:numId w:val="0"/>
        </w:numPr>
        <w:ind w:firstLine="480"/>
        <w:spacing w:line="240" w:lineRule="auto"/>
        <w:tabs>
          <w:tab w:val="left" w:pos="0" w:leader="none"/>
        </w:tabs>
        <w:rPr>
          <w:rFonts w:ascii="仿宋" w:hAnsi="仿宋" w:eastAsia="仿宋"/>
          <w:color w:val="auto"/>
          <w:sz w:val="24"/>
          <w:highlight w:val="none"/>
        </w:rPr>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5.如项目实施情况需要分阶段验收，则根据实际情况分阶段出具《履约验收报告》。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第七条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w:t>
      </w: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81"/>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乙方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72"/>
        <w:rPr>
          <w:rFonts w:ascii="仿宋" w:hAnsi="仿宋" w:eastAsia="仿宋"/>
          <w:b/>
          <w:color w:val="auto"/>
          <w:sz w:val="24"/>
          <w:highlight w:val="none"/>
        </w:rPr>
      </w:pPr>
      <w:r>
        <w:rPr>
          <w:rFonts w:hint="eastAsia" w:ascii="仿宋" w:hAnsi="仿宋" w:eastAsia="仿宋"/>
          <w:b/>
          <w:color w:val="auto"/>
          <w:sz w:val="24"/>
          <w:highlight w:val="none"/>
        </w:rPr>
        <w:t xml:space="preserve">第八条  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2.服务期内，乙方应提供相关服务支持。对甲方所反映的任何服务问题在</w:t>
      </w:r>
      <w:r>
        <w:rPr>
          <w:rFonts w:hint="eastAsia" w:ascii="仿宋" w:hAnsi="仿宋" w:eastAsia="仿宋"/>
          <w:color w:val="auto"/>
          <w:sz w:val="24"/>
          <w:highlight w:val="none"/>
          <w:u w:val="single"/>
        </w:rPr>
        <w:t xml:space="preserve">××</w:t>
      </w:r>
      <w:r>
        <w:rPr>
          <w:rFonts w:hint="eastAsia" w:ascii="仿宋" w:hAnsi="仿宋" w:eastAsia="仿宋"/>
          <w:color w:val="auto"/>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第九条  分包</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第十条  合同的生效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1.本合同经甲乙双方授权代表签字并加盖公章或合同专用章后生效。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2.生效后，除《政府采购法》第49条、第50条第二款规定的情形外，甲乙双方不得擅自变更、中止或终止合同。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第十一条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服务成果</w:t>
      </w:r>
      <w:r>
        <w:rPr>
          <w:rFonts w:ascii="仿宋" w:hAnsi="仿宋" w:eastAsia="仿宋"/>
          <w:color w:val="auto"/>
          <w:sz w:val="24"/>
          <w:highlight w:val="none"/>
        </w:rPr>
        <w:t xml:space="preserve">不符合</w:t>
      </w:r>
      <w:r>
        <w:rPr>
          <w:rFonts w:hint="eastAsia" w:ascii="仿宋" w:hAnsi="仿宋" w:eastAsia="仿宋"/>
          <w:color w:val="auto"/>
          <w:sz w:val="24"/>
          <w:highlight w:val="none"/>
        </w:rPr>
        <w:t xml:space="preserve">本</w:t>
      </w:r>
      <w:r>
        <w:rPr>
          <w:rFonts w:ascii="仿宋" w:hAnsi="仿宋" w:eastAsia="仿宋"/>
          <w:color w:val="auto"/>
          <w:sz w:val="24"/>
          <w:highlight w:val="none"/>
        </w:rPr>
        <w:t xml:space="preserve">合同规定的，甲方有权拒收</w:t>
      </w:r>
      <w:r>
        <w:rPr>
          <w:rFonts w:hint="eastAsia" w:ascii="仿宋" w:hAnsi="仿宋" w:eastAsia="仿宋"/>
          <w:color w:val="auto"/>
          <w:sz w:val="24"/>
          <w:highlight w:val="none"/>
        </w:rPr>
        <w:t xml:space="preserve">，乙方在得到甲方通知之日起个工作日内采取补救措施，逾期仍未采取有效措施的，乙方应向甲方支付合同总价％的违约金。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2.甲方无正当理由拒绝接收服务，甲方应向乙方偿付拒付服务费用 ％的违约金。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乙方无正当理由逾期</w:t>
      </w:r>
      <w:r>
        <w:rPr>
          <w:rFonts w:hint="eastAsia" w:ascii="仿宋" w:hAnsi="仿宋" w:eastAsia="仿宋"/>
          <w:color w:val="auto"/>
          <w:sz w:val="24"/>
          <w:highlight w:val="none"/>
        </w:rPr>
        <w:t xml:space="preserve">提供服务</w:t>
      </w:r>
      <w:r>
        <w:rPr>
          <w:rFonts w:ascii="仿宋" w:hAnsi="仿宋" w:eastAsia="仿宋"/>
          <w:color w:val="auto"/>
          <w:sz w:val="24"/>
          <w:highlight w:val="none"/>
        </w:rPr>
        <w:t xml:space="preserve">的，每逾期1天，乙方向甲方偿付</w:t>
      </w:r>
      <w:r>
        <w:rPr>
          <w:rFonts w:hint="eastAsia" w:ascii="仿宋" w:hAnsi="仿宋" w:eastAsia="仿宋"/>
          <w:color w:val="auto"/>
          <w:sz w:val="24"/>
          <w:highlight w:val="none"/>
        </w:rPr>
        <w:t xml:space="preserve">合同</w:t>
      </w:r>
      <w:r>
        <w:rPr>
          <w:rFonts w:ascii="仿宋" w:hAnsi="仿宋" w:eastAsia="仿宋"/>
          <w:color w:val="auto"/>
          <w:sz w:val="24"/>
          <w:highlight w:val="none"/>
        </w:rPr>
        <w:t xml:space="preserve">总额的‰的</w:t>
      </w:r>
      <w:r>
        <w:rPr>
          <w:rFonts w:hint="eastAsia" w:ascii="仿宋" w:hAnsi="仿宋" w:eastAsia="仿宋"/>
          <w:color w:val="auto"/>
          <w:sz w:val="24"/>
          <w:highlight w:val="none"/>
        </w:rPr>
        <w:t xml:space="preserve">违约</w:t>
      </w:r>
      <w:r>
        <w:rPr>
          <w:rFonts w:ascii="仿宋" w:hAnsi="仿宋" w:eastAsia="仿宋"/>
          <w:color w:val="auto"/>
          <w:sz w:val="24"/>
          <w:highlight w:val="none"/>
        </w:rPr>
        <w:t xml:space="preserve">金</w:t>
      </w:r>
      <w:r>
        <w:rPr>
          <w:rFonts w:hint="eastAsia" w:ascii="仿宋" w:hAnsi="仿宋" w:eastAsia="仿宋"/>
          <w:color w:val="auto"/>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5.其它未尽事宜，以《民法典》和《政府采购法》等有关法律法规规定为准，无相关规定的，双方协商解决。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条  不可抗力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条  争议的解决方式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2.在解释或者执行本合同的过程中发生争议时，双方应通过协商方式解决。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3.经协商不能解决的争议，双方可选择以下第种方式解决：</w:t>
      </w:r>
      <w:r/>
    </w:p>
    <w:p>
      <w:pPr>
        <w:ind w:firstLine="480"/>
        <w:rPr>
          <w:rFonts w:ascii="仿宋" w:hAnsi="仿宋" w:eastAsia="仿宋"/>
          <w:color w:val="auto"/>
          <w:sz w:val="24"/>
          <w:highlight w:val="none"/>
        </w:rPr>
      </w:pPr>
      <w:r>
        <w:rPr>
          <w:rFonts w:hint="eastAsia" w:ascii="仿宋" w:hAnsi="仿宋" w:eastAsia="仿宋" w:cs="仿宋_GB2312"/>
          <w:color w:val="auto"/>
          <w:sz w:val="24"/>
          <w:highlight w:val="none"/>
        </w:rPr>
        <w:t xml:space="preserve">①</w:t>
      </w:r>
      <w:r>
        <w:rPr>
          <w:rFonts w:hint="eastAsia" w:ascii="仿宋" w:hAnsi="仿宋" w:eastAsia="仿宋"/>
          <w:color w:val="auto"/>
          <w:sz w:val="24"/>
          <w:highlight w:val="none"/>
        </w:rPr>
        <w:t xml:space="preserve">向南通市有管辖权的法院提起诉讼；</w:t>
      </w:r>
      <w:r/>
    </w:p>
    <w:p>
      <w:pPr>
        <w:ind w:firstLine="480"/>
        <w:rPr>
          <w:rFonts w:ascii="仿宋" w:hAnsi="仿宋" w:eastAsia="仿宋"/>
          <w:color w:val="auto"/>
          <w:sz w:val="24"/>
          <w:highlight w:val="none"/>
        </w:rPr>
      </w:pPr>
      <w:r>
        <w:rPr>
          <w:rFonts w:hint="eastAsia" w:ascii="仿宋" w:hAnsi="仿宋" w:eastAsia="仿宋" w:cs="仿宋_GB2312"/>
          <w:color w:val="auto"/>
          <w:sz w:val="24"/>
          <w:highlight w:val="none"/>
        </w:rPr>
        <w:t xml:space="preserve">②</w:t>
      </w:r>
      <w:r>
        <w:rPr>
          <w:rFonts w:hint="eastAsia" w:ascii="仿宋" w:hAnsi="仿宋" w:eastAsia="仿宋"/>
          <w:color w:val="auto"/>
          <w:sz w:val="24"/>
          <w:highlight w:val="none"/>
        </w:rPr>
        <w:t xml:space="preserve">向南通市仲裁委员会提出仲裁。</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四</w:t>
      </w:r>
      <w:r>
        <w:rPr>
          <w:rFonts w:hint="eastAsia" w:ascii="仿宋" w:hAnsi="仿宋" w:eastAsia="仿宋"/>
          <w:b/>
          <w:color w:val="auto"/>
          <w:sz w:val="24"/>
          <w:highlight w:val="none"/>
        </w:rPr>
        <w:t xml:space="preserve">条  其他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本合同一式份，甲、乙双方各执份。</w:t>
      </w:r>
      <w:r/>
    </w:p>
    <w:p>
      <w:pPr>
        <w:ind w:firstLine="480"/>
        <w:rPr>
          <w:rFonts w:ascii="仿宋" w:hAnsi="仿宋" w:eastAsia="仿宋"/>
          <w:color w:val="auto"/>
          <w:sz w:val="24"/>
          <w:highlight w:val="none"/>
        </w:rPr>
      </w:pPr>
      <w:r>
        <w:rPr>
          <w:rFonts w:ascii="仿宋" w:hAnsi="仿宋" w:eastAsia="仿宋"/>
          <w:color w:val="auto"/>
          <w:sz w:val="24"/>
          <w:highlight w:val="none"/>
        </w:rPr>
      </w:r>
      <w:r/>
    </w:p>
    <w:tbl>
      <w:tblPr>
        <w:tblStyle w:val="86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ind w:firstLine="480"/>
        <w:rPr>
          <w:rFonts w:ascii="仿宋_GB2312" w:hAnsi="宋体" w:eastAsia="仿宋_GB2312"/>
          <w:color w:val="auto"/>
          <w:sz w:val="24"/>
          <w:highlight w:val="none"/>
        </w:rPr>
      </w:pPr>
      <w:r>
        <w:rPr>
          <w:rFonts w:ascii="仿宋_GB2312" w:hAnsi="宋体" w:eastAsia="仿宋_GB2312"/>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附件</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服务明细项目一览表</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1270"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服务名称</w:t>
            </w:r>
            <w:r/>
          </w:p>
        </w:tc>
        <w:tc>
          <w:tcPr>
            <w:tcW w:w="2574"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服务内容</w:t>
            </w:r>
            <w:r/>
          </w:p>
        </w:tc>
        <w:tc>
          <w:tcPr>
            <w:tcW w:w="494"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计量单位</w:t>
            </w:r>
            <w:r/>
          </w:p>
        </w:tc>
        <w:tc>
          <w:tcPr>
            <w:tcW w:w="494"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工作量</w:t>
            </w:r>
            <w:r/>
          </w:p>
        </w:tc>
        <w:tc>
          <w:tcPr>
            <w:tcW w:w="856"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 价</w:t>
            </w:r>
            <w:r/>
          </w:p>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903"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总 价</w:t>
            </w:r>
            <w:r/>
          </w:p>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1232" w:type="dxa"/>
            <w:vAlign w:val="center"/>
            <w:textDirection w:val="lrTb"/>
            <w:noWrap w:val="false"/>
          </w:tcPr>
          <w:p>
            <w:pPr>
              <w:pStyle w:val="868"/>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（视明细项目加行）</w:t>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jc w:val="center"/>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易耗品</w:t>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专用工具</w:t>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调试费</w:t>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培训费</w:t>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W w:w="903"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868"/>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gridSpan w:val="8"/>
            <w:tcW w:w="8522" w:type="dxa"/>
            <w:textDirection w:val="lrTb"/>
            <w:noWrap w:val="false"/>
          </w:tcPr>
          <w:p>
            <w:pPr>
              <w:pStyle w:val="868"/>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大写：                                           合同价：      元</w:t>
            </w:r>
            <w:r/>
          </w:p>
        </w:tc>
      </w:tr>
    </w:tbl>
    <w:p>
      <w:pPr>
        <w:pStyle w:val="885"/>
        <w:ind w:firstLine="560"/>
        <w:spacing w:line="24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85"/>
        <w:ind w:firstLine="0"/>
        <w:jc w:val="center"/>
        <w:spacing w:line="240" w:lineRule="auto"/>
        <w:rPr>
          <w:b/>
          <w:color w:val="auto"/>
          <w:highlight w:val="none"/>
        </w:rPr>
        <w:outlineLvl w:val="0"/>
      </w:pPr>
      <w:r>
        <w:rPr>
          <w:rFonts w:ascii="黑体" w:hAnsi="黑体" w:eastAsia="黑体"/>
          <w:color w:val="auto"/>
          <w:sz w:val="28"/>
          <w:szCs w:val="28"/>
          <w:highlight w:val="none"/>
        </w:rPr>
        <w:br w:type="page" w:clear="all"/>
      </w:r>
      <w:r>
        <w:rPr>
          <w:rFonts w:hint="eastAsia" w:ascii="微软雅黑" w:eastAsia="微软雅黑"/>
          <w:bCs/>
          <w:color w:val="auto"/>
          <w:sz w:val="32"/>
          <w:szCs w:val="32"/>
          <w:highlight w:val="none"/>
        </w:rPr>
        <w:t xml:space="preserve">第5章 评审标准和方法</w:t>
      </w:r>
      <w:bookmarkEnd w:id="6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val="en-US" w:eastAsia="zh-CN"/>
        </w:rPr>
        <w:t xml:space="preserve">评分标</w:t>
      </w:r>
      <w:r/>
    </w:p>
    <w:tbl>
      <w:tblPr>
        <w:tblStyle w:val="865"/>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756"/>
        <w:gridCol w:w="779"/>
      </w:tblGrid>
      <w:tr>
        <w:trPr>
          <w:trHeight w:val="420"/>
        </w:trPr>
        <w:tc>
          <w:tcPr>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9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1050"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tc>
        <w:tc>
          <w:tcPr>
            <w:tcW w:w="575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评审要求或标准</w:t>
            </w:r>
            <w:r/>
          </w:p>
        </w:tc>
        <w:tc>
          <w:tcPr>
            <w:tcW w:w="77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trHeight w:val="409"/>
        </w:trPr>
        <w:tc>
          <w:tcPr>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管理制度</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W w:w="5756" w:type="dxa"/>
            <w:vAlign w:val="center"/>
            <w:textDirection w:val="lrTb"/>
            <w:noWrap w:val="false"/>
          </w:tcPr>
          <w:p>
            <w:pPr>
              <w:ind w:left="0" w:right="0" w:firstLine="48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响应供应商需根据项目需求，提供相关的管理制度，内容包括但不限于：</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（1）管理组织架构；</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（2）员工</w:t>
            </w:r>
            <w:r>
              <w:rPr>
                <w:rFonts w:hint="eastAsia" w:ascii="仿宋" w:hAnsi="仿宋" w:eastAsia="仿宋" w:cs="仿宋"/>
                <w:color w:val="auto"/>
                <w:sz w:val="24"/>
                <w:szCs w:val="24"/>
                <w:highlight w:val="none"/>
                <w:lang w:val="en-US" w:eastAsia="zh-CN" w:bidi="ar"/>
              </w:rPr>
              <w:t xml:space="preserve">录用、考核和淘汰制度</w:t>
            </w:r>
            <w:r>
              <w:rPr>
                <w:rFonts w:hint="eastAsia" w:ascii="仿宋" w:hAnsi="仿宋" w:eastAsia="仿宋" w:cs="仿宋"/>
                <w:color w:val="auto"/>
                <w:sz w:val="24"/>
                <w:szCs w:val="24"/>
                <w:highlight w:val="none"/>
                <w:lang w:val="en-US" w:eastAsia="zh-CN" w:bidi="ar"/>
              </w:rPr>
              <w:t xml:space="preserve">；</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（3）教育培训制度；</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val="en-US" w:eastAsia="zh-CN"/>
              </w:rPr>
              <w:t xml:space="preserve">有限空间作业</w:t>
            </w:r>
            <w:r>
              <w:rPr>
                <w:rFonts w:hint="eastAsia" w:ascii="仿宋" w:hAnsi="仿宋" w:eastAsia="仿宋" w:cs="仿宋"/>
                <w:color w:val="auto"/>
                <w:sz w:val="24"/>
                <w:szCs w:val="24"/>
                <w:highlight w:val="none"/>
              </w:rPr>
              <w:t xml:space="preserve">管理制度</w:t>
            </w:r>
            <w:r>
              <w:rPr>
                <w:rFonts w:hint="eastAsia" w:ascii="仿宋" w:hAnsi="仿宋" w:eastAsia="仿宋" w:cs="仿宋"/>
                <w:color w:val="auto"/>
                <w:sz w:val="24"/>
                <w:szCs w:val="24"/>
                <w:highlight w:val="none"/>
                <w:lang w:val="en-US" w:eastAsia="zh-CN" w:bidi="ar"/>
              </w:rPr>
              <w:t xml:space="preserve">；</w:t>
            </w:r>
            <w:r/>
          </w:p>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val="en-US" w:eastAsia="zh-CN"/>
              </w:rPr>
              <w:t xml:space="preserve">垃圾转运管理制度</w:t>
            </w:r>
            <w:r>
              <w:rPr>
                <w:rFonts w:hint="eastAsia" w:ascii="仿宋" w:hAnsi="仿宋" w:eastAsia="仿宋" w:cs="仿宋"/>
                <w:color w:val="auto"/>
                <w:sz w:val="24"/>
                <w:szCs w:val="24"/>
                <w:highlight w:val="none"/>
                <w:lang w:val="en-US" w:eastAsia="zh-CN" w:bidi="ar"/>
              </w:rPr>
              <w:t xml:space="preserve">等。</w:t>
            </w:r>
            <w:r/>
          </w:p>
          <w:p>
            <w:pPr>
              <w:ind w:left="0" w:right="0" w:firstLine="482"/>
              <w:jc w:val="both"/>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响应供应商对上述5方面展开详细的阐述，内容能够适用于本项目实际，内容中每缺少一项内容扣1分，每有一处需求分析内容存在缺陷或不足的扣0.5分，扣完为止。（本项最多得5分）</w:t>
            </w:r>
            <w:r/>
          </w:p>
          <w:p>
            <w:pPr>
              <w:ind w:left="0" w:right="0" w:firstLine="482"/>
              <w:jc w:val="both"/>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注：制度内容存在缺陷或不足是指以下任意一种情形：</w:t>
            </w:r>
            <w:r/>
          </w:p>
          <w:p>
            <w:pPr>
              <w:ind w:firstLine="482"/>
              <w:keepLines w:val="0"/>
              <w:keepNext w:val="0"/>
              <w:pageBreakBefore w:val="0"/>
              <w:spacing w:line="300" w:lineRule="exact"/>
              <w:shd w:val="clear" w:color="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服务方案</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w:t>
            </w:r>
            <w:r/>
          </w:p>
        </w:tc>
        <w:tc>
          <w:tcPr>
            <w:shd w:val="clear" w:color="auto" w:fill="auto"/>
            <w:tcW w:w="5756" w:type="dxa"/>
            <w:vAlign w:val="center"/>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响应供应商</w:t>
            </w:r>
            <w:r>
              <w:rPr>
                <w:rFonts w:hint="eastAsia" w:ascii="仿宋" w:hAnsi="仿宋" w:eastAsia="仿宋" w:cs="仿宋"/>
                <w:color w:val="auto"/>
                <w:sz w:val="24"/>
                <w:szCs w:val="24"/>
                <w:highlight w:val="none"/>
                <w:lang w:val="en-US" w:eastAsia="zh-CN"/>
              </w:rPr>
              <w:t xml:space="preserve">需根据项目需求，提供相关的服务方案，内容包括但不限于：</w:t>
            </w:r>
            <w:r/>
          </w:p>
          <w:p>
            <w:pP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（1）本项目进退场交接方案及措施；</w:t>
            </w:r>
            <w:r/>
          </w:p>
          <w:p>
            <w:pP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（2）针对本项目的服务特点、难点进行情况分析，并提出解决措施；</w:t>
            </w:r>
            <w:r/>
          </w:p>
          <w:p>
            <w:pP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（3）针对本项目的垃圾转运作业组织方案；</w:t>
            </w:r>
            <w:r/>
          </w:p>
          <w:p>
            <w:pP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（4）本项目作业车辆、作业人员的智慧管理方案；</w:t>
            </w:r>
            <w:r/>
          </w:p>
          <w:p>
            <w:pP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（5）提供本项目办公场所、作业人员配备、作业车辆及设备投入、作业时间安排及车辆停放方案；</w:t>
            </w:r>
            <w:r/>
          </w:p>
          <w:p>
            <w:pPr>
              <w:pStyle w:val="886"/>
              <w:ind w:left="0" w:firstLine="0"/>
              <w:keepLines w:val="0"/>
              <w:keepNext w:val="0"/>
              <w:pageBreakBefore w:val="0"/>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（6）针对本项目的垃圾站运维管理</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00" w:lineRule="exact"/>
              <w:rPr>
                <w:rFonts w:hint="eastAsia"/>
                <w:color w:val="auto"/>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针对本项目的垃圾渗漏液处置方案。</w:t>
            </w:r>
            <w:r/>
          </w:p>
          <w:p>
            <w:pPr>
              <w:ind w:left="0" w:right="0" w:firstLine="482"/>
              <w:jc w:val="both"/>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上述7方面展开详细的阐述，内容能够适用于本项目实际，内容中每缺少一项内容扣1分，每有一处需求分析内容存在缺陷或不足的扣0.5分，扣完为止。（本项最多得7分）</w:t>
            </w:r>
            <w:r/>
          </w:p>
          <w:p>
            <w:pPr>
              <w:ind w:left="0" w:right="0" w:firstLine="482"/>
              <w:jc w:val="both"/>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注：方案内容存在缺陷或不足是指以下任意一种情形：</w:t>
            </w:r>
            <w:r/>
          </w:p>
          <w:p>
            <w:pPr>
              <w:ind w:firstLine="482"/>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应急预案</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w:t>
            </w:r>
            <w:r/>
          </w:p>
        </w:tc>
        <w:tc>
          <w:tcPr>
            <w:shd w:val="clear" w:color="auto" w:fill="auto"/>
            <w:tcW w:w="5756" w:type="dxa"/>
            <w:vAlign w:val="center"/>
            <w:textDirection w:val="lrTb"/>
            <w:noWrap w:val="false"/>
          </w:tcPr>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响应供应商需根据项目需求，提供针对本项目的相关的应急方案，内容包括但不限于：</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（1）重大检查调研参观活动应急预案；</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（2）重要节日等应急保障方案；</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（3）恶劣天气（台风、暴雨、暴雪等）预警应急保障方案；</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（4）重大交通事故或重大安全事故处理应急预案；</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（5）临时大量生活垃圾处置应急预案等；</w:t>
            </w:r>
            <w:r/>
          </w:p>
          <w:p>
            <w:pPr>
              <w:pStyle w:val="886"/>
              <w:ind w:left="0" w:firstLine="0"/>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（6）垃圾渗漏液应急处置预案。</w:t>
            </w:r>
            <w:r/>
          </w:p>
          <w:p>
            <w:pPr>
              <w:ind w:left="0" w:right="0" w:firstLine="482"/>
              <w:jc w:val="left"/>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上述6方面展开详细的阐述，内容能够适用于本项目实际，内容中每缺少一项内容扣1分，每有一处需求分析内容存在缺陷或不足的扣0.5分，扣完为止。（本项最多得6分）</w:t>
            </w:r>
            <w:r/>
          </w:p>
          <w:p>
            <w:pPr>
              <w:ind w:left="0" w:right="0" w:firstLine="482"/>
              <w:jc w:val="left"/>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注：实施方案内容存在缺陷或不足是指以下任意一种情形：</w:t>
            </w:r>
            <w:r/>
          </w:p>
          <w:p>
            <w:pPr>
              <w:ind w:firstLine="482"/>
              <w:keepLines w:val="0"/>
              <w:keepNext w:val="0"/>
              <w:pageBreakBefore w:val="0"/>
              <w:spacing w:line="300" w:lineRule="exact"/>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安全作业保障</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shd w:val="clear" w:color="auto" w:fill="auto"/>
            <w:tcW w:w="5756" w:type="dxa"/>
            <w:vAlign w:val="center"/>
            <w:textDirection w:val="lrTb"/>
            <w:noWrap w:val="false"/>
          </w:tcPr>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响应供应商需根据项目需求，提供针对本项目的安全文明作业保障方案，包括但不限于：</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eastAsia="zh-CN" w:bidi="ar"/>
              </w:rPr>
              <w:suppressLineNumbers w:val="0"/>
            </w:pPr>
            <w:r>
              <w:rPr>
                <w:rFonts w:hint="eastAsia" w:ascii="仿宋" w:hAnsi="仿宋" w:eastAsia="仿宋" w:cs="仿宋"/>
                <w:color w:val="auto"/>
                <w:sz w:val="24"/>
                <w:szCs w:val="24"/>
                <w:highlight w:val="none"/>
                <w:lang w:val="en-US" w:eastAsia="zh-CN" w:bidi="ar"/>
              </w:rPr>
              <w:t xml:space="preserve">（1）安全管理制度</w:t>
            </w:r>
            <w:r>
              <w:rPr>
                <w:rFonts w:hint="eastAsia" w:ascii="仿宋" w:hAnsi="仿宋" w:eastAsia="仿宋" w:cs="仿宋"/>
                <w:color w:val="auto"/>
                <w:sz w:val="24"/>
                <w:szCs w:val="24"/>
                <w:highlight w:val="none"/>
                <w:lang w:eastAsia="zh-CN" w:bidi="ar"/>
              </w:rPr>
              <w:t xml:space="preserve">；</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eastAsia="zh-CN" w:bidi="ar"/>
              </w:rPr>
              <w:suppressLineNumbers w:val="0"/>
            </w:pPr>
            <w:r>
              <w:rPr>
                <w:rFonts w:hint="eastAsia" w:ascii="仿宋" w:hAnsi="仿宋" w:eastAsia="仿宋" w:cs="仿宋"/>
                <w:color w:val="auto"/>
                <w:sz w:val="24"/>
                <w:szCs w:val="24"/>
                <w:highlight w:val="none"/>
                <w:lang w:eastAsia="zh-CN" w:bidi="ar"/>
              </w:rPr>
              <w:t xml:space="preserve">（2）</w:t>
            </w:r>
            <w:r>
              <w:rPr>
                <w:rFonts w:hint="eastAsia" w:ascii="仿宋" w:hAnsi="仿宋" w:eastAsia="仿宋" w:cs="仿宋"/>
                <w:color w:val="auto"/>
                <w:sz w:val="24"/>
                <w:szCs w:val="24"/>
                <w:highlight w:val="none"/>
                <w:lang w:val="en-US" w:eastAsia="zh-CN" w:bidi="ar"/>
              </w:rPr>
              <w:t xml:space="preserve">安全生产管理预案</w:t>
            </w:r>
            <w:r>
              <w:rPr>
                <w:rFonts w:hint="eastAsia" w:ascii="仿宋" w:hAnsi="仿宋" w:eastAsia="仿宋" w:cs="仿宋"/>
                <w:color w:val="auto"/>
                <w:sz w:val="24"/>
                <w:szCs w:val="24"/>
                <w:highlight w:val="none"/>
                <w:lang w:eastAsia="zh-CN" w:bidi="ar"/>
              </w:rPr>
              <w:t xml:space="preserve">；</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eastAsia="zh-CN" w:bidi="ar"/>
              </w:rPr>
              <w:suppressLineNumbers w:val="0"/>
            </w:pPr>
            <w:r>
              <w:rPr>
                <w:rFonts w:hint="eastAsia" w:ascii="仿宋" w:hAnsi="仿宋" w:eastAsia="仿宋" w:cs="仿宋"/>
                <w:color w:val="auto"/>
                <w:sz w:val="24"/>
                <w:szCs w:val="24"/>
                <w:highlight w:val="none"/>
                <w:lang w:eastAsia="zh-CN" w:bidi="ar"/>
              </w:rPr>
              <w:t xml:space="preserve">（3）</w:t>
            </w:r>
            <w:r>
              <w:rPr>
                <w:rFonts w:hint="eastAsia" w:ascii="仿宋" w:hAnsi="仿宋" w:eastAsia="仿宋" w:cs="仿宋"/>
                <w:color w:val="auto"/>
                <w:sz w:val="24"/>
                <w:szCs w:val="24"/>
                <w:highlight w:val="none"/>
                <w:lang w:val="en-US" w:eastAsia="zh-CN" w:bidi="ar"/>
              </w:rPr>
              <w:t xml:space="preserve">安全人员及设施配备</w:t>
            </w:r>
            <w:r>
              <w:rPr>
                <w:rFonts w:hint="eastAsia" w:ascii="仿宋" w:hAnsi="仿宋" w:eastAsia="仿宋" w:cs="仿宋"/>
                <w:color w:val="auto"/>
                <w:sz w:val="24"/>
                <w:szCs w:val="24"/>
                <w:highlight w:val="none"/>
                <w:lang w:eastAsia="zh-CN" w:bidi="ar"/>
              </w:rPr>
              <w:t xml:space="preserve">；</w:t>
            </w:r>
            <w:r/>
          </w:p>
          <w:p>
            <w:pPr>
              <w:ind w:left="0" w:right="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eastAsia="zh-CN" w:bidi="no"/>
              </w:rPr>
              <w:t xml:space="preserve">（4）</w:t>
            </w:r>
            <w:r>
              <w:rPr>
                <w:rFonts w:hint="eastAsia" w:ascii="仿宋" w:hAnsi="仿宋" w:eastAsia="仿宋" w:cs="仿宋"/>
                <w:color w:val="auto"/>
                <w:sz w:val="24"/>
                <w:szCs w:val="24"/>
                <w:highlight w:val="none"/>
                <w:lang w:val="en-US" w:eastAsia="zh-CN" w:bidi="ar"/>
              </w:rPr>
              <w:t xml:space="preserve">安全文明保障措施等。</w:t>
            </w:r>
            <w:r/>
          </w:p>
          <w:p>
            <w:pPr>
              <w:ind w:left="0" w:right="0" w:firstLine="482"/>
              <w:jc w:val="left"/>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上述4方面展开详细的阐述，内容能够适用于本项目实际，内容中每缺少一项内容扣1分，每有一处需求分析内容存在缺陷或不足的扣0.5分，扣完为止。（本项最多得4分）</w:t>
            </w:r>
            <w:r/>
          </w:p>
          <w:p>
            <w:pPr>
              <w:ind w:left="0" w:right="0" w:firstLine="482"/>
              <w:jc w:val="left"/>
              <w:keepLines w:val="0"/>
              <w:keepNext w:val="0"/>
              <w:pageBreakBefore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注：实施方案内容存在缺陷或不足是指以下任意一种情形：</w:t>
            </w:r>
            <w:r/>
          </w:p>
          <w:p>
            <w:pPr>
              <w:ind w:firstLine="482"/>
              <w:keepLines w:val="0"/>
              <w:keepNext w:val="0"/>
              <w:pageBreakBefore w:val="0"/>
              <w:spacing w:line="300" w:lineRule="exact"/>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shd w:val="clear" w:color="auto" w:fill="auto"/>
            <w:tcW w:w="1293"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管理体系认证</w:t>
            </w:r>
            <w:r/>
          </w:p>
        </w:tc>
        <w:tc>
          <w:tcPr>
            <w:shd w:val="clear" w:color="auto" w:fill="auto"/>
            <w:tcW w:w="105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6</w:t>
            </w:r>
            <w:r/>
          </w:p>
        </w:tc>
        <w:tc>
          <w:tcPr>
            <w:shd w:val="clear" w:color="auto" w:fill="auto"/>
            <w:tcW w:w="5756" w:type="dxa"/>
            <w:vAlign w:val="center"/>
            <w:textDirection w:val="lrTb"/>
            <w:noWrap w:val="false"/>
          </w:tcPr>
          <w:p>
            <w:pPr>
              <w:ind w:right="0" w:firstLine="48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响应供应商具备ISO9001质量管理体系认证证书；ISO14001环境管理体系认证证书；ISO45001职业健康安全管理体系认证证书。有一项得2分，本项最多得6分，不提供不得分。</w:t>
            </w:r>
            <w:r/>
          </w:p>
          <w:p>
            <w:pPr>
              <w:ind w:firstLine="482"/>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注：响应文件中须提供认证证书扫描件和全国认证认可信息公共服务平台查询截图加盖单位公章，未提供或提供不全不得分。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创新管理</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W w:w="5756" w:type="dxa"/>
            <w:vAlign w:val="center"/>
            <w:textDirection w:val="lrTb"/>
            <w:noWrap w:val="false"/>
          </w:tcPr>
          <w:p>
            <w:pPr>
              <w:ind w:left="0" w:right="0" w:firstLine="480"/>
              <w:jc w:val="left"/>
              <w:keepLines w:val="0"/>
              <w:keepNext w:val="0"/>
              <w:pageBreakBefore w:val="0"/>
              <w:spacing w:before="0" w:beforeAutospacing="0" w:after="0" w:afterAutospacing="0" w:line="300" w:lineRule="exact"/>
              <w:widowControl/>
              <w:rPr>
                <w:rFonts w:hint="eastAsia" w:ascii="仿宋" w:hAnsi="仿宋" w:eastAsia="仿宋" w:cs="仿宋"/>
                <w:b w:val="0"/>
                <w:bCs/>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响应供应商</w:t>
            </w:r>
            <w:r>
              <w:rPr>
                <w:rFonts w:hint="eastAsia" w:ascii="仿宋" w:hAnsi="仿宋" w:eastAsia="仿宋" w:cs="仿宋"/>
                <w:b w:val="0"/>
                <w:bCs/>
                <w:color w:val="auto"/>
                <w:sz w:val="24"/>
                <w:szCs w:val="24"/>
                <w:highlight w:val="none"/>
                <w:lang w:val="en-US" w:eastAsia="zh-CN" w:bidi="ar"/>
              </w:rPr>
              <w:t xml:space="preserve">具有智慧环卫管理软件平台（拥有所有权，后台数据须对招标人开放），软件平台包含但不限于以下功能：垃圾清运作业监测、环卫作业车辆轨迹监测记录、环卫作业大数据管理、环卫作业路径规划、环卫品质监管（项目巡检管理）等，具有其中一项功能得1分，</w:t>
            </w:r>
            <w:r>
              <w:rPr>
                <w:rFonts w:hint="eastAsia" w:ascii="仿宋" w:hAnsi="仿宋" w:eastAsia="仿宋" w:cs="仿宋"/>
                <w:color w:val="auto"/>
                <w:sz w:val="24"/>
                <w:szCs w:val="24"/>
                <w:highlight w:val="none"/>
                <w:lang w:val="en-US" w:eastAsia="zh-CN" w:bidi="ar"/>
              </w:rPr>
              <w:t xml:space="preserve">本项最多得5分，不提供不得分（提供项目经理级别以上人员系统账户及登录密码、网址）。</w:t>
            </w:r>
            <w:r/>
          </w:p>
          <w:p>
            <w:pPr>
              <w:ind w:left="0" w:right="0" w:firstLine="482"/>
              <w:jc w:val="left"/>
              <w:keepLines w:val="0"/>
              <w:keepNext w:val="0"/>
              <w:pageBreakBefore w:val="0"/>
              <w:spacing w:before="0" w:beforeAutospacing="0" w:after="0" w:afterAutospacing="0" w:line="300" w:lineRule="exact"/>
              <w:widowControl w:val="off"/>
              <w:rPr>
                <w:rFonts w:hint="default" w:ascii="仿宋" w:hAnsi="仿宋" w:eastAsia="仿宋" w:cs="仿宋"/>
                <w:b/>
                <w:bCs w:val="0"/>
                <w:color w:val="auto"/>
                <w:sz w:val="24"/>
                <w:szCs w:val="24"/>
                <w:highlight w:val="none"/>
                <w:lang w:val="en-US"/>
              </w:rPr>
              <w:suppressLineNumbers w:val="0"/>
            </w:pPr>
            <w:r>
              <w:rPr>
                <w:rFonts w:hint="eastAsia" w:ascii="仿宋" w:hAnsi="仿宋" w:eastAsia="仿宋" w:cs="仿宋"/>
                <w:b/>
                <w:bCs w:val="0"/>
                <w:color w:val="auto"/>
                <w:sz w:val="24"/>
                <w:szCs w:val="24"/>
                <w:highlight w:val="none"/>
                <w:lang w:val="en-US" w:eastAsia="zh-CN" w:bidi="ar"/>
              </w:rPr>
              <w:t xml:space="preserve">注：①平台如为购买须提供平台购买合同、发票扫描件、资金支付凭证及登录后相关功能截图，加盖投标人公章；如为自有须提供自有研发证书。不提供或提供不全不得分。</w:t>
            </w:r>
            <w:r/>
          </w:p>
          <w:p>
            <w:pPr>
              <w:numPr>
                <w:ilvl w:val="0"/>
                <w:numId w:val="0"/>
              </w:numPr>
              <w:ind w:left="0" w:right="0" w:firstLine="482"/>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val="0"/>
                <w:color w:val="auto"/>
                <w:sz w:val="24"/>
                <w:szCs w:val="24"/>
                <w:highlight w:val="none"/>
                <w:lang w:val="en-US" w:eastAsia="zh-CN" w:bidi="ar"/>
              </w:rPr>
              <w:t xml:space="preserve">②</w:t>
            </w:r>
            <w:r>
              <w:rPr>
                <w:rFonts w:hint="eastAsia" w:ascii="仿宋" w:hAnsi="仿宋" w:eastAsia="仿宋" w:cs="仿宋"/>
                <w:b/>
                <w:bCs/>
                <w:color w:val="auto"/>
                <w:sz w:val="24"/>
                <w:szCs w:val="24"/>
                <w:highlight w:val="none"/>
                <w:lang w:val="en-US" w:eastAsia="zh-CN" w:bidi="ar"/>
              </w:rPr>
              <w:t xml:space="preserve">响应供应商需提供承诺函（格式自拟），承诺后台数据对采购人开放，不提供或提供不全不得分。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服务水平</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W w:w="5756" w:type="dxa"/>
            <w:vAlign w:val="center"/>
            <w:textDirection w:val="lrTb"/>
            <w:noWrap w:val="false"/>
          </w:tcPr>
          <w:p>
            <w:pPr>
              <w:ind w:left="0" w:right="0" w:firstLine="480"/>
              <w:jc w:val="both"/>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1.自2021年1月1日以来响应供应商获得县（区）、市级及以上政府部门颁发的荣誉或表彰的有一个得1分。本项最多3分，不提供不得分。</w:t>
            </w:r>
            <w:r/>
          </w:p>
          <w:p>
            <w:pPr>
              <w:ind w:left="0" w:right="0" w:firstLine="482"/>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响应文件中须提供获奖证书或红头文件扫描件加盖响应供应商公章，未提供不得分。</w:t>
            </w:r>
            <w:r/>
          </w:p>
          <w:p>
            <w:pPr>
              <w:pStyle w:val="876"/>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2.响应</w:t>
            </w:r>
            <w:r>
              <w:rPr>
                <w:rFonts w:hint="eastAsia" w:ascii="仿宋" w:hAnsi="仿宋" w:eastAsia="仿宋" w:cs="仿宋"/>
                <w:color w:val="auto"/>
                <w:sz w:val="24"/>
                <w:szCs w:val="24"/>
                <w:highlight w:val="none"/>
                <w:lang w:val="en-US" w:eastAsia="zh-CN" w:bidi="ar"/>
              </w:rPr>
              <w:t xml:space="preserve">供应商</w:t>
            </w:r>
            <w:r>
              <w:rPr>
                <w:rFonts w:hint="eastAsia" w:ascii="仿宋" w:hAnsi="仿宋" w:eastAsia="仿宋" w:cs="仿宋"/>
                <w:b w:val="0"/>
                <w:bCs w:val="0"/>
                <w:color w:val="auto"/>
                <w:sz w:val="24"/>
                <w:szCs w:val="24"/>
                <w:highlight w:val="none"/>
                <w:lang w:val="en-US" w:eastAsia="zh-CN" w:bidi="ar"/>
              </w:rPr>
              <w:t xml:space="preserve">获得</w:t>
            </w:r>
            <w:r>
              <w:rPr>
                <w:rFonts w:hint="eastAsia" w:ascii="仿宋" w:hAnsi="仿宋" w:eastAsia="仿宋" w:cs="仿宋"/>
                <w:color w:val="auto"/>
                <w:sz w:val="24"/>
                <w:szCs w:val="24"/>
                <w:highlight w:val="none"/>
                <w:lang w:val="en-US" w:eastAsia="zh-CN" w:bidi="ar"/>
              </w:rPr>
              <w:t xml:space="preserve">人力资源和社会保障部门颁发的劳动保障信用（诚信）表彰的，得3分。</w:t>
            </w:r>
            <w:r/>
          </w:p>
          <w:p>
            <w:pPr>
              <w:pStyle w:val="867"/>
              <w:numPr>
                <w:ilvl w:val="0"/>
                <w:numId w:val="0"/>
              </w:numPr>
              <w:ind w:firstLine="482"/>
              <w:keepLines w:val="0"/>
              <w:keepNext w:val="0"/>
              <w:pageBreakBefore w:val="0"/>
              <w:spacing w:line="300" w:lineRule="exact"/>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响应文件中须提供证书或荣誉证明资料扫描件等加盖响应供应商公章，不提供不得分。</w:t>
            </w:r>
            <w:r/>
          </w:p>
          <w:p>
            <w:pPr>
              <w:ind w:firstLine="480"/>
              <w:keepLines w:val="0"/>
              <w:keepNext w:val="0"/>
              <w:pageBreakBefore w:val="0"/>
              <w:spacing w:line="3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
              </w:rPr>
              <w:t xml:space="preserve">3.响</w:t>
            </w:r>
            <w:r>
              <w:rPr>
                <w:rFonts w:hint="eastAsia" w:ascii="仿宋" w:hAnsi="仿宋" w:eastAsia="仿宋" w:cs="仿宋"/>
                <w:color w:val="auto"/>
                <w:sz w:val="24"/>
                <w:szCs w:val="24"/>
                <w:highlight w:val="none"/>
                <w:lang w:val="en-US" w:eastAsia="zh-CN" w:bidi="ar"/>
              </w:rPr>
              <w:t xml:space="preserve">应供应商具有有效的“道路运输经营许可证”的，得2分。</w:t>
            </w:r>
            <w:r>
              <w:rPr>
                <w:rFonts w:hint="eastAsia" w:ascii="仿宋" w:hAnsi="仿宋" w:eastAsia="仿宋" w:cs="仿宋"/>
                <w:b/>
                <w:bCs/>
                <w:color w:val="auto"/>
                <w:sz w:val="24"/>
                <w:szCs w:val="24"/>
                <w:highlight w:val="none"/>
                <w:lang w:val="en-US" w:eastAsia="zh-CN" w:bidi="ar"/>
              </w:rPr>
              <w:t xml:space="preserve">响应文件中须提供证书原件扫描件，不提供不得分。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业绩</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w:t>
            </w:r>
            <w:r/>
          </w:p>
        </w:tc>
        <w:tc>
          <w:tcPr>
            <w:shd w:val="clear" w:color="auto" w:fill="auto"/>
            <w:tcW w:w="5756" w:type="dxa"/>
            <w:vAlign w:val="center"/>
            <w:textDirection w:val="lrTb"/>
            <w:noWrap w:val="false"/>
          </w:tcPr>
          <w:p>
            <w:pPr>
              <w:numPr>
                <w:ilvl w:val="0"/>
                <w:numId w:val="0"/>
              </w:numPr>
              <w:ind w:firstLine="480"/>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rPr>
              <w:t xml:space="preserve">自2021年1月1日以来（以合同签订时间为准），</w:t>
            </w:r>
            <w:r>
              <w:rPr>
                <w:rFonts w:hint="eastAsia" w:ascii="仿宋" w:hAnsi="仿宋" w:eastAsia="仿宋" w:cs="仿宋"/>
                <w:color w:val="auto"/>
                <w:sz w:val="24"/>
                <w:szCs w:val="24"/>
                <w:highlight w:val="none"/>
                <w:lang w:val="en-US" w:eastAsia="zh-CN" w:bidi="ar"/>
              </w:rPr>
              <w:t xml:space="preserve">响应供应商</w:t>
            </w:r>
            <w:r>
              <w:rPr>
                <w:rFonts w:hint="eastAsia" w:ascii="仿宋" w:hAnsi="仿宋" w:eastAsia="仿宋" w:cs="仿宋"/>
                <w:color w:val="auto"/>
                <w:sz w:val="24"/>
                <w:szCs w:val="24"/>
                <w:highlight w:val="none"/>
                <w:lang w:val="en-US" w:eastAsia="zh-CN"/>
              </w:rPr>
              <w:t xml:space="preserve">承担过类似垃圾转运及垃圾站运营服务内容的业绩，具备一个业绩得3分，本项最高得6分；</w:t>
            </w:r>
            <w:r/>
          </w:p>
          <w:p>
            <w:pPr>
              <w:numPr>
                <w:ilvl w:val="0"/>
                <w:numId w:val="0"/>
              </w:numPr>
              <w:ind w:firstLine="480"/>
              <w:jc w:val="both"/>
              <w:keepLines w:val="0"/>
              <w:keepNext w:val="0"/>
              <w:pageBreakBefore w:val="0"/>
              <w:spacing w:line="300" w:lineRule="exact"/>
              <w:widowControl/>
              <w:rPr>
                <w:rFonts w:hint="eastAsia" w:ascii="仿宋" w:hAnsi="仿宋" w:eastAsia="仿宋" w:cs="仿宋"/>
                <w:color w:val="auto"/>
                <w:sz w:val="24"/>
                <w:szCs w:val="24"/>
                <w:highlight w:val="none"/>
                <w:lang w:eastAsia="zh-CN"/>
              </w:rPr>
            </w:pPr>
            <w:r>
              <w:rPr>
                <w:rStyle w:val="894"/>
                <w:rFonts w:hint="eastAsia" w:ascii="仿宋" w:hAnsi="仿宋" w:eastAsia="仿宋" w:cs="仿宋"/>
                <w:color w:val="auto"/>
                <w:sz w:val="24"/>
                <w:szCs w:val="24"/>
                <w:highlight w:val="none"/>
                <w:lang w:val="en-US" w:eastAsia="zh-CN"/>
              </w:rPr>
              <w:t xml:space="preserve">2.自</w:t>
            </w:r>
            <w:r>
              <w:rPr>
                <w:rStyle w:val="894"/>
                <w:rFonts w:hint="eastAsia" w:ascii="仿宋" w:hAnsi="仿宋" w:eastAsia="仿宋" w:cs="仿宋"/>
                <w:color w:val="auto"/>
                <w:sz w:val="24"/>
                <w:szCs w:val="24"/>
                <w:highlight w:val="none"/>
              </w:rPr>
              <w:t xml:space="preserve">202</w:t>
            </w:r>
            <w:r>
              <w:rPr>
                <w:rStyle w:val="894"/>
                <w:rFonts w:hint="eastAsia" w:ascii="仿宋" w:hAnsi="仿宋" w:eastAsia="仿宋" w:cs="仿宋"/>
                <w:color w:val="auto"/>
                <w:sz w:val="24"/>
                <w:szCs w:val="24"/>
                <w:highlight w:val="none"/>
                <w:lang w:val="en-US" w:eastAsia="zh-CN"/>
              </w:rPr>
              <w:t xml:space="preserve">1</w:t>
            </w:r>
            <w:r>
              <w:rPr>
                <w:rStyle w:val="894"/>
                <w:rFonts w:hint="eastAsia" w:ascii="仿宋" w:hAnsi="仿宋" w:eastAsia="仿宋" w:cs="仿宋"/>
                <w:color w:val="auto"/>
                <w:sz w:val="24"/>
                <w:szCs w:val="24"/>
                <w:highlight w:val="none"/>
              </w:rPr>
              <w:t xml:space="preserve">年1月1日以来（以合同签订时间</w:t>
            </w:r>
            <w:r>
              <w:rPr>
                <w:rStyle w:val="894"/>
                <w:rFonts w:hint="eastAsia" w:ascii="仿宋" w:hAnsi="仿宋" w:eastAsia="仿宋" w:cs="仿宋"/>
                <w:color w:val="auto"/>
                <w:sz w:val="24"/>
                <w:szCs w:val="24"/>
                <w:highlight w:val="none"/>
                <w:lang w:val="en-US" w:eastAsia="zh-CN"/>
              </w:rPr>
              <w:t xml:space="preserve">为</w:t>
            </w:r>
            <w:r>
              <w:rPr>
                <w:rStyle w:val="894"/>
                <w:rFonts w:hint="eastAsia" w:ascii="仿宋" w:hAnsi="仿宋" w:eastAsia="仿宋" w:cs="仿宋"/>
                <w:color w:val="auto"/>
                <w:sz w:val="24"/>
                <w:szCs w:val="24"/>
                <w:highlight w:val="none"/>
              </w:rPr>
              <w:t xml:space="preserve">准）</w:t>
            </w:r>
            <w:r>
              <w:rPr>
                <w:rStyle w:val="894"/>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响应供应商</w:t>
            </w:r>
            <w:r>
              <w:rPr>
                <w:rStyle w:val="894"/>
                <w:rFonts w:hint="eastAsia" w:ascii="仿宋" w:hAnsi="仿宋" w:eastAsia="仿宋" w:cs="仿宋"/>
                <w:color w:val="auto"/>
                <w:sz w:val="24"/>
                <w:szCs w:val="24"/>
                <w:highlight w:val="none"/>
              </w:rPr>
              <w:t xml:space="preserve">服务业绩合同内容</w:t>
            </w:r>
            <w:r>
              <w:rPr>
                <w:rStyle w:val="894"/>
                <w:rFonts w:hint="eastAsia" w:ascii="仿宋" w:hAnsi="仿宋" w:eastAsia="仿宋" w:cs="仿宋"/>
                <w:color w:val="auto"/>
                <w:sz w:val="24"/>
                <w:szCs w:val="24"/>
                <w:highlight w:val="none"/>
                <w:lang w:val="en-US" w:eastAsia="zh-CN"/>
              </w:rPr>
              <w:t xml:space="preserve">包含</w:t>
            </w:r>
            <w:r>
              <w:rPr>
                <w:rStyle w:val="894"/>
                <w:rFonts w:hint="eastAsia" w:ascii="仿宋" w:hAnsi="仿宋" w:eastAsia="仿宋" w:cs="仿宋"/>
                <w:b w:val="0"/>
                <w:bCs w:val="0"/>
                <w:color w:val="auto"/>
                <w:sz w:val="24"/>
                <w:szCs w:val="24"/>
                <w:highlight w:val="none"/>
                <w:lang w:val="en-US" w:eastAsia="zh-CN"/>
              </w:rPr>
              <w:t xml:space="preserve">污水处理设施运维的</w:t>
            </w:r>
            <w:r>
              <w:rPr>
                <w:rStyle w:val="894"/>
                <w:rFonts w:hint="eastAsia" w:ascii="仿宋" w:hAnsi="仿宋" w:eastAsia="仿宋" w:cs="仿宋"/>
                <w:color w:val="auto"/>
                <w:sz w:val="24"/>
                <w:szCs w:val="24"/>
                <w:highlight w:val="none"/>
              </w:rPr>
              <w:t xml:space="preserve">，具备一个业绩得</w:t>
            </w:r>
            <w:r>
              <w:rPr>
                <w:rStyle w:val="894"/>
                <w:rFonts w:hint="eastAsia" w:ascii="仿宋" w:hAnsi="仿宋" w:eastAsia="仿宋" w:cs="仿宋"/>
                <w:color w:val="auto"/>
                <w:sz w:val="24"/>
                <w:szCs w:val="24"/>
                <w:highlight w:val="none"/>
                <w:lang w:val="en-US" w:eastAsia="zh-CN"/>
              </w:rPr>
              <w:t xml:space="preserve">3</w:t>
            </w:r>
            <w:r>
              <w:rPr>
                <w:rStyle w:val="894"/>
                <w:rFonts w:hint="eastAsia" w:ascii="仿宋" w:hAnsi="仿宋" w:eastAsia="仿宋" w:cs="仿宋"/>
                <w:color w:val="auto"/>
                <w:sz w:val="24"/>
                <w:szCs w:val="24"/>
                <w:highlight w:val="none"/>
              </w:rPr>
              <w:t xml:space="preserve">分，本项最高得</w:t>
            </w:r>
            <w:r>
              <w:rPr>
                <w:rStyle w:val="894"/>
                <w:rFonts w:hint="eastAsia" w:ascii="仿宋" w:hAnsi="仿宋" w:eastAsia="仿宋" w:cs="仿宋"/>
                <w:color w:val="auto"/>
                <w:sz w:val="24"/>
                <w:szCs w:val="24"/>
                <w:highlight w:val="none"/>
                <w:lang w:val="en-US" w:eastAsia="zh-CN"/>
              </w:rPr>
              <w:t xml:space="preserve">3</w:t>
            </w:r>
            <w:r>
              <w:rPr>
                <w:rStyle w:val="894"/>
                <w:rFonts w:hint="eastAsia" w:ascii="仿宋" w:hAnsi="仿宋" w:eastAsia="仿宋" w:cs="仿宋"/>
                <w:color w:val="auto"/>
                <w:sz w:val="24"/>
                <w:szCs w:val="24"/>
                <w:highlight w:val="none"/>
              </w:rPr>
              <w:t xml:space="preserve">分；</w:t>
            </w:r>
            <w:r/>
          </w:p>
          <w:p>
            <w:pPr>
              <w:numPr>
                <w:ilvl w:val="0"/>
                <w:numId w:val="0"/>
              </w:numPr>
              <w:ind w:left="0" w:firstLine="482"/>
              <w:keepLines w:val="0"/>
              <w:keepNext w:val="0"/>
              <w:pageBreakBefore w:val="0"/>
              <w:spacing w:line="300" w:lineRule="exact"/>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rPr>
              <w:t xml:space="preserve">注：业绩须同时提供中标通知书、合同、履约验收报告书原件扫描件加盖响应供应商公章。不提供或提供不全不得分。同一项目不同年份业绩不重复得分。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人员配置</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19</w:t>
            </w:r>
            <w:r/>
          </w:p>
        </w:tc>
        <w:tc>
          <w:tcPr>
            <w:shd w:val="clear" w:color="auto" w:fill="auto"/>
            <w:tcW w:w="5756" w:type="dxa"/>
            <w:vAlign w:val="center"/>
            <w:textDirection w:val="lrTb"/>
            <w:noWrap w:val="false"/>
          </w:tcPr>
          <w:p>
            <w:pPr>
              <w:ind w:right="0" w:firstLine="48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1.项目负责人（5分）：</w:t>
            </w:r>
            <w:r/>
          </w:p>
          <w:p>
            <w:pPr>
              <w:numPr>
                <w:ilvl w:val="0"/>
                <w:numId w:val="0"/>
              </w:numPr>
              <w:ind w:left="0" w:right="0" w:firstLine="480"/>
              <w:jc w:val="both"/>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拟派本项目经理为响应供应商正式员工，大专及以上学历，具有电气专业</w:t>
            </w:r>
            <w:r>
              <w:rPr>
                <w:rFonts w:hint="eastAsia" w:ascii="仿宋" w:hAnsi="仿宋" w:eastAsia="仿宋" w:cs="仿宋"/>
                <w:color w:val="auto"/>
                <w:sz w:val="24"/>
                <w:szCs w:val="24"/>
                <w:highlight w:val="none"/>
                <w:lang w:val="en-US" w:eastAsia="zh-CN"/>
              </w:rPr>
              <w:t xml:space="preserve">中级及以上</w:t>
            </w:r>
            <w:r>
              <w:rPr>
                <w:rFonts w:hint="eastAsia" w:ascii="仿宋" w:hAnsi="仿宋" w:eastAsia="仿宋" w:cs="仿宋"/>
                <w:color w:val="auto"/>
                <w:sz w:val="24"/>
                <w:szCs w:val="24"/>
                <w:highlight w:val="none"/>
              </w:rPr>
              <w:t xml:space="preserve">工程师职称</w:t>
            </w:r>
            <w:r>
              <w:rPr>
                <w:rFonts w:hint="eastAsia" w:ascii="仿宋" w:hAnsi="仿宋" w:eastAsia="仿宋" w:cs="仿宋"/>
                <w:color w:val="auto"/>
                <w:sz w:val="24"/>
                <w:szCs w:val="24"/>
                <w:highlight w:val="none"/>
                <w:lang w:val="en-US" w:eastAsia="zh-CN" w:bidi="ar"/>
              </w:rPr>
              <w:t xml:space="preserve">、具有3年以上类似本项目工作经历、获得过县（区）级</w:t>
            </w:r>
            <w:r>
              <w:rPr>
                <w:rFonts w:hint="eastAsia" w:ascii="仿宋" w:hAnsi="仿宋" w:eastAsia="仿宋" w:cs="仿宋"/>
                <w:color w:val="auto"/>
                <w:sz w:val="24"/>
                <w:szCs w:val="24"/>
                <w:highlight w:val="none"/>
              </w:rPr>
              <w:t xml:space="preserve">及以上人民政府或行业主管部门颁发的个人荣誉</w:t>
            </w:r>
            <w:r>
              <w:rPr>
                <w:rFonts w:hint="eastAsia" w:ascii="仿宋" w:hAnsi="仿宋" w:eastAsia="仿宋" w:cs="仿宋"/>
                <w:color w:val="auto"/>
                <w:sz w:val="24"/>
                <w:szCs w:val="24"/>
                <w:highlight w:val="none"/>
                <w:lang w:val="en-US" w:eastAsia="zh-CN" w:bidi="ar"/>
              </w:rPr>
              <w:t xml:space="preserve">，</w:t>
            </w:r>
            <w:r>
              <w:rPr>
                <w:rStyle w:val="894"/>
                <w:rFonts w:hint="eastAsia" w:ascii="仿宋" w:hAnsi="仿宋" w:eastAsia="仿宋" w:cs="仿宋"/>
                <w:color w:val="auto"/>
                <w:sz w:val="24"/>
                <w:szCs w:val="24"/>
                <w:highlight w:val="none"/>
              </w:rPr>
              <w:t xml:space="preserve">具备一</w:t>
            </w:r>
            <w:r>
              <w:rPr>
                <w:rStyle w:val="894"/>
                <w:rFonts w:hint="eastAsia" w:ascii="仿宋" w:hAnsi="仿宋" w:eastAsia="仿宋" w:cs="仿宋"/>
                <w:color w:val="auto"/>
                <w:sz w:val="24"/>
                <w:szCs w:val="24"/>
                <w:highlight w:val="none"/>
                <w:lang w:val="en-US" w:eastAsia="zh-CN"/>
              </w:rPr>
              <w:t xml:space="preserve">项</w:t>
            </w:r>
            <w:r>
              <w:rPr>
                <w:rStyle w:val="894"/>
                <w:rFonts w:hint="eastAsia" w:ascii="仿宋" w:hAnsi="仿宋" w:eastAsia="仿宋" w:cs="仿宋"/>
                <w:color w:val="auto"/>
                <w:sz w:val="24"/>
                <w:szCs w:val="24"/>
                <w:highlight w:val="none"/>
              </w:rPr>
              <w:t xml:space="preserve">得</w:t>
            </w:r>
            <w:r>
              <w:rPr>
                <w:rStyle w:val="894"/>
                <w:rFonts w:hint="eastAsia" w:ascii="仿宋" w:hAnsi="仿宋" w:eastAsia="仿宋" w:cs="仿宋"/>
                <w:color w:val="auto"/>
                <w:sz w:val="24"/>
                <w:szCs w:val="24"/>
                <w:highlight w:val="none"/>
                <w:lang w:val="en-US" w:eastAsia="zh-CN"/>
              </w:rPr>
              <w:t xml:space="preserve">1</w:t>
            </w:r>
            <w:r>
              <w:rPr>
                <w:rStyle w:val="894"/>
                <w:rFonts w:hint="eastAsia" w:ascii="仿宋" w:hAnsi="仿宋" w:eastAsia="仿宋" w:cs="仿宋"/>
                <w:color w:val="auto"/>
                <w:sz w:val="24"/>
                <w:szCs w:val="24"/>
                <w:highlight w:val="none"/>
              </w:rPr>
              <w:t xml:space="preserve">分，本项最高得</w:t>
            </w:r>
            <w:r>
              <w:rPr>
                <w:rStyle w:val="894"/>
                <w:rFonts w:hint="eastAsia" w:ascii="仿宋" w:hAnsi="仿宋" w:eastAsia="仿宋" w:cs="仿宋"/>
                <w:color w:val="auto"/>
                <w:sz w:val="24"/>
                <w:szCs w:val="24"/>
                <w:highlight w:val="none"/>
                <w:lang w:val="en-US" w:eastAsia="zh-CN"/>
              </w:rPr>
              <w:t xml:space="preserve">5</w:t>
            </w:r>
            <w:r>
              <w:rPr>
                <w:rStyle w:val="894"/>
                <w:rFonts w:hint="eastAsia" w:ascii="仿宋" w:hAnsi="仿宋" w:eastAsia="仿宋" w:cs="仿宋"/>
                <w:color w:val="auto"/>
                <w:sz w:val="24"/>
                <w:szCs w:val="24"/>
                <w:highlight w:val="none"/>
              </w:rPr>
              <w:t xml:space="preserve">分；</w:t>
            </w:r>
            <w:r/>
          </w:p>
          <w:p>
            <w:pPr>
              <w:ind w:left="0" w:right="0" w:firstLine="482"/>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响应文件中提供身份证、学历证书、职称证书、业绩合同及业主证明评价材料、荣誉证书加盖业主公章,及响应文件提交截止日前最近1个月响应供应商为其缴纳社保的证明；新成立企业距响应文件提交截止日期不足30日的，可不提供缴纳社保的证明（以新办企业营业执照发放日期为准）。</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bidi="ar"/>
              </w:rPr>
              <w:t xml:space="preserve">除项目负责人外，提供拟派项目管理人员具备如下条件（14分）：</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①拟投入本项目的管理人员为响应供应商正式员工，大专及以上学历，具有人社部门颁发的环境工程中级或以上职称的得2分，本项最高得2分。</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②</w:t>
            </w:r>
            <w:r>
              <w:rPr>
                <w:rFonts w:hint="eastAsia" w:ascii="仿宋" w:hAnsi="仿宋" w:eastAsia="仿宋" w:cs="仿宋"/>
                <w:color w:val="auto"/>
                <w:sz w:val="24"/>
                <w:szCs w:val="24"/>
                <w:highlight w:val="none"/>
                <w:lang w:val="en-US" w:eastAsia="zh-CN" w:bidi="ar"/>
              </w:rPr>
              <w:t xml:space="preserve">拟投入本项目的安全员为响应供应商正式员工，大专及以上学历，具备</w:t>
            </w:r>
            <w:r>
              <w:rPr>
                <w:rFonts w:hint="eastAsia" w:ascii="仿宋" w:hAnsi="仿宋" w:eastAsia="仿宋" w:cs="仿宋"/>
                <w:i w:val="0"/>
                <w:iCs w:val="0"/>
                <w:color w:val="auto"/>
                <w:sz w:val="24"/>
                <w:szCs w:val="24"/>
                <w:highlight w:val="none"/>
                <w:lang w:val="en-US" w:eastAsia="zh-CN" w:bidi="ar"/>
              </w:rPr>
              <w:t xml:space="preserve">安全员C2或安全培训合格证书的得2分，</w:t>
            </w:r>
            <w:r>
              <w:rPr>
                <w:rFonts w:hint="eastAsia" w:ascii="仿宋" w:hAnsi="仿宋" w:eastAsia="仿宋" w:cs="仿宋"/>
                <w:color w:val="auto"/>
                <w:sz w:val="24"/>
                <w:szCs w:val="24"/>
                <w:highlight w:val="none"/>
                <w:lang w:val="en-US" w:eastAsia="zh-CN" w:bidi="ar"/>
              </w:rPr>
              <w:t xml:space="preserve">本项最高得2分。</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③</w:t>
            </w:r>
            <w:r>
              <w:rPr>
                <w:rFonts w:hint="eastAsia" w:ascii="仿宋" w:hAnsi="仿宋" w:eastAsia="仿宋" w:cs="仿宋"/>
                <w:color w:val="auto"/>
                <w:sz w:val="24"/>
                <w:szCs w:val="24"/>
                <w:highlight w:val="none"/>
                <w:lang w:val="en-US" w:eastAsia="zh-CN" w:bidi="ar"/>
              </w:rPr>
              <w:t xml:space="preserve">拟投入本项目的文员兼信息化管理员为响应供应商正式员工，大专及以上学历，</w:t>
            </w:r>
            <w:r>
              <w:rPr>
                <w:rFonts w:hint="eastAsia" w:ascii="仿宋" w:hAnsi="仿宋" w:eastAsia="仿宋" w:cs="仿宋"/>
                <w:color w:val="auto"/>
                <w:spacing w:val="0"/>
                <w:sz w:val="24"/>
                <w:szCs w:val="24"/>
                <w:highlight w:val="none"/>
                <w:lang w:val="en-US" w:eastAsia="zh-CN" w:bidi="ar"/>
              </w:rPr>
              <w:t xml:space="preserve">具有人力资源社会保障部或工业和信息化部颁发的计算机技术与软件专业技术资格证书或教育部门颁发的计算机等级考试合格证书的得2分。</w:t>
            </w:r>
            <w:r>
              <w:rPr>
                <w:rFonts w:hint="eastAsia" w:ascii="仿宋" w:hAnsi="仿宋" w:eastAsia="仿宋" w:cs="仿宋"/>
                <w:color w:val="auto"/>
                <w:sz w:val="24"/>
                <w:szCs w:val="24"/>
                <w:highlight w:val="none"/>
                <w:lang w:val="en-US" w:eastAsia="zh-CN" w:bidi="ar"/>
              </w:rPr>
              <w:t xml:space="preserve">本项最高得2分。</w:t>
            </w:r>
            <w:r/>
          </w:p>
          <w:p>
            <w:pPr>
              <w:pStyle w:val="867"/>
              <w:keepLines w:val="0"/>
              <w:keepNext w:val="0"/>
              <w:pageBreakBefore w:val="0"/>
              <w:spacing w:line="300" w:lineRule="exact"/>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响应文件中提供身份证、学历证书、相关证书、及响应文件提交截止日前最近1个月响应供应商为其缴纳社保的证明；新成立企业距响应文件提交截止日期不足30日的，可不提供缴纳社保的证明（以新办企业营业执照发放日期为准）。</w:t>
            </w:r>
            <w:r/>
          </w:p>
          <w:p>
            <w:pPr>
              <w:pStyle w:val="867"/>
              <w:keepLines w:val="0"/>
              <w:keepNext w:val="0"/>
              <w:pageBreakBefore w:val="0"/>
              <w:spacing w:line="300" w:lineRule="exact"/>
              <w:rPr>
                <w:rFonts w:hint="eastAsia" w:ascii="仿宋" w:hAnsi="仿宋" w:eastAsia="仿宋" w:cs="仿宋"/>
                <w:color w:val="auto"/>
                <w:spacing w:val="0"/>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④拟投入本项目的垃圾站管理人员为响应供应商正式员工，具有环保部门颁发的污废水处理工证书</w:t>
            </w:r>
            <w:r>
              <w:rPr>
                <w:rFonts w:hint="eastAsia" w:ascii="仿宋" w:hAnsi="仿宋" w:eastAsia="仿宋" w:cs="仿宋"/>
                <w:color w:val="auto"/>
                <w:spacing w:val="0"/>
                <w:sz w:val="24"/>
                <w:szCs w:val="24"/>
                <w:highlight w:val="none"/>
                <w:lang w:val="en-US" w:eastAsia="zh-CN" w:bidi="ar"/>
              </w:rPr>
              <w:t xml:space="preserve">的得2分，</w:t>
            </w:r>
            <w:r>
              <w:rPr>
                <w:rFonts w:hint="eastAsia" w:ascii="仿宋" w:hAnsi="仿宋" w:eastAsia="仿宋" w:cs="仿宋"/>
                <w:color w:val="auto"/>
                <w:sz w:val="24"/>
                <w:szCs w:val="24"/>
                <w:highlight w:val="none"/>
                <w:lang w:val="en-US" w:eastAsia="zh-CN" w:bidi="ar"/>
              </w:rPr>
              <w:t xml:space="preserve">本项最高得2分。</w:t>
            </w:r>
            <w:r/>
          </w:p>
          <w:p>
            <w:pPr>
              <w:pStyle w:val="867"/>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⑤拟投入本项目的垃圾站操作人员为响应供应商正式员工，</w:t>
            </w:r>
            <w:r>
              <w:rPr>
                <w:rFonts w:hint="eastAsia" w:ascii="仿宋" w:hAnsi="仿宋" w:eastAsia="仿宋" w:cs="仿宋"/>
                <w:color w:val="auto"/>
                <w:spacing w:val="0"/>
                <w:sz w:val="24"/>
                <w:szCs w:val="24"/>
                <w:highlight w:val="none"/>
                <w:lang w:val="en-US" w:eastAsia="zh-CN" w:bidi="ar"/>
              </w:rPr>
              <w:t xml:space="preserve">具有应急管理部门颁发的有限空间作业证的得2分。</w:t>
            </w:r>
            <w:r>
              <w:rPr>
                <w:rFonts w:hint="eastAsia" w:ascii="仿宋" w:hAnsi="仿宋" w:eastAsia="仿宋" w:cs="仿宋"/>
                <w:color w:val="auto"/>
                <w:sz w:val="24"/>
                <w:szCs w:val="24"/>
                <w:highlight w:val="none"/>
                <w:lang w:val="en-US" w:eastAsia="zh-CN" w:bidi="ar"/>
              </w:rPr>
              <w:t xml:space="preserve">本项最高得2分。</w:t>
            </w:r>
            <w:r/>
          </w:p>
          <w:p>
            <w:pPr>
              <w:pStyle w:val="867"/>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⑥拟投入本项目的驾驶员具有</w:t>
            </w:r>
            <w:r>
              <w:rPr>
                <w:rFonts w:hint="eastAsia" w:ascii="仿宋" w:hAnsi="仿宋" w:eastAsia="仿宋" w:cs="仿宋"/>
                <w:color w:val="auto"/>
                <w:sz w:val="24"/>
                <w:szCs w:val="24"/>
                <w:highlight w:val="none"/>
                <w:lang w:val="en-US" w:eastAsia="zh-CN"/>
              </w:rPr>
              <w:t xml:space="preserve">B</w:t>
            </w:r>
            <w:r>
              <w:rPr>
                <w:rFonts w:hint="eastAsia" w:ascii="仿宋" w:hAnsi="仿宋" w:eastAsia="仿宋" w:cs="仿宋"/>
                <w:color w:val="auto"/>
                <w:sz w:val="24"/>
                <w:szCs w:val="24"/>
                <w:highlight w:val="none"/>
              </w:rPr>
              <w:t xml:space="preserve">2照及以上驾驶</w:t>
            </w:r>
            <w:r>
              <w:rPr>
                <w:rFonts w:hint="eastAsia" w:ascii="仿宋" w:hAnsi="仿宋" w:eastAsia="仿宋" w:cs="仿宋"/>
                <w:color w:val="auto"/>
                <w:sz w:val="24"/>
                <w:szCs w:val="24"/>
                <w:highlight w:val="none"/>
                <w:lang w:val="en-US" w:eastAsia="zh-CN"/>
              </w:rPr>
              <w:t xml:space="preserve">证，具备一个得0.5分，</w:t>
            </w:r>
            <w:r>
              <w:rPr>
                <w:rFonts w:hint="eastAsia" w:ascii="仿宋" w:hAnsi="仿宋" w:eastAsia="仿宋" w:cs="仿宋"/>
                <w:color w:val="auto"/>
                <w:sz w:val="24"/>
                <w:szCs w:val="24"/>
                <w:highlight w:val="none"/>
                <w:lang w:val="en-US" w:eastAsia="zh-CN" w:bidi="ar"/>
              </w:rPr>
              <w:t xml:space="preserve">本项最高得2分。</w:t>
            </w:r>
            <w:r/>
          </w:p>
          <w:p>
            <w:pPr>
              <w:pStyle w:val="867"/>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⑦拟投入本项目的装载机驾驶员具有装载机操作</w:t>
            </w:r>
            <w:r>
              <w:rPr>
                <w:rFonts w:hint="eastAsia" w:ascii="仿宋" w:hAnsi="仿宋" w:eastAsia="仿宋" w:cs="仿宋"/>
                <w:color w:val="auto"/>
                <w:sz w:val="24"/>
                <w:szCs w:val="24"/>
                <w:highlight w:val="none"/>
                <w:lang w:val="en-US" w:eastAsia="zh-CN"/>
              </w:rPr>
              <w:t xml:space="preserve">证书</w:t>
            </w:r>
            <w:r>
              <w:rPr>
                <w:rFonts w:hint="eastAsia" w:ascii="仿宋" w:hAnsi="仿宋" w:eastAsia="仿宋" w:cs="仿宋"/>
                <w:color w:val="auto"/>
                <w:spacing w:val="0"/>
                <w:sz w:val="24"/>
                <w:szCs w:val="24"/>
                <w:highlight w:val="none"/>
                <w:lang w:val="en-US" w:eastAsia="zh-CN" w:bidi="ar"/>
              </w:rPr>
              <w:t xml:space="preserve">得2分。</w:t>
            </w:r>
            <w:r>
              <w:rPr>
                <w:rFonts w:hint="eastAsia" w:ascii="仿宋" w:hAnsi="仿宋" w:eastAsia="仿宋" w:cs="仿宋"/>
                <w:color w:val="auto"/>
                <w:sz w:val="24"/>
                <w:szCs w:val="24"/>
                <w:highlight w:val="none"/>
                <w:lang w:val="en-US" w:eastAsia="zh-CN" w:bidi="ar"/>
              </w:rPr>
              <w:t xml:space="preserve">本项最高得2分。</w:t>
            </w:r>
            <w:r/>
          </w:p>
          <w:p>
            <w:pPr>
              <w:pStyle w:val="867"/>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响应文件中提供相关证书、驾驶证或操作证、及响应文件提交截止日前最近1个月响应供应商为其缴纳社保的证明；新成立企业距响应文件提交截止日期不足30日的，可不提供缴纳社保的证明（以新办企业营业执照发放日期为准）。</w:t>
            </w:r>
            <w:r/>
          </w:p>
          <w:p>
            <w:pPr>
              <w:ind w:left="0" w:right="0" w:firstLine="482"/>
              <w:jc w:val="both"/>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u w:val="none"/>
                <w:lang w:val="en-US" w:eastAsia="zh-CN" w:bidi="ar"/>
              </w:rPr>
              <w:t xml:space="preserve">注：以上人员不得兼任，</w:t>
            </w:r>
            <w:r>
              <w:rPr>
                <w:rFonts w:hint="eastAsia" w:ascii="仿宋" w:hAnsi="仿宋" w:eastAsia="仿宋" w:cs="仿宋"/>
                <w:b/>
                <w:color w:val="auto"/>
                <w:sz w:val="24"/>
                <w:szCs w:val="24"/>
                <w:highlight w:val="none"/>
                <w:u w:val="none"/>
                <w:lang w:val="en-US" w:eastAsia="zh-CN"/>
              </w:rPr>
              <w:t xml:space="preserve">成交</w:t>
            </w:r>
            <w:r>
              <w:rPr>
                <w:rFonts w:hint="eastAsia" w:ascii="仿宋" w:hAnsi="仿宋" w:eastAsia="仿宋" w:cs="仿宋"/>
                <w:b/>
                <w:color w:val="auto"/>
                <w:sz w:val="24"/>
                <w:szCs w:val="24"/>
                <w:highlight w:val="none"/>
                <w:u w:val="none"/>
              </w:rPr>
              <w:t xml:space="preserve">后确保以上拟派人员服务于本项目，提供承诺函（格式自拟），否则本项不得分。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设备配置</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14</w:t>
            </w:r>
            <w:r/>
          </w:p>
        </w:tc>
        <w:tc>
          <w:tcPr>
            <w:shd w:val="clear" w:color="auto" w:fill="auto"/>
            <w:tcW w:w="5756" w:type="dxa"/>
            <w:vAlign w:val="center"/>
            <w:textDirection w:val="lrTb"/>
            <w:noWrap w:val="false"/>
          </w:tcPr>
          <w:p>
            <w:pPr>
              <w:ind w:right="0" w:firstLine="480"/>
              <w:jc w:val="left"/>
              <w:keepLines w:val="0"/>
              <w:keepNext w:val="0"/>
              <w:pageBreakBefore w:val="0"/>
              <w:spacing w:before="0" w:beforeAutospacing="0" w:after="0" w:afterAutospacing="0" w:line="300" w:lineRule="exact"/>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响应供应商除项目需求设备要求外拟投入自有以下设备并承诺成交后用于本项目（在响应文件相关承诺中提供承诺书，格式自拟）：</w:t>
            </w:r>
            <w:r/>
          </w:p>
          <w:p>
            <w:pPr>
              <w:ind w:firstLine="48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1.总质量16吨及以上非营运</w:t>
            </w:r>
            <w:r>
              <w:rPr>
                <w:rFonts w:hint="eastAsia" w:ascii="仿宋" w:hAnsi="仿宋" w:eastAsia="仿宋" w:cs="仿宋"/>
                <w:color w:val="auto"/>
                <w:sz w:val="24"/>
                <w:szCs w:val="24"/>
                <w:highlight w:val="none"/>
                <w:lang w:val="en-US" w:eastAsia="zh-CN" w:bidi="ar"/>
              </w:rPr>
              <w:t xml:space="preserve">重型自卸货车</w:t>
            </w:r>
            <w:r>
              <w:rPr>
                <w:rFonts w:hint="eastAsia" w:ascii="仿宋" w:hAnsi="仿宋" w:eastAsia="仿宋" w:cs="仿宋"/>
                <w:color w:val="auto"/>
                <w:sz w:val="24"/>
                <w:szCs w:val="24"/>
                <w:highlight w:val="none"/>
                <w:lang w:val="en-US" w:eastAsia="zh-CN"/>
              </w:rPr>
              <w:t xml:space="preserve">有1辆得2分，本项最高得4分。</w:t>
            </w:r>
            <w:r/>
          </w:p>
          <w:p>
            <w:pPr>
              <w:ind w:right="0" w:firstLine="480"/>
              <w:jc w:val="left"/>
              <w:keepLines w:val="0"/>
              <w:keepNext w:val="0"/>
              <w:pageBreakBefore w:val="0"/>
              <w:spacing w:before="0" w:beforeAutospacing="0" w:after="0" w:afterAutospacing="0" w:line="300" w:lineRule="exact"/>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2.总质量18吨及以上非营运</w:t>
            </w:r>
            <w:r>
              <w:rPr>
                <w:rFonts w:hint="eastAsia" w:ascii="仿宋" w:hAnsi="仿宋" w:eastAsia="仿宋" w:cs="仿宋"/>
                <w:color w:val="auto"/>
                <w:sz w:val="24"/>
                <w:szCs w:val="24"/>
                <w:highlight w:val="none"/>
              </w:rPr>
              <w:t xml:space="preserve">车厢可卸式垃圾车</w:t>
            </w:r>
            <w:r>
              <w:rPr>
                <w:rFonts w:hint="eastAsia" w:ascii="仿宋" w:hAnsi="仿宋" w:eastAsia="仿宋" w:cs="仿宋"/>
                <w:color w:val="auto"/>
                <w:sz w:val="24"/>
                <w:szCs w:val="24"/>
                <w:highlight w:val="none"/>
                <w:lang w:val="en-US" w:eastAsia="zh-CN" w:bidi="ar"/>
              </w:rPr>
              <w:t xml:space="preserve">有1辆得2分，本项最高得2分。</w:t>
            </w:r>
            <w:r/>
          </w:p>
          <w:p>
            <w:pPr>
              <w:ind w:right="0" w:firstLine="480"/>
              <w:jc w:val="left"/>
              <w:keepLines w:val="0"/>
              <w:keepNext w:val="0"/>
              <w:pageBreakBefore w:val="0"/>
              <w:spacing w:before="0" w:beforeAutospacing="0" w:after="0" w:afterAutospacing="0" w:line="300" w:lineRule="exact"/>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3.总质量11吨及以上清洗吸污车有1辆得2分，本项最高得2分。</w:t>
            </w:r>
            <w:r/>
          </w:p>
          <w:p>
            <w:pPr>
              <w:pStyle w:val="886"/>
              <w:ind w:left="0" w:firstLine="480"/>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4.自有污水应急处理设备（一体化污水处理设备，日处理量不低于20T）得2分。本项最高得2分。</w:t>
            </w:r>
            <w:r/>
          </w:p>
          <w:p>
            <w:pPr>
              <w:pStyle w:val="886"/>
              <w:ind w:left="0" w:firstLine="480"/>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5.自有移动式垃圾压缩机有1台得2分。本项最高得2分。</w:t>
            </w:r>
            <w:r/>
          </w:p>
          <w:p>
            <w:pPr>
              <w:ind w:right="0" w:firstLine="480"/>
              <w:jc w:val="left"/>
              <w:keepLines w:val="0"/>
              <w:keepNext w:val="0"/>
              <w:pageBreakBefore w:val="0"/>
              <w:spacing w:before="0" w:beforeAutospacing="0" w:after="0" w:afterAutospacing="0" w:line="300" w:lineRule="exact"/>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6.自有装载机有1辆得2分，本项最高得2分。</w:t>
            </w:r>
            <w:r/>
          </w:p>
          <w:p>
            <w:pPr>
              <w:ind w:firstLine="482"/>
              <w:keepLines w:val="0"/>
              <w:keepNext w:val="0"/>
              <w:pageBreakBefore w:val="0"/>
              <w:spacing w:line="300" w:lineRule="exact"/>
              <w:shd w:val="clear" w:color="auto"/>
              <w:rPr>
                <w:rFonts w:hint="eastAsia" w:ascii="仿宋" w:hAnsi="仿宋" w:eastAsia="仿宋" w:cs="仿宋"/>
                <w:b/>
                <w:color w:val="auto"/>
                <w:sz w:val="24"/>
                <w:szCs w:val="24"/>
                <w:highlight w:val="none"/>
                <w:u w:val="single"/>
                <w:lang w:val="en-US" w:eastAsia="zh-CN" w:bidi="ar-SA"/>
              </w:rPr>
            </w:pPr>
            <w:r>
              <w:rPr>
                <w:rFonts w:hint="eastAsia" w:ascii="仿宋" w:hAnsi="仿宋" w:eastAsia="仿宋" w:cs="仿宋"/>
                <w:b/>
                <w:bCs/>
                <w:color w:val="auto"/>
                <w:sz w:val="24"/>
                <w:szCs w:val="24"/>
                <w:highlight w:val="none"/>
                <w:lang w:val="en-US" w:eastAsia="zh-CN" w:bidi="ar"/>
              </w:rPr>
              <w:t xml:space="preserve">注：提供车辆有效登记证（登记日期须在项目开标之前）、行驶证、保险单据、购置发票、车辆带牌照的清晰照片；一体化污水处理设备、移动式垃圾压缩机提供购置发票、合同及照片；装载机提供购置发票及照片。以上须提供相关证明材料扫描件并加盖公章，非自有、不提供或提供不全不得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keepLines w:val="0"/>
              <w:keepNext w:val="0"/>
              <w:pageBreakBefore w:val="0"/>
              <w:spacing w:line="30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shd w:val="clear" w:color="auto" w:fill="auto"/>
            <w:tcW w:w="129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服务承诺</w:t>
            </w:r>
            <w:r/>
          </w:p>
        </w:tc>
        <w:tc>
          <w:tcPr>
            <w:shd w:val="clear" w:color="auto" w:fill="auto"/>
            <w:tcW w:w="10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W w:w="5756" w:type="dxa"/>
            <w:vAlign w:val="center"/>
            <w:textDirection w:val="lrTb"/>
            <w:noWrap w:val="false"/>
          </w:tcPr>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响应供应商需根据项目需求，提供针对本项目的服务作出承诺，包括但不限于：</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eastAsia="zh-CN" w:bidi="ar"/>
              </w:rPr>
              <w:suppressLineNumbers w:val="0"/>
            </w:pP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rPr>
              <w:t xml:space="preserve">服务质量承诺</w:t>
            </w:r>
            <w:r>
              <w:rPr>
                <w:rFonts w:hint="eastAsia" w:ascii="仿宋" w:hAnsi="仿宋" w:eastAsia="仿宋" w:cs="仿宋"/>
                <w:color w:val="auto"/>
                <w:sz w:val="24"/>
                <w:szCs w:val="24"/>
                <w:highlight w:val="none"/>
                <w:lang w:eastAsia="zh-CN" w:bidi="ar"/>
              </w:rPr>
              <w:t xml:space="preserve">；</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eastAsia="zh-CN" w:bidi="ar"/>
              </w:rPr>
              <w:suppressLineNumbers w:val="0"/>
            </w:pPr>
            <w:r>
              <w:rPr>
                <w:rFonts w:hint="eastAsia" w:ascii="仿宋" w:hAnsi="仿宋" w:eastAsia="仿宋" w:cs="仿宋"/>
                <w:color w:val="auto"/>
                <w:sz w:val="24"/>
                <w:szCs w:val="24"/>
                <w:highlight w:val="none"/>
                <w:lang w:eastAsia="zh-CN" w:bidi="ar"/>
              </w:rPr>
              <w:t xml:space="preserve">（2）</w:t>
            </w:r>
            <w:r>
              <w:rPr>
                <w:rFonts w:hint="eastAsia" w:ascii="仿宋" w:hAnsi="仿宋" w:eastAsia="仿宋" w:cs="仿宋"/>
                <w:color w:val="auto"/>
                <w:sz w:val="24"/>
                <w:szCs w:val="24"/>
                <w:highlight w:val="none"/>
              </w:rPr>
              <w:t xml:space="preserve">对发生各类安全事故善后处理承诺</w:t>
            </w:r>
            <w:r>
              <w:rPr>
                <w:rFonts w:hint="eastAsia" w:ascii="仿宋" w:hAnsi="仿宋" w:eastAsia="仿宋" w:cs="仿宋"/>
                <w:color w:val="auto"/>
                <w:sz w:val="24"/>
                <w:szCs w:val="24"/>
                <w:highlight w:val="none"/>
                <w:lang w:eastAsia="zh-CN" w:bidi="ar"/>
              </w:rPr>
              <w:t xml:space="preserve">；</w:t>
            </w:r>
            <w:r/>
          </w:p>
          <w:p>
            <w:pPr>
              <w:ind w:left="0" w:right="0" w:firstLine="480"/>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eastAsia="zh-CN" w:bidi="ar"/>
              </w:rPr>
              <w:suppressLineNumbers w:val="0"/>
            </w:pPr>
            <w:r>
              <w:rPr>
                <w:rFonts w:hint="eastAsia" w:ascii="仿宋" w:hAnsi="仿宋" w:eastAsia="仿宋" w:cs="仿宋"/>
                <w:color w:val="auto"/>
                <w:sz w:val="24"/>
                <w:szCs w:val="24"/>
                <w:highlight w:val="none"/>
                <w:lang w:eastAsia="zh-CN" w:bidi="ar"/>
              </w:rPr>
              <w:t xml:space="preserve">（3）</w:t>
            </w:r>
            <w:r>
              <w:rPr>
                <w:rFonts w:hint="eastAsia" w:ascii="仿宋" w:hAnsi="仿宋" w:eastAsia="仿宋" w:cs="仿宋"/>
                <w:color w:val="auto"/>
                <w:sz w:val="24"/>
                <w:szCs w:val="24"/>
                <w:highlight w:val="none"/>
              </w:rPr>
              <w:t xml:space="preserve">依法规范用工承诺</w:t>
            </w:r>
            <w:r>
              <w:rPr>
                <w:rFonts w:hint="eastAsia" w:ascii="仿宋" w:hAnsi="仿宋" w:eastAsia="仿宋" w:cs="仿宋"/>
                <w:color w:val="auto"/>
                <w:sz w:val="24"/>
                <w:szCs w:val="24"/>
                <w:highlight w:val="none"/>
                <w:lang w:eastAsia="zh-CN" w:bidi="ar"/>
              </w:rPr>
              <w:t xml:space="preserve">；</w:t>
            </w:r>
            <w:r/>
          </w:p>
          <w:p>
            <w:pPr>
              <w:ind w:firstLine="480"/>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eastAsia="zh-CN" w:bidi="no"/>
              </w:rPr>
              <w:t xml:space="preserve">（4）</w:t>
            </w:r>
            <w:r>
              <w:rPr>
                <w:rFonts w:hint="eastAsia" w:ascii="仿宋" w:hAnsi="仿宋" w:eastAsia="仿宋" w:cs="仿宋"/>
                <w:color w:val="auto"/>
                <w:sz w:val="24"/>
                <w:szCs w:val="24"/>
                <w:highlight w:val="none"/>
              </w:rPr>
              <w:t xml:space="preserve">应对履约期内各类风险承诺</w:t>
            </w:r>
            <w:r>
              <w:rPr>
                <w:rFonts w:hint="eastAsia" w:ascii="仿宋" w:hAnsi="仿宋" w:eastAsia="仿宋" w:cs="仿宋"/>
                <w:color w:val="auto"/>
                <w:sz w:val="24"/>
                <w:szCs w:val="24"/>
                <w:highlight w:val="none"/>
                <w:lang w:val="en-US" w:eastAsia="zh-CN" w:bidi="ar"/>
              </w:rPr>
              <w:t xml:space="preserve">等。</w:t>
            </w:r>
            <w:r/>
          </w:p>
          <w:p>
            <w:pPr>
              <w:ind w:left="0" w:right="0" w:firstLine="482"/>
              <w:jc w:val="left"/>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
              </w:rPr>
              <w:t xml:space="preserve">上述4个承诺内容能够适用于本项目实际，每缺少一项内容扣0.5分，扣完为止。本项最多得2分。</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92"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W w:w="129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tc>
        <w:tc>
          <w:tcPr>
            <w:tcW w:w="1050"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5756" w:type="dxa"/>
            <w:vAlign w:val="center"/>
            <w:textDirection w:val="lrTb"/>
            <w:noWrap w:val="false"/>
          </w:tcPr>
          <w:p>
            <w:pPr>
              <w:ind w:firstLine="480"/>
              <w:jc w:val="left"/>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最后报价得分=(评审基准价／最后报价)×价格分分值</w:t>
            </w:r>
            <w:r/>
          </w:p>
          <w:p>
            <w:pPr>
              <w:ind w:firstLine="480"/>
              <w:jc w:val="left"/>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磋商过程中，不得去掉报价中的最高报价和最低报价。因落实政府采购政策进行价格调整的，以调整后的价格计算评审基准价和最后报价。</w:t>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gridSpan w:val="2"/>
            <w:tcW w:w="1985"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W w:w="1050"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W w:w="5756"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9"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中所提供的相关证书等证明材料如有有效期的均须在有效期内。</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中所提供的相关合同业绩、获奖证书、获奖文件、证明及报告等必须与原件一致。</w:t>
      </w:r>
      <w:r>
        <w:rPr>
          <w:rFonts w:hint="eastAsia" w:ascii="仿宋" w:hAnsi="仿宋" w:eastAsia="仿宋"/>
          <w:color w:val="auto"/>
          <w:sz w:val="28"/>
          <w:szCs w:val="28"/>
          <w:highlight w:val="none"/>
          <w:lang w:val="en-US" w:eastAsia="zh-CN"/>
        </w:rPr>
        <w:t xml:space="preserve">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3.本项目商务技术评分标准中须提供的相关得分佐证材料较多，</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需有序放置于相应</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自行承担。</w:t>
      </w:r>
      <w:r/>
    </w:p>
    <w:p>
      <w:pPr>
        <w:pStyle w:val="885"/>
        <w:ind w:firstLine="0"/>
        <w:jc w:val="center"/>
        <w:spacing w:line="240" w:lineRule="auto"/>
        <w:rPr>
          <w:rFonts w:ascii="微软雅黑" w:eastAsia="微软雅黑"/>
          <w:bCs/>
          <w:color w:val="auto"/>
          <w:sz w:val="32"/>
          <w:szCs w:val="32"/>
          <w:highlight w:val="none"/>
        </w:rPr>
        <w:outlineLvl w:val="0"/>
      </w:pPr>
      <w:r>
        <w:rPr>
          <w:rFonts w:ascii="微软雅黑" w:eastAsia="微软雅黑"/>
          <w:bCs/>
          <w:color w:val="auto"/>
          <w:sz w:val="44"/>
          <w:szCs w:val="28"/>
          <w:highlight w:val="none"/>
        </w:rPr>
        <w:br w:type="page" w:clear="all"/>
      </w:r>
      <w:bookmarkStart w:id="69" w:name="_Toc15850"/>
      <w:r>
        <w:rPr>
          <w:rFonts w:hint="eastAsia" w:ascii="微软雅黑" w:eastAsia="微软雅黑"/>
          <w:bCs/>
          <w:color w:val="auto"/>
          <w:sz w:val="32"/>
          <w:szCs w:val="32"/>
          <w:highlight w:val="none"/>
        </w:rPr>
        <w:t xml:space="preserve">第6章 竞争性磋商响应文件组成</w:t>
      </w:r>
      <w:bookmarkEnd w:id="69"/>
      <w:r/>
      <w:r/>
    </w:p>
    <w:p>
      <w:pPr>
        <w:pStyle w:val="885"/>
        <w:ind w:firstLine="0"/>
        <w:jc w:val="center"/>
        <w:spacing w:line="240" w:lineRule="auto"/>
        <w:rPr>
          <w:rFonts w:ascii="微软雅黑" w:eastAsia="微软雅黑"/>
          <w:bCs/>
          <w:color w:val="auto"/>
          <w:sz w:val="32"/>
          <w:szCs w:val="32"/>
          <w:highlight w:val="none"/>
        </w:rPr>
      </w:pPr>
      <w:r>
        <w:rPr>
          <w:rFonts w:ascii="微软雅黑" w:eastAsia="微软雅黑"/>
          <w:bCs/>
          <w:color w:val="auto"/>
          <w:sz w:val="32"/>
          <w:szCs w:val="32"/>
          <w:highlight w:val="none"/>
        </w:rPr>
      </w:r>
      <w:r/>
    </w:p>
    <w:p>
      <w:pPr>
        <w:ind w:firstLine="880"/>
        <w:jc w:val="center"/>
        <w:rPr>
          <w:rFonts w:ascii="微软雅黑" w:hAnsi="仿宋" w:eastAsia="微软雅黑"/>
          <w:color w:val="auto"/>
          <w:sz w:val="44"/>
          <w:szCs w:val="44"/>
          <w:highlight w:val="none"/>
        </w:rPr>
        <w:outlineLvl w:val="9"/>
      </w:pPr>
      <w:r>
        <w:rPr>
          <w:rFonts w:hint="eastAsia" w:ascii="微软雅黑" w:hAnsi="仿宋" w:eastAsia="微软雅黑"/>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东陈镇2026年生活垃圾转送服务</w:t>
      </w:r>
      <w:r/>
    </w:p>
    <w:p>
      <w:pPr>
        <w:ind w:firstLine="2072"/>
        <w:rPr>
          <w:rFonts w:hint="default"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项目编号：</w:t>
      </w:r>
      <w:r>
        <w:rPr>
          <w:rFonts w:hint="eastAsia"/>
          <w:b/>
          <w:bCs/>
          <w:color w:val="auto"/>
          <w:sz w:val="32"/>
          <w:highlight w:val="none"/>
          <w:lang w:val="en-US" w:eastAsia="zh-CN"/>
        </w:rPr>
        <w:t xml:space="preserve">JSZC-320682-NTZJ-C2026-0014</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both"/>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68"/>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68"/>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日</w:t>
      </w:r>
      <w:r/>
    </w:p>
    <w:p>
      <w:pPr>
        <w:ind w:firstLine="954"/>
        <w:rPr>
          <w:rFonts w:ascii="宋体" w:hAnsi="宋体"/>
          <w:b/>
          <w:color w:val="auto"/>
          <w:sz w:val="24"/>
          <w:highlight w:val="none"/>
        </w:rPr>
      </w:pPr>
      <w:r>
        <w:rPr>
          <w:rFonts w:ascii="宋体" w:hAnsi="宋体"/>
          <w:b/>
          <w:color w:val="auto"/>
          <w:sz w:val="24"/>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bookmarkStart w:id="70" w:name="_Toc4984"/>
      <w:r>
        <w:rPr>
          <w:rFonts w:hint="eastAsia" w:ascii="黑体" w:hAnsi="黑体" w:eastAsia="黑体"/>
          <w:color w:val="auto"/>
          <w:sz w:val="28"/>
          <w:szCs w:val="28"/>
          <w:highlight w:val="none"/>
        </w:rPr>
        <w:t xml:space="preserve">一、资格证明文件</w:t>
      </w:r>
      <w:bookmarkEnd w:id="70"/>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微软雅黑" w:hAnsi="仿宋" w:eastAsia="微软雅黑"/>
          <w:color w:val="auto"/>
          <w:sz w:val="36"/>
          <w:szCs w:val="36"/>
          <w:highlight w:val="none"/>
        </w:rPr>
        <w:outlineLvl w:val="9"/>
      </w:pPr>
      <w:r>
        <w:rPr>
          <w:rFonts w:hint="eastAsia" w:ascii="微软雅黑" w:hAnsi="仿宋" w:eastAsia="微软雅黑"/>
          <w:color w:val="auto"/>
          <w:sz w:val="36"/>
          <w:szCs w:val="36"/>
          <w:highlight w:val="none"/>
        </w:rPr>
        <w:t xml:space="preserve">声  明</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微软雅黑" w:hAnsi="仿宋" w:eastAsia="微软雅黑"/>
          <w:color w:val="auto"/>
          <w:sz w:val="36"/>
          <w:szCs w:val="36"/>
          <w:highlight w:val="none"/>
        </w:rPr>
        <w:outlineLvl w:val="9"/>
      </w:pPr>
      <w:r>
        <w:rPr>
          <w:rFonts w:hint="eastAsia" w:ascii="微软雅黑" w:hAnsi="仿宋" w:eastAsia="微软雅黑"/>
          <w:color w:val="auto"/>
          <w:sz w:val="36"/>
          <w:szCs w:val="36"/>
          <w:highlight w:val="none"/>
        </w:rPr>
        <w:t xml:space="preserve">声  明</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3"/>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性别：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职务：</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right"/>
        <w:widowControl/>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微软雅黑" w:eastAsia="微软雅黑"/>
          <w:i/>
          <w:color w:val="auto"/>
          <w:sz w:val="36"/>
          <w:szCs w:val="36"/>
          <w:highlight w:val="none"/>
        </w:rPr>
        <w:outlineLvl w:val="9"/>
      </w:pPr>
      <w:r>
        <w:rPr>
          <w:rFonts w:hint="eastAsia" w:ascii="微软雅黑" w:eastAsia="微软雅黑"/>
          <w:color w:val="auto"/>
          <w:sz w:val="36"/>
          <w:szCs w:val="36"/>
          <w:highlight w:val="none"/>
        </w:rPr>
        <w:t xml:space="preserve">法定代表人授权委托书</w:t>
      </w:r>
      <w:r/>
    </w:p>
    <w:p>
      <w:pPr>
        <w:pStyle w:val="891"/>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本授权书声明：_______________（供应商名称）授权________________（代理人的姓名）为我方就项目名称：</w:t>
      </w:r>
      <w:r>
        <w:rPr>
          <w:rFonts w:hint="eastAsia" w:ascii="仿宋" w:hAnsi="仿宋" w:eastAsia="仿宋"/>
          <w:color w:val="auto"/>
          <w:sz w:val="28"/>
          <w:szCs w:val="28"/>
          <w:highlight w:val="none"/>
          <w:u w:val="single"/>
          <w:lang w:val="en-US" w:eastAsia="zh-CN"/>
        </w:rPr>
        <w:t xml:space="preserve">东陈镇2026年生活垃圾转送服务</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JSZC-320682-NTZJ-C2026-0014</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91"/>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本授权书于______年____月____日起生效，特此声明。</w:t>
      </w:r>
      <w:r/>
    </w:p>
    <w:p>
      <w:pPr>
        <w:pStyle w:val="891"/>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1"/>
        <w:ind w:firstLine="480"/>
        <w:spacing w:line="500" w:lineRule="exact"/>
        <w:rPr>
          <w:rFonts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法定代表人（签字）： </w:t>
      </w:r>
      <w:r/>
    </w:p>
    <w:p>
      <w:pPr>
        <w:pStyle w:val="891"/>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w:t>
      </w:r>
      <w:r/>
    </w:p>
    <w:p>
      <w:pPr>
        <w:pStyle w:val="891"/>
        <w:ind w:firstLine="232"/>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联系电话（手机）：</w:t>
      </w:r>
      <w:r/>
    </w:p>
    <w:p>
      <w:pPr>
        <w:pStyle w:val="891"/>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1"/>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代理人姓名：</w:t>
      </w:r>
      <w:r/>
    </w:p>
    <w:p>
      <w:pPr>
        <w:pStyle w:val="891"/>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                         </w:t>
      </w:r>
      <w:r/>
    </w:p>
    <w:p>
      <w:pPr>
        <w:pStyle w:val="891"/>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联系电话（手机）：                    </w:t>
      </w:r>
      <w:r/>
    </w:p>
    <w:p>
      <w:pPr>
        <w:pStyle w:val="891"/>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1"/>
        <w:ind w:firstLine="12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供应商名称（加盖公章）：</w:t>
      </w:r>
      <w:r/>
    </w:p>
    <w:p>
      <w:pPr>
        <w:pStyle w:val="891"/>
        <w:ind w:firstLine="602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年   月   日</w:t>
      </w:r>
      <w:r/>
    </w:p>
    <w:p>
      <w:pPr>
        <w:pStyle w:val="891"/>
        <w:ind w:firstLine="480"/>
        <w:spacing w:line="500" w:lineRule="exact"/>
        <w:rPr>
          <w:rFonts w:ascii="仿宋" w:hAnsi="仿宋" w:eastAsia="仿宋"/>
          <w:color w:val="auto"/>
          <w:sz w:val="28"/>
          <w:szCs w:val="28"/>
          <w:highlight w:val="none"/>
        </w:rPr>
        <w:outlineLvl w:val="9"/>
      </w:pPr>
      <w:r/>
      <w:bookmarkStart w:id="71" w:name="_Hlt26671380"/>
      <w:r/>
      <w:bookmarkEnd w:id="71"/>
      <w:r/>
      <w:bookmarkStart w:id="72" w:name="_Hlt26955070"/>
      <w:r/>
      <w:bookmarkEnd w:id="72"/>
      <w:r/>
      <w:bookmarkStart w:id="73" w:name="_格式3__银行出具的资信证明"/>
      <w:r/>
      <w:bookmarkEnd w:id="73"/>
      <w:r/>
      <w:r/>
    </w:p>
    <w:p>
      <w:pPr>
        <w:pStyle w:val="866"/>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法定代表人身份证复印件</w:t>
      </w:r>
      <w:r/>
    </w:p>
    <w:p>
      <w:pPr>
        <w:pStyle w:val="866"/>
        <w:ind w:firstLine="140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66"/>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66"/>
        <w:ind w:firstLine="49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代理人身份证复印件</w:t>
      </w:r>
      <w:r/>
    </w:p>
    <w:p>
      <w:pPr>
        <w:pStyle w:val="866"/>
        <w:rPr>
          <w:rFonts w:ascii="宋体" w:hAnsi="宋体"/>
          <w:color w:val="auto"/>
          <w:sz w:val="24"/>
          <w:highlight w:val="none"/>
        </w:rPr>
        <w:outlineLvl w:val="9"/>
      </w:pPr>
      <w:r>
        <w:rPr>
          <w:rFonts w:ascii="宋体" w:hAnsi="宋体"/>
          <w:color w:val="auto"/>
          <w:sz w:val="24"/>
          <w:highlight w:val="none"/>
        </w:rPr>
      </w:r>
      <w:r/>
    </w:p>
    <w:p>
      <w:pPr>
        <w:ind w:firstLine="480"/>
        <w:jc w:val="left"/>
        <w:spacing w:before="50"/>
        <w:rPr>
          <w:rFonts w:ascii="仿宋" w:hAnsi="仿宋" w:eastAsia="仿宋"/>
          <w:color w:val="auto"/>
          <w:sz w:val="24"/>
          <w:highlight w:val="none"/>
        </w:rPr>
        <w:outlineLvl w:val="9"/>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磋商响应函</w:t>
      </w:r>
      <w:r/>
    </w:p>
    <w:p>
      <w:pPr>
        <w:jc w:val="center"/>
        <w:spacing w:before="50"/>
        <w:rPr>
          <w:rFonts w:ascii="微软雅黑" w:eastAsia="微软雅黑"/>
          <w:color w:val="auto"/>
          <w:sz w:val="36"/>
          <w:szCs w:val="36"/>
          <w:highlight w:val="none"/>
        </w:rPr>
        <w:outlineLvl w:val="9"/>
      </w:pPr>
      <w:r>
        <w:rPr>
          <w:rFonts w:hint="eastAsia" w:ascii="微软雅黑" w:eastAsia="微软雅黑"/>
          <w:color w:val="auto"/>
          <w:sz w:val="36"/>
          <w:szCs w:val="36"/>
          <w:highlight w:val="none"/>
        </w:rPr>
        <w:t xml:space="preserve">竞争性磋商响应函</w:t>
      </w:r>
      <w:r/>
    </w:p>
    <w:p>
      <w:pPr>
        <w:pStyle w:val="891"/>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u w:val="single"/>
          <w:lang w:val="en-US" w:eastAsia="zh-CN"/>
        </w:rPr>
        <w:t xml:space="preserve">如皋市东陈镇人民政府</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东陈镇2026年生活垃圾转送服务</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u w:val="single"/>
          <w:lang w:val="en-US" w:eastAsia="zh-CN"/>
        </w:rPr>
        <w:t xml:space="preserve">JSZC-320682-NTZJ-C2026-0014</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highlight w:val="none"/>
        </w:rPr>
        <w:t xml:space="preserve">_________（供应商的名称），全权处理本次项目磋商采购的有关事宜。</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1.按磋商文件规定的各项要求，向买方提供所需货物、服务。</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7.遵守竞争性磋商文件中要求的收费项目和标准。</w:t>
      </w:r>
      <w:r/>
    </w:p>
    <w:p>
      <w:pPr>
        <w:pStyle w:val="891"/>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8.与本次竞争性磋商活动有关的正式通讯地址为：</w:t>
      </w:r>
      <w:r/>
    </w:p>
    <w:p>
      <w:pPr>
        <w:pStyle w:val="891"/>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 址：                         邮 编：</w:t>
      </w:r>
      <w:r/>
    </w:p>
    <w:p>
      <w:pPr>
        <w:pStyle w:val="891"/>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电 话：                         传 真：</w:t>
      </w:r>
      <w:r/>
    </w:p>
    <w:p>
      <w:pPr>
        <w:pStyle w:val="891"/>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供应商开户行：                  账 户： </w:t>
      </w:r>
      <w:r/>
    </w:p>
    <w:p>
      <w:pPr>
        <w:pStyle w:val="891"/>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            </w:t>
      </w:r>
      <w:r/>
    </w:p>
    <w:p>
      <w:pPr>
        <w:pStyle w:val="891"/>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期：________年____月____日</w:t>
      </w:r>
      <w:r/>
    </w:p>
    <w:p>
      <w:pPr>
        <w:numPr>
          <w:ilvl w:val="0"/>
          <w:numId w:val="4"/>
        </w:numPr>
        <w:jc w:val="lef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中小企业声明函</w:t>
      </w:r>
      <w:r/>
    </w:p>
    <w:p>
      <w:pPr>
        <w:numPr>
          <w:ilvl w:val="0"/>
          <w:numId w:val="0"/>
        </w:numPr>
        <w:jc w:val="center"/>
        <w:rPr>
          <w:rFonts w:ascii="微软雅黑" w:eastAsia="微软雅黑"/>
          <w:color w:val="auto"/>
          <w:sz w:val="36"/>
          <w:szCs w:val="36"/>
          <w:highlight w:val="none"/>
        </w:rPr>
        <w:outlineLvl w:val="9"/>
      </w:pPr>
      <w:r>
        <w:rPr>
          <w:rFonts w:hint="eastAsia" w:ascii="微软雅黑" w:eastAsia="微软雅黑"/>
          <w:color w:val="auto"/>
          <w:sz w:val="36"/>
          <w:szCs w:val="36"/>
          <w:highlight w:val="none"/>
        </w:rPr>
        <w:t xml:space="preserve">中小企业声明函（工程、服务）</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 xml:space="preserve">如皋市东陈镇人民政府</w:t>
      </w:r>
      <w:r>
        <w:rPr>
          <w:rFonts w:hint="eastAsia" w:ascii="仿宋" w:hAnsi="仿宋" w:eastAsia="仿宋"/>
          <w:i w:val="0"/>
          <w:iCs/>
          <w:color w:val="auto"/>
          <w:sz w:val="28"/>
          <w:szCs w:val="28"/>
          <w:highlight w:val="none"/>
        </w:rPr>
        <w:t xml:space="preserve">的</w:t>
      </w:r>
      <w:r>
        <w:rPr>
          <w:rFonts w:hint="eastAsia" w:ascii="仿宋" w:hAnsi="仿宋" w:eastAsia="仿宋"/>
          <w:i w:val="0"/>
          <w:iCs/>
          <w:color w:val="auto"/>
          <w:sz w:val="28"/>
          <w:szCs w:val="28"/>
          <w:highlight w:val="none"/>
          <w:u w:val="single"/>
          <w:lang w:val="en-US" w:eastAsia="zh-CN"/>
        </w:rPr>
        <w:t xml:space="preserve">东陈镇2026年生活垃圾转送服务</w:t>
      </w:r>
      <w:r>
        <w:rPr>
          <w:rFonts w:hint="eastAsia" w:ascii="仿宋" w:hAnsi="仿宋" w:eastAsia="仿宋"/>
          <w:i w:val="0"/>
          <w:iCs/>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i w:val="0"/>
          <w:iCs/>
          <w:color w:val="auto"/>
          <w:sz w:val="28"/>
          <w:szCs w:val="28"/>
          <w:highlight w:val="none"/>
        </w:rPr>
        <w:t xml:space="preserve">1.</w:t>
      </w:r>
      <w:r>
        <w:rPr>
          <w:rFonts w:hint="eastAsia" w:ascii="仿宋" w:hAnsi="仿宋" w:eastAsia="仿宋"/>
          <w:i w:val="0"/>
          <w:iCs/>
          <w:color w:val="auto"/>
          <w:sz w:val="28"/>
          <w:szCs w:val="28"/>
          <w:highlight w:val="none"/>
          <w:u w:val="single"/>
          <w:lang w:val="en-US" w:eastAsia="zh-CN"/>
        </w:rPr>
        <w:t xml:space="preserve">东陈镇2026年生活垃圾转送服务</w:t>
      </w:r>
      <w:r>
        <w:rPr>
          <w:rFonts w:hint="eastAsia" w:ascii="仿宋" w:hAnsi="仿宋" w:eastAsia="仿宋"/>
          <w:i w:val="0"/>
          <w:iCs/>
          <w:color w:val="auto"/>
          <w:sz w:val="28"/>
          <w:szCs w:val="28"/>
          <w:highlight w:val="none"/>
        </w:rPr>
        <w:t xml:space="preserve">，属于</w:t>
      </w:r>
      <w:r>
        <w:rPr>
          <w:rFonts w:hint="eastAsia" w:ascii="仿宋" w:hAnsi="仿宋" w:eastAsia="仿宋"/>
          <w:i w:val="0"/>
          <w:iCs/>
          <w:color w:val="auto"/>
          <w:sz w:val="28"/>
          <w:szCs w:val="28"/>
          <w:highlight w:val="none"/>
          <w:u w:val="single"/>
        </w:rPr>
        <w:t xml:space="preserve">（其他未列明行业）</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 xml:space="preserve">（企业名称）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 xml:space="preserve">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企业名称（盖章）：          </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             </w:t>
      </w:r>
      <w:r/>
    </w:p>
    <w:p>
      <w:pPr>
        <w:ind w:right="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pStyle w:val="876"/>
        <w:ind w:firstLine="567"/>
        <w:spacing w:before="0" w:beforeAutospacing="0" w:after="0" w:afterAutospacing="0" w:line="500" w:lineRule="exact"/>
        <w:shd w:val="clear" w:color="auto" w:fill="ffffff"/>
        <w:rPr>
          <w:rFonts w:hint="default" w:ascii="仿宋" w:hAnsi="仿宋" w:eastAsia="仿宋"/>
          <w:b/>
          <w:bCs/>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480"/>
        <w:jc w:val="left"/>
        <w:spacing w:before="5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2"/>
        <w:rPr>
          <w:rFonts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74" w:name="_Toc17633"/>
      <w:r>
        <w:rPr>
          <w:rFonts w:hint="eastAsia" w:ascii="黑体" w:hAnsi="黑体" w:eastAsia="黑体"/>
          <w:color w:val="auto"/>
          <w:sz w:val="28"/>
          <w:szCs w:val="28"/>
          <w:highlight w:val="none"/>
        </w:rPr>
        <w:t xml:space="preserve">二、商务技术文件</w:t>
      </w:r>
      <w:bookmarkEnd w:id="74"/>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（一）评分索引表</w:t>
      </w:r>
      <w:r/>
    </w:p>
    <w:p>
      <w:pPr>
        <w:ind w:firstLine="641"/>
        <w:jc w:val="center"/>
        <w:rPr>
          <w:rFonts w:ascii="微软雅黑" w:hAnsi="宋体" w:eastAsia="微软雅黑"/>
          <w:color w:val="auto"/>
          <w:sz w:val="32"/>
          <w:szCs w:val="32"/>
          <w:highlight w:val="none"/>
        </w:rPr>
        <w:outlineLvl w:val="9"/>
      </w:pPr>
      <w:r>
        <w:rPr>
          <w:rFonts w:hint="eastAsia" w:ascii="微软雅黑" w:hAnsi="宋体" w:eastAsia="微软雅黑"/>
          <w:color w:val="auto"/>
          <w:sz w:val="32"/>
          <w:szCs w:val="32"/>
          <w:highlight w:val="none"/>
        </w:rPr>
        <w:t xml:space="preserve">评分索引表</w:t>
      </w:r>
      <w:r/>
    </w:p>
    <w:p>
      <w:pPr>
        <w:ind w:firstLine="641"/>
        <w:jc w:val="center"/>
        <w:rPr>
          <w:rFonts w:ascii="仿宋" w:hAnsi="仿宋" w:eastAsia="仿宋"/>
          <w:color w:val="auto"/>
          <w:sz w:val="28"/>
          <w:szCs w:val="28"/>
          <w:highlight w:val="none"/>
        </w:rPr>
      </w:pPr>
      <w:r>
        <w:rPr>
          <w:rFonts w:hint="eastAsia" w:ascii="微软雅黑" w:hAnsi="宋体" w:eastAsia="微软雅黑"/>
          <w:color w:val="auto"/>
          <w:sz w:val="32"/>
          <w:szCs w:val="32"/>
          <w:highlight w:val="none"/>
          <w:lang w:eastAsia="zh-CN"/>
        </w:rPr>
        <w:t xml:space="preserve">（</w:t>
      </w:r>
      <w:r>
        <w:rPr>
          <w:rFonts w:hint="eastAsia" w:ascii="微软雅黑" w:hAnsi="宋体" w:eastAsia="微软雅黑"/>
          <w:color w:val="auto"/>
          <w:sz w:val="32"/>
          <w:szCs w:val="32"/>
          <w:highlight w:val="none"/>
          <w:lang w:val="en-US" w:eastAsia="zh-CN"/>
        </w:rPr>
        <w:t xml:space="preserve">线上评审无需提供</w:t>
      </w:r>
      <w:r>
        <w:rPr>
          <w:rFonts w:hint="eastAsia" w:ascii="微软雅黑" w:hAnsi="宋体" w:eastAsia="微软雅黑"/>
          <w:color w:val="auto"/>
          <w:sz w:val="32"/>
          <w:szCs w:val="32"/>
          <w:highlight w:val="none"/>
          <w:lang w:eastAsia="zh-CN"/>
        </w:rPr>
        <w:t xml:space="preserve">）</w:t>
      </w:r>
      <w:r/>
    </w:p>
    <w:tbl>
      <w:tblPr>
        <w:tblStyle w:val="865"/>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p>
    <w:p>
      <w:pPr>
        <w:numPr>
          <w:ilvl w:val="0"/>
          <w:numId w:val="5"/>
        </w:numPr>
        <w:ind w:firstLine="560"/>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符合技术要求或者服务要求的相关证明材料</w:t>
      </w:r>
      <w:r/>
    </w:p>
    <w:p>
      <w:pPr>
        <w:ind w:firstLine="562"/>
        <w:spacing w:line="500" w:lineRule="exact"/>
        <w:rPr>
          <w:rFonts w:hint="eastAsia" w:ascii="仿宋" w:hAnsi="仿宋" w:eastAsia="仿宋"/>
          <w:b/>
          <w:bCs/>
          <w:color w:val="auto"/>
          <w:sz w:val="28"/>
          <w:szCs w:val="28"/>
          <w:highlight w:val="none"/>
          <w:lang w:val="en-US" w:eastAsia="zh-CN"/>
        </w:rPr>
        <w:outlineLvl w:val="9"/>
      </w:pPr>
      <w:r>
        <w:rPr>
          <w:rFonts w:hint="eastAsia" w:ascii="仿宋" w:hAnsi="仿宋" w:eastAsia="仿宋"/>
          <w:b/>
          <w:bCs/>
          <w:color w:val="auto"/>
          <w:sz w:val="28"/>
          <w:szCs w:val="28"/>
          <w:highlight w:val="none"/>
          <w:lang w:val="en-US" w:eastAsia="zh-CN"/>
        </w:rPr>
        <w:t xml:space="preserve">1.人员配备要求</w:t>
      </w:r>
      <w:r/>
    </w:p>
    <w:p>
      <w:pPr>
        <w:pStyle w:val="876"/>
        <w:ind w:firstLine="567"/>
        <w:spacing w:before="0" w:beforeAutospacing="0" w:after="0" w:afterAutospacing="0" w:line="500" w:lineRule="exact"/>
        <w:shd w:val="clear" w:color="auto" w:fill="ffffff"/>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响应供应商依法为符合条件的人员缴纳保险，工资不低于江苏省最低工资标准。</w:t>
      </w:r>
      <w:r>
        <w:rPr>
          <w:rFonts w:hint="eastAsia" w:ascii="仿宋" w:hAnsi="仿宋" w:eastAsia="仿宋"/>
          <w:b/>
          <w:bCs/>
          <w:color w:val="auto"/>
          <w:sz w:val="28"/>
          <w:szCs w:val="28"/>
          <w:highlight w:val="none"/>
          <w:lang w:val="en-US" w:eastAsia="zh-CN"/>
        </w:rPr>
        <w:t xml:space="preserve">须提供下列人员</w:t>
      </w:r>
      <w:r>
        <w:rPr>
          <w:rFonts w:hint="eastAsia" w:ascii="仿宋" w:hAnsi="仿宋" w:eastAsia="仿宋"/>
          <w:b/>
          <w:bCs/>
          <w:iCs/>
          <w:color w:val="auto"/>
          <w:sz w:val="28"/>
          <w:szCs w:val="28"/>
          <w:highlight w:val="none"/>
        </w:rPr>
        <w:t xml:space="preserve">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cs="仿宋"/>
          <w:b/>
          <w:bCs/>
          <w:color w:val="auto"/>
          <w:sz w:val="28"/>
          <w:szCs w:val="28"/>
          <w:highlight w:val="none"/>
          <w:lang w:val="en-US" w:eastAsia="zh-CN"/>
        </w:rPr>
        <w:t xml:space="preserve">不提供视为无效响应。</w:t>
      </w:r>
      <w:r/>
    </w:p>
    <w:p>
      <w:pPr>
        <w:pStyle w:val="868"/>
        <w:jc w:val="center"/>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项目人员配备表</w:t>
      </w:r>
      <w:r/>
    </w:p>
    <w:tbl>
      <w:tblPr>
        <w:tblStyle w:val="865"/>
        <w:tblW w:w="7218" w:type="dxa"/>
        <w:tblInd w:w="9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4275"/>
        <w:gridCol w:w="1612"/>
      </w:tblGrid>
      <w:tr>
        <w:trPr>
          <w:trHeight w:val="478"/>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序号</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岗位名称</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人数</w:t>
            </w:r>
            <w:r/>
          </w:p>
        </w:tc>
      </w:tr>
      <w:tr>
        <w:trPr>
          <w:trHeight w:val="347"/>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c>
          <w:tcPr>
            <w:shd w:val="clear" w:color="auto" w:fill="auto"/>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项目经理</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347"/>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2</w:t>
            </w:r>
            <w:r/>
          </w:p>
        </w:tc>
        <w:tc>
          <w:tcPr>
            <w:shd w:val="clear" w:color="auto" w:fill="auto"/>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环境工程师</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347"/>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3</w:t>
            </w:r>
            <w:r/>
          </w:p>
        </w:tc>
        <w:tc>
          <w:tcPr>
            <w:shd w:val="clear" w:color="auto" w:fill="auto"/>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污废水处理人员</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379"/>
        </w:trPr>
        <w:tc>
          <w:tcPr>
            <w:shd w:val="clear" w:color="auto" w:fill="auto"/>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4</w:t>
            </w:r>
            <w:r/>
          </w:p>
        </w:tc>
        <w:tc>
          <w:tcPr>
            <w:shd w:val="clear" w:color="auto" w:fill="auto"/>
            <w:tcW w:w="427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现场管理员（兼安全员）</w:t>
            </w:r>
            <w:r/>
          </w:p>
        </w:tc>
        <w:tc>
          <w:tcPr>
            <w:shd w:val="clear" w:color="auto" w:fill="ffffff"/>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469"/>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信息化管理员</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w:t>
            </w:r>
            <w:r/>
          </w:p>
        </w:tc>
      </w:tr>
      <w:tr>
        <w:trPr>
          <w:trHeight w:val="546"/>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6</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驾驶员</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r>
      <w:tr>
        <w:trPr>
          <w:trHeight w:val="546"/>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7</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操作工</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r>
      <w:tr>
        <w:trPr>
          <w:trHeight w:val="450"/>
        </w:trPr>
        <w:tc>
          <w:tcPr>
            <w:tcW w:w="1331"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8</w:t>
            </w:r>
            <w:r/>
          </w:p>
        </w:tc>
        <w:tc>
          <w:tcPr>
            <w:tcW w:w="4275"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值守人员</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2</w:t>
            </w:r>
            <w:r/>
          </w:p>
        </w:tc>
      </w:tr>
      <w:tr>
        <w:trPr>
          <w:trHeight w:val="487"/>
        </w:trPr>
        <w:tc>
          <w:tcPr>
            <w:gridSpan w:val="2"/>
            <w:tcW w:w="5606"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合计</w:t>
            </w:r>
            <w:r/>
          </w:p>
        </w:tc>
        <w:tc>
          <w:tcPr>
            <w:tcW w:w="1612" w:type="dxa"/>
            <w:vAlign w:val="center"/>
            <w:textDirection w:val="lrTb"/>
            <w:noWrap/>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17</w:t>
            </w:r>
            <w:r/>
          </w:p>
        </w:tc>
      </w:tr>
    </w:tbl>
    <w:p>
      <w:pPr>
        <w:pStyle w:val="893"/>
        <w:jc w:val="left"/>
        <w:keepLines w:val="0"/>
        <w:keepNext w:val="0"/>
        <w:pageBreakBefore w:val="0"/>
        <w:spacing w:after="0"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备注：</w:t>
      </w:r>
      <w:r/>
    </w:p>
    <w:p>
      <w:pPr>
        <w:pStyle w:val="893"/>
        <w:ind w:firstLine="562"/>
        <w:jc w:val="left"/>
        <w:keepLines w:val="0"/>
        <w:keepNext w:val="0"/>
        <w:pageBreakBefore w:val="0"/>
        <w:spacing w:after="0"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①响应供应商</w:t>
      </w:r>
      <w:r>
        <w:rPr>
          <w:rFonts w:hint="eastAsia" w:ascii="仿宋" w:hAnsi="仿宋" w:eastAsia="仿宋" w:cs="仿宋"/>
          <w:b/>
          <w:bCs/>
          <w:color w:val="auto"/>
          <w:sz w:val="28"/>
          <w:szCs w:val="28"/>
          <w:highlight w:val="none"/>
        </w:rPr>
        <w:t xml:space="preserve">项目组所有人员均须符合行业作业与安全标准。须在项目服务期限内在项目所在地范围内驻点办公并设置停车场地，须做到采购人随叫随到。</w:t>
      </w:r>
      <w:r>
        <w:rPr>
          <w:rFonts w:hint="eastAsia" w:ascii="仿宋" w:hAnsi="仿宋" w:eastAsia="仿宋" w:cs="仿宋"/>
          <w:b/>
          <w:bCs/>
          <w:color w:val="auto"/>
          <w:sz w:val="28"/>
          <w:szCs w:val="28"/>
          <w:highlight w:val="none"/>
          <w:lang w:val="en-US" w:eastAsia="zh-CN"/>
        </w:rPr>
        <w:t xml:space="preserve">须提供承诺函（格式自拟），不提供视为无效响应。</w:t>
      </w:r>
      <w:r/>
    </w:p>
    <w:p>
      <w:pPr>
        <w:pStyle w:val="867"/>
        <w:numPr>
          <w:ilvl w:val="0"/>
          <w:numId w:val="0"/>
        </w:numPr>
        <w:ind w:firstLine="482"/>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pStyle w:val="867"/>
        <w:numPr>
          <w:ilvl w:val="0"/>
          <w:numId w:val="0"/>
        </w:numPr>
        <w:ind w:firstLine="482"/>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车辆要求</w:t>
      </w:r>
      <w:r/>
    </w:p>
    <w:p>
      <w:pPr>
        <w:pStyle w:val="876"/>
        <w:ind w:left="0" w:right="0"/>
        <w:jc w:val="center"/>
        <w:keepLines w:val="0"/>
        <w:keepNext w:val="0"/>
        <w:spacing w:before="0" w:beforeAutospacing="0" w:after="0" w:afterAutospacing="0"/>
        <w:widowControl w:val="off"/>
        <w:rPr>
          <w:rFonts w:hint="eastAsia"/>
          <w:color w:val="auto"/>
          <w:highlight w:val="none"/>
          <w:lang w:eastAsia="zh-CN"/>
        </w:rPr>
        <w:suppressLineNumbers w:val="0"/>
      </w:pPr>
      <w:r>
        <w:rPr>
          <w:rFonts w:hint="eastAsia" w:ascii="仿宋" w:hAnsi="仿宋" w:eastAsia="仿宋" w:cs="仿宋"/>
          <w:b/>
          <w:bCs/>
          <w:color w:val="auto"/>
          <w:sz w:val="28"/>
          <w:szCs w:val="28"/>
          <w:highlight w:val="none"/>
        </w:rPr>
        <w:t xml:space="preserve">设备设施最低配置</w:t>
      </w:r>
      <w:r>
        <w:rPr>
          <w:rFonts w:hint="default" w:ascii="仿宋_GB2312" w:hAnsi="Times New Roman" w:eastAsia="仿宋_GB2312" w:cs="仿宋_GB2312"/>
          <w:b/>
          <w:bCs/>
          <w:color w:val="auto"/>
          <w:sz w:val="28"/>
          <w:szCs w:val="28"/>
          <w:highlight w:val="none"/>
          <w:lang w:val="en-US" w:eastAsia="zh-CN" w:bidi="ar"/>
        </w:rPr>
        <w:t xml:space="preserve">一览表</w:t>
      </w:r>
      <w:r/>
    </w:p>
    <w:tbl>
      <w:tblPr>
        <w:tblStyle w:val="865"/>
        <w:tblW w:w="9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3773"/>
        <w:gridCol w:w="2340"/>
        <w:gridCol w:w="949"/>
        <w:gridCol w:w="1238"/>
      </w:tblGrid>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单位</w:t>
            </w:r>
            <w:r/>
          </w:p>
        </w:tc>
      </w:tr>
      <w:tr>
        <w:trPr>
          <w:jc w:val="center"/>
          <w:trHeight w:val="949"/>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lang w:val="en-US" w:eastAsia="zh-CN" w:bidi="ar"/>
              </w:rPr>
              <w:t xml:space="preserve">重型特殊结构货车（垃圾后装压缩车）</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lang w:val="en-US" w:eastAsia="zh-CN" w:bidi="ar"/>
              </w:rPr>
              <w:t xml:space="preserve">总质量≥7000kg</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vertAlign w:val="baseline"/>
                <w:lang w:val="en-US" w:eastAsia="zh-CN" w:bidi="ar"/>
              </w:rPr>
              <w:t xml:space="preserve">辆</w:t>
            </w:r>
            <w:r/>
          </w:p>
        </w:tc>
      </w:tr>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i w:val="0"/>
                <w:iCs w:val="0"/>
                <w:color w:val="auto"/>
                <w:sz w:val="28"/>
                <w:szCs w:val="28"/>
                <w:highlight w:val="none"/>
                <w:vertAlign w:val="baseline"/>
                <w:lang w:val="en-US" w:eastAsia="zh-CN" w:bidi="ar"/>
              </w:rPr>
              <w:suppressLineNumbers w:val="0"/>
            </w:pPr>
            <w:r>
              <w:rPr>
                <w:rFonts w:hint="eastAsia" w:ascii="仿宋" w:hAnsi="仿宋" w:eastAsia="仿宋" w:cs="仿宋"/>
                <w:i w:val="0"/>
                <w:iCs w:val="0"/>
                <w:color w:val="auto"/>
                <w:sz w:val="28"/>
                <w:szCs w:val="28"/>
                <w:highlight w:val="none"/>
                <w:vertAlign w:val="baseli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辆</w:t>
            </w:r>
            <w:r/>
          </w:p>
        </w:tc>
      </w:tr>
      <w:tr>
        <w:trPr>
          <w:jc w:val="center"/>
          <w:trHeight w:val="486"/>
        </w:trPr>
        <w:tc>
          <w:tcPr>
            <w:gridSpan w:val="3"/>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i w:val="0"/>
                <w:iCs w:val="0"/>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vertAlign w:val="baseline"/>
                <w:lang w:val="en-US" w:eastAsia="zh-CN" w:bidi="ar"/>
              </w:rPr>
              <w:suppressLineNumbers w:val="0"/>
            </w:pPr>
            <w:r>
              <w:rPr>
                <w:rFonts w:hint="eastAsia" w:ascii="仿宋" w:hAnsi="仿宋" w:eastAsia="仿宋" w:cs="仿宋"/>
                <w:color w:val="auto"/>
                <w:sz w:val="28"/>
                <w:szCs w:val="28"/>
                <w:highlight w:val="none"/>
                <w:vertAlign w:val="baseline"/>
                <w:lang w:val="en-US" w:eastAsia="zh-CN" w:bidi="ar"/>
              </w:rPr>
              <w:t xml:space="preserve">辆</w:t>
            </w:r>
            <w:r/>
          </w:p>
        </w:tc>
      </w:tr>
    </w:tbl>
    <w:p>
      <w:pPr>
        <w:pStyle w:val="867"/>
        <w:keepLines w:val="0"/>
        <w:keepNext w:val="0"/>
        <w:pageBreakBefore w:val="0"/>
        <w:spacing w:line="50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备注：</w:t>
      </w:r>
      <w:r/>
    </w:p>
    <w:p>
      <w:pPr>
        <w:pStyle w:val="893"/>
        <w:ind w:firstLine="562"/>
        <w:jc w:val="left"/>
        <w:keepLines w:val="0"/>
        <w:keepNext w:val="0"/>
        <w:pageBreakBefore w:val="0"/>
        <w:spacing w:after="0"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响应供应商</w:t>
      </w:r>
      <w:r>
        <w:rPr>
          <w:rFonts w:hint="eastAsia" w:ascii="仿宋" w:hAnsi="仿宋" w:eastAsia="仿宋" w:cs="仿宋"/>
          <w:b/>
          <w:bCs/>
          <w:color w:val="auto"/>
          <w:sz w:val="28"/>
          <w:szCs w:val="28"/>
          <w:highlight w:val="none"/>
          <w:lang w:eastAsia="zh-CN"/>
        </w:rPr>
        <w:t xml:space="preserve">至少须常规配备</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辆总质量</w:t>
      </w:r>
      <w:r>
        <w:rPr>
          <w:rFonts w:hint="eastAsia" w:ascii="仿宋" w:hAnsi="仿宋" w:eastAsia="仿宋" w:cs="仿宋"/>
          <w:b/>
          <w:bCs/>
          <w:color w:val="auto"/>
          <w:sz w:val="28"/>
          <w:szCs w:val="28"/>
          <w:highlight w:val="none"/>
          <w:lang w:val="en-US" w:eastAsia="zh-CN"/>
        </w:rPr>
        <w:t xml:space="preserve">≥7000kg</w:t>
      </w:r>
      <w:r>
        <w:rPr>
          <w:rFonts w:hint="eastAsia" w:ascii="仿宋" w:hAnsi="仿宋" w:eastAsia="仿宋" w:cs="仿宋"/>
          <w:b/>
          <w:bCs/>
          <w:color w:val="auto"/>
          <w:sz w:val="28"/>
          <w:szCs w:val="28"/>
          <w:highlight w:val="none"/>
          <w:lang w:eastAsia="zh-CN"/>
        </w:rPr>
        <w:t xml:space="preserve">及以上吨位</w:t>
      </w:r>
      <w:r>
        <w:rPr>
          <w:rFonts w:hint="eastAsia" w:ascii="仿宋" w:hAnsi="仿宋" w:eastAsia="仿宋" w:cs="仿宋"/>
          <w:b/>
          <w:bCs/>
          <w:color w:val="auto"/>
          <w:sz w:val="28"/>
          <w:szCs w:val="28"/>
          <w:highlight w:val="none"/>
          <w:lang w:val="en-US" w:eastAsia="zh-CN"/>
        </w:rPr>
        <w:t xml:space="preserve">重型特殊结构货车（垃圾后装压缩车）</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1辆装载机。其中重型特殊结构货车（垃圾后装压缩车）须提供相应车辆有效登记证（登记日期须在项目开标之前）、行驶证、保险单据、购置发票、车辆带牌照的清晰照片；装载机须提供购置发票、清晰照片。不提供或提供不全视为无效响应。</w:t>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（三）商务部分正负偏离表</w:t>
      </w:r>
      <w:r/>
    </w:p>
    <w:p>
      <w:pPr>
        <w:jc w:val="center"/>
        <w:rPr>
          <w:rFonts w:ascii="微软雅黑" w:hAnsi="宋体" w:eastAsia="微软雅黑"/>
          <w:color w:val="auto"/>
          <w:sz w:val="32"/>
          <w:szCs w:val="32"/>
          <w:highlight w:val="none"/>
        </w:rPr>
        <w:outlineLvl w:val="9"/>
      </w:pPr>
      <w:r>
        <w:rPr>
          <w:rFonts w:hint="eastAsia" w:ascii="微软雅黑" w:hAnsi="宋体" w:eastAsia="微软雅黑"/>
          <w:color w:val="auto"/>
          <w:sz w:val="32"/>
          <w:szCs w:val="32"/>
          <w:highlight w:val="none"/>
        </w:rPr>
        <w:t xml:space="preserve">商务部分正负偏离表</w:t>
      </w:r>
      <w:r/>
    </w:p>
    <w:tbl>
      <w:tblPr>
        <w:tblStyle w:val="865"/>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12"/>
        <w:gridCol w:w="4281"/>
        <w:gridCol w:w="1344"/>
        <w:gridCol w:w="1328"/>
        <w:gridCol w:w="716"/>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281"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考核方案</w:t>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一</w:t>
            </w:r>
            <w:r>
              <w:rPr>
                <w:rFonts w:hint="eastAsia" w:ascii="仿宋" w:hAnsi="仿宋" w:eastAsia="仿宋"/>
                <w:color w:val="auto"/>
                <w:sz w:val="24"/>
                <w:highlight w:val="none"/>
                <w:lang w:eastAsia="zh-CN"/>
              </w:rPr>
              <w:t xml:space="preserve">）垃圾清运考核标准</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1.按垃圾分类要求配置垃圾收集桶，做到分类收集、分类转运，转运垃圾量100%，做到日产日清无积存。</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2.垃圾运输做到车走地净。</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3.车容整洁，车体外无污物、灰垢、密封运输，垃圾车辆运输途中不得有滴、泼、洒、漏 现象。车辆外严禁挂垃圾袋，保持车容车貌整洁。</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4.垃圾按指定的转运站运送。</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5.垃圾处置合格，无填埋，无焚烧。</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6.垃圾运送员需穿着全装上岗，严格遵守交规。</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eastAsia="zh-CN"/>
              </w:rPr>
              <w:t xml:space="preserve">.及时冲洗垃圾容器，不得出现作业人员故意破坏垃圾容器的现象。</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212" w:type="dxa"/>
            <w:vMerge w:val="continue"/>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二</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Hans"/>
              </w:rPr>
              <w:t xml:space="preserve">东陈镇垃圾转运服务作业规范及考核细则</w:t>
            </w:r>
            <w:r>
              <w:rPr>
                <w:rFonts w:hint="eastAsia" w:ascii="仿宋" w:hAnsi="仿宋" w:eastAsia="仿宋"/>
                <w:color w:val="auto"/>
                <w:sz w:val="24"/>
                <w:highlight w:val="none"/>
                <w:lang w:val="en-US" w:eastAsia="zh-CN"/>
              </w:rPr>
              <w:t xml:space="preserve">：</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Hans"/>
              </w:rPr>
              <w:t xml:space="preserve">垃圾转运服务作业规范</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一、作业质量标准和工作要求</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出车前检查车辆是否完好，箱体是否密闭；</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按时到达指定中转站，装卸垃圾时，驾驶员应与中转站操作工密切配合，按照中转站设备使用说明使用相关设备。同时要做到垃圾日产日清；</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运输时做到密闭化，车辆整洁，垃圾无吊挂，沿途不散落、滴洒，严禁搭乘与作业无关人员；</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4.</w:t>
            </w:r>
            <w:r>
              <w:rPr>
                <w:rFonts w:hint="eastAsia" w:ascii="仿宋" w:hAnsi="仿宋" w:eastAsia="仿宋"/>
                <w:color w:val="auto"/>
                <w:sz w:val="24"/>
                <w:highlight w:val="none"/>
              </w:rPr>
              <w:t xml:space="preserve">垃圾运到处理场后，应服从调度、安排，倾卸垃圾后车厢必须归位后再起步；</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5.</w:t>
            </w:r>
            <w:r>
              <w:rPr>
                <w:rFonts w:hint="eastAsia" w:ascii="仿宋" w:hAnsi="仿宋" w:eastAsia="仿宋"/>
                <w:color w:val="auto"/>
                <w:sz w:val="24"/>
                <w:highlight w:val="none"/>
              </w:rPr>
              <w:t xml:space="preserve">装运中遵守交通规则，注意行车安全，防止事故发生；</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6.</w:t>
            </w:r>
            <w:r>
              <w:rPr>
                <w:rFonts w:hint="eastAsia" w:ascii="仿宋" w:hAnsi="仿宋" w:eastAsia="仿宋"/>
                <w:color w:val="auto"/>
                <w:sz w:val="24"/>
                <w:highlight w:val="none"/>
              </w:rPr>
              <w:t xml:space="preserve">每天作业结束后，将车辆冲洗干净，停放到指定地点。</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二、为切实加强考核管理，完善考核监管机制，推动工作落实，提升垃圾转运效率，根据相关规章和标准规范的规定，结合项目实际情况，特制订本考核办法。</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（一）考核内容</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垃圾车辆管理，包括驾驶员工作规范、车辆维护等。</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（二）考核方式</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考核通过随机抽查与通知检查、明查与突击检查等多种形式，全面了解掌握作业车辆及中转站管理质量情况。</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季度考核：由巡查人员开展日常巡查工作，发现存在问题当场拍照并通知</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确认并落实整改，同时根据扣分标准予以相应扣分，按季度进行评分；</w:t>
            </w:r>
            <w:r/>
          </w:p>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公众监督：对群众投诉、媒体曝光的问题，经核实属于</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责任的，通知</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处理并按规定进行扣分，拖延处理或造成不良影响的，加倍扣分。扣分根据投诉或曝光日期计入月度考核中，不重复扣分。</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5</w:t>
            </w:r>
            <w:r/>
          </w:p>
        </w:tc>
        <w:tc>
          <w:tcPr>
            <w:tcBorders>
              <w:left w:val="single" w:color="auto" w:sz="4" w:space="0"/>
              <w:right w:val="single" w:color="auto" w:sz="4" w:space="0"/>
            </w:tcBorders>
            <w:tcW w:w="1212" w:type="dxa"/>
            <w:vMerge w:val="continue"/>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eastAsia="zh-CN"/>
              </w:rPr>
              <w:t xml:space="preserve">（三）结果运用</w:t>
            </w:r>
            <w:r/>
          </w:p>
          <w:p>
            <w:pPr>
              <w:jc w:val="left"/>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val="en-US" w:eastAsia="zh-CN"/>
              </w:rPr>
              <w:t xml:space="preserve">采取“每日计量、季度结算、结合季度绩效考核结果”的办法。每季度暂按垃圾转运处置服务费中标价和实际垃圾处理量的80%支付，余款于合同满一年后根据考核情况支付</w:t>
            </w:r>
            <w:r>
              <w:rPr>
                <w:rFonts w:hint="eastAsia" w:ascii="仿宋" w:hAnsi="仿宋" w:eastAsia="仿宋"/>
                <w:color w:val="auto"/>
                <w:sz w:val="24"/>
                <w:highlight w:val="none"/>
                <w:lang w:eastAsia="zh-CN"/>
              </w:rPr>
              <w:t xml:space="preserve">。当季度考评分值90分（含90分）以上的，全额拨付当季服务费；得分在85—90（含85分），按实际扣减分数每分2000元扣减当季服务费，得分在85分以下，按实际扣减分数每分3000元扣减当季服务费。按照最终结算的服务费，对该服务季度已经按月度实际支付的垃圾转运处理费以“多退少补”的方式处理（不计息）。</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6</w:t>
            </w:r>
            <w:r/>
          </w:p>
        </w:tc>
        <w:tc>
          <w:tcPr>
            <w:tcBorders>
              <w:left w:val="single" w:color="auto" w:sz="4" w:space="0"/>
              <w:right w:val="single" w:color="auto" w:sz="4" w:space="0"/>
            </w:tcBorders>
            <w:tcW w:w="1212" w:type="dxa"/>
            <w:vMerge w:val="continue"/>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（四）其他事项</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成交人如果出现以下现象之一，采购人可以采取解除合同措施，并要求成交人赔偿损失。</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（1）若成交人在服务期内累计出现2次季度考核评分低于80分或出现1次季度考核评分低于60分的；</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（2）在重大创建活动的迎检过程中，因保障不力、责任失分，造成检查未通过的；</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（3）因管理不善、违反劳动法等法律法规，发生群体性事件，造成恶劣影响的；</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（4）存在违反廉政合同或威胁、侮辱、诽谤管理人员等行为的；</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（5）存在违反国家法律行为或其他犯罪活动的；</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（6）成交人在服务期间因管理不善导致出现重大安全事故，被新闻媒体曝光，并在社会上造成不良影响及严重后果的；</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（7）不能按约定继续履行合同的。</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7</w:t>
            </w:r>
            <w:r/>
          </w:p>
        </w:tc>
        <w:tc>
          <w:tcPr>
            <w:tcBorders>
              <w:left w:val="single" w:color="auto" w:sz="4" w:space="0"/>
              <w:bottom w:val="single" w:color="auto" w:sz="4" w:space="0"/>
              <w:right w:val="single" w:color="auto" w:sz="4" w:space="0"/>
            </w:tcBorders>
            <w:tcW w:w="1212" w:type="dxa"/>
            <w:vMerge w:val="continue"/>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（五）有关要求</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1.成交人严格按照法律法规和标准、规范以及采购文件、政府采购合同的约定，高质量、高水平落实责任范围内的各项清运工作，并接受各级考核监管部门的检查和监督；</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2.成交人建立健全垃圾清运作业质量自查自评工作机制，健全内部日常作业巡查和监管工作，整理完善自查资料档案，做到制度健全、工作落实、资料齐全，促进垃圾清运作业质量的不断提高；</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3.日常考核和季度考核各项资料应齐全，考核人员应客观、公平、公正，季度考核参加人员应不少于两人同时在场，日常考核应有照片等佐证；</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4.对群众投诉、媒体曝光的环境卫生问题以及重大节日、活动和上级交办的环卫（垃圾清运）工作要认真制定工作措施，落实整改工作，确保发现的环境卫生问题得以及时、有效地解决。对数字城管案件、12345政府热线、110应急事项、市民投诉等应及时响应、整改，按规定时间回复。</w:t>
            </w:r>
            <w:r/>
          </w:p>
          <w:p>
            <w:pPr>
              <w:jc w:val="left"/>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垃圾转运服务考核细则（详见磋商文件 第3章）</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采取“每日计量、季度结算、结合季度绩效考核结果”的办法。每季度暂按垃圾转运处置服务费中标价和实际垃圾处理量的80%支付，余款于合同满一年后根据考核情况支付。</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default" w:ascii="仿宋" w:hAnsi="仿宋" w:eastAsia="仿宋"/>
                <w:color w:val="auto"/>
                <w:sz w:val="24"/>
                <w:highlight w:val="none"/>
                <w:lang w:val="en-US" w:eastAsia="zh-CN"/>
              </w:rPr>
              <w:outlineLvl w:val="9"/>
            </w:pPr>
            <w:r>
              <w:rPr>
                <w:rFonts w:hint="default" w:ascii="仿宋" w:hAnsi="仿宋" w:eastAsia="仿宋"/>
                <w:color w:val="auto"/>
                <w:sz w:val="24"/>
                <w:highlight w:val="none"/>
                <w:lang w:val="en-US" w:eastAsia="zh-CN"/>
              </w:rPr>
              <w:t xml:space="preserve">采购需求中的技术、服务要求以及合同草案条款。</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10</w:t>
            </w:r>
            <w:r/>
          </w:p>
        </w:tc>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default" w:ascii="仿宋" w:hAnsi="仿宋" w:eastAsia="仿宋"/>
                <w:color w:val="auto"/>
                <w:sz w:val="24"/>
                <w:highlight w:val="none"/>
                <w:lang w:val="en-US" w:eastAsia="zh-CN"/>
              </w:rPr>
              <w:outlineLvl w:val="9"/>
            </w:pPr>
            <w:r>
              <w:rPr>
                <w:rFonts w:hint="default" w:ascii="仿宋" w:hAnsi="仿宋" w:eastAsia="仿宋"/>
                <w:color w:val="auto"/>
                <w:sz w:val="24"/>
                <w:highlight w:val="none"/>
                <w:lang w:val="en-US" w:eastAsia="zh-CN"/>
              </w:rPr>
              <w:t xml:space="preserve">（一）报价要求：</w:t>
            </w:r>
            <w:r/>
          </w:p>
          <w:p>
            <w:pPr>
              <w:jc w:val="left"/>
              <w:rPr>
                <w:rFonts w:hint="default" w:ascii="仿宋" w:hAnsi="仿宋" w:eastAsia="仿宋"/>
                <w:color w:val="auto"/>
                <w:sz w:val="24"/>
                <w:highlight w:val="none"/>
                <w:lang w:val="en-US" w:eastAsia="zh-CN"/>
              </w:rPr>
              <w:outlineLvl w:val="9"/>
            </w:pPr>
            <w:r>
              <w:rPr>
                <w:rFonts w:hint="default" w:ascii="仿宋" w:hAnsi="仿宋" w:eastAsia="仿宋"/>
                <w:color w:val="auto"/>
                <w:sz w:val="24"/>
                <w:highlight w:val="none"/>
                <w:lang w:val="en-US" w:eastAsia="zh-CN"/>
              </w:rPr>
              <w:t xml:space="preserve">本项目按转运每吨垃圾的单价报价（元/吨），依据采购人与垃圾接受单位共同出具的“确认单”确认的吨数据实结算，每年结算总量不超过20000吨，超过部分成交人无偿服务。响应供应商报价应包含运输、装卸、保险、验收、人员培训、设备运行维护、检验、税金、代理服务费等与本项目相关的一切费用。成交价之外采购人不再支付任何费用。</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11</w:t>
            </w:r>
            <w:r/>
          </w:p>
        </w:tc>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（二）报价含响应供应商为完成采购文件全部要求内容应承担的一切成本、费用和支出以及供应商的合理利润等交付使用前一切费用。不接受选择性报价。</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12</w:t>
            </w:r>
            <w:r/>
          </w:p>
        </w:tc>
        <w:tc>
          <w:tcPr>
            <w:tcBorders>
              <w:left w:val="single" w:color="auto" w:sz="4" w:space="0"/>
              <w:bottom w:val="single" w:color="auto" w:sz="4" w:space="0"/>
              <w:right w:val="single" w:color="auto" w:sz="4" w:space="0"/>
            </w:tcBorders>
            <w:tcW w:w="1212" w:type="dxa"/>
            <w:vMerge w:val="continue"/>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4281" w:type="dxa"/>
            <w:textDirection w:val="lrTb"/>
            <w:noWrap w:val="false"/>
          </w:tcPr>
          <w:p>
            <w:pPr>
              <w:jc w:val="left"/>
              <w:rPr>
                <w:rFonts w:hint="default" w:ascii="仿宋" w:hAnsi="仿宋" w:eastAsia="仿宋"/>
                <w:color w:val="auto"/>
                <w:sz w:val="24"/>
                <w:highlight w:val="none"/>
                <w:lang w:val="en-US" w:eastAsia="zh-CN"/>
              </w:rPr>
              <w:outlineLvl w:val="9"/>
            </w:pPr>
            <w:r>
              <w:rPr>
                <w:rFonts w:hint="eastAsia" w:ascii="仿宋" w:hAnsi="仿宋" w:eastAsia="仿宋"/>
                <w:color w:val="auto"/>
                <w:sz w:val="24"/>
                <w:highlight w:val="none"/>
                <w:lang w:val="en-US" w:eastAsia="zh-CN"/>
              </w:rPr>
              <w:t xml:space="preserve">（三）响应供应商成交后不得将成交项目分包或者转让给其他主体实施。</w:t>
            </w:r>
            <w:r/>
          </w:p>
        </w:tc>
        <w:tc>
          <w:tcPr>
            <w:tcBorders>
              <w:top w:val="single" w:color="auto" w:sz="4" w:space="0"/>
              <w:left w:val="single" w:color="auto" w:sz="4" w:space="0"/>
              <w:bottom w:val="single" w:color="auto" w:sz="4" w:space="0"/>
              <w:right w:val="single" w:color="auto" w:sz="4" w:space="0"/>
            </w:tcBorders>
            <w:tcW w:w="1344"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c>
      </w:tr>
    </w:tbl>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r>
      <w:r/>
    </w:p>
    <w:p>
      <w:pPr>
        <w:numPr>
          <w:ilvl w:val="0"/>
          <w:numId w:val="5"/>
        </w:numPr>
        <w:ind w:left="0"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竞争性磋商文件规定提交的其他材料</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1.管理制度；</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2.服务方案；</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3.应急预案；</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4.安全作业保障；</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5.管理体系认证；</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6.创新管理；</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7.服务水平；</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8.业绩；</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9.人员配置；</w:t>
      </w:r>
      <w:r/>
    </w:p>
    <w:p>
      <w:pPr>
        <w:numPr>
          <w:ilvl w:val="0"/>
          <w:numId w:val="0"/>
        </w:numPr>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10.设备配置；</w:t>
      </w:r>
      <w:r/>
    </w:p>
    <w:p>
      <w:pPr>
        <w:numPr>
          <w:ilvl w:val="0"/>
          <w:numId w:val="0"/>
        </w:numPr>
        <w:keepLines w:val="0"/>
        <w:keepNext w:val="0"/>
        <w:pageBreakBefore w:val="0"/>
        <w:spacing w:line="500" w:lineRule="exact"/>
        <w:widowControl w:val="off"/>
        <w:rPr>
          <w:rFonts w:ascii="黑体" w:hAnsi="黑体" w:eastAsia="黑体"/>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11.服务承诺。</w:t>
      </w:r>
      <w:r>
        <w:rPr>
          <w:rFonts w:ascii="黑体" w:hAnsi="黑体" w:eastAsia="黑体"/>
          <w:color w:val="auto"/>
          <w:sz w:val="28"/>
          <w:szCs w:val="28"/>
          <w:highlight w:val="none"/>
        </w:rPr>
        <w:br w:type="page" w:clear="all"/>
      </w:r>
      <w:r/>
    </w:p>
    <w:p>
      <w:pPr>
        <w:ind w:firstLine="560"/>
        <w:rPr>
          <w:rFonts w:ascii="黑体" w:hAnsi="黑体" w:eastAsia="黑体"/>
          <w:bCs/>
          <w:color w:val="auto"/>
          <w:sz w:val="28"/>
          <w:szCs w:val="28"/>
          <w:highlight w:val="none"/>
        </w:rPr>
        <w:outlineLvl w:val="1"/>
      </w:pPr>
      <w:r/>
      <w:bookmarkStart w:id="75" w:name="_Toc25883"/>
      <w:r>
        <w:rPr>
          <w:rFonts w:hint="eastAsia" w:ascii="黑体" w:hAnsi="黑体" w:eastAsia="黑体"/>
          <w:color w:val="auto"/>
          <w:sz w:val="28"/>
          <w:szCs w:val="28"/>
          <w:highlight w:val="none"/>
        </w:rPr>
        <w:t xml:space="preserve">三、报价文件</w:t>
      </w:r>
      <w:bookmarkEnd w:id="75"/>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（一）竞争性磋商响应报价表</w:t>
      </w:r>
      <w:r/>
    </w:p>
    <w:p>
      <w:pPr>
        <w:ind w:firstLine="3040"/>
        <w:rPr>
          <w:rFonts w:ascii="微软雅黑" w:hAnsi="宋体" w:eastAsia="微软雅黑"/>
          <w:color w:val="auto"/>
          <w:sz w:val="32"/>
          <w:szCs w:val="32"/>
          <w:highlight w:val="none"/>
        </w:rPr>
        <w:outlineLvl w:val="9"/>
      </w:pPr>
      <w:r>
        <w:rPr>
          <w:rFonts w:hint="eastAsia" w:ascii="微软雅黑" w:hAnsi="宋体" w:eastAsia="微软雅黑"/>
          <w:color w:val="auto"/>
          <w:sz w:val="32"/>
          <w:szCs w:val="32"/>
          <w:highlight w:val="none"/>
        </w:rPr>
        <w:t xml:space="preserve">竞争性磋商响应报价表</w:t>
      </w:r>
      <w:r/>
    </w:p>
    <w:tbl>
      <w:tblPr>
        <w:tblStyle w:val="86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东陈镇2026年生活垃圾转送服务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JSZC-320682-NTZJ-C2026-0014</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outlineLvl w:val="9"/>
            </w:pPr>
            <w:r>
              <w:rPr>
                <w:rFonts w:hint="eastAsia" w:ascii="仿宋" w:hAnsi="仿宋" w:eastAsia="仿宋" w:cs="宋体"/>
                <w:color w:val="auto"/>
                <w:sz w:val="24"/>
                <w:highlight w:val="none"/>
              </w:rPr>
              <w:t xml:space="preserve">竞争性磋商响应报价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单价</w:t>
            </w:r>
            <w:r>
              <w:rPr>
                <w:rFonts w:hint="eastAsia" w:ascii="仿宋" w:hAnsi="仿宋" w:eastAsia="仿宋" w:cs="宋体"/>
                <w:color w:val="auto"/>
                <w:sz w:val="24"/>
                <w:highlight w:val="none"/>
                <w:lang w:val="en-US" w:eastAsia="zh-CN"/>
              </w:rPr>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小写：</w:t>
            </w:r>
            <w:r>
              <w:rPr>
                <w:rFonts w:hint="eastAsia" w:ascii="仿宋" w:hAnsi="仿宋" w:eastAsia="仿宋" w:cs="宋体"/>
                <w:color w:val="auto"/>
                <w:sz w:val="24"/>
                <w:highlight w:val="none"/>
              </w:rPr>
            </w:r>
            <w:r>
              <w:rPr>
                <w:rFonts w:hint="eastAsia" w:ascii="仿宋" w:hAnsi="仿宋" w:eastAsia="仿宋" w:cs="宋体"/>
                <w:color w:val="auto"/>
                <w:sz w:val="24"/>
                <w:highlight w:val="none"/>
                <w:u w:val="single"/>
              </w:rPr>
              <w:t xml:space="preserve">                 </w:t>
            </w:r>
            <w:r/>
            <w:r>
              <w:rPr>
                <w:rFonts w:hint="eastAsia" w:ascii="仿宋" w:hAnsi="仿宋" w:eastAsia="仿宋" w:cs="宋体"/>
                <w:color w:val="auto"/>
                <w:sz w:val="24"/>
                <w:highlight w:val="none"/>
              </w:rPr>
            </w:r>
            <w:r>
              <w:rPr>
                <w:rFonts w:hint="eastAsia" w:ascii="仿宋" w:hAnsi="仿宋" w:eastAsia="仿宋" w:cs="宋体"/>
                <w:color w:val="auto"/>
                <w:sz w:val="24"/>
                <w:highlight w:val="none"/>
              </w:rPr>
              <w:t xml:space="preserve">元/吨</w:t>
            </w:r>
            <w:r>
              <w:rPr>
                <w:rFonts w:hint="eastAsia" w:ascii="仿宋" w:hAnsi="仿宋" w:eastAsia="仿宋" w:cs="宋体"/>
                <w:color w:val="auto"/>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outlineLvl w:val="9"/>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u w:val="single"/>
              </w:rPr>
              <w:outlineLvl w:val="9"/>
            </w:pPr>
            <w:r>
              <w:rPr>
                <w:rFonts w:hint="eastAsia" w:ascii="仿宋" w:hAnsi="仿宋" w:eastAsia="仿宋" w:cs="宋体"/>
                <w:color w:val="auto"/>
                <w:sz w:val="24"/>
                <w:highlight w:val="none"/>
              </w:rPr>
              <w:t xml:space="preserve">大写：</w:t>
            </w:r>
            <w:r>
              <w:rPr>
                <w:rFonts w:hint="eastAsia" w:ascii="仿宋" w:hAnsi="仿宋" w:eastAsia="仿宋" w:cs="宋体"/>
                <w:color w:val="auto"/>
                <w:sz w:val="24"/>
                <w:highlight w:val="none"/>
              </w:rPr>
              <w:t xml:space="preserve">每吨</w:t>
            </w:r>
            <w:r>
              <w:rPr>
                <w:rFonts w:hint="eastAsia" w:ascii="仿宋" w:hAnsi="仿宋" w:eastAsia="仿宋" w:cs="宋体"/>
                <w:color w:val="auto"/>
                <w:sz w:val="24"/>
                <w:highlight w:val="none"/>
                <w:u w:val="single"/>
              </w:rPr>
              <w:t xml:space="preserve">                 </w:t>
            </w:r>
            <w:r>
              <w:rPr>
                <w:rFonts w:ascii="仿宋" w:hAnsi="仿宋" w:eastAsia="仿宋" w:cs="宋体"/>
                <w:color w:val="auto"/>
                <w:sz w:val="24"/>
                <w:highlight w:val="none"/>
                <w:u w:val="single"/>
              </w:rP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outlineLvl w:val="9"/>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（二）竞争性磋商响应报价明细表</w:t>
      </w:r>
      <w:r/>
    </w:p>
    <w:p>
      <w:pPr>
        <w:ind w:firstLine="3040"/>
        <w:rPr>
          <w:rFonts w:ascii="宋体" w:hAnsi="宋体"/>
          <w:color w:val="auto"/>
          <w:sz w:val="24"/>
          <w:highlight w:val="none"/>
        </w:rPr>
        <w:outlineLvl w:val="9"/>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outlineLvl w:val="9"/>
      </w:pPr>
      <w:r>
        <w:rPr>
          <w:rFonts w:ascii="宋体" w:hAnsi="宋体"/>
          <w:color w:val="auto"/>
          <w:highlight w:val="none"/>
        </w:rPr>
      </w:r>
      <w:r/>
    </w:p>
    <w:p>
      <w:pPr>
        <w:rPr>
          <w:rFonts w:ascii="仿宋" w:hAnsi="仿宋" w:eastAsia="仿宋"/>
          <w:color w:val="auto"/>
          <w:sz w:val="24"/>
          <w:highlight w:val="none"/>
        </w:rPr>
        <w:outlineLvl w:val="9"/>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东陈镇2026年生活垃圾转送服务</w:t>
      </w:r>
      <w:r>
        <w:rPr>
          <w:rFonts w:hint="eastAsia" w:ascii="仿宋" w:hAnsi="仿宋" w:eastAsia="仿宋"/>
          <w:color w:val="auto"/>
          <w:sz w:val="24"/>
          <w:highlight w:val="none"/>
        </w:rPr>
        <w:t xml:space="preserve">项目编号： </w:t>
      </w:r>
      <w:r>
        <w:rPr>
          <w:rFonts w:hint="eastAsia" w:ascii="仿宋" w:hAnsi="仿宋" w:eastAsia="仿宋"/>
          <w:color w:val="auto"/>
          <w:sz w:val="24"/>
          <w:highlight w:val="none"/>
          <w:lang w:eastAsia="zh-CN"/>
        </w:rPr>
        <w:t xml:space="preserve">JSZC-320682-NTZJ-C2026-0014</w:t>
      </w:r>
      <w:r>
        <w:rPr>
          <w:rFonts w:hint="eastAsia" w:ascii="仿宋" w:hAnsi="仿宋" w:eastAsia="仿宋"/>
          <w:color w:val="auto"/>
          <w:sz w:val="24"/>
          <w:highlight w:val="none"/>
        </w:rPr>
        <w:t xml:space="preserve">                                  分包号：                   </w:t>
      </w:r>
      <w:r/>
    </w:p>
    <w:tbl>
      <w:tblPr>
        <w:tblStyle w:val="86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784" w:type="dxa"/>
            <w:vAlign w:val="center"/>
            <w:textDirection w:val="lrTb"/>
            <w:noWrap w:val="false"/>
          </w:tcPr>
          <w:p>
            <w:pPr>
              <w:pStyle w:val="868"/>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序号</w:t>
            </w:r>
            <w:r/>
          </w:p>
        </w:tc>
        <w:tc>
          <w:tcPr>
            <w:tcW w:w="1426"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服务名称</w:t>
            </w:r>
            <w:r/>
          </w:p>
        </w:tc>
        <w:tc>
          <w:tcPr>
            <w:tcW w:w="2891"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服务内容</w:t>
            </w:r>
            <w:r/>
          </w:p>
        </w:tc>
        <w:tc>
          <w:tcPr>
            <w:tcW w:w="555"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计量单位</w:t>
            </w:r>
            <w:r/>
          </w:p>
        </w:tc>
        <w:tc>
          <w:tcPr>
            <w:tcW w:w="555"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工作量</w:t>
            </w:r>
            <w:r/>
          </w:p>
        </w:tc>
        <w:tc>
          <w:tcPr>
            <w:tcW w:w="961"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单 价</w:t>
            </w:r>
            <w:r/>
          </w:p>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（元）</w:t>
            </w:r>
            <w:r/>
          </w:p>
        </w:tc>
        <w:tc>
          <w:tcPr>
            <w:tcW w:w="1014"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总 价</w:t>
            </w:r>
            <w:r/>
          </w:p>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（元）</w:t>
            </w:r>
            <w:r/>
          </w:p>
        </w:tc>
        <w:tc>
          <w:tcPr>
            <w:tcW w:w="1384" w:type="dxa"/>
            <w:vAlign w:val="center"/>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备注</w:t>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289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（视明细项目加行）</w:t>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jc w:val="center"/>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96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289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96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289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96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289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96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289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96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289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555"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961"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gridSpan w:val="4"/>
            <w:tcW w:w="4962"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gridSpan w:val="4"/>
            <w:tcW w:w="4962"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gridSpan w:val="4"/>
            <w:tcW w:w="4962"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gridSpan w:val="4"/>
            <w:tcW w:w="4962"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tcW w:w="7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426"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gridSpan w:val="4"/>
            <w:tcW w:w="4962"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其他</w:t>
            </w:r>
            <w:r/>
          </w:p>
        </w:tc>
        <w:tc>
          <w:tcPr>
            <w:tcW w:w="101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c>
          <w:tcPr>
            <w:tcW w:w="1384"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ascii="仿宋" w:hAnsi="仿宋" w:eastAsia="仿宋"/>
                <w:color w:val="auto"/>
                <w:sz w:val="24"/>
                <w:szCs w:val="24"/>
                <w:highlight w:val="none"/>
              </w:rPr>
            </w:r>
            <w:r/>
          </w:p>
        </w:tc>
      </w:tr>
      <w:tr>
        <w:trPr>
          <w:cantSplit/>
          <w:jc w:val="center"/>
        </w:trPr>
        <w:tc>
          <w:tcPr>
            <w:gridSpan w:val="8"/>
            <w:tcW w:w="9570" w:type="dxa"/>
            <w:vAlign w:val="top"/>
            <w:textDirection w:val="lrTb"/>
            <w:noWrap w:val="false"/>
          </w:tcPr>
          <w:p>
            <w:pPr>
              <w:pStyle w:val="868"/>
              <w:spacing w:after="0" w:line="240" w:lineRule="auto"/>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大写：                                           合同价：      元</w:t>
            </w:r>
            <w:r/>
          </w:p>
        </w:tc>
      </w:tr>
    </w:tbl>
    <w:p>
      <w:pPr>
        <w:rPr>
          <w:rFonts w:ascii="仿宋" w:hAnsi="仿宋" w:eastAsia="仿宋"/>
          <w:color w:val="auto"/>
          <w:sz w:val="24"/>
          <w:highlight w:val="none"/>
        </w:rPr>
        <w:outlineLvl w:val="9"/>
      </w:pPr>
      <w:r>
        <w:rPr>
          <w:rFonts w:ascii="仿宋" w:hAnsi="仿宋" w:eastAsia="仿宋"/>
          <w:color w:val="auto"/>
          <w:sz w:val="24"/>
          <w:highlight w:val="none"/>
        </w:rPr>
      </w:r>
      <w:r/>
    </w:p>
    <w:p>
      <w:pPr>
        <w:rPr>
          <w:rFonts w:ascii="仿宋" w:hAnsi="仿宋" w:eastAsia="仿宋"/>
          <w:b/>
          <w:color w:val="auto"/>
          <w:szCs w:val="21"/>
          <w:highlight w:val="none"/>
        </w:rPr>
        <w:outlineLvl w:val="9"/>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2、项目如有分包，请各磋商供应商按投报的分包分别列表。</w:t>
      </w:r>
      <w:r/>
    </w:p>
    <w:p>
      <w:pPr>
        <w:spacing w:line="500" w:lineRule="exact"/>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jc w:val="center"/>
        <w:rPr>
          <w:rFonts w:ascii="微软雅黑" w:eastAsia="微软雅黑"/>
          <w:i/>
          <w:color w:val="auto"/>
          <w:sz w:val="36"/>
          <w:szCs w:val="36"/>
          <w:highlight w:val="none"/>
        </w:rPr>
        <w:outlineLvl w:val="9"/>
      </w:pPr>
      <w:r>
        <w:rPr>
          <w:rFonts w:hint="eastAsia" w:ascii="微软雅黑"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如皋市东陈镇人民政府</w:t>
      </w:r>
      <w:r>
        <w:rPr>
          <w:rFonts w:hint="eastAsia" w:ascii="仿宋" w:hAnsi="仿宋" w:eastAsia="仿宋"/>
          <w:color w:val="auto"/>
          <w:sz w:val="28"/>
          <w:szCs w:val="28"/>
          <w:highlight w:val="none"/>
          <w:u w:val="single"/>
        </w:rPr>
        <w:t xml:space="preserve">单位</w:t>
      </w:r>
      <w:r>
        <w:rPr>
          <w:rFonts w:hint="eastAsia" w:ascii="仿宋" w:hAnsi="仿宋" w:eastAsia="仿宋"/>
          <w:color w:val="auto"/>
          <w:sz w:val="28"/>
          <w:szCs w:val="28"/>
          <w:highlight w:val="none"/>
        </w:rPr>
        <w:t xml:space="preserve">的项目编号为</w:t>
      </w:r>
      <w:r>
        <w:rPr>
          <w:rFonts w:hint="eastAsia" w:ascii="仿宋" w:hAnsi="仿宋" w:eastAsia="仿宋"/>
          <w:color w:val="auto"/>
          <w:sz w:val="28"/>
          <w:szCs w:val="28"/>
          <w:highlight w:val="none"/>
          <w:u w:val="single"/>
          <w:lang w:eastAsia="zh-CN"/>
        </w:rPr>
        <w:t xml:space="preserve">JSZC-320682-NTZJ-C2026-0014</w:t>
      </w:r>
      <w:r>
        <w:rPr>
          <w:rFonts w:hint="eastAsia" w:ascii="仿宋" w:hAnsi="仿宋" w:eastAsia="仿宋"/>
          <w:color w:val="auto"/>
          <w:sz w:val="28"/>
          <w:szCs w:val="28"/>
          <w:highlight w:val="none"/>
          <w:u w:val="single"/>
          <w:lang w:val="en-US" w:eastAsia="zh-CN"/>
        </w:rPr>
        <w:t xml:space="preserve">的东陈镇2026年生活垃圾转送服务</w:t>
      </w:r>
      <w:r>
        <w:rPr>
          <w:rFonts w:hint="eastAsia" w:ascii="仿宋" w:hAnsi="仿宋" w:eastAsia="仿宋"/>
          <w:color w:val="auto"/>
          <w:sz w:val="28"/>
          <w:szCs w:val="28"/>
          <w:highlight w:val="none"/>
          <w:u w:val="none"/>
        </w:rPr>
        <w:t xml:space="preserve">的项目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微软雅黑" w:hAnsi="微软雅黑" w:eastAsia="微软雅黑"/>
          <w:b/>
          <w:color w:val="auto"/>
          <w:sz w:val="44"/>
          <w:szCs w:val="44"/>
          <w:highlight w:val="none"/>
        </w:rPr>
      </w:pPr>
      <w:r>
        <w:rPr>
          <w:rStyle w:val="879"/>
          <w:rFonts w:ascii="微软雅黑" w:hAnsi="微软雅黑" w:eastAsia="微软雅黑"/>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881"/>
          <w:rFonts w:hint="eastAsia" w:ascii="仿宋" w:hAnsi="仿宋" w:eastAsia="仿宋"/>
          <w:color w:val="auto"/>
          <w:sz w:val="32"/>
          <w:szCs w:val="32"/>
          <w:highlight w:val="none"/>
        </w:rPr>
        <w:t xml:space="preserve">（产品名称1）</w:t>
      </w:r>
      <w:r>
        <w:rPr>
          <w:rStyle w:val="881"/>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881"/>
          <w:rFonts w:hint="eastAsia" w:ascii="仿宋" w:hAnsi="仿宋" w:eastAsia="仿宋"/>
          <w:color w:val="auto"/>
          <w:sz w:val="32"/>
          <w:szCs w:val="32"/>
          <w:highlight w:val="none"/>
        </w:rPr>
        <w:t xml:space="preserve">（厂名）</w:t>
      </w:r>
      <w:r>
        <w:rPr>
          <w:rStyle w:val="881"/>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881"/>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81"/>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881"/>
          <w:rFonts w:hint="eastAsia" w:ascii="仿宋" w:hAnsi="仿宋" w:eastAsia="仿宋"/>
          <w:color w:val="auto"/>
          <w:sz w:val="32"/>
          <w:szCs w:val="32"/>
          <w:highlight w:val="none"/>
        </w:rPr>
        <w:t xml:space="preserve">（规定比例）</w:t>
      </w:r>
      <w:r>
        <w:rPr>
          <w:rStyle w:val="881"/>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881"/>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81"/>
          <w:rFonts w:hint="eastAsia" w:ascii="仿宋" w:hAnsi="仿宋" w:eastAsia="仿宋"/>
          <w:color w:val="auto"/>
          <w:sz w:val="32"/>
          <w:szCs w:val="32"/>
          <w:highlight w:val="none"/>
        </w:rPr>
        <w:t xml:space="preserve">（关键组件）</w:t>
      </w:r>
      <w:r>
        <w:rPr>
          <w:rStyle w:val="881"/>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881"/>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81"/>
          <w:rFonts w:hint="eastAsia" w:ascii="仿宋" w:hAnsi="仿宋" w:eastAsia="仿宋"/>
          <w:color w:val="auto"/>
          <w:sz w:val="32"/>
          <w:szCs w:val="32"/>
          <w:highlight w:val="none"/>
        </w:rPr>
        <w:t xml:space="preserve">（关键工序）</w:t>
      </w:r>
      <w:r>
        <w:rPr>
          <w:rStyle w:val="881"/>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881"/>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881"/>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881"/>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81"/>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881"/>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881"/>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81"/>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881"/>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81"/>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color w:val="auto"/>
          <w:highlight w:val="none"/>
        </w:rPr>
      </w:pPr>
      <w:r>
        <w:rPr>
          <w:rFonts w:hint="eastAsia" w:ascii="仿宋" w:hAnsi="仿宋" w:eastAsia="仿宋"/>
          <w:color w:val="auto"/>
          <w:sz w:val="28"/>
          <w:szCs w:val="28"/>
          <w:highlight w:val="none"/>
        </w:rPr>
        <w:t xml:space="preserve">5.该产品的关键工序要求实施前，“关键工序”栏可不填，下同。</w:t>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文鼎CS楷体">
    <w:panose1 w:val="020B0503020202020204"/>
  </w:font>
  <w:font w:name="微软雅黑">
    <w:panose1 w:val="020B0503020204020204"/>
  </w:font>
  <w:font w:name="Wingdings">
    <w:panose1 w:val="05000000000000000000"/>
  </w:font>
  <w:font w:name="方正仿宋_GB2312">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0"/>
      </w:rPr>
      <w:framePr w:wrap="around" w:vAnchor="text" w:hAnchor="margin" w:xAlign="center" w:y="1"/>
    </w:pPr>
    <w:r>
      <w:fldChar w:fldCharType="begin"/>
    </w:r>
    <w:r>
      <w:rPr>
        <w:rStyle w:val="880"/>
      </w:rPr>
      <w:instrText xml:space="preserve">PAGE  </w:instrTex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0"/>
      </w:rPr>
      <w:framePr w:wrap="around" w:vAnchor="text" w:hAnchor="margin" w:xAlign="center" w:y="1"/>
    </w:pPr>
    <w:r>
      <w:fldChar w:fldCharType="begin"/>
    </w:r>
    <w:r>
      <w:rPr>
        <w:rStyle w:val="880"/>
      </w:rPr>
      <w:instrText xml:space="preserve">PAGE  </w:instrText>
    </w:r>
    <w:r>
      <w:fldChar w:fldCharType="separate"/>
    </w:r>
    <w:r>
      <w:rPr>
        <w:rStyle w:val="880"/>
      </w:rPr>
      <w:t xml:space="preserve">5</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1"/>
    <w:next w:val="861"/>
    <w:link w:val="692"/>
    <w:uiPriority w:val="9"/>
    <w:qFormat/>
    <w:pPr>
      <w:keepLines/>
      <w:keepNext/>
      <w:spacing w:before="480" w:after="200"/>
      <w:outlineLvl w:val="0"/>
    </w:pPr>
    <w:rPr>
      <w:rFonts w:ascii="Arial" w:hAnsi="Arial" w:eastAsia="Arial" w:cs="Arial"/>
      <w:sz w:val="40"/>
      <w:szCs w:val="40"/>
    </w:rPr>
  </w:style>
  <w:style w:type="character" w:styleId="692">
    <w:name w:val="Heading 1 Char"/>
    <w:basedOn w:val="864"/>
    <w:link w:val="691"/>
    <w:uiPriority w:val="9"/>
    <w:rPr>
      <w:rFonts w:ascii="Arial" w:hAnsi="Arial" w:eastAsia="Arial" w:cs="Arial"/>
      <w:sz w:val="40"/>
      <w:szCs w:val="40"/>
    </w:rPr>
  </w:style>
  <w:style w:type="character" w:styleId="693">
    <w:name w:val="Heading 2 Char"/>
    <w:basedOn w:val="864"/>
    <w:link w:val="862"/>
    <w:uiPriority w:val="9"/>
    <w:rPr>
      <w:rFonts w:ascii="Arial" w:hAnsi="Arial" w:eastAsia="Arial" w:cs="Arial"/>
      <w:sz w:val="34"/>
    </w:rPr>
  </w:style>
  <w:style w:type="paragraph" w:styleId="694">
    <w:name w:val="Heading 3"/>
    <w:basedOn w:val="861"/>
    <w:next w:val="861"/>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64"/>
    <w:link w:val="694"/>
    <w:uiPriority w:val="9"/>
    <w:rPr>
      <w:rFonts w:ascii="Arial" w:hAnsi="Arial" w:eastAsia="Arial" w:cs="Arial"/>
      <w:sz w:val="30"/>
      <w:szCs w:val="30"/>
    </w:rPr>
  </w:style>
  <w:style w:type="character" w:styleId="696">
    <w:name w:val="Heading 4 Char"/>
    <w:basedOn w:val="864"/>
    <w:link w:val="863"/>
    <w:uiPriority w:val="9"/>
    <w:rPr>
      <w:rFonts w:ascii="Arial" w:hAnsi="Arial" w:eastAsia="Arial" w:cs="Arial"/>
      <w:b/>
      <w:bCs/>
      <w:sz w:val="26"/>
      <w:szCs w:val="26"/>
    </w:rPr>
  </w:style>
  <w:style w:type="paragraph" w:styleId="697">
    <w:name w:val="Heading 5"/>
    <w:basedOn w:val="861"/>
    <w:next w:val="861"/>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1"/>
    <w:next w:val="861"/>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1"/>
    <w:next w:val="861"/>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1"/>
    <w:next w:val="861"/>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1"/>
    <w:next w:val="861"/>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1"/>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1"/>
    <w:next w:val="861"/>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1"/>
    <w:next w:val="861"/>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1"/>
    <w:next w:val="861"/>
    <w:link w:val="714"/>
    <w:uiPriority w:val="29"/>
    <w:qFormat/>
    <w:pPr>
      <w:ind w:left="720" w:right="720"/>
    </w:pPr>
    <w:rPr>
      <w:i/>
    </w:rPr>
  </w:style>
  <w:style w:type="character" w:styleId="714">
    <w:name w:val="Quote Char"/>
    <w:link w:val="713"/>
    <w:uiPriority w:val="29"/>
    <w:rPr>
      <w:i/>
    </w:rPr>
  </w:style>
  <w:style w:type="paragraph" w:styleId="715">
    <w:name w:val="Intense Quote"/>
    <w:basedOn w:val="861"/>
    <w:next w:val="861"/>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1"/>
    <w:uiPriority w:val="99"/>
  </w:style>
  <w:style w:type="character" w:styleId="718">
    <w:name w:val="Footer Char"/>
    <w:basedOn w:val="864"/>
    <w:link w:val="870"/>
    <w:uiPriority w:val="99"/>
  </w:style>
  <w:style w:type="paragraph" w:styleId="719">
    <w:name w:val="Caption"/>
    <w:basedOn w:val="861"/>
    <w:next w:val="861"/>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1"/>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1"/>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2">
    <w:name w:val="Heading 2"/>
    <w:basedOn w:val="861"/>
    <w:next w:val="861"/>
    <w:uiPriority w:val="0"/>
    <w:qFormat/>
    <w:pPr>
      <w:keepLines/>
      <w:keepNext/>
      <w:spacing w:before="260" w:after="260" w:line="416" w:lineRule="auto"/>
      <w:outlineLvl w:val="1"/>
    </w:pPr>
    <w:rPr>
      <w:rFonts w:ascii="Arial" w:hAnsi="Arial" w:eastAsia="黑体"/>
      <w:b/>
      <w:bCs/>
      <w:sz w:val="32"/>
      <w:szCs w:val="32"/>
    </w:rPr>
  </w:style>
  <w:style w:type="paragraph" w:styleId="863">
    <w:name w:val="Heading 4"/>
    <w:basedOn w:val="861"/>
    <w:next w:val="861"/>
    <w:uiPriority w:val="0"/>
    <w:qFormat/>
    <w:pPr>
      <w:jc w:val="center"/>
      <w:keepNext/>
      <w:outlineLvl w:val="3"/>
    </w:pPr>
    <w:rPr>
      <w:rFonts w:eastAsia="新宋体"/>
      <w:sz w:val="30"/>
      <w:szCs w:val="21"/>
    </w:rPr>
  </w:style>
  <w:style w:type="character" w:styleId="864" w:default="1">
    <w:name w:val="Default Paragraph Font"/>
    <w:uiPriority w:val="0"/>
    <w:semiHidden/>
    <w:qFormat/>
  </w:style>
  <w:style w:type="table" w:styleId="865" w:default="1">
    <w:name w:val="Normal Table"/>
    <w:uiPriority w:val="0"/>
    <w:semiHidden/>
    <w:qFormat/>
    <w:tblPr>
      <w:tblCellMar>
        <w:left w:w="108" w:type="dxa"/>
        <w:top w:w="0" w:type="dxa"/>
        <w:right w:w="108" w:type="dxa"/>
        <w:bottom w:w="0" w:type="dxa"/>
      </w:tblCellMar>
    </w:tblPr>
  </w:style>
  <w:style w:type="paragraph" w:styleId="866">
    <w:name w:val="Normal Indent"/>
    <w:basedOn w:val="861"/>
    <w:uiPriority w:val="0"/>
    <w:qFormat/>
    <w:pPr>
      <w:ind w:firstLine="420"/>
    </w:pPr>
  </w:style>
  <w:style w:type="paragraph" w:styleId="867">
    <w:name w:val="Body Text"/>
    <w:basedOn w:val="861"/>
    <w:next w:val="861"/>
    <w:uiPriority w:val="0"/>
    <w:qFormat/>
    <w:pPr>
      <w:ind w:firstLine="560"/>
      <w:jc w:val="left"/>
      <w:spacing w:afterAutospacing="0" w:line="360" w:lineRule="auto"/>
    </w:pPr>
    <w:rPr>
      <w:rFonts w:ascii="宋体" w:hAnsi="宋体" w:eastAsia="宋体"/>
      <w:sz w:val="24"/>
      <w:szCs w:val="28"/>
    </w:rPr>
  </w:style>
  <w:style w:type="paragraph" w:styleId="868">
    <w:name w:val="Plain Text"/>
    <w:basedOn w:val="861"/>
    <w:uiPriority w:val="0"/>
    <w:qFormat/>
    <w:pPr>
      <w:jc w:val="left"/>
      <w:spacing w:after="200" w:line="252" w:lineRule="auto"/>
      <w:widowControl/>
    </w:pPr>
    <w:rPr>
      <w:rFonts w:ascii="宋体" w:hAnsi="Courier New"/>
      <w:szCs w:val="20"/>
    </w:rPr>
  </w:style>
  <w:style w:type="paragraph" w:styleId="869">
    <w:name w:val="Date"/>
    <w:basedOn w:val="861"/>
    <w:next w:val="861"/>
    <w:uiPriority w:val="0"/>
    <w:qFormat/>
    <w:rPr>
      <w:sz w:val="24"/>
      <w:szCs w:val="20"/>
    </w:rPr>
  </w:style>
  <w:style w:type="paragraph" w:styleId="870">
    <w:name w:val="Footer"/>
    <w:basedOn w:val="861"/>
    <w:uiPriority w:val="0"/>
    <w:qFormat/>
    <w:pPr>
      <w:jc w:val="left"/>
      <w:tabs>
        <w:tab w:val="center" w:pos="4153" w:leader="none"/>
        <w:tab w:val="right" w:pos="8306" w:leader="none"/>
      </w:tabs>
    </w:pPr>
    <w:rPr>
      <w:sz w:val="18"/>
      <w:szCs w:val="18"/>
    </w:rPr>
  </w:style>
  <w:style w:type="paragraph" w:styleId="871">
    <w:name w:val="Header"/>
    <w:basedOn w:val="861"/>
    <w:uiPriority w:val="99"/>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61"/>
    <w:next w:val="861"/>
    <w:uiPriority w:val="0"/>
    <w:qFormat/>
  </w:style>
  <w:style w:type="paragraph" w:styleId="873">
    <w:name w:val="Body Text Indent 3"/>
    <w:basedOn w:val="861"/>
    <w:uiPriority w:val="0"/>
    <w:qFormat/>
    <w:pPr>
      <w:ind w:left="420"/>
      <w:spacing w:after="120"/>
    </w:pPr>
    <w:rPr>
      <w:sz w:val="16"/>
      <w:szCs w:val="16"/>
    </w:rPr>
  </w:style>
  <w:style w:type="paragraph" w:styleId="874">
    <w:name w:val="toc 2"/>
    <w:basedOn w:val="861"/>
    <w:next w:val="861"/>
    <w:uiPriority w:val="0"/>
    <w:qFormat/>
    <w:pPr>
      <w:ind w:left="420"/>
    </w:pPr>
  </w:style>
  <w:style w:type="paragraph" w:styleId="875">
    <w:name w:val="HTML Preformatted"/>
    <w:basedOn w:val="86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76">
    <w:name w:val="Normal (Web)"/>
    <w:basedOn w:val="861"/>
    <w:uiPriority w:val="99"/>
    <w:unhideWhenUsed/>
    <w:qFormat/>
    <w:pPr>
      <w:jc w:val="left"/>
      <w:spacing w:before="100" w:beforeAutospacing="1" w:after="100" w:afterAutospacing="1"/>
      <w:widowControl/>
    </w:pPr>
    <w:rPr>
      <w:rFonts w:ascii="宋体" w:hAnsi="宋体" w:cs="宋体"/>
      <w:sz w:val="24"/>
    </w:rPr>
  </w:style>
  <w:style w:type="paragraph" w:styleId="877">
    <w:name w:val="Body Text First Indent"/>
    <w:basedOn w:val="867"/>
    <w:uiPriority w:val="99"/>
    <w:qFormat/>
    <w:pPr>
      <w:ind w:firstLine="200"/>
      <w:spacing w:line="360" w:lineRule="auto"/>
    </w:pPr>
    <w:rPr>
      <w:rFonts w:ascii="仿宋_GB2312" w:eastAsia="仿宋_GB2312"/>
      <w:sz w:val="30"/>
      <w:szCs w:val="30"/>
    </w:rPr>
  </w:style>
  <w:style w:type="table" w:styleId="878">
    <w:name w:val="Table Grid"/>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basedOn w:val="864"/>
    <w:uiPriority w:val="0"/>
    <w:qFormat/>
    <w:rPr>
      <w:b/>
    </w:rPr>
  </w:style>
  <w:style w:type="character" w:styleId="880">
    <w:name w:val="page number"/>
    <w:basedOn w:val="864"/>
    <w:uiPriority w:val="0"/>
    <w:qFormat/>
  </w:style>
  <w:style w:type="character" w:styleId="881">
    <w:name w:val="Emphasis"/>
    <w:basedOn w:val="864"/>
    <w:uiPriority w:val="20"/>
    <w:qFormat/>
    <w:rPr>
      <w:i/>
      <w:iCs/>
    </w:rPr>
  </w:style>
  <w:style w:type="character" w:styleId="882">
    <w:name w:val="Hyperlink"/>
    <w:basedOn w:val="864"/>
    <w:uiPriority w:val="0"/>
    <w:qFormat/>
    <w:rPr>
      <w:color w:val="0000ff"/>
      <w:u w:val="single"/>
    </w:rPr>
  </w:style>
  <w:style w:type="paragraph" w:styleId="883" w:customStyle="1">
    <w:name w:val="style4"/>
    <w:basedOn w:val="861"/>
    <w:next w:val="884"/>
    <w:uiPriority w:val="0"/>
    <w:qFormat/>
    <w:pPr>
      <w:jc w:val="left"/>
      <w:spacing w:before="100" w:beforeAutospacing="1" w:after="100" w:afterAutospacing="1"/>
      <w:widowControl/>
    </w:pPr>
    <w:rPr>
      <w:rFonts w:ascii="Arial Unicode MS" w:hAnsi="Arial Unicode MS" w:eastAsia="Arial Unicode MS" w:cs="Arial Unicode MS"/>
      <w:color w:val="0000ff"/>
      <w:sz w:val="20"/>
    </w:rPr>
  </w:style>
  <w:style w:type="paragraph" w:styleId="884" w:customStyle="1">
    <w:name w:val="2"/>
    <w:next w:val="86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85" w:customStyle="1">
    <w:name w:val="普通正文"/>
    <w:basedOn w:val="861"/>
    <w:uiPriority w:val="0"/>
    <w:qFormat/>
    <w:pPr>
      <w:ind w:firstLine="480"/>
      <w:jc w:val="left"/>
      <w:spacing w:before="120" w:after="120" w:line="360" w:lineRule="auto"/>
    </w:pPr>
    <w:rPr>
      <w:rFonts w:ascii="Arial" w:hAnsi="Arial"/>
      <w:sz w:val="24"/>
    </w:rPr>
  </w:style>
  <w:style w:type="paragraph" w:styleId="886" w:customStyle="1">
    <w:name w:val="*正文"/>
    <w:basedOn w:val="861"/>
    <w:uiPriority w:val="99"/>
    <w:qFormat/>
    <w:pPr>
      <w:ind w:firstLine="482"/>
      <w:spacing w:line="360" w:lineRule="auto"/>
    </w:pPr>
    <w:rPr>
      <w:rFonts w:eastAsia="仿宋_GB2312"/>
      <w:sz w:val="28"/>
    </w:rPr>
  </w:style>
  <w:style w:type="character" w:styleId="887" w:customStyle="1">
    <w:name w:val="font11"/>
    <w:basedOn w:val="864"/>
    <w:uiPriority w:val="0"/>
    <w:qFormat/>
    <w:rPr>
      <w:rFonts w:hint="eastAsia" w:ascii="方正仿宋_GB2312" w:hAnsi="方正仿宋_GB2312" w:eastAsia="方正仿宋_GB2312" w:cs="方正仿宋_GB2312"/>
      <w:color w:val="000000"/>
      <w:sz w:val="20"/>
      <w:szCs w:val="20"/>
      <w:u w:val="none"/>
    </w:rPr>
  </w:style>
  <w:style w:type="character" w:styleId="888" w:customStyle="1">
    <w:name w:val="font61"/>
    <w:basedOn w:val="864"/>
    <w:uiPriority w:val="0"/>
    <w:qFormat/>
    <w:rPr>
      <w:rFonts w:hint="eastAsia" w:ascii="方正仿宋_GB2312" w:hAnsi="方正仿宋_GB2312" w:eastAsia="方正仿宋_GB2312" w:cs="方正仿宋_GB2312"/>
      <w:color w:val="000000"/>
      <w:sz w:val="20"/>
      <w:szCs w:val="20"/>
      <w:u w:val="none"/>
    </w:rPr>
  </w:style>
  <w:style w:type="character" w:styleId="889" w:customStyle="1">
    <w:name w:val="font71"/>
    <w:basedOn w:val="864"/>
    <w:uiPriority w:val="0"/>
    <w:qFormat/>
    <w:rPr>
      <w:rFonts w:hint="default" w:ascii="Times New Roman" w:hAnsi="Times New Roman" w:cs="Times New Roman"/>
      <w:color w:val="000000"/>
      <w:sz w:val="20"/>
      <w:szCs w:val="20"/>
      <w:u w:val="none"/>
    </w:rPr>
  </w:style>
  <w:style w:type="paragraph" w:styleId="890" w:customStyle="1">
    <w:name w:val="首行缩进"/>
    <w:basedOn w:val="861"/>
    <w:uiPriority w:val="0"/>
    <w:qFormat/>
    <w:pPr>
      <w:ind w:firstLine="480"/>
      <w:jc w:val="left"/>
    </w:pPr>
    <w:rPr>
      <w:rFonts w:ascii="宋体" w:hAnsi="宋体"/>
    </w:rPr>
  </w:style>
  <w:style w:type="paragraph" w:styleId="891" w:customStyle="1">
    <w:name w:val="Char1"/>
    <w:basedOn w:val="861"/>
    <w:uiPriority w:val="0"/>
    <w:qFormat/>
    <w:pPr>
      <w:tabs>
        <w:tab w:val="left" w:pos="360" w:leader="none"/>
      </w:tabs>
    </w:pPr>
    <w:rPr>
      <w:color w:val="000000"/>
      <w:sz w:val="24"/>
    </w:rPr>
  </w:style>
  <w:style w:type="paragraph" w:styleId="892" w:customStyle="1">
    <w:name w:val="正文1"/>
    <w:basedOn w:val="861"/>
    <w:uiPriority w:val="0"/>
    <w:qFormat/>
    <w:pPr>
      <w:ind w:firstLine="361"/>
      <w:spacing w:line="360" w:lineRule="auto"/>
    </w:pPr>
    <w:rPr>
      <w:rFonts w:ascii="宋体" w:hAnsi="宋体" w:eastAsia="仿宋_GB2312"/>
    </w:rPr>
  </w:style>
  <w:style w:type="paragraph" w:styleId="893" w:customStyle="1">
    <w:name w:val="正文文本111"/>
    <w:basedOn w:val="861"/>
    <w:next w:val="861"/>
    <w:uiPriority w:val="0"/>
    <w:qFormat/>
    <w:pPr>
      <w:spacing w:after="120"/>
    </w:pPr>
    <w:rPr>
      <w:sz w:val="28"/>
    </w:rPr>
  </w:style>
  <w:style w:type="character" w:styleId="894" w:customStyle="1">
    <w:name w:val="NormalCharacter"/>
    <w:uiPriority w:val="0"/>
    <w:qFormat/>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杨洁</cp:lastModifiedBy>
  <cp:revision>2</cp:revision>
  <dcterms:created xsi:type="dcterms:W3CDTF">2023-07-21T03:14:00Z</dcterms:created>
  <dcterms:modified xsi:type="dcterms:W3CDTF">2026-06-29T08:33:15Z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E50AF1FEFAAF4C2EB76EBF83DBB1CBAF_13</vt:lpwstr>
  </property>
  <property fmtid="{D5CDD505-2E9C-101B-9397-08002B2CF9AE}" pid="4" name="KSOTemplateDocerSaveRecord">
    <vt:lpwstr>eyJoZGlkIjoiYmViMmMzOTZmM2RlY2U5YzgxYmVjYmVmOThmZDA4MzIiLCJ1c2VySWQiOiI2MzQ3ODY4MTAifQ==</vt:lpwstr>
  </property>
</Properties>
</file>