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ind w:firstLine="300"/>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b/>
          <w:bCs/>
          <w:sz w:val="60"/>
          <w:szCs w:val="60"/>
        </w:rPr>
      </w:pPr>
      <w:r>
        <w:rPr>
          <w:rFonts w:ascii="宋体" w:hAnsi="宋体"/>
          <w:b/>
          <w:bCs/>
          <w:sz w:val="60"/>
          <w:szCs w:val="60"/>
        </w:rPr>
        <w:t xml:space="preserve">常州市政府采购项目</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sz w:val="60"/>
          <w:szCs w:val="60"/>
        </w:rPr>
      </w:pPr>
      <w:r>
        <w:rPr>
          <w:rFonts w:hint="eastAsia" w:ascii="宋体" w:hAnsi="宋体"/>
          <w:sz w:val="60"/>
          <w:szCs w:val="60"/>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江苏省常州技师学院交通类实训耗材采购项目</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hint="eastAsia" w:ascii="宋体" w:hAnsi="宋体"/>
          <w:bCs/>
          <w:sz w:val="36"/>
          <w:szCs w:val="36"/>
        </w:rPr>
        <w:t xml:space="preserve">JSZC-320400-CTZB-G2026-0068</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江苏省常州技师学院</w:t>
      </w:r>
      <w:r/>
    </w:p>
    <w:p>
      <w:pPr>
        <w:ind w:left="2833" w:hanging="1901"/>
        <w:jc w:val="left"/>
        <w:spacing w:line="360" w:lineRule="auto"/>
        <w:tabs>
          <w:tab w:val="left" w:pos="3240" w:leader="none"/>
          <w:tab w:val="left" w:pos="3420" w:leader="none"/>
        </w:tabs>
        <w:rPr>
          <w:rFonts w:hint="eastAsia" w:ascii="宋体" w:hAnsi="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  </w:t>
      </w:r>
      <w:r/>
    </w:p>
    <w:p>
      <w:pPr>
        <w:jc w:val="center"/>
        <w:spacing w:line="360" w:lineRule="auto"/>
        <w:rPr>
          <w:rFonts w:hint="eastAsia" w:ascii="宋体" w:hAnsi="宋体"/>
          <w:b/>
          <w:sz w:val="36"/>
          <w:szCs w:val="36"/>
        </w:rPr>
        <w:outlineLvl w:val="0"/>
      </w:pPr>
      <w:r/>
      <w:bookmarkStart w:id="0" w:name="_Toc99301418"/>
      <w:r/>
      <w:r/>
    </w:p>
    <w:p>
      <w:pPr>
        <w:jc w:val="center"/>
        <w:spacing w:line="360" w:lineRule="auto"/>
        <w:rPr>
          <w:rFonts w:hint="eastAsia" w:ascii="宋体" w:hAnsi="宋体"/>
          <w:b/>
          <w:sz w:val="44"/>
          <w:szCs w:val="44"/>
        </w:rPr>
        <w:outlineLvl w:val="0"/>
      </w:pPr>
      <w:r>
        <w:rPr>
          <w:rFonts w:ascii="宋体" w:hAnsi="宋体"/>
          <w:b/>
          <w:sz w:val="44"/>
          <w:szCs w:val="44"/>
        </w:rPr>
        <w:t xml:space="preserve">目      录</w:t>
      </w:r>
      <w:bookmarkEnd w:id="0"/>
      <w:r/>
      <w:r/>
    </w:p>
    <w:p>
      <w:pPr>
        <w:rPr>
          <w:rFonts w:hint="eastAsia" w:ascii="宋体" w:hAnsi="宋体"/>
        </w:rPr>
      </w:pPr>
      <w:r>
        <w:rPr>
          <w:rFonts w:hint="eastAsia" w:ascii="宋体" w:hAnsi="宋体"/>
        </w:rPr>
      </w:r>
      <w:r/>
    </w:p>
    <w:p>
      <w:pPr>
        <w:pStyle w:val="1172"/>
        <w:spacing w:line="720" w:lineRule="auto"/>
        <w:rPr>
          <w:rFonts w:hint="eastAsia"/>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p>
    <w:p>
      <w:pPr>
        <w:pStyle w:val="1172"/>
        <w:spacing w:line="720" w:lineRule="auto"/>
        <w:rPr>
          <w:rFonts w:hint="eastAsia"/>
          <w:b w:val="0"/>
          <w:sz w:val="32"/>
          <w:szCs w:val="32"/>
        </w:rPr>
      </w:pPr>
      <w:r>
        <w:fldChar w:fldCharType="begin"/>
      </w:r>
      <w:r>
        <w:instrText xml:space="preserve"> HYPERLINK \l "_Toc99301419" \o "#_Toc99301419" </w:instrText>
      </w:r>
      <w:r>
        <w:fldChar w:fldCharType="separate"/>
      </w:r>
      <w:r>
        <w:rPr>
          <w:rStyle w:val="990"/>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rFonts w:hint="eastAsia"/>
          <w:sz w:val="32"/>
          <w:szCs w:val="32"/>
        </w:rPr>
        <w:t xml:space="preserve">3</w:t>
      </w:r>
      <w:r>
        <w:rPr>
          <w:sz w:val="32"/>
          <w:szCs w:val="32"/>
        </w:rPr>
        <w:fldChar w:fldCharType="end"/>
      </w:r>
      <w:r>
        <w:rPr>
          <w:sz w:val="32"/>
          <w:szCs w:val="32"/>
        </w:rPr>
        <w:fldChar w:fldCharType="end"/>
      </w:r>
      <w:r/>
    </w:p>
    <w:p>
      <w:pPr>
        <w:pStyle w:val="1172"/>
        <w:spacing w:line="720" w:lineRule="auto"/>
        <w:rPr>
          <w:rFonts w:hint="eastAsia"/>
          <w:b w:val="0"/>
          <w:sz w:val="32"/>
          <w:szCs w:val="32"/>
        </w:rPr>
      </w:pPr>
      <w:r>
        <w:fldChar w:fldCharType="begin"/>
      </w:r>
      <w:r>
        <w:instrText xml:space="preserve"> HYPERLINK \l "_Toc99301420" \o "#_Toc99301420" </w:instrText>
      </w:r>
      <w:r>
        <w:fldChar w:fldCharType="separate"/>
      </w:r>
      <w:r>
        <w:rPr>
          <w:rStyle w:val="990"/>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rFonts w:hint="eastAsia"/>
          <w:sz w:val="32"/>
          <w:szCs w:val="32"/>
        </w:rPr>
        <w:t xml:space="preserve">8</w:t>
      </w:r>
      <w:r>
        <w:rPr>
          <w:sz w:val="32"/>
          <w:szCs w:val="32"/>
        </w:rPr>
        <w:fldChar w:fldCharType="end"/>
      </w:r>
      <w:r>
        <w:rPr>
          <w:sz w:val="32"/>
          <w:szCs w:val="32"/>
        </w:rPr>
        <w:fldChar w:fldCharType="end"/>
      </w:r>
      <w:r/>
    </w:p>
    <w:p>
      <w:pPr>
        <w:pStyle w:val="1172"/>
        <w:spacing w:line="720" w:lineRule="auto"/>
        <w:rPr>
          <w:rFonts w:hint="eastAsia"/>
          <w:b w:val="0"/>
          <w:sz w:val="32"/>
          <w:szCs w:val="32"/>
        </w:rPr>
      </w:pPr>
      <w:r>
        <w:fldChar w:fldCharType="begin"/>
      </w:r>
      <w:r>
        <w:instrText xml:space="preserve"> HYPERLINK \l "_Toc99301421" \o "#_Toc99301421" </w:instrText>
      </w:r>
      <w:r>
        <w:fldChar w:fldCharType="separate"/>
      </w:r>
      <w:r>
        <w:rPr>
          <w:rStyle w:val="990"/>
          <w:color w:val="000000"/>
          <w:sz w:val="32"/>
          <w:szCs w:val="32"/>
        </w:rPr>
        <w:t xml:space="preserve">第三章   资</w:t>
      </w:r>
      <w:bookmarkStart w:id="1" w:name="_Hlt100754117"/>
      <w:r>
        <w:rPr>
          <w:rStyle w:val="990"/>
          <w:color w:val="000000"/>
          <w:sz w:val="32"/>
          <w:szCs w:val="32"/>
        </w:rPr>
        <w:t xml:space="preserve">格</w:t>
      </w:r>
      <w:bookmarkEnd w:id="1"/>
      <w:r>
        <w:rPr>
          <w:rStyle w:val="990"/>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rFonts w:hint="eastAsia"/>
          <w:sz w:val="32"/>
          <w:szCs w:val="32"/>
        </w:rPr>
        <w:t xml:space="preserve">23</w:t>
      </w:r>
      <w:r>
        <w:rPr>
          <w:sz w:val="32"/>
          <w:szCs w:val="32"/>
        </w:rPr>
        <w:fldChar w:fldCharType="end"/>
      </w:r>
      <w:r>
        <w:rPr>
          <w:sz w:val="32"/>
          <w:szCs w:val="32"/>
        </w:rPr>
        <w:fldChar w:fldCharType="end"/>
      </w:r>
      <w:r/>
    </w:p>
    <w:p>
      <w:pPr>
        <w:pStyle w:val="1172"/>
        <w:spacing w:line="720" w:lineRule="auto"/>
        <w:rPr>
          <w:rFonts w:hint="eastAsia"/>
          <w:b w:val="0"/>
          <w:sz w:val="32"/>
          <w:szCs w:val="32"/>
        </w:rPr>
      </w:pPr>
      <w:r>
        <w:fldChar w:fldCharType="begin"/>
      </w:r>
      <w:r>
        <w:instrText xml:space="preserve"> HYPERLINK \l "_Toc99301423" \o "#_Toc99301423" </w:instrText>
      </w:r>
      <w:r>
        <w:fldChar w:fldCharType="separate"/>
      </w:r>
      <w:r>
        <w:rPr>
          <w:rStyle w:val="990"/>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rFonts w:hint="eastAsia"/>
          <w:sz w:val="32"/>
          <w:szCs w:val="32"/>
        </w:rPr>
        <w:t xml:space="preserve">25</w:t>
      </w:r>
      <w:r>
        <w:rPr>
          <w:sz w:val="32"/>
          <w:szCs w:val="32"/>
        </w:rPr>
        <w:fldChar w:fldCharType="end"/>
      </w:r>
      <w:r>
        <w:rPr>
          <w:sz w:val="32"/>
          <w:szCs w:val="32"/>
        </w:rPr>
        <w:fldChar w:fldCharType="end"/>
      </w:r>
      <w:r/>
    </w:p>
    <w:p>
      <w:pPr>
        <w:pStyle w:val="1172"/>
        <w:spacing w:line="720" w:lineRule="auto"/>
        <w:rPr>
          <w:rFonts w:hint="eastAsia"/>
          <w:b w:val="0"/>
          <w:sz w:val="32"/>
          <w:szCs w:val="32"/>
        </w:rPr>
      </w:pPr>
      <w:r>
        <w:fldChar w:fldCharType="begin"/>
      </w:r>
      <w:r>
        <w:instrText xml:space="preserve"> HYPERLINK \l "_Toc99301424" \o "#_Toc99301424" </w:instrText>
      </w:r>
      <w:r>
        <w:fldChar w:fldCharType="separate"/>
      </w:r>
      <w:r>
        <w:rPr>
          <w:rStyle w:val="990"/>
          <w:color w:val="000000"/>
          <w:sz w:val="32"/>
          <w:szCs w:val="32"/>
        </w:rPr>
        <w:t xml:space="preserve">第五章   采购</w:t>
      </w:r>
      <w:bookmarkStart w:id="2" w:name="_Hlt100754102"/>
      <w:r/>
      <w:bookmarkStart w:id="3" w:name="_Hlt100754103"/>
      <w:r>
        <w:rPr>
          <w:rStyle w:val="990"/>
          <w:color w:val="000000"/>
          <w:sz w:val="32"/>
          <w:szCs w:val="32"/>
        </w:rPr>
        <w:t xml:space="preserve">需</w:t>
      </w:r>
      <w:bookmarkEnd w:id="2"/>
      <w:r/>
      <w:bookmarkEnd w:id="3"/>
      <w:r>
        <w:rPr>
          <w:rStyle w:val="990"/>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rFonts w:hint="eastAsia"/>
          <w:sz w:val="32"/>
          <w:szCs w:val="32"/>
        </w:rPr>
        <w:t xml:space="preserve">35</w:t>
      </w:r>
      <w:r>
        <w:rPr>
          <w:sz w:val="32"/>
          <w:szCs w:val="32"/>
        </w:rPr>
        <w:fldChar w:fldCharType="end"/>
      </w:r>
      <w:r>
        <w:rPr>
          <w:sz w:val="32"/>
          <w:szCs w:val="32"/>
        </w:rPr>
        <w:fldChar w:fldCharType="end"/>
      </w:r>
      <w:r/>
    </w:p>
    <w:p>
      <w:pPr>
        <w:pStyle w:val="1172"/>
        <w:spacing w:line="720" w:lineRule="auto"/>
        <w:rPr>
          <w:rFonts w:hint="eastAsia"/>
          <w:b w:val="0"/>
          <w:sz w:val="32"/>
          <w:szCs w:val="32"/>
        </w:rPr>
      </w:pPr>
      <w:r>
        <w:fldChar w:fldCharType="begin"/>
      </w:r>
      <w:r>
        <w:instrText xml:space="preserve"> HYPERLINK \l "_Toc99301425" \o "#_Toc99301425" </w:instrText>
      </w:r>
      <w:r>
        <w:fldChar w:fldCharType="separate"/>
      </w:r>
      <w:r>
        <w:rPr>
          <w:rStyle w:val="990"/>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rFonts w:hint="eastAsia"/>
          <w:sz w:val="32"/>
          <w:szCs w:val="32"/>
        </w:rPr>
        <w:t xml:space="preserve">53</w:t>
      </w:r>
      <w:r>
        <w:rPr>
          <w:sz w:val="32"/>
          <w:szCs w:val="32"/>
        </w:rPr>
        <w:fldChar w:fldCharType="end"/>
      </w:r>
      <w:r>
        <w:rPr>
          <w:sz w:val="32"/>
          <w:szCs w:val="32"/>
        </w:rPr>
        <w:fldChar w:fldCharType="end"/>
      </w:r>
      <w:r/>
    </w:p>
    <w:p>
      <w:pPr>
        <w:pStyle w:val="1172"/>
        <w:spacing w:line="720" w:lineRule="auto"/>
        <w:rPr>
          <w:rFonts w:hint="eastAsia"/>
          <w:b w:val="0"/>
          <w:sz w:val="32"/>
          <w:szCs w:val="32"/>
        </w:rPr>
      </w:pPr>
      <w:r>
        <w:fldChar w:fldCharType="begin"/>
      </w:r>
      <w:r>
        <w:instrText xml:space="preserve"> HYPERLINK \l "_Toc99301426" \o "#_Toc99301426" </w:instrText>
      </w:r>
      <w:r>
        <w:fldChar w:fldCharType="separate"/>
      </w:r>
      <w:r>
        <w:rPr>
          <w:rStyle w:val="990"/>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rFonts w:hint="eastAsia"/>
          <w:sz w:val="32"/>
          <w:szCs w:val="32"/>
        </w:rPr>
        <w:t xml:space="preserve">75</w:t>
      </w:r>
      <w:r>
        <w:rPr>
          <w:sz w:val="32"/>
          <w:szCs w:val="32"/>
        </w:rPr>
        <w:fldChar w:fldCharType="end"/>
      </w:r>
      <w:r>
        <w:rPr>
          <w:sz w:val="32"/>
          <w:szCs w:val="32"/>
        </w:rPr>
        <w:fldChar w:fldCharType="end"/>
      </w:r>
      <w:r/>
    </w:p>
    <w:p>
      <w:pPr>
        <w:pStyle w:val="1172"/>
        <w:spacing w:line="720" w:lineRule="auto"/>
        <w:rPr>
          <w:rFonts w:hint="eastAsia"/>
          <w:b w:val="0"/>
        </w:rPr>
      </w:pPr>
      <w:r>
        <w:rPr>
          <w:b w:val="0"/>
          <w:sz w:val="32"/>
          <w:szCs w:val="32"/>
        </w:rPr>
        <w:fldChar w:fldCharType="end"/>
      </w:r>
      <w:r/>
    </w:p>
    <w:p>
      <w:pPr>
        <w:jc w:val="center"/>
        <w:spacing w:line="360" w:lineRule="auto"/>
        <w:rPr>
          <w:rFonts w:hint="eastAsia"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
    </w:p>
    <w:p>
      <w:pPr>
        <w:ind w:firstLine="640"/>
        <w:spacing w:line="360" w:lineRule="auto"/>
        <w:rPr>
          <w:rFonts w:hint="eastAsia"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p>
    <w:p>
      <w:pPr>
        <w:ind w:firstLine="640"/>
        <w:spacing w:line="360" w:lineRule="auto"/>
        <w:rPr>
          <w:rFonts w:hint="eastAsia"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江苏省常州技师学院交通类实训耗材采购项目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bCs/>
          <w:sz w:val="32"/>
          <w:szCs w:val="32"/>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lang w:val="en-US" w:eastAsia="zh-CN"/>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lang w:val="en-US" w:eastAsia="zh-CN"/>
        </w:rPr>
        <w:t xml:space="preserve">7</w:t>
      </w:r>
      <w:r>
        <w:rPr>
          <w:rFonts w:hint="eastAsia" w:ascii="仿宋" w:hAnsi="仿宋" w:eastAsia="仿宋" w:cs="宋体"/>
          <w:b/>
          <w:bCs/>
          <w:sz w:val="32"/>
          <w:szCs w:val="32"/>
        </w:rPr>
        <w:t xml:space="preserve">日09点00分（北京时间）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p>
    <w:p>
      <w:pPr>
        <w:pStyle w:val="937"/>
        <w:ind w:firstLine="643"/>
        <w:jc w:val="left"/>
        <w:spacing w:before="240" w:line="360" w:lineRule="auto"/>
        <w:rPr>
          <w:rFonts w:hint="eastAsia" w:ascii="仿宋" w:hAnsi="仿宋" w:eastAsia="仿宋"/>
          <w:sz w:val="32"/>
          <w:szCs w:val="32"/>
        </w:rPr>
      </w:pPr>
      <w:r/>
      <w:bookmarkStart w:id="5" w:name="_Toc35393790"/>
      <w:r/>
      <w:bookmarkStart w:id="6" w:name="_Toc35393621"/>
      <w:r/>
      <w:bookmarkStart w:id="7" w:name="_Toc28359079"/>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JSZC-320400-CTZB-G2026-0068</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江苏省常州技师学院交通类实训耗材采购项目</w:t>
      </w:r>
      <w:bookmarkEnd w:id="9"/>
      <w:r/>
      <w:r/>
    </w:p>
    <w:p>
      <w:pPr>
        <w:ind w:firstLine="640"/>
        <w:spacing w:line="360" w:lineRule="auto"/>
        <w:rPr>
          <w:rFonts w:hint="eastAsia" w:ascii="仿宋" w:hAnsi="仿宋" w:eastAsia="仿宋"/>
          <w:sz w:val="32"/>
          <w:szCs w:val="32"/>
        </w:rPr>
      </w:pPr>
      <w:r>
        <w:rPr>
          <w:rFonts w:ascii="仿宋" w:hAnsi="仿宋" w:eastAsia="仿宋"/>
          <w:sz w:val="32"/>
          <w:szCs w:val="32"/>
        </w:rPr>
        <w:t xml:space="preserve">3.项目预算金额：</w:t>
      </w:r>
      <w:r>
        <w:rPr>
          <w:rFonts w:hint="eastAsia" w:ascii="仿宋" w:hAnsi="仿宋" w:eastAsia="仿宋"/>
          <w:sz w:val="32"/>
          <w:szCs w:val="32"/>
        </w:rPr>
        <w:t xml:space="preserve">105</w:t>
      </w:r>
      <w:r>
        <w:rPr>
          <w:rFonts w:ascii="仿宋" w:hAnsi="仿宋" w:eastAsia="仿宋"/>
          <w:sz w:val="32"/>
          <w:szCs w:val="32"/>
        </w:rPr>
        <w:t xml:space="preserve">万元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优惠率下浮率≥0%</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本项目为江苏省常州技师学院交通类实训耗材采购项目，包括相应产品供货前的准备（包括现场踏勘、技术核对等）、采购、运输、装卸、检验、质保及退换货服务等全部内容。</w:t>
      </w:r>
      <w:r/>
    </w:p>
    <w:p>
      <w:pPr>
        <w:ind w:firstLine="640"/>
        <w:spacing w:line="360" w:lineRule="auto"/>
        <w:rPr>
          <w:rFonts w:hint="eastAsia"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合同履行期限：自合同签订之日起一年。供应商必须按照二级学院要求的时间节点分批次随时供货。供应商在接到二级学院采购单3个工作日内完成供货；如遇特殊情况，需要当天供货的，须在8小时内完成供货。</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937"/>
        <w:ind w:firstLine="643"/>
        <w:jc w:val="left"/>
        <w:spacing w:before="0" w:line="360" w:lineRule="auto"/>
        <w:rPr>
          <w:rFonts w:hint="eastAsia"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rPr>
          <w:rFonts w:hint="eastAsia" w:ascii="仿宋" w:hAnsi="仿宋" w:eastAsia="仿宋"/>
          <w:b/>
          <w:sz w:val="32"/>
          <w:szCs w:val="32"/>
        </w:rPr>
        <w:t xml:space="preserve">。</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tabs>
          <w:tab w:val="left" w:pos="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bookmarkEnd w:id="14"/>
      <w:r/>
      <w:bookmarkEnd w:id="15"/>
      <w:r/>
      <w:r/>
    </w:p>
    <w:p>
      <w:pPr>
        <w:pStyle w:val="937"/>
        <w:ind w:firstLine="643"/>
        <w:jc w:val="left"/>
        <w:spacing w:before="0" w:line="360" w:lineRule="auto"/>
        <w:widowControl/>
        <w:rPr>
          <w:rFonts w:hint="eastAsia" w:ascii="仿宋" w:hAnsi="仿宋" w:eastAsia="仿宋"/>
          <w:color w:val="000000" w:themeColor="text1"/>
          <w:sz w:val="32"/>
          <w:szCs w:val="32"/>
          <w14:textFill>
            <w14:solidFill>
              <w14:schemeClr w14:val="tx1"/>
            </w14:solidFill>
          </w14:textFill>
        </w:rPr>
      </w:pPr>
      <w:r/>
      <w:bookmarkStart w:id="16" w:name="_Toc35393623"/>
      <w:r/>
      <w:bookmarkStart w:id="17" w:name="_Toc35393792"/>
      <w:r>
        <w:rPr>
          <w:rFonts w:ascii="仿宋" w:hAnsi="仿宋" w:eastAsia="仿宋"/>
          <w:sz w:val="32"/>
          <w:szCs w:val="32"/>
        </w:rPr>
        <w:t xml:space="preserve">三、</w:t>
      </w:r>
      <w:r>
        <w:rPr>
          <w:rFonts w:ascii="仿宋" w:hAnsi="仿宋" w:eastAsia="仿宋"/>
          <w:color w:val="000000" w:themeColor="text1"/>
          <w:sz w:val="32"/>
          <w:szCs w:val="32"/>
          <w14:textFill>
            <w14:solidFill>
              <w14:schemeClr w14:val="tx1"/>
            </w14:solidFill>
          </w14:textFill>
        </w:rPr>
        <w:t xml:space="preserve">获取招标文件</w:t>
      </w:r>
      <w:bookmarkEnd w:id="16"/>
      <w:r/>
      <w:bookmarkEnd w:id="17"/>
      <w:r/>
      <w:r/>
    </w:p>
    <w:p>
      <w:pPr>
        <w:ind w:firstLine="640"/>
        <w:spacing w:line="360" w:lineRule="auto"/>
        <w:rPr>
          <w:rFonts w:hint="eastAsia" w:ascii="仿宋" w:hAnsi="仿宋" w:eastAsia="仿宋"/>
          <w:sz w:val="32"/>
          <w:szCs w:val="32"/>
          <w:lang w:bidi="ar"/>
        </w:rPr>
      </w:pPr>
      <w:r>
        <w:rPr>
          <w:rFonts w:ascii="仿宋" w:hAnsi="仿宋" w:eastAsia="仿宋"/>
          <w:color w:val="000000" w:themeColor="text1"/>
          <w:sz w:val="32"/>
          <w:szCs w:val="32"/>
          <w:lang w:bidi="ar"/>
          <w14:textFill>
            <w14:solidFill>
              <w14:schemeClr w14:val="tx1"/>
            </w14:solidFill>
          </w14:textFill>
        </w:rPr>
        <w:t xml:space="preserve">1.时间：</w:t>
      </w:r>
      <w:r>
        <w:rPr>
          <w:rFonts w:hint="eastAsia" w:ascii="仿宋" w:hAnsi="仿宋" w:eastAsia="仿宋"/>
          <w:color w:val="000000" w:themeColor="text1"/>
          <w:sz w:val="32"/>
          <w:szCs w:val="32"/>
          <w:lang w:bidi="ar"/>
          <w14:textFill>
            <w14:solidFill>
              <w14:schemeClr w14:val="tx1"/>
            </w14:solidFill>
          </w14:textFill>
        </w:rPr>
        <w:t xml:space="preserve">2026</w:t>
      </w:r>
      <w:r>
        <w:rPr>
          <w:rFonts w:hint="eastAsia" w:ascii="仿宋" w:hAnsi="仿宋" w:eastAsia="仿宋" w:cs="宋体"/>
          <w:color w:val="000000" w:themeColor="text1"/>
          <w:sz w:val="32"/>
          <w:szCs w:val="32"/>
          <w14:textFill>
            <w14:solidFill>
              <w14:schemeClr w14:val="tx1"/>
            </w14:solidFill>
          </w14:textFill>
        </w:rPr>
        <w:t xml:space="preserve">年</w:t>
      </w:r>
      <w:r>
        <w:rPr>
          <w:rFonts w:hint="eastAsia" w:ascii="仿宋" w:hAnsi="仿宋" w:eastAsia="仿宋" w:cs="宋体"/>
          <w:color w:val="000000" w:themeColor="text1"/>
          <w:sz w:val="32"/>
          <w:szCs w:val="32"/>
          <w:lang w:val="en-US" w:eastAsia="zh-CN"/>
          <w14:textFill>
            <w14:solidFill>
              <w14:schemeClr w14:val="tx1"/>
            </w14:solidFill>
          </w14:textFill>
        </w:rPr>
        <w:t xml:space="preserve">6</w:t>
      </w:r>
      <w:r>
        <w:rPr>
          <w:rFonts w:hint="eastAsia" w:ascii="仿宋" w:hAnsi="仿宋" w:eastAsia="仿宋" w:cs="宋体"/>
          <w:color w:val="000000" w:themeColor="text1"/>
          <w:sz w:val="32"/>
          <w:szCs w:val="32"/>
          <w14:textFill>
            <w14:solidFill>
              <w14:schemeClr w14:val="tx1"/>
            </w14:solidFill>
          </w14:textFill>
        </w:rPr>
        <w:t xml:space="preserve">月</w:t>
      </w:r>
      <w:r>
        <w:rPr>
          <w:rFonts w:hint="eastAsia" w:ascii="仿宋" w:hAnsi="仿宋" w:eastAsia="仿宋" w:cs="宋体"/>
          <w:color w:val="000000" w:themeColor="text1"/>
          <w:sz w:val="32"/>
          <w:szCs w:val="32"/>
          <w:lang w:val="en-US" w:eastAsia="zh-CN"/>
          <w14:textFill>
            <w14:solidFill>
              <w14:schemeClr w14:val="tx1"/>
            </w14:solidFill>
          </w14:textFill>
        </w:rPr>
        <w:t xml:space="preserve">16</w:t>
      </w:r>
      <w:r>
        <w:rPr>
          <w:rFonts w:hint="eastAsia" w:ascii="仿宋" w:hAnsi="仿宋" w:eastAsia="仿宋" w:cs="宋体"/>
          <w:color w:val="000000" w:themeColor="text1"/>
          <w:sz w:val="32"/>
          <w:szCs w:val="32"/>
          <w14:textFill>
            <w14:solidFill>
              <w14:schemeClr w14:val="tx1"/>
            </w14:solidFill>
          </w14:textFill>
        </w:rPr>
        <w:t xml:space="preserve">日</w:t>
      </w:r>
      <w:r>
        <w:rPr>
          <w:rFonts w:hint="eastAsia" w:ascii="仿宋" w:hAnsi="仿宋" w:eastAsia="仿宋"/>
          <w:color w:val="000000" w:themeColor="text1"/>
          <w:sz w:val="32"/>
          <w:szCs w:val="32"/>
          <w:lang w:bidi="ar"/>
          <w14:textFill>
            <w14:solidFill>
              <w14:schemeClr w14:val="tx1"/>
            </w14:solidFill>
          </w14:textFill>
        </w:rPr>
        <w:t xml:space="preserve">至2026</w:t>
      </w:r>
      <w:r>
        <w:rPr>
          <w:rFonts w:hint="eastAsia" w:ascii="仿宋" w:hAnsi="仿宋" w:eastAsia="仿宋" w:cs="宋体"/>
          <w:color w:val="000000" w:themeColor="text1"/>
          <w:sz w:val="32"/>
          <w:szCs w:val="32"/>
          <w14:textFill>
            <w14:solidFill>
              <w14:schemeClr w14:val="tx1"/>
            </w14:solidFill>
          </w14:textFill>
        </w:rPr>
        <w:t xml:space="preserve">年</w:t>
      </w:r>
      <w:r>
        <w:rPr>
          <w:rFonts w:hint="eastAsia" w:ascii="仿宋" w:hAnsi="仿宋" w:eastAsia="仿宋" w:cs="宋体"/>
          <w:color w:val="000000" w:themeColor="text1"/>
          <w:sz w:val="32"/>
          <w:szCs w:val="32"/>
          <w:lang w:val="en-US" w:eastAsia="zh-CN"/>
          <w14:textFill>
            <w14:solidFill>
              <w14:schemeClr w14:val="tx1"/>
            </w14:solidFill>
          </w14:textFill>
        </w:rPr>
        <w:t xml:space="preserve">6</w:t>
      </w:r>
      <w:r>
        <w:rPr>
          <w:rFonts w:hint="eastAsia" w:ascii="仿宋" w:hAnsi="仿宋" w:eastAsia="仿宋" w:cs="宋体"/>
          <w:color w:val="000000" w:themeColor="text1"/>
          <w:sz w:val="32"/>
          <w:szCs w:val="32"/>
          <w14:textFill>
            <w14:solidFill>
              <w14:schemeClr w14:val="tx1"/>
            </w14:solidFill>
          </w14:textFill>
        </w:rPr>
        <w:t xml:space="preserve">月</w:t>
      </w:r>
      <w:r>
        <w:rPr>
          <w:rFonts w:hint="eastAsia" w:ascii="仿宋" w:hAnsi="仿宋" w:eastAsia="仿宋" w:cs="宋体"/>
          <w:color w:val="000000" w:themeColor="text1"/>
          <w:sz w:val="32"/>
          <w:szCs w:val="32"/>
          <w:lang w:val="en-US" w:eastAsia="zh-CN"/>
          <w14:textFill>
            <w14:solidFill>
              <w14:schemeClr w14:val="tx1"/>
            </w14:solidFill>
          </w14:textFill>
        </w:rPr>
        <w:t xml:space="preserve">24</w:t>
      </w:r>
      <w:r>
        <w:rPr>
          <w:rFonts w:hint="eastAsia" w:ascii="仿宋" w:hAnsi="仿宋" w:eastAsia="仿宋" w:cs="宋体"/>
          <w:color w:val="000000" w:themeColor="text1"/>
          <w:sz w:val="32"/>
          <w:szCs w:val="32"/>
          <w14:textFill>
            <w14:solidFill>
              <w14:schemeClr w14:val="tx1"/>
            </w14:solidFill>
          </w14:textFill>
        </w:rPr>
        <w:t xml:space="preserve">日</w:t>
      </w:r>
      <w:r>
        <w:rPr>
          <w:rFonts w:hint="eastAsia" w:ascii="仿宋" w:hAnsi="仿宋" w:eastAsia="仿宋"/>
          <w:color w:val="000000" w:themeColor="text1"/>
          <w:sz w:val="32"/>
          <w:szCs w:val="32"/>
          <w:lang w:bidi="ar"/>
          <w14:textFill>
            <w14:solidFill>
              <w14:schemeClr w14:val="tx1"/>
            </w14:solidFill>
          </w14:textFill>
        </w:rPr>
        <w:t xml:space="preserve">（北京</w:t>
      </w:r>
      <w:r>
        <w:rPr>
          <w:rFonts w:hint="eastAsia" w:ascii="仿宋" w:hAnsi="仿宋" w:eastAsia="仿宋"/>
          <w:sz w:val="32"/>
          <w:szCs w:val="32"/>
          <w:lang w:bidi="ar"/>
        </w:rPr>
        <w:t xml:space="preserve">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p>
    <w:p>
      <w:pPr>
        <w:pStyle w:val="937"/>
        <w:ind w:firstLine="643"/>
        <w:jc w:val="left"/>
        <w:spacing w:before="0" w:line="360" w:lineRule="auto"/>
        <w:widowControl/>
        <w:rPr>
          <w:rFonts w:hint="eastAsia" w:ascii="仿宋" w:hAnsi="仿宋" w:eastAsia="仿宋"/>
          <w:sz w:val="32"/>
          <w:szCs w:val="32"/>
        </w:rPr>
      </w:pPr>
      <w:r/>
      <w:bookmarkStart w:id="18" w:name="_Toc28359082"/>
      <w:r/>
      <w:bookmarkStart w:id="19" w:name="_Toc28359005"/>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bCs/>
          <w:sz w:val="32"/>
          <w:szCs w:val="32"/>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lang w:val="en-US" w:eastAsia="zh-CN"/>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lang w:val="en-US" w:eastAsia="zh-CN"/>
        </w:rPr>
        <w:t xml:space="preserve">7</w:t>
      </w:r>
      <w:r>
        <w:rPr>
          <w:rFonts w:hint="eastAsia" w:ascii="仿宋" w:hAnsi="仿宋" w:eastAsia="仿宋" w:cs="宋体"/>
          <w:b/>
          <w:bCs/>
          <w:sz w:val="32"/>
          <w:szCs w:val="32"/>
        </w:rPr>
        <w:t xml:space="preserve">日09点00分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p>
    <w:p>
      <w:pPr>
        <w:ind w:firstLine="640"/>
        <w:spacing w:line="360" w:lineRule="auto"/>
        <w:rPr>
          <w:rFonts w:hint="eastAsia"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p>
    <w:p>
      <w:pPr>
        <w:pStyle w:val="937"/>
        <w:ind w:firstLine="643"/>
        <w:jc w:val="left"/>
        <w:spacing w:before="0" w:line="360" w:lineRule="auto"/>
        <w:rPr>
          <w:rFonts w:hint="eastAsia" w:ascii="仿宋" w:hAnsi="仿宋" w:eastAsia="仿宋"/>
          <w:sz w:val="32"/>
          <w:szCs w:val="32"/>
        </w:rPr>
      </w:pPr>
      <w:r/>
      <w:bookmarkStart w:id="22" w:name="_Toc35393625"/>
      <w:r/>
      <w:bookmarkStart w:id="23" w:name="_Toc28359084"/>
      <w:r/>
      <w:bookmarkStart w:id="24" w:name="_Toc28359007"/>
      <w:r/>
      <w:bookmarkStart w:id="25" w:name="_Toc35393794"/>
      <w:r>
        <w:rPr>
          <w:rFonts w:ascii="仿宋" w:hAnsi="仿宋" w:eastAsia="仿宋"/>
          <w:sz w:val="32"/>
          <w:szCs w:val="32"/>
        </w:rPr>
        <w:t xml:space="preserve">五、公告期限</w:t>
      </w:r>
      <w:bookmarkEnd w:id="22"/>
      <w:r/>
      <w:bookmarkEnd w:id="23"/>
      <w:r/>
      <w:bookmarkEnd w:id="24"/>
      <w:r/>
      <w:bookmarkEnd w:id="25"/>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自本公告发布之日起5个工作日。</w:t>
      </w:r>
      <w:r/>
    </w:p>
    <w:p>
      <w:pPr>
        <w:pStyle w:val="937"/>
        <w:ind w:firstLine="643"/>
        <w:jc w:val="left"/>
        <w:spacing w:before="0" w:line="360" w:lineRule="auto"/>
        <w:rPr>
          <w:rFonts w:hint="eastAsia"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spacing w:line="360" w:lineRule="auto"/>
        <w:rPr>
          <w:rFonts w:hint="eastAsia"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37"/>
        <w:ind w:firstLine="643"/>
        <w:jc w:val="left"/>
        <w:spacing w:before="0" w:line="360" w:lineRule="auto"/>
        <w:rPr>
          <w:rFonts w:hint="eastAsia" w:ascii="仿宋" w:hAnsi="仿宋" w:eastAsia="仿宋"/>
          <w:sz w:val="32"/>
          <w:szCs w:val="32"/>
        </w:rPr>
      </w:pPr>
      <w:r/>
      <w:bookmarkStart w:id="28" w:name="_Toc35393627"/>
      <w:r/>
      <w:bookmarkStart w:id="29" w:name="_Toc28359008"/>
      <w:r/>
      <w:bookmarkStart w:id="30" w:name="_Toc35393796"/>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
    </w:p>
    <w:p>
      <w:pPr>
        <w:ind w:firstLine="643"/>
        <w:jc w:val="left"/>
        <w:spacing w:line="360" w:lineRule="auto"/>
        <w:widowControl/>
        <w:rPr>
          <w:rFonts w:hint="eastAsia" w:ascii="仿宋" w:hAnsi="仿宋" w:eastAsia="仿宋"/>
          <w:b/>
          <w:sz w:val="32"/>
          <w:szCs w:val="32"/>
        </w:rPr>
      </w:pPr>
      <w:r>
        <w:rPr>
          <w:rFonts w:ascii="仿宋" w:hAnsi="仿宋" w:eastAsia="仿宋"/>
          <w:b/>
          <w:sz w:val="32"/>
          <w:szCs w:val="32"/>
        </w:rPr>
        <w:t xml:space="preserve">1.采购人信息</w:t>
      </w:r>
      <w:r/>
    </w:p>
    <w:p>
      <w:pPr>
        <w:ind w:firstLine="640"/>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称：江苏省常州技师学院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址：常州市新北区嫩江路8号</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联系方式：姚老师、王老师  0519-81162606</w:t>
      </w:r>
      <w:r/>
    </w:p>
    <w:p>
      <w:pPr>
        <w:ind w:firstLine="643"/>
        <w:jc w:val="left"/>
        <w:spacing w:line="360" w:lineRule="auto"/>
        <w:rPr>
          <w:rFonts w:hint="eastAsia" w:ascii="仿宋" w:hAnsi="仿宋" w:eastAsia="仿宋"/>
          <w:b/>
          <w:sz w:val="32"/>
          <w:szCs w:val="32"/>
        </w:rPr>
      </w:pPr>
      <w:r>
        <w:rPr>
          <w:rFonts w:ascii="仿宋" w:hAnsi="仿宋" w:eastAsia="仿宋"/>
          <w:b/>
          <w:sz w:val="32"/>
          <w:szCs w:val="32"/>
        </w:rPr>
        <w:t xml:space="preserve">2.采购代理机构信息</w:t>
      </w:r>
      <w:bookmarkEnd w:id="32"/>
      <w:r/>
      <w:bookmarkEnd w:id="33"/>
      <w:r/>
      <w:r/>
    </w:p>
    <w:p>
      <w:pPr>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p>
    <w:p>
      <w:pPr>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项目联系人：张媛</w:t>
      </w:r>
      <w:r/>
    </w:p>
    <w:p>
      <w:pPr>
        <w:ind w:firstLine="640"/>
        <w:spacing w:line="360" w:lineRule="auto"/>
        <w:rPr>
          <w:rFonts w:hint="eastAsia" w:ascii="仿宋" w:hAnsi="仿宋" w:eastAsia="仿宋"/>
          <w:sz w:val="24"/>
        </w:rPr>
      </w:pPr>
      <w:r>
        <w:rPr>
          <w:rFonts w:hint="eastAsia" w:ascii="仿宋" w:hAnsi="仿宋" w:eastAsia="仿宋"/>
          <w:sz w:val="32"/>
          <w:szCs w:val="32"/>
        </w:rPr>
        <w:t xml:space="preserve">电      话：0519-81580152  81580191  81580192（转分机号6011）</w:t>
      </w:r>
      <w:r/>
    </w:p>
    <w:p>
      <w:pPr>
        <w:jc w:val="center"/>
        <w:spacing w:line="360" w:lineRule="auto"/>
        <w:rPr>
          <w:rFonts w:hint="eastAsia" w:ascii="宋体" w:hAnsi="宋体"/>
          <w:b/>
          <w:sz w:val="32"/>
          <w:szCs w:val="32"/>
        </w:rPr>
        <w:outlineLvl w:val="0"/>
      </w:pPr>
      <w:r>
        <w:rPr>
          <w:rFonts w:ascii="宋体" w:hAnsi="宋体"/>
          <w:sz w:val="24"/>
        </w:rPr>
        <w:br w:type="page" w:clear="all"/>
      </w:r>
      <w:bookmarkStart w:id="36" w:name="_Toc353825548"/>
      <w:r/>
      <w:bookmarkStart w:id="37" w:name="_Toc127151777"/>
      <w:r/>
      <w:bookmarkStart w:id="38" w:name="_Toc195842950"/>
      <w:r/>
      <w:bookmarkStart w:id="39" w:name="_Toc305158928"/>
      <w:r/>
      <w:bookmarkStart w:id="40" w:name="_Toc265228423"/>
      <w:r/>
      <w:bookmarkStart w:id="41" w:name="_Toc353873938"/>
      <w:r/>
      <w:bookmarkStart w:id="42" w:name="_Toc305158854"/>
      <w:r/>
      <w:bookmarkStart w:id="43" w:name="_Toc150774783"/>
      <w:r/>
      <w:bookmarkStart w:id="44" w:name="_Toc226965856"/>
      <w:r/>
      <w:bookmarkStart w:id="45" w:name="_Toc127161488"/>
      <w:r/>
      <w:bookmarkStart w:id="46" w:name="_Toc264969275"/>
      <w:r/>
      <w:bookmarkStart w:id="47" w:name="_Toc512937850"/>
      <w:r/>
      <w:bookmarkStart w:id="48" w:name="_Toc9930142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37"/>
        <w:spacing w:before="0" w:line="360" w:lineRule="auto"/>
        <w:tabs>
          <w:tab w:val="center" w:pos="4592" w:leader="none"/>
          <w:tab w:val="left" w:pos="7860" w:leader="none"/>
        </w:tabs>
        <w:rPr>
          <w:rFonts w:hint="eastAsia" w:ascii="宋体" w:hAnsi="宋体" w:eastAsia="宋体"/>
          <w:sz w:val="28"/>
        </w:rPr>
      </w:pPr>
      <w:r/>
      <w:bookmarkStart w:id="49" w:name="_Toc195842884"/>
      <w:r/>
      <w:bookmarkStart w:id="50" w:name="_Toc151193761"/>
      <w:r/>
      <w:bookmarkStart w:id="51" w:name="_Toc520356144"/>
      <w:r/>
      <w:bookmarkStart w:id="52" w:name="_Toc226309763"/>
      <w:r/>
      <w:bookmarkStart w:id="53" w:name="_Toc164351613"/>
      <w:r/>
      <w:bookmarkStart w:id="54" w:name="_Toc226337215"/>
      <w:r/>
      <w:bookmarkStart w:id="55" w:name="_Toc127151720"/>
      <w:r/>
      <w:bookmarkStart w:id="56" w:name="_Toc226965709"/>
      <w:r/>
      <w:bookmarkStart w:id="57" w:name="_Toc150480757"/>
      <w:r/>
      <w:bookmarkStart w:id="58" w:name="_Toc151193833"/>
      <w:r/>
      <w:bookmarkStart w:id="59" w:name="_Toc151193907"/>
      <w:r/>
      <w:bookmarkStart w:id="60" w:name="_Toc150774724"/>
      <w:r/>
      <w:bookmarkStart w:id="61" w:name="_Toc151193617"/>
      <w:r/>
      <w:bookmarkStart w:id="62" w:name="_Toc151190146"/>
      <w:r/>
      <w:bookmarkStart w:id="63" w:name="_Toc149720812"/>
      <w:r/>
      <w:bookmarkStart w:id="64" w:name="_Toc164229360"/>
      <w:r/>
      <w:bookmarkStart w:id="65" w:name="_Toc150509270"/>
      <w:r/>
      <w:bookmarkStart w:id="66" w:name="_Toc164608633"/>
      <w:r/>
      <w:bookmarkStart w:id="67" w:name="_Toc151193689"/>
      <w:r/>
      <w:bookmarkStart w:id="68" w:name="_Toc127151519"/>
      <w:r/>
      <w:bookmarkStart w:id="69" w:name="_Toc142311021"/>
      <w:r/>
      <w:bookmarkStart w:id="70" w:name="_Toc127161433"/>
      <w:r/>
      <w:bookmarkStart w:id="71" w:name="_Toc226965792"/>
      <w:r/>
      <w:bookmarkStart w:id="72" w:name="_Toc164608788"/>
      <w:r/>
      <w:bookmarkStart w:id="73" w:name="_Toc150774619"/>
      <w:r/>
      <w:bookmarkStart w:id="74" w:name="_Toc164229214"/>
      <w:r>
        <w:rPr>
          <w:rFonts w:ascii="宋体" w:hAnsi="宋体" w:eastAsia="宋体"/>
          <w:sz w:val="28"/>
        </w:rPr>
        <w:t xml:space="preserve">投标人须知资料表</w:t>
      </w:r>
      <w:r/>
    </w:p>
    <w:p>
      <w:pPr>
        <w:jc w:val="center"/>
        <w:rPr>
          <w:rFonts w:hint="eastAsia" w:ascii="宋体" w:hAnsi="宋体"/>
          <w:b/>
          <w:sz w:val="28"/>
          <w:szCs w:val="28"/>
        </w:rPr>
      </w:pPr>
      <w:r>
        <w:rPr>
          <w:rFonts w:hint="eastAsia" w:ascii="宋体" w:hAnsi="宋体"/>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Style w:val="946"/>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u w:val="single"/>
              </w:rPr>
            </w:pPr>
            <w:r>
              <w:rPr>
                <w:rFonts w:hint="eastAsia" w:ascii="宋体" w:hAnsi="宋体" w:cs="宋体"/>
                <w:sz w:val="24"/>
              </w:rPr>
              <w:t xml:space="preserve">■货物</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959"/>
              <w:rPr>
                <w:rFonts w:hAnsi="宋体" w:cs="宋体"/>
                <w:sz w:val="24"/>
                <w:szCs w:val="24"/>
              </w:rPr>
            </w:pPr>
            <w:r>
              <w:rPr>
                <w:rFonts w:hAnsi="宋体" w:cs="宋体"/>
                <w:sz w:val="24"/>
                <w:szCs w:val="24"/>
              </w:rPr>
              <w:t xml:space="preserve">□关于核心产品本项目__包不适用。</w:t>
            </w:r>
            <w:r/>
          </w:p>
          <w:p>
            <w:pPr>
              <w:pStyle w:val="959"/>
              <w:rPr>
                <w:rFonts w:hAnsi="宋体" w:cs="宋体"/>
                <w:sz w:val="24"/>
                <w:szCs w:val="24"/>
              </w:rPr>
            </w:pPr>
            <w:r>
              <w:rPr>
                <w:rFonts w:hAnsi="宋体" w:cs="宋体"/>
                <w:sz w:val="24"/>
                <w:szCs w:val="24"/>
              </w:rPr>
              <w:t xml:space="preserve">□本项目__包为单一产品采购项目。</w:t>
            </w:r>
            <w:r/>
          </w:p>
          <w:p>
            <w:pPr>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bCs/>
                <w:sz w:val="24"/>
              </w:rPr>
              <w:t xml:space="preserve">采购清单序号3变速箱油/齿轮油</w:t>
            </w:r>
            <w:r/>
          </w:p>
        </w:tc>
      </w:tr>
      <w:tr>
        <w:trPr>
          <w:cantSplit/>
          <w:jc w:val="center"/>
          <w:trHeight w:val="20"/>
        </w:trPr>
        <w:tc>
          <w:tcPr>
            <w:tcW w:w="988" w:type="dxa"/>
            <w:vAlign w:val="center"/>
            <w:vMerge w:val="restart"/>
            <w:textDirection w:val="lrTb"/>
            <w:noWrap w:val="false"/>
          </w:tcPr>
          <w:p>
            <w:pPr>
              <w:pStyle w:val="959"/>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959"/>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959"/>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投标样品递交：</w:t>
            </w:r>
            <w:r/>
          </w:p>
          <w:p>
            <w:pPr>
              <w:jc w:val="left"/>
              <w:rPr>
                <w:rFonts w:hint="eastAsia" w:ascii="宋体" w:hAnsi="宋体" w:cs="宋体"/>
                <w:sz w:val="24"/>
              </w:rPr>
            </w:pPr>
            <w:r>
              <w:rPr>
                <w:rFonts w:hint="eastAsia" w:ascii="宋体" w:hAnsi="宋体" w:cs="宋体"/>
                <w:sz w:val="24"/>
              </w:rPr>
              <w:t xml:space="preserve">□不需要</w:t>
            </w:r>
            <w:r/>
          </w:p>
          <w:p>
            <w:pPr>
              <w:jc w:val="left"/>
              <w:rPr>
                <w:rFonts w:hint="eastAsia" w:ascii="宋体" w:hAnsi="宋体" w:cs="宋体"/>
                <w:sz w:val="24"/>
              </w:rPr>
            </w:pPr>
            <w:r>
              <w:rPr>
                <w:rFonts w:hint="eastAsia" w:ascii="宋体" w:hAnsi="宋体" w:cs="宋体"/>
                <w:sz w:val="24"/>
              </w:rPr>
              <w:t xml:space="preserve">■需要，具体要求如下：</w:t>
            </w:r>
            <w:r/>
          </w:p>
          <w:p>
            <w:pPr>
              <w:jc w:val="left"/>
              <w:rPr>
                <w:rFonts w:hint="eastAsia" w:ascii="宋体" w:hAnsi="宋体" w:cs="宋体"/>
                <w:sz w:val="24"/>
              </w:rPr>
            </w:pPr>
            <w:r>
              <w:rPr>
                <w:rFonts w:hint="eastAsia" w:ascii="宋体" w:hAnsi="宋体" w:cs="宋体"/>
                <w:sz w:val="24"/>
              </w:rPr>
              <w:t xml:space="preserve">（1）样品制作的标准和要求：</w:t>
            </w:r>
            <w:r/>
          </w:p>
          <w:tbl>
            <w:tblPr>
              <w:tblStyle w:val="9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1467"/>
              <w:gridCol w:w="1587"/>
              <w:gridCol w:w="916"/>
              <w:gridCol w:w="1265"/>
              <w:gridCol w:w="812"/>
            </w:tblGrid>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rPr>
                      <w:rFonts w:hint="eastAsia" w:ascii="宋体" w:hAnsi="宋体" w:cs="仿宋"/>
                      <w:b/>
                      <w:bCs/>
                      <w:spacing w:val="10"/>
                      <w:sz w:val="24"/>
                    </w:rPr>
                  </w:pPr>
                  <w:r>
                    <w:rPr>
                      <w:rFonts w:hint="eastAsia" w:ascii="宋体" w:hAnsi="宋体" w:cs="仿宋"/>
                      <w:b/>
                      <w:bCs/>
                      <w:spacing w:val="10"/>
                      <w:sz w:val="24"/>
                    </w:rPr>
                    <w:t xml:space="preserve">清单序号</w:t>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left"/>
                    <w:rPr>
                      <w:rFonts w:hint="eastAsia" w:ascii="宋体" w:hAnsi="宋体" w:cs="仿宋"/>
                      <w:b/>
                      <w:bCs/>
                      <w:spacing w:val="10"/>
                      <w:sz w:val="24"/>
                    </w:rPr>
                  </w:pPr>
                  <w:r>
                    <w:rPr>
                      <w:rFonts w:hint="eastAsia" w:ascii="宋体" w:hAnsi="宋体" w:cs="仿宋"/>
                      <w:b/>
                      <w:bCs/>
                      <w:spacing w:val="10"/>
                      <w:sz w:val="24"/>
                    </w:rPr>
                    <w:t xml:space="preserve">样品名称</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rPr>
                      <w:rFonts w:hint="eastAsia" w:ascii="宋体" w:hAnsi="宋体" w:cs="仿宋"/>
                      <w:b/>
                      <w:bCs/>
                      <w:spacing w:val="10"/>
                      <w:sz w:val="24"/>
                    </w:rPr>
                  </w:pPr>
                  <w:r>
                    <w:rPr>
                      <w:rFonts w:hint="eastAsia" w:ascii="宋体" w:hAnsi="宋体" w:cs="仿宋"/>
                      <w:b/>
                      <w:bCs/>
                      <w:spacing w:val="10"/>
                      <w:sz w:val="24"/>
                    </w:rPr>
                    <w:t xml:space="preserve">参数要求</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rPr>
                      <w:rFonts w:hint="eastAsia" w:ascii="宋体" w:hAnsi="宋体" w:cs="仿宋"/>
                      <w:b/>
                      <w:bCs/>
                      <w:spacing w:val="10"/>
                      <w:sz w:val="24"/>
                    </w:rPr>
                  </w:pPr>
                  <w:r>
                    <w:rPr>
                      <w:rFonts w:hint="eastAsia" w:ascii="宋体" w:hAnsi="宋体" w:cs="仿宋"/>
                      <w:b/>
                      <w:bCs/>
                      <w:spacing w:val="10"/>
                      <w:sz w:val="24"/>
                    </w:rPr>
                    <w:t xml:space="preserve">数量</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rPr>
                      <w:rFonts w:hint="eastAsia" w:ascii="宋体" w:hAnsi="宋体" w:cs="仿宋"/>
                      <w:b/>
                      <w:bCs/>
                      <w:spacing w:val="10"/>
                      <w:sz w:val="24"/>
                    </w:rPr>
                  </w:pPr>
                  <w:r>
                    <w:rPr>
                      <w:rFonts w:hint="eastAsia" w:ascii="宋体" w:hAnsi="宋体" w:cs="仿宋"/>
                      <w:b/>
                      <w:bCs/>
                      <w:spacing w:val="10"/>
                      <w:sz w:val="24"/>
                    </w:rPr>
                    <w:t xml:space="preserve">样品限价（元）</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rPr>
                      <w:rFonts w:hint="eastAsia" w:ascii="宋体" w:hAnsi="宋体" w:cs="仿宋"/>
                      <w:b/>
                      <w:bCs/>
                      <w:spacing w:val="10"/>
                      <w:sz w:val="24"/>
                    </w:rPr>
                  </w:pPr>
                  <w:r>
                    <w:rPr>
                      <w:rFonts w:hint="eastAsia" w:ascii="宋体" w:hAnsi="宋体" w:cs="仿宋"/>
                      <w:b/>
                      <w:bCs/>
                      <w:spacing w:val="10"/>
                      <w:sz w:val="24"/>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spacing w:line="360" w:lineRule="exact"/>
                    <w:rPr>
                      <w:rFonts w:hint="eastAsia" w:ascii="宋体" w:hAnsi="宋体"/>
                      <w:sz w:val="24"/>
                    </w:rPr>
                  </w:pPr>
                  <w:r>
                    <w:rPr>
                      <w:rStyle w:val="1359"/>
                      <w:rFonts w:hint="eastAsia" w:ascii="宋体" w:hAnsi="宋体" w:eastAsia="宋体" w:cs="仿宋"/>
                      <w:sz w:val="24"/>
                    </w:rPr>
                    <w:t xml:space="preserve">3</w:t>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变速箱油/齿轮油</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详见清单</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1桶</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144.2</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rPr>
                      <w:rFonts w:hint="eastAsia" w:ascii="宋体" w:hAnsi="宋体" w:cs="宋体"/>
                      <w:color w:val="ff0000"/>
                      <w:sz w:val="24"/>
                    </w:rPr>
                  </w:pPr>
                  <w:r>
                    <w:rPr>
                      <w:rFonts w:hint="eastAsia" w:ascii="宋体" w:hAnsi="宋体" w:cs="宋体"/>
                      <w:color w:val="ff0000"/>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22</w:t>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灯泡</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详见清单</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1只</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63</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rPr>
                      <w:rStyle w:val="1359"/>
                      <w:rFonts w:hint="eastAsia" w:ascii="宋体" w:hAnsi="宋体" w:eastAsia="宋体" w:cs="仿宋"/>
                      <w:color w:val="ff0000"/>
                      <w:sz w:val="24"/>
                    </w:rPr>
                  </w:pPr>
                  <w:r>
                    <w:rPr>
                      <w:rFonts w:hint="eastAsia" w:ascii="宋体" w:hAnsi="宋体" w:eastAsia="宋体" w:cs="仿宋"/>
                      <w:color w:val="ff0000"/>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125</w:t>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无人机降压模块</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详见清单</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1个</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21</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rPr>
                      <w:rStyle w:val="1359"/>
                      <w:rFonts w:hint="eastAsia" w:ascii="宋体" w:hAnsi="宋体" w:eastAsia="宋体" w:cs="仿宋"/>
                      <w:color w:val="ff0000"/>
                      <w:sz w:val="24"/>
                    </w:rPr>
                  </w:pPr>
                  <w:r>
                    <w:rPr>
                      <w:rFonts w:hint="eastAsia" w:ascii="宋体" w:hAnsi="宋体" w:eastAsia="宋体" w:cs="仿宋"/>
                      <w:color w:val="ff0000"/>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220</w:t>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蓄电池断电开关</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详见清单</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1个</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39.2</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rPr>
                      <w:rStyle w:val="1359"/>
                      <w:rFonts w:hint="eastAsia" w:ascii="宋体" w:hAnsi="宋体" w:eastAsia="宋体" w:cs="仿宋"/>
                      <w:color w:val="ff0000"/>
                      <w:sz w:val="24"/>
                    </w:rPr>
                  </w:pPr>
                  <w:r>
                    <w:rPr>
                      <w:rFonts w:hint="eastAsia" w:ascii="宋体" w:hAnsi="宋体" w:eastAsia="宋体" w:cs="仿宋"/>
                      <w:color w:val="ff0000"/>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227</w:t>
                  </w:r>
                  <w:r/>
                </w:p>
              </w:tc>
              <w:tc>
                <w:tcPr>
                  <w:tcBorders>
                    <w:top w:val="single" w:color="000000" w:sz="4" w:space="0"/>
                    <w:left w:val="single" w:color="000000" w:sz="4" w:space="0"/>
                    <w:bottom w:val="single" w:color="000000" w:sz="4" w:space="0"/>
                    <w:right w:val="single" w:color="000000" w:sz="4" w:space="0"/>
                  </w:tcBorders>
                  <w:tcW w:w="1003"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专业级钳子三件套装</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widowControl/>
                    <w:rPr>
                      <w:rFonts w:hint="eastAsia" w:ascii="宋体" w:hAnsi="宋体" w:cs="宋体"/>
                      <w:sz w:val="24"/>
                    </w:rPr>
                  </w:pPr>
                  <w:r>
                    <w:rPr>
                      <w:rStyle w:val="1359"/>
                      <w:rFonts w:hint="eastAsia" w:ascii="宋体" w:hAnsi="宋体" w:eastAsia="宋体" w:cs="仿宋"/>
                      <w:sz w:val="24"/>
                    </w:rPr>
                    <w:t xml:space="preserve">详见清单</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1套</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spacing w:line="360" w:lineRule="exact"/>
                    <w:rPr>
                      <w:rStyle w:val="1359"/>
                      <w:rFonts w:hint="eastAsia" w:ascii="宋体" w:hAnsi="宋体" w:eastAsia="宋体" w:cs="仿宋"/>
                      <w:sz w:val="24"/>
                    </w:rPr>
                  </w:pPr>
                  <w:r>
                    <w:rPr>
                      <w:rStyle w:val="1359"/>
                      <w:rFonts w:hint="eastAsia" w:ascii="宋体" w:hAnsi="宋体" w:eastAsia="宋体" w:cs="仿宋"/>
                      <w:sz w:val="24"/>
                    </w:rPr>
                    <w:t xml:space="preserve">137.2</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spacing w:line="360" w:lineRule="exact"/>
                    <w:rPr>
                      <w:rStyle w:val="1359"/>
                      <w:rFonts w:hint="eastAsia" w:ascii="宋体" w:hAnsi="宋体" w:eastAsia="宋体" w:cs="仿宋"/>
                      <w:color w:val="ff0000"/>
                      <w:sz w:val="24"/>
                    </w:rPr>
                  </w:pPr>
                  <w:r>
                    <w:rPr>
                      <w:rFonts w:hint="eastAsia" w:ascii="宋体" w:hAnsi="宋体" w:eastAsia="宋体" w:cs="仿宋"/>
                      <w:color w:val="ff0000"/>
                      <w:sz w:val="24"/>
                    </w:rPr>
                  </w:r>
                  <w:r/>
                </w:p>
              </w:tc>
            </w:tr>
          </w:tbl>
          <w:p>
            <w:pPr>
              <w:jc w:val="left"/>
              <w:rPr>
                <w:rFonts w:hint="eastAsia" w:ascii="宋体" w:hAnsi="宋体" w:cs="宋体"/>
                <w:sz w:val="24"/>
              </w:rPr>
            </w:pPr>
            <w:r>
              <w:rPr>
                <w:rFonts w:hint="eastAsia" w:ascii="宋体" w:hAnsi="宋体" w:cs="宋体"/>
                <w:sz w:val="24"/>
              </w:rPr>
              <w:t xml:space="preserve">（2）是否需要随样品提交相关检测报告：</w:t>
            </w:r>
            <w:r/>
          </w:p>
          <w:p>
            <w:pPr>
              <w:ind w:firstLine="600"/>
              <w:jc w:val="left"/>
              <w:rPr>
                <w:rFonts w:hint="eastAsia" w:ascii="宋体" w:hAnsi="宋体" w:cs="宋体"/>
                <w:sz w:val="24"/>
              </w:rPr>
            </w:pPr>
            <w:r>
              <w:rPr>
                <w:rFonts w:hint="eastAsia" w:ascii="宋体" w:hAnsi="宋体" w:cs="宋体"/>
                <w:sz w:val="24"/>
              </w:rPr>
              <w:t xml:space="preserve">■不需要</w:t>
            </w:r>
            <w:r/>
          </w:p>
          <w:p>
            <w:pPr>
              <w:ind w:firstLine="600"/>
              <w:jc w:val="left"/>
              <w:rPr>
                <w:rFonts w:hint="eastAsia" w:ascii="宋体" w:hAnsi="宋体" w:cs="宋体"/>
                <w:sz w:val="24"/>
              </w:rPr>
            </w:pPr>
            <w:r>
              <w:rPr>
                <w:rFonts w:hint="eastAsia" w:ascii="宋体" w:hAnsi="宋体" w:cs="宋体"/>
                <w:sz w:val="24"/>
              </w:rPr>
              <w:t xml:space="preserve">□需要</w:t>
            </w:r>
            <w:r/>
          </w:p>
          <w:p>
            <w:pPr>
              <w:jc w:val="left"/>
              <w:rPr>
                <w:rFonts w:hint="eastAsia" w:ascii="宋体" w:hAnsi="宋体" w:cs="宋体"/>
                <w:sz w:val="24"/>
              </w:rPr>
            </w:pPr>
            <w:r>
              <w:rPr>
                <w:rFonts w:hint="eastAsia" w:ascii="宋体" w:hAnsi="宋体" w:cs="宋体"/>
                <w:sz w:val="24"/>
              </w:rPr>
              <w:t xml:space="preserve">（3）样品递交要求：</w:t>
            </w:r>
            <w:r/>
          </w:p>
          <w:p>
            <w:pPr>
              <w:jc w:val="left"/>
              <w:rPr>
                <w:rFonts w:hint="eastAsia" w:ascii="宋体" w:hAnsi="宋体" w:cs="宋体"/>
                <w:sz w:val="24"/>
              </w:rPr>
            </w:pPr>
            <w:r>
              <w:rPr>
                <w:rFonts w:hint="eastAsia" w:ascii="宋体" w:hAnsi="宋体" w:cs="宋体"/>
                <w:sz w:val="24"/>
              </w:rPr>
              <w:t xml:space="preserve">①样品递交地点：常州市新北区通江中路396号中创大厦4楼</w:t>
            </w:r>
            <w:r/>
          </w:p>
          <w:p>
            <w:pPr>
              <w:jc w:val="left"/>
              <w:rPr>
                <w:rFonts w:hint="eastAsia" w:ascii="宋体" w:hAnsi="宋体" w:cs="宋体"/>
                <w:sz w:val="24"/>
              </w:rPr>
            </w:pPr>
            <w:r>
              <w:rPr>
                <w:rFonts w:hint="eastAsia" w:ascii="宋体" w:hAnsi="宋体" w:cs="宋体"/>
                <w:sz w:val="24"/>
              </w:rPr>
              <w:t xml:space="preserve">联系人：张媛</w:t>
            </w:r>
            <w:r/>
          </w:p>
          <w:p>
            <w:pPr>
              <w:jc w:val="left"/>
              <w:rPr>
                <w:rFonts w:hint="eastAsia" w:ascii="宋体" w:hAnsi="宋体" w:cs="宋体"/>
                <w:sz w:val="24"/>
              </w:rPr>
            </w:pPr>
            <w:r>
              <w:rPr>
                <w:rFonts w:hint="eastAsia" w:ascii="宋体" w:hAnsi="宋体" w:cs="宋体"/>
                <w:sz w:val="24"/>
              </w:rPr>
              <w:t xml:space="preserve">电话：0519-81580152  81580191  81580192（转分机号6011）</w:t>
            </w:r>
            <w:r/>
          </w:p>
          <w:p>
            <w:pPr>
              <w:jc w:val="left"/>
              <w:rPr>
                <w:rFonts w:hint="eastAsia" w:ascii="宋体" w:hAnsi="宋体" w:cs="宋体"/>
                <w:sz w:val="24"/>
              </w:rPr>
            </w:pPr>
            <w:r>
              <w:rPr>
                <w:rFonts w:hint="eastAsia" w:ascii="宋体" w:hAnsi="宋体" w:cs="宋体"/>
                <w:sz w:val="24"/>
              </w:rPr>
              <w:t xml:space="preserve">样品递交截止时间：投标文件递交截止时间前一个工作日的16:00</w:t>
            </w:r>
            <w:r/>
          </w:p>
          <w:p>
            <w:pPr>
              <w:jc w:val="left"/>
              <w:rPr>
                <w:rFonts w:hint="eastAsia" w:ascii="宋体" w:hAnsi="宋体" w:cs="宋体"/>
                <w:sz w:val="24"/>
              </w:rPr>
            </w:pPr>
            <w:r>
              <w:rPr>
                <w:rFonts w:hint="eastAsia" w:ascii="宋体" w:hAnsi="宋体" w:cs="宋体"/>
                <w:sz w:val="24"/>
              </w:rPr>
              <w:t xml:space="preserve">②投标人在样品上/样品背面粘贴标签，标签上注明投标人名称、样品材质、规格型号、产地，加盖投标人公章，并用不透明白纸将标签粘贴遮盖；</w:t>
            </w:r>
            <w:r/>
          </w:p>
          <w:p>
            <w:pPr>
              <w:jc w:val="left"/>
              <w:rPr>
                <w:rFonts w:hint="eastAsia" w:ascii="宋体" w:hAnsi="宋体" w:cs="宋体"/>
                <w:sz w:val="24"/>
              </w:rPr>
            </w:pPr>
            <w:r>
              <w:rPr>
                <w:rFonts w:hint="eastAsia" w:ascii="宋体" w:hAnsi="宋体" w:cs="宋体"/>
                <w:sz w:val="24"/>
              </w:rPr>
              <w:t xml:space="preserve">③样品提交时,样品上任何显示投标人名称的商标、品牌或其他显示该投标人名称的标志都应用不透明的白纸粘贴遮盖，否则评审时样品部分不得分；</w:t>
            </w:r>
            <w:r/>
          </w:p>
          <w:p>
            <w:pPr>
              <w:jc w:val="left"/>
              <w:rPr>
                <w:rFonts w:hint="eastAsia" w:ascii="宋体" w:hAnsi="宋体" w:cs="宋体"/>
                <w:sz w:val="24"/>
              </w:rPr>
            </w:pPr>
            <w:r>
              <w:rPr>
                <w:rFonts w:hint="eastAsia" w:ascii="宋体" w:hAnsi="宋体" w:cs="宋体"/>
                <w:sz w:val="24"/>
              </w:rPr>
              <w:t xml:space="preserve">（4）未中标人样品退还：未中标人的样品评审结束后予以退回，投标人三个工作日内自行取回，否则采购人有权自行处理；</w:t>
            </w:r>
            <w:r/>
          </w:p>
          <w:p>
            <w:pPr>
              <w:jc w:val="left"/>
              <w:rPr>
                <w:rFonts w:hint="eastAsia" w:ascii="宋体" w:hAnsi="宋体" w:cs="宋体"/>
                <w:sz w:val="24"/>
                <w:u w:val="single"/>
              </w:rPr>
            </w:pPr>
            <w:r>
              <w:rPr>
                <w:rFonts w:hint="eastAsia" w:ascii="宋体" w:hAnsi="宋体" w:cs="宋体"/>
                <w:sz w:val="24"/>
              </w:rPr>
              <w:t xml:space="preserve">（5）中标人样品保管、封存及退还：中标人的样品不予退回，由采购人封存作为最终验收的依据；</w:t>
            </w:r>
            <w:r/>
          </w:p>
          <w:p>
            <w:pPr>
              <w:jc w:val="left"/>
              <w:rPr>
                <w:rFonts w:hint="eastAsia" w:ascii="宋体" w:hAnsi="宋体" w:cs="宋体"/>
                <w:sz w:val="24"/>
              </w:rPr>
            </w:pPr>
            <w:r>
              <w:rPr>
                <w:rFonts w:hint="eastAsia" w:ascii="宋体" w:hAnsi="宋体" w:cs="宋体"/>
                <w:sz w:val="24"/>
              </w:rPr>
              <w:t xml:space="preserve">（6）其他要求（如有）：</w:t>
            </w:r>
            <w:r/>
          </w:p>
          <w:p>
            <w:pPr>
              <w:jc w:val="left"/>
              <w:rPr>
                <w:rFonts w:hint="eastAsia" w:ascii="宋体" w:hAnsi="宋体" w:cs="宋体"/>
                <w:sz w:val="24"/>
              </w:rPr>
            </w:pPr>
            <w:r>
              <w:rPr>
                <w:rFonts w:hint="eastAsia" w:ascii="宋体" w:hAnsi="宋体" w:cs="宋体"/>
                <w:sz w:val="24"/>
              </w:rPr>
              <w:t xml:space="preserve">①样品制作及运输费用由投标人自行承担；</w:t>
            </w:r>
            <w:r/>
          </w:p>
          <w:p>
            <w:pPr>
              <w:jc w:val="left"/>
              <w:rPr>
                <w:rFonts w:hint="eastAsia" w:ascii="宋体" w:hAnsi="宋体" w:cs="宋体"/>
                <w:sz w:val="24"/>
              </w:rPr>
            </w:pPr>
            <w:r>
              <w:rPr>
                <w:rFonts w:hint="eastAsia" w:ascii="宋体" w:hAnsi="宋体" w:cs="宋体"/>
                <w:sz w:val="24"/>
              </w:rPr>
              <w:t xml:space="preserve">②未能提供样品、样品不齐全或样品不符合要求的，评审时样品部分不得分。</w:t>
            </w:r>
            <w:r/>
          </w:p>
        </w:tc>
      </w:tr>
      <w:tr>
        <w:trPr>
          <w:jc w:val="center"/>
          <w:trHeight w:val="517"/>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本项目采购标的对应的中小企业划分标准所属行业：工业。</w:t>
            </w:r>
            <w:r/>
          </w:p>
        </w:tc>
      </w:tr>
      <w:tr>
        <w:trPr>
          <w:jc w:val="center"/>
          <w:trHeight w:val="517"/>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jc w:val="left"/>
              <w:rPr>
                <w:rFonts w:hint="eastAsia" w:ascii="宋体" w:hAnsi="宋体" w:cs="宋体"/>
                <w:sz w:val="24"/>
              </w:rPr>
            </w:pPr>
            <w:r>
              <w:rPr>
                <w:rFonts w:hint="eastAsia" w:ascii="宋体" w:hAnsi="宋体" w:cs="宋体"/>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投标报价的特殊规定：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sz w:val="24"/>
              </w:rPr>
            </w:pPr>
            <w:r>
              <w:rPr>
                <w:rFonts w:hint="eastAsia" w:ascii="宋体" w:hAnsi="宋体" w:cs="宋体"/>
                <w:sz w:val="24"/>
              </w:rPr>
              <w:t xml:space="preserve">□有，具体情形：_____。</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本项目的非主体、非关键性工作是否允许分包：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ind w:left="120" w:hanging="12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lang w:val="en-US" w:eastAsia="zh-CN"/>
              </w:rPr>
              <w:t xml:space="preserve">6</w:t>
            </w:r>
            <w:r>
              <w:rPr>
                <w:rFonts w:hint="eastAsia" w:ascii="宋体" w:hAnsi="宋体" w:cs="宋体"/>
                <w:b/>
                <w:sz w:val="24"/>
              </w:rPr>
              <w:t xml:space="preserve">月</w:t>
            </w:r>
            <w:r>
              <w:rPr>
                <w:rFonts w:hint="eastAsia" w:ascii="宋体" w:hAnsi="宋体" w:cs="宋体"/>
                <w:b/>
                <w:sz w:val="24"/>
                <w:lang w:val="en-US" w:eastAsia="zh-CN"/>
              </w:rPr>
              <w:t xml:space="preserve">25</w:t>
            </w:r>
            <w:r>
              <w:rPr>
                <w:rFonts w:hint="eastAsia" w:ascii="宋体" w:hAnsi="宋体" w:cs="宋体"/>
                <w:b/>
                <w:sz w:val="24"/>
              </w:rPr>
              <w:t xml:space="preserve">日11点00分</w:t>
            </w:r>
            <w:r>
              <w:rPr>
                <w:rFonts w:hint="eastAsia" w:ascii="宋体" w:hAnsi="宋体" w:cs="宋体"/>
                <w:sz w:val="24"/>
              </w:rPr>
              <w:t xml:space="preserve">（北</w:t>
            </w:r>
            <w:bookmarkStart w:id="914" w:name="_GoBack"/>
            <w:r/>
            <w:bookmarkEnd w:id="914"/>
            <w:r>
              <w:rPr>
                <w:rFonts w:hint="eastAsia" w:ascii="宋体" w:hAnsi="宋体" w:cs="宋体"/>
                <w:sz w:val="24"/>
              </w:rPr>
              <w:t xml:space="preserve">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59"/>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（一）收费对象：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ascii="宋体" w:hAnsi="宋体" w:cs="宋体"/>
                <w:color w:val="000000" w:themeColor="text1"/>
                <w:sz w:val="24"/>
                <w14:textFill>
                  <w14:solidFill>
                    <w14:schemeClr w14:val="tx1"/>
                  </w14:solidFill>
                </w14:textFill>
              </w:rPr>
              <w:t xml:space="preserve">因采购人预算金额包含代理费，本项目向中标人收取代理费。</w:t>
            </w:r>
            <w:r/>
          </w:p>
          <w:p>
            <w:pPr>
              <w:jc w:val="left"/>
              <w:rPr>
                <w:rFonts w:hint="eastAsia" w:ascii="宋体" w:hAnsi="宋体" w:cs="宋体"/>
                <w:sz w:val="24"/>
              </w:rPr>
            </w:pPr>
            <w:r>
              <w:rPr>
                <w:rFonts w:hint="eastAsia" w:ascii="宋体" w:hAnsi="宋体" w:cs="宋体"/>
                <w:b/>
                <w:sz w:val="24"/>
              </w:rPr>
              <w:t xml:space="preserve">（二）收费标准：</w:t>
            </w:r>
            <w:r/>
          </w:p>
          <w:p>
            <w:pPr>
              <w:jc w:val="left"/>
              <w:rPr>
                <w:rFonts w:hint="eastAsia" w:ascii="宋体" w:hAnsi="宋体" w:cs="宋体"/>
                <w:sz w:val="24"/>
              </w:rPr>
            </w:pPr>
            <w:r>
              <w:rPr>
                <w:rFonts w:hint="eastAsia" w:ascii="宋体" w:hAnsi="宋体" w:cs="宋体"/>
                <w:sz w:val="24"/>
              </w:rPr>
            </w:r>
            <w:r/>
          </w:p>
          <w:tbl>
            <w:tblPr>
              <w:tblStyle w:val="946"/>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ind w:firstLine="945"/>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-4445</wp:posOffset>
                            </wp:positionV>
                            <wp:extent cx="1506855" cy="167513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xy;visibility:visible;" from="27.0pt,-0.3pt" to="145.6pt,131.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-4445</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szCs w:val="21"/>
                    </w:rPr>
                    <w:t xml:space="preserve">服</w:t>
                  </w:r>
                  <w:r/>
                </w:p>
                <w:p>
                  <w:pPr>
                    <w:ind w:firstLine="210"/>
                    <w:spacing w:line="440" w:lineRule="exact"/>
                    <w:rPr>
                      <w:rFonts w:hint="eastAsia" w:ascii="宋体" w:hAnsi="宋体" w:cs="宋体"/>
                      <w:bCs/>
                      <w:szCs w:val="21"/>
                    </w:rPr>
                  </w:pPr>
                  <w:r>
                    <w:rPr>
                      <w:rFonts w:hint="eastAsia" w:ascii="宋体" w:hAnsi="宋体" w:cs="宋体"/>
                      <w:bCs/>
                      <w:szCs w:val="21"/>
                    </w:rPr>
                    <w:t xml:space="preserve">   费　　　   务</w:t>
                  </w:r>
                  <w:r/>
                </w:p>
                <w:p>
                  <w:pPr>
                    <w:ind w:firstLine="1260"/>
                    <w:spacing w:line="44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-82550</wp:posOffset>
                            </wp:positionH>
                            <wp:positionV relativeFrom="paragraph">
                              <wp:posOffset>90805</wp:posOffset>
                            </wp:positionV>
                            <wp:extent cx="1932940" cy="1020445"/>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ind w:firstLine="1050"/>
                    <w:spacing w:line="440" w:lineRule="exact"/>
                    <w:rPr>
                      <w:rFonts w:hint="eastAsia" w:ascii="宋体" w:hAnsi="宋体" w:cs="宋体"/>
                      <w:bCs/>
                      <w:szCs w:val="21"/>
                    </w:rPr>
                  </w:pPr>
                  <w:r>
                    <w:rPr>
                      <w:rFonts w:hint="eastAsia" w:ascii="宋体" w:hAnsi="宋体" w:cs="宋体"/>
                      <w:bCs/>
                      <w:szCs w:val="21"/>
                    </w:rPr>
                    <w:t xml:space="preserve"> 率　       型</w:t>
                  </w:r>
                  <w:r/>
                </w:p>
                <w:p>
                  <w:pPr>
                    <w:ind w:firstLine="1050"/>
                    <w:spacing w:line="440" w:lineRule="exact"/>
                    <w:rPr>
                      <w:rFonts w:hint="eastAsia" w:ascii="宋体" w:hAnsi="宋体" w:cs="宋体"/>
                      <w:bCs/>
                      <w:szCs w:val="21"/>
                    </w:rPr>
                  </w:pPr>
                  <w:r>
                    <w:rPr>
                      <w:rFonts w:hint="eastAsia" w:ascii="宋体" w:hAnsi="宋体" w:cs="宋体"/>
                      <w:bCs/>
                      <w:szCs w:val="21"/>
                    </w:rPr>
                    <w:t xml:space="preserve">　　　　</w:t>
                  </w:r>
                  <w:r/>
                </w:p>
                <w:p>
                  <w:pPr>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bl>
          <w:p>
            <w:pPr>
              <w:ind w:firstLine="480"/>
              <w:jc w:val="left"/>
              <w:rPr>
                <w:rFonts w:hint="eastAsia" w:ascii="宋体" w:hAnsi="宋体" w:cs="宋体"/>
                <w:sz w:val="24"/>
              </w:rPr>
            </w:pPr>
            <w:r>
              <w:rPr>
                <w:rFonts w:hint="eastAsia" w:ascii="宋体" w:hAnsi="宋体" w:cs="宋体"/>
                <w:sz w:val="24"/>
              </w:rPr>
              <w:t xml:space="preserve">代理费按差额定率累进法计算。 </w:t>
            </w:r>
            <w:r/>
          </w:p>
          <w:p>
            <w:pPr>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按照上述标准的40%收取。</w:t>
            </w:r>
            <w:r/>
          </w:p>
          <w:p>
            <w:pPr>
              <w:ind w:firstLine="480"/>
              <w:jc w:val="left"/>
              <w:rPr>
                <w:rFonts w:hint="eastAsia" w:ascii="宋体" w:hAnsi="宋体" w:cs="宋体"/>
                <w:sz w:val="24"/>
              </w:rPr>
            </w:pPr>
            <w:r>
              <w:rPr>
                <w:rFonts w:hint="eastAsia" w:ascii="宋体" w:hAnsi="宋体" w:cs="宋体"/>
                <w:sz w:val="24"/>
              </w:rPr>
              <w:t xml:space="preserve">代理费按上述计算方法不足人民币2500元的，按人民币2500元收取。</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0 20"/>
                                  <a:gd name="gd8" fmla="*/ h 2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0000,100000"/>
                    </v:shape>
                  </w:pict>
                </mc:Fallback>
              </mc:AlternateConten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59"/>
              <w:jc w:val="center"/>
              <w:rPr>
                <w:rFonts w:hAnsi="宋体" w:cs="宋体"/>
                <w:sz w:val="24"/>
                <w:szCs w:val="24"/>
              </w:rPr>
            </w:pPr>
            <w:r>
              <w:rPr>
                <w:rFonts w:hAnsi="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p>
        </w:tc>
      </w:tr>
    </w:tbl>
    <w:p>
      <w:pPr>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bookmarkStart w:id="75" w:name="_Toc150480755"/>
      <w:r/>
      <w:bookmarkStart w:id="76" w:name="_Toc265228355"/>
      <w:r/>
      <w:bookmarkStart w:id="77" w:name="_Toc353873932"/>
      <w:r/>
      <w:bookmarkStart w:id="78" w:name="_Toc226965790"/>
      <w:r/>
      <w:bookmarkStart w:id="79" w:name="_Toc353873662"/>
      <w:r/>
      <w:bookmarkStart w:id="80" w:name="_Toc305158785"/>
      <w:r/>
      <w:bookmarkStart w:id="81" w:name="_Toc353825542"/>
      <w:r/>
      <w:bookmarkStart w:id="82" w:name="_Toc142311019"/>
      <w:r/>
      <w:bookmarkStart w:id="83" w:name="_Toc195842882"/>
      <w:r/>
      <w:bookmarkStart w:id="84" w:name="_Toc150774722"/>
      <w:r/>
      <w:bookmarkStart w:id="85" w:name="_Toc305158859"/>
      <w:r/>
      <w:bookmarkStart w:id="86" w:name="_Toc127151517"/>
      <w:r/>
      <w:bookmarkStart w:id="87" w:name="_Toc264969207"/>
      <w:r/>
      <w:bookmarkStart w:id="88" w:name="_Toc226337213"/>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37"/>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265228356"/>
      <w:r/>
      <w:bookmarkStart w:id="92" w:name="_Toc151193760"/>
      <w:r/>
      <w:bookmarkStart w:id="93" w:name="_Toc150774618"/>
      <w:r/>
      <w:bookmarkStart w:id="94" w:name="_Toc226965708"/>
      <w:r/>
      <w:bookmarkStart w:id="95" w:name="_Toc195842883"/>
      <w:r/>
      <w:bookmarkStart w:id="96" w:name="_Toc151193616"/>
      <w:r/>
      <w:bookmarkStart w:id="97" w:name="_Toc305158786"/>
      <w:r/>
      <w:bookmarkStart w:id="98" w:name="_Toc305158860"/>
      <w:r/>
      <w:bookmarkStart w:id="99" w:name="_Toc226309762"/>
      <w:r/>
      <w:bookmarkStart w:id="100" w:name="_Toc151190145"/>
      <w:r/>
      <w:bookmarkStart w:id="101" w:name="_Toc151193832"/>
      <w:r/>
      <w:bookmarkStart w:id="102" w:name="_Toc150774723"/>
      <w:r/>
      <w:bookmarkStart w:id="103" w:name="_Toc264969208"/>
      <w:r/>
      <w:bookmarkStart w:id="104" w:name="_Toc150509269"/>
      <w:r/>
      <w:bookmarkStart w:id="105" w:name="_Toc150480756"/>
      <w:r/>
      <w:bookmarkStart w:id="106" w:name="_Toc151193688"/>
      <w:r/>
      <w:bookmarkStart w:id="107" w:name="_Toc142311020"/>
      <w:r/>
      <w:bookmarkStart w:id="108" w:name="_Toc226337214"/>
      <w:r/>
      <w:bookmarkStart w:id="109" w:name="_Toc226965791"/>
      <w:r/>
      <w:bookmarkStart w:id="110" w:name="_Toc15119390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305158787"/>
      <w:r/>
      <w:bookmarkStart w:id="113" w:name="_Toc26522835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618"/>
      <w:r/>
      <w:bookmarkStart w:id="116" w:name="_Toc264969210"/>
      <w:r/>
      <w:bookmarkStart w:id="117" w:name="_Toc150480758"/>
      <w:r/>
      <w:bookmarkStart w:id="118" w:name="_Toc265228358"/>
      <w:r/>
      <w:bookmarkStart w:id="119" w:name="_Toc305158862"/>
      <w:r/>
      <w:bookmarkStart w:id="120" w:name="_Toc164229361"/>
      <w:r/>
      <w:bookmarkStart w:id="121" w:name="_Toc164351614"/>
      <w:r/>
      <w:bookmarkStart w:id="122" w:name="_Toc164608634"/>
      <w:r/>
      <w:bookmarkStart w:id="123" w:name="_Toc164608789"/>
      <w:r/>
      <w:bookmarkStart w:id="124" w:name="_Toc151193762"/>
      <w:r/>
      <w:bookmarkStart w:id="125" w:name="_Toc151193690"/>
      <w:r/>
      <w:bookmarkStart w:id="126" w:name="_Toc305158788"/>
      <w:r/>
      <w:bookmarkStart w:id="127" w:name="_Toc150774725"/>
      <w:r/>
      <w:bookmarkStart w:id="128" w:name="_Toc151193834"/>
      <w:r/>
      <w:bookmarkStart w:id="129" w:name="_Toc150774620"/>
      <w:r/>
      <w:bookmarkStart w:id="130" w:name="_Toc151193908"/>
      <w:r/>
      <w:bookmarkStart w:id="131" w:name="_Toc127151721"/>
      <w:r/>
      <w:bookmarkStart w:id="132" w:name="_Toc226309764"/>
      <w:r/>
      <w:bookmarkStart w:id="133" w:name="_Toc226965793"/>
      <w:r/>
      <w:bookmarkStart w:id="134" w:name="_Toc226337216"/>
      <w:r/>
      <w:bookmarkStart w:id="135" w:name="_Toc195842885"/>
      <w:r/>
      <w:bookmarkStart w:id="136" w:name="_Toc151190147"/>
      <w:r/>
      <w:bookmarkStart w:id="137" w:name="_Toc149720813"/>
      <w:r/>
      <w:bookmarkStart w:id="138" w:name="_Toc226965710"/>
      <w:r/>
      <w:bookmarkStart w:id="139" w:name="_Toc127151520"/>
      <w:r/>
      <w:bookmarkStart w:id="140" w:name="_Toc127161434"/>
      <w:r/>
      <w:bookmarkStart w:id="141" w:name="_Toc164229215"/>
      <w:r/>
      <w:bookmarkStart w:id="142" w:name="_Toc142311022"/>
      <w:r/>
      <w:bookmarkStart w:id="143" w:name="_Toc15050927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95842887"/>
      <w:r/>
      <w:bookmarkStart w:id="145" w:name="_Toc520356146"/>
      <w:r/>
      <w:bookmarkStart w:id="146" w:name="_Toc151193764"/>
      <w:r/>
      <w:bookmarkStart w:id="147" w:name="_Toc151190149"/>
      <w:r/>
      <w:bookmarkStart w:id="148" w:name="_Toc226965712"/>
      <w:r/>
      <w:bookmarkStart w:id="149" w:name="_Toc226965795"/>
      <w:r/>
      <w:bookmarkStart w:id="150" w:name="_Toc264969212"/>
      <w:r/>
      <w:bookmarkStart w:id="151" w:name="_Toc226309766"/>
      <w:r/>
      <w:bookmarkStart w:id="152" w:name="_Toc150774622"/>
      <w:r/>
      <w:bookmarkStart w:id="153" w:name="_Toc265228360"/>
      <w:r/>
      <w:bookmarkStart w:id="154" w:name="_Toc150509273"/>
      <w:r/>
      <w:bookmarkStart w:id="155" w:name="_Toc127151522"/>
      <w:r/>
      <w:bookmarkStart w:id="156" w:name="_Toc150774727"/>
      <w:r/>
      <w:bookmarkStart w:id="157" w:name="_Toc151193620"/>
      <w:r/>
      <w:bookmarkStart w:id="158" w:name="_Toc305158864"/>
      <w:r/>
      <w:bookmarkStart w:id="159" w:name="_Toc226337218"/>
      <w:r/>
      <w:bookmarkStart w:id="160" w:name="_Toc305158790"/>
      <w:r/>
      <w:bookmarkStart w:id="161" w:name="_Toc151193836"/>
      <w:r/>
      <w:bookmarkStart w:id="162" w:name="_Toc151193910"/>
      <w:r/>
      <w:bookmarkStart w:id="163" w:name="_Toc151193692"/>
      <w:r/>
      <w:bookmarkStart w:id="164" w:name="_Toc142311024"/>
      <w:r/>
      <w:bookmarkStart w:id="165" w:name="_Toc150480760"/>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rPr>
        <w:t xml:space="preserve">投标无效</w:t>
      </w:r>
      <w:r>
        <w:rPr>
          <w:rFonts w:hint="eastAsia" w:ascii="宋体" w:hAnsi="宋体" w:cs="宋体"/>
          <w:sz w:val="24"/>
        </w:rPr>
        <w:t xml:space="preserve">；</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sz w:val="28"/>
        </w:rPr>
      </w:pPr>
      <w:r/>
      <w:bookmarkStart w:id="166" w:name="_1.8_计量单位"/>
      <w:r/>
      <w:bookmarkEnd w:id="166"/>
      <w:r/>
      <w:r/>
    </w:p>
    <w:p>
      <w:pPr>
        <w:pStyle w:val="93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167" w:name="_Toc195842888"/>
      <w:r/>
      <w:bookmarkStart w:id="168" w:name="_Toc151193911"/>
      <w:r/>
      <w:bookmarkStart w:id="169" w:name="_Toc305158791"/>
      <w:r/>
      <w:bookmarkStart w:id="170" w:name="_Toc127161437"/>
      <w:r/>
      <w:bookmarkStart w:id="171" w:name="_Toc151193837"/>
      <w:r/>
      <w:bookmarkStart w:id="172" w:name="_Toc226337219"/>
      <w:r/>
      <w:bookmarkStart w:id="173" w:name="_Toc164351617"/>
      <w:r/>
      <w:bookmarkStart w:id="174" w:name="_Toc226309767"/>
      <w:r/>
      <w:bookmarkStart w:id="175" w:name="_Toc150509274"/>
      <w:r/>
      <w:bookmarkStart w:id="176" w:name="_Toc150774728"/>
      <w:r/>
      <w:bookmarkStart w:id="177" w:name="_Toc164608637"/>
      <w:r/>
      <w:bookmarkStart w:id="178" w:name="_Toc164608792"/>
      <w:r/>
      <w:bookmarkStart w:id="179" w:name="_Toc151190150"/>
      <w:r/>
      <w:bookmarkStart w:id="180" w:name="_Toc164229364"/>
      <w:r/>
      <w:bookmarkStart w:id="181" w:name="_Toc226965796"/>
      <w:r/>
      <w:bookmarkStart w:id="182" w:name="_Toc520356147"/>
      <w:r/>
      <w:bookmarkStart w:id="183" w:name="_Toc142311025"/>
      <w:r/>
      <w:bookmarkStart w:id="184" w:name="_Toc151193765"/>
      <w:r/>
      <w:bookmarkStart w:id="185" w:name="_Toc226965713"/>
      <w:r/>
      <w:bookmarkStart w:id="186" w:name="_Toc127151724"/>
      <w:r/>
      <w:bookmarkStart w:id="187" w:name="_Toc151193621"/>
      <w:r/>
      <w:bookmarkStart w:id="188" w:name="_Toc264969213"/>
      <w:r/>
      <w:bookmarkStart w:id="189" w:name="_Toc265228361"/>
      <w:r/>
      <w:bookmarkStart w:id="190" w:name="_Toc149720816"/>
      <w:r/>
      <w:bookmarkStart w:id="191" w:name="_Toc305158865"/>
      <w:r/>
      <w:bookmarkStart w:id="192" w:name="_Toc150774623"/>
      <w:r/>
      <w:bookmarkStart w:id="193" w:name="_Toc150480761"/>
      <w:r/>
      <w:bookmarkStart w:id="194" w:name="_Toc127151523"/>
      <w:r/>
      <w:bookmarkStart w:id="195" w:name="_Toc164229218"/>
      <w:r/>
      <w:bookmarkStart w:id="196" w:name="_Toc15119369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numPr>
          <w:ilvl w:val="0"/>
          <w:numId w:val="9"/>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投标邀请</w:t>
      </w:r>
      <w:r/>
    </w:p>
    <w:p>
      <w:pPr>
        <w:numPr>
          <w:ilvl w:val="0"/>
          <w:numId w:val="9"/>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投标人须知</w:t>
      </w:r>
      <w:r/>
    </w:p>
    <w:p>
      <w:pPr>
        <w:numPr>
          <w:ilvl w:val="0"/>
          <w:numId w:val="9"/>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资格审查</w:t>
      </w:r>
      <w:r/>
    </w:p>
    <w:p>
      <w:pPr>
        <w:numPr>
          <w:ilvl w:val="0"/>
          <w:numId w:val="9"/>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评标程序、评标方法和评标标准</w:t>
      </w:r>
      <w:r/>
    </w:p>
    <w:p>
      <w:pPr>
        <w:numPr>
          <w:ilvl w:val="0"/>
          <w:numId w:val="9"/>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拟签订的合同文本</w:t>
      </w:r>
      <w:r/>
    </w:p>
    <w:p>
      <w:pPr>
        <w:numPr>
          <w:ilvl w:val="0"/>
          <w:numId w:val="9"/>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37"/>
        <w:ind w:firstLine="562"/>
        <w:spacing w:before="0" w:line="360" w:lineRule="auto"/>
        <w:rPr>
          <w:rFonts w:hint="eastAsia" w:ascii="宋体" w:hAnsi="宋体" w:eastAsia="宋体" w:cs="宋体"/>
          <w:sz w:val="28"/>
        </w:rPr>
      </w:pPr>
      <w:r/>
      <w:bookmarkStart w:id="197" w:name="_Toc516367020"/>
      <w:r/>
      <w:bookmarkStart w:id="198" w:name="_Toc226337222"/>
      <w:r/>
      <w:bookmarkStart w:id="199" w:name="_Toc151193768"/>
      <w:r/>
      <w:bookmarkStart w:id="200" w:name="_Toc151193624"/>
      <w:r/>
      <w:bookmarkStart w:id="201" w:name="_Toc150480764"/>
      <w:r/>
      <w:bookmarkStart w:id="202" w:name="_Toc151190153"/>
      <w:r/>
      <w:bookmarkStart w:id="203" w:name="_Toc226965716"/>
      <w:r/>
      <w:bookmarkStart w:id="204" w:name="_Toc226309770"/>
      <w:r/>
      <w:bookmarkStart w:id="205" w:name="_Toc264969216"/>
      <w:r/>
      <w:bookmarkStart w:id="206" w:name="_Toc127151526"/>
      <w:r/>
      <w:bookmarkStart w:id="207" w:name="_Toc142311028"/>
      <w:r/>
      <w:bookmarkStart w:id="208" w:name="_Toc150774731"/>
      <w:r/>
      <w:bookmarkStart w:id="209" w:name="_Toc150509277"/>
      <w:r/>
      <w:bookmarkStart w:id="210" w:name="_Toc151193914"/>
      <w:r/>
      <w:bookmarkStart w:id="211" w:name="_Toc195842891"/>
      <w:r/>
      <w:bookmarkStart w:id="212" w:name="_Toc265228364"/>
      <w:r/>
      <w:bookmarkStart w:id="213" w:name="_Toc151193840"/>
      <w:r/>
      <w:bookmarkStart w:id="214" w:name="_Toc226965799"/>
      <w:r/>
      <w:bookmarkStart w:id="215" w:name="_Toc520356150"/>
      <w:r/>
      <w:bookmarkStart w:id="216" w:name="_Toc151193696"/>
      <w:r/>
      <w:bookmarkStart w:id="217" w:name="_Toc305158868"/>
      <w:r/>
      <w:bookmarkStart w:id="218" w:name="_Toc150774626"/>
      <w:r/>
      <w:bookmarkStart w:id="219" w:name="_Toc305158794"/>
      <w:r>
        <w:rPr>
          <w:rFonts w:hint="eastAsia" w:ascii="宋体" w:hAnsi="宋体" w:eastAsia="宋体" w:cs="宋体"/>
          <w:sz w:val="28"/>
        </w:rPr>
        <w:t xml:space="preserve">三   投标文件</w:t>
      </w:r>
      <w:bookmarkEnd w:id="197"/>
      <w:r>
        <w:rPr>
          <w:rFonts w:hint="eastAsia" w:ascii="宋体" w:hAnsi="宋体" w:eastAsia="宋体" w:cs="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220" w:name="_Toc305158795"/>
      <w:r/>
      <w:bookmarkStart w:id="221" w:name="_Toc151193915"/>
      <w:r/>
      <w:bookmarkStart w:id="222" w:name="_Toc516367021"/>
      <w:r/>
      <w:bookmarkStart w:id="223" w:name="_Toc150480765"/>
      <w:r/>
      <w:bookmarkStart w:id="224" w:name="_Toc142311029"/>
      <w:r/>
      <w:bookmarkStart w:id="225" w:name="_Toc264969217"/>
      <w:r/>
      <w:bookmarkStart w:id="226" w:name="_Toc127151728"/>
      <w:r/>
      <w:bookmarkStart w:id="227" w:name="_Toc127161441"/>
      <w:r/>
      <w:bookmarkStart w:id="228" w:name="_Toc226309771"/>
      <w:r/>
      <w:bookmarkStart w:id="229" w:name="_Toc151190154"/>
      <w:r/>
      <w:bookmarkStart w:id="230" w:name="_Toc150774627"/>
      <w:r/>
      <w:bookmarkStart w:id="231" w:name="_Toc305158869"/>
      <w:r/>
      <w:bookmarkStart w:id="232" w:name="_Toc151193625"/>
      <w:r/>
      <w:bookmarkStart w:id="233" w:name="_Toc151193697"/>
      <w:r/>
      <w:bookmarkStart w:id="234" w:name="_Toc150774732"/>
      <w:r/>
      <w:bookmarkStart w:id="235" w:name="_Toc265228365"/>
      <w:r/>
      <w:bookmarkStart w:id="236" w:name="_Toc520356151"/>
      <w:r/>
      <w:bookmarkStart w:id="237" w:name="_Toc164229222"/>
      <w:r/>
      <w:bookmarkStart w:id="238" w:name="_Toc226337223"/>
      <w:r/>
      <w:bookmarkStart w:id="239" w:name="_Toc164351621"/>
      <w:r/>
      <w:bookmarkStart w:id="240" w:name="_Toc164608796"/>
      <w:r/>
      <w:bookmarkStart w:id="241" w:name="_Toc151193841"/>
      <w:r/>
      <w:bookmarkStart w:id="242" w:name="_Toc151193769"/>
      <w:r/>
      <w:bookmarkStart w:id="243" w:name="_Toc150509278"/>
      <w:r/>
      <w:bookmarkStart w:id="244" w:name="_Toc195842892"/>
      <w:r/>
      <w:bookmarkStart w:id="245" w:name="_Toc226965717"/>
      <w:r/>
      <w:bookmarkStart w:id="246" w:name="_Toc164608641"/>
      <w:r/>
      <w:bookmarkStart w:id="247" w:name="_Toc127151527"/>
      <w:r/>
      <w:bookmarkStart w:id="248" w:name="_Toc164229368"/>
      <w:r/>
      <w:bookmarkStart w:id="249" w:name="_Toc226965800"/>
      <w:r/>
      <w:bookmarkStart w:id="250" w:name="_Toc149720820"/>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251" w:name="_Ref467306676"/>
      <w:r/>
      <w:bookmarkStart w:id="252" w:name="_Toc516367022"/>
      <w:r/>
      <w:bookmarkStart w:id="253" w:name="_Ref467306195"/>
      <w:r/>
      <w:bookmarkStart w:id="254" w:name="_Toc150774733"/>
      <w:r/>
      <w:bookmarkStart w:id="255" w:name="_Toc150509279"/>
      <w:r/>
      <w:bookmarkStart w:id="256" w:name="_Toc127151528"/>
      <w:r/>
      <w:bookmarkStart w:id="257" w:name="_Toc149720821"/>
      <w:r/>
      <w:bookmarkStart w:id="258" w:name="_Toc265228366"/>
      <w:r/>
      <w:bookmarkStart w:id="259" w:name="_Toc127151729"/>
      <w:r/>
      <w:bookmarkStart w:id="260" w:name="_Toc264969218"/>
      <w:r/>
      <w:bookmarkStart w:id="261" w:name="_Toc164351622"/>
      <w:r/>
      <w:bookmarkStart w:id="262" w:name="_Toc151193842"/>
      <w:r/>
      <w:bookmarkStart w:id="263" w:name="_Toc226309772"/>
      <w:r/>
      <w:bookmarkStart w:id="264" w:name="_Toc150774628"/>
      <w:r/>
      <w:bookmarkStart w:id="265" w:name="_Toc151190155"/>
      <w:r/>
      <w:bookmarkStart w:id="266" w:name="_Toc150480766"/>
      <w:r/>
      <w:bookmarkStart w:id="267" w:name="_Toc226965801"/>
      <w:r/>
      <w:bookmarkStart w:id="268" w:name="_Toc164229223"/>
      <w:r/>
      <w:bookmarkStart w:id="269" w:name="_Toc127161442"/>
      <w:r/>
      <w:bookmarkStart w:id="270" w:name="_Toc195842893"/>
      <w:r/>
      <w:bookmarkStart w:id="271" w:name="_Toc151193916"/>
      <w:r/>
      <w:bookmarkStart w:id="272" w:name="_Toc151193698"/>
      <w:r/>
      <w:bookmarkStart w:id="273" w:name="_Toc164229369"/>
      <w:r/>
      <w:bookmarkStart w:id="274" w:name="_Toc164608642"/>
      <w:r/>
      <w:bookmarkStart w:id="275" w:name="_Toc151193626"/>
      <w:r/>
      <w:bookmarkStart w:id="276" w:name="_Toc164608797"/>
      <w:r/>
      <w:bookmarkStart w:id="277" w:name="_Toc142311030"/>
      <w:r/>
      <w:bookmarkStart w:id="278" w:name="_Toc520356152"/>
      <w:r/>
      <w:bookmarkStart w:id="279" w:name="_Toc151193770"/>
      <w:r/>
      <w:bookmarkStart w:id="280" w:name="_Toc305158870"/>
      <w:r/>
      <w:bookmarkStart w:id="281" w:name="_Toc305158796"/>
      <w:r/>
      <w:bookmarkStart w:id="282" w:name="_Toc226965718"/>
      <w:r/>
      <w:bookmarkStart w:id="283" w:name="_Toc226337224"/>
      <w:r>
        <w:rPr>
          <w:rFonts w:hint="eastAsia" w:ascii="宋体" w:hAnsi="宋体" w:cs="宋体"/>
          <w:b/>
          <w:sz w:val="24"/>
        </w:rPr>
        <w:t xml:space="preserve">投标文件</w:t>
      </w:r>
      <w:bookmarkEnd w:id="251"/>
      <w:r/>
      <w:bookmarkEnd w:id="252"/>
      <w:r/>
      <w:bookmarkEnd w:id="253"/>
      <w:r>
        <w:rPr>
          <w:rFonts w:hint="eastAsia" w:ascii="宋体" w:hAnsi="宋体" w:cs="宋体"/>
          <w:b/>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285" w:name="_Toc151193772"/>
      <w:r/>
      <w:bookmarkStart w:id="286" w:name="_Toc164608644"/>
      <w:r/>
      <w:bookmarkStart w:id="287" w:name="_Toc150774735"/>
      <w:r/>
      <w:bookmarkStart w:id="288" w:name="_Toc127151731"/>
      <w:r/>
      <w:bookmarkStart w:id="289" w:name="_Toc127151530"/>
      <w:r/>
      <w:bookmarkStart w:id="290" w:name="_Toc142311032"/>
      <w:r/>
      <w:bookmarkStart w:id="291" w:name="_Toc520356155"/>
      <w:r/>
      <w:bookmarkStart w:id="292" w:name="_Toc164229371"/>
      <w:r/>
      <w:bookmarkStart w:id="293" w:name="_Toc164229225"/>
      <w:r/>
      <w:bookmarkStart w:id="294" w:name="_Toc150480768"/>
      <w:r/>
      <w:bookmarkStart w:id="295" w:name="_Toc150774630"/>
      <w:r/>
      <w:bookmarkStart w:id="296" w:name="_Toc151193628"/>
      <w:r/>
      <w:bookmarkStart w:id="297" w:name="_Toc195842895"/>
      <w:r/>
      <w:bookmarkStart w:id="298" w:name="_Toc151193700"/>
      <w:r/>
      <w:bookmarkStart w:id="299" w:name="_Toc150509281"/>
      <w:r/>
      <w:bookmarkStart w:id="300" w:name="_Toc164608799"/>
      <w:r/>
      <w:bookmarkStart w:id="301" w:name="_Toc151193844"/>
      <w:r/>
      <w:bookmarkStart w:id="302" w:name="_Toc151190157"/>
      <w:r/>
      <w:bookmarkStart w:id="303" w:name="_Toc164351624"/>
      <w:r/>
      <w:bookmarkStart w:id="304" w:name="_Toc127161444"/>
      <w:r/>
      <w:bookmarkStart w:id="305" w:name="_Toc151193918"/>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307" w:name="_Toc151193629"/>
      <w:r/>
      <w:bookmarkStart w:id="308" w:name="_Toc151193773"/>
      <w:r/>
      <w:bookmarkStart w:id="309" w:name="_Toc164229226"/>
      <w:r/>
      <w:bookmarkStart w:id="310" w:name="_Toc265228369"/>
      <w:r/>
      <w:bookmarkStart w:id="311" w:name="_Toc226337227"/>
      <w:r/>
      <w:bookmarkStart w:id="312" w:name="_Toc151193919"/>
      <w:r/>
      <w:bookmarkStart w:id="313" w:name="_Toc127161445"/>
      <w:r/>
      <w:bookmarkStart w:id="314" w:name="_Toc151190158"/>
      <w:r/>
      <w:bookmarkStart w:id="315" w:name="_Toc151193701"/>
      <w:r/>
      <w:bookmarkStart w:id="316" w:name="_Toc127151531"/>
      <w:r/>
      <w:bookmarkStart w:id="317" w:name="_Toc150774736"/>
      <w:r/>
      <w:bookmarkStart w:id="318" w:name="_Toc149720824"/>
      <w:r/>
      <w:bookmarkStart w:id="319" w:name="_Toc164351625"/>
      <w:r/>
      <w:bookmarkStart w:id="320" w:name="_Toc142311033"/>
      <w:r/>
      <w:bookmarkStart w:id="321" w:name="_Toc264969221"/>
      <w:r/>
      <w:bookmarkStart w:id="322" w:name="_Toc305158799"/>
      <w:r/>
      <w:bookmarkStart w:id="323" w:name="_Toc164229372"/>
      <w:r/>
      <w:bookmarkStart w:id="324" w:name="_Toc520356156"/>
      <w:r/>
      <w:bookmarkStart w:id="325" w:name="_Toc127151732"/>
      <w:r/>
      <w:bookmarkStart w:id="326" w:name="_Toc150774631"/>
      <w:r/>
      <w:bookmarkStart w:id="327" w:name="_Toc164608645"/>
      <w:r/>
      <w:bookmarkStart w:id="328" w:name="_Toc195842896"/>
      <w:r/>
      <w:bookmarkStart w:id="329" w:name="_Toc305158873"/>
      <w:r/>
      <w:bookmarkStart w:id="330" w:name="_Toc226965804"/>
      <w:r/>
      <w:bookmarkStart w:id="331" w:name="_Toc150509282"/>
      <w:r/>
      <w:bookmarkStart w:id="332" w:name="_Toc226309775"/>
      <w:r/>
      <w:bookmarkStart w:id="333" w:name="_Toc164608800"/>
      <w:r/>
      <w:bookmarkStart w:id="334" w:name="_Toc226965721"/>
      <w:r/>
      <w:bookmarkStart w:id="335" w:name="_Toc151193845"/>
      <w:r/>
      <w:bookmarkStart w:id="336" w:name="_Ref467306513"/>
      <w:r/>
      <w:bookmarkStart w:id="337" w:name="_Toc150480769"/>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338" w:name="_Toc520356157"/>
      <w:r/>
      <w:bookmarkStart w:id="339" w:name="_Toc127151733"/>
      <w:r/>
      <w:bookmarkStart w:id="340" w:name="_Toc151193702"/>
      <w:r/>
      <w:bookmarkStart w:id="341" w:name="_Toc305158800"/>
      <w:r/>
      <w:bookmarkStart w:id="342" w:name="_Toc226965805"/>
      <w:r/>
      <w:bookmarkStart w:id="343" w:name="_Toc226965722"/>
      <w:r/>
      <w:bookmarkStart w:id="344" w:name="_Toc150509283"/>
      <w:r/>
      <w:bookmarkStart w:id="345" w:name="_Toc151193774"/>
      <w:r/>
      <w:bookmarkStart w:id="346" w:name="_Toc164608646"/>
      <w:r/>
      <w:bookmarkStart w:id="347" w:name="_Toc150480770"/>
      <w:r/>
      <w:bookmarkStart w:id="348" w:name="_Toc150774632"/>
      <w:r/>
      <w:bookmarkStart w:id="349" w:name="_Toc195842897"/>
      <w:r/>
      <w:bookmarkStart w:id="350" w:name="_Toc226309776"/>
      <w:r/>
      <w:bookmarkStart w:id="351" w:name="_Toc142311034"/>
      <w:r/>
      <w:bookmarkStart w:id="352" w:name="_Toc226337228"/>
      <w:r/>
      <w:bookmarkStart w:id="353" w:name="_Toc164351626"/>
      <w:r/>
      <w:bookmarkStart w:id="354" w:name="_Toc164229373"/>
      <w:r/>
      <w:bookmarkStart w:id="355" w:name="_Toc264969222"/>
      <w:r/>
      <w:bookmarkStart w:id="356" w:name="_Toc127161446"/>
      <w:r/>
      <w:bookmarkStart w:id="357" w:name="_Toc151193630"/>
      <w:r/>
      <w:bookmarkStart w:id="358" w:name="_Toc151190159"/>
      <w:r/>
      <w:bookmarkStart w:id="359" w:name="_Toc150774737"/>
      <w:r/>
      <w:bookmarkStart w:id="360" w:name="_Toc151193846"/>
      <w:r/>
      <w:bookmarkStart w:id="361" w:name="_Toc151193920"/>
      <w:r/>
      <w:bookmarkStart w:id="362" w:name="_Toc149720825"/>
      <w:r/>
      <w:bookmarkStart w:id="363" w:name="_Toc164608801"/>
      <w:r/>
      <w:bookmarkStart w:id="364" w:name="_Toc265228370"/>
      <w:r/>
      <w:bookmarkStart w:id="365" w:name="_Toc305158874"/>
      <w:r/>
      <w:bookmarkStart w:id="366" w:name="_Toc164229227"/>
      <w:r/>
      <w:bookmarkStart w:id="367" w:name="_Toc12715153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368" w:name="_Toc127151734"/>
      <w:r/>
      <w:bookmarkStart w:id="369" w:name="_Toc151193631"/>
      <w:r/>
      <w:bookmarkStart w:id="370" w:name="_Toc164351627"/>
      <w:r/>
      <w:bookmarkStart w:id="371" w:name="_Toc305158801"/>
      <w:r/>
      <w:bookmarkStart w:id="372" w:name="_Toc151193775"/>
      <w:r/>
      <w:bookmarkStart w:id="373" w:name="_Toc164229228"/>
      <w:r/>
      <w:bookmarkStart w:id="374" w:name="_Toc265228371"/>
      <w:r/>
      <w:bookmarkStart w:id="375" w:name="_Toc149720826"/>
      <w:r/>
      <w:bookmarkStart w:id="376" w:name="_Toc150774738"/>
      <w:r/>
      <w:bookmarkStart w:id="377" w:name="_Toc164608802"/>
      <w:r/>
      <w:bookmarkStart w:id="378" w:name="_Toc226337229"/>
      <w:r/>
      <w:bookmarkStart w:id="379" w:name="_Toc127161447"/>
      <w:r/>
      <w:bookmarkStart w:id="380" w:name="_Toc226965723"/>
      <w:r/>
      <w:bookmarkStart w:id="381" w:name="_Toc164608647"/>
      <w:r/>
      <w:bookmarkStart w:id="382" w:name="_Toc150509284"/>
      <w:r/>
      <w:bookmarkStart w:id="383" w:name="_Toc150480771"/>
      <w:r/>
      <w:bookmarkStart w:id="384" w:name="_Toc142311035"/>
      <w:r/>
      <w:bookmarkStart w:id="385" w:name="_Toc150774633"/>
      <w:r/>
      <w:bookmarkStart w:id="386" w:name="_Toc127151533"/>
      <w:r/>
      <w:bookmarkStart w:id="387" w:name="_Toc520356158"/>
      <w:r/>
      <w:bookmarkStart w:id="388" w:name="_Toc151193921"/>
      <w:r/>
      <w:bookmarkStart w:id="389" w:name="_Toc164229374"/>
      <w:r/>
      <w:bookmarkStart w:id="390" w:name="_Toc195842898"/>
      <w:r/>
      <w:bookmarkStart w:id="391" w:name="_Toc264969223"/>
      <w:r/>
      <w:bookmarkStart w:id="392" w:name="_Toc151193847"/>
      <w:r/>
      <w:bookmarkStart w:id="393" w:name="_Toc151190160"/>
      <w:r/>
      <w:bookmarkStart w:id="394" w:name="_Toc151193703"/>
      <w:r/>
      <w:bookmarkStart w:id="395" w:name="_Toc305158875"/>
      <w:r/>
      <w:bookmarkStart w:id="396" w:name="_Toc226965806"/>
      <w:r/>
      <w:bookmarkStart w:id="397" w:name="_Toc22630977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bookmarkStart w:id="398" w:name="_Toc150509285"/>
      <w:r/>
      <w:bookmarkStart w:id="399" w:name="_Toc520356159"/>
      <w:r/>
      <w:bookmarkStart w:id="400" w:name="_Toc226965807"/>
      <w:r/>
      <w:bookmarkStart w:id="401" w:name="_Toc150774634"/>
      <w:r/>
      <w:bookmarkStart w:id="402" w:name="_Toc195842899"/>
      <w:r/>
      <w:bookmarkStart w:id="403" w:name="_Toc226965724"/>
      <w:r/>
      <w:bookmarkStart w:id="404" w:name="_Toc151193704"/>
      <w:r/>
      <w:bookmarkStart w:id="405" w:name="_Toc150774739"/>
      <w:r/>
      <w:bookmarkStart w:id="406" w:name="_Toc226337230"/>
      <w:r/>
      <w:bookmarkStart w:id="407" w:name="_Toc151193632"/>
      <w:r/>
      <w:bookmarkStart w:id="408" w:name="_Toc265228372"/>
      <w:r/>
      <w:bookmarkStart w:id="409" w:name="_Toc264969224"/>
      <w:r/>
      <w:bookmarkStart w:id="410" w:name="_Toc127151534"/>
      <w:r/>
      <w:bookmarkStart w:id="411" w:name="_Toc305158876"/>
      <w:r/>
      <w:bookmarkStart w:id="412" w:name="_Toc151193922"/>
      <w:r/>
      <w:bookmarkStart w:id="413" w:name="_Toc151193776"/>
      <w:r/>
      <w:bookmarkStart w:id="414" w:name="_Toc305158802"/>
      <w:r/>
      <w:bookmarkStart w:id="415" w:name="_Toc150480772"/>
      <w:r/>
      <w:bookmarkStart w:id="416" w:name="_Toc151193848"/>
      <w:r/>
      <w:bookmarkStart w:id="417" w:name="_Toc226309778"/>
      <w:r/>
      <w:bookmarkStart w:id="418" w:name="_Toc142311036"/>
      <w:r/>
      <w:bookmarkStart w:id="419" w:name="_Toc151190161"/>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93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420" w:name="_Toc226309779"/>
      <w:r/>
      <w:bookmarkStart w:id="421" w:name="_Toc164608649"/>
      <w:r/>
      <w:bookmarkStart w:id="422" w:name="_Toc195842900"/>
      <w:r/>
      <w:bookmarkStart w:id="423" w:name="_Toc151193777"/>
      <w:r/>
      <w:bookmarkStart w:id="424" w:name="_Toc164229230"/>
      <w:r/>
      <w:bookmarkStart w:id="425" w:name="_Toc305158803"/>
      <w:r/>
      <w:bookmarkStart w:id="426" w:name="_Toc150774635"/>
      <w:r/>
      <w:bookmarkStart w:id="427" w:name="_Toc151190162"/>
      <w:r/>
      <w:bookmarkStart w:id="428" w:name="_Toc305158877"/>
      <w:r/>
      <w:bookmarkStart w:id="429" w:name="_Toc265228373"/>
      <w:r/>
      <w:bookmarkStart w:id="430" w:name="_Toc127151736"/>
      <w:r/>
      <w:bookmarkStart w:id="431" w:name="_Toc150509286"/>
      <w:r/>
      <w:bookmarkStart w:id="432" w:name="_Toc164229376"/>
      <w:r/>
      <w:bookmarkStart w:id="433" w:name="_Toc151193705"/>
      <w:r/>
      <w:bookmarkStart w:id="434" w:name="_Toc151193849"/>
      <w:r/>
      <w:bookmarkStart w:id="435" w:name="_Toc151193923"/>
      <w:r/>
      <w:bookmarkStart w:id="436" w:name="_Toc226965725"/>
      <w:r/>
      <w:bookmarkStart w:id="437" w:name="_Toc150774740"/>
      <w:r/>
      <w:bookmarkStart w:id="438" w:name="_Toc150480773"/>
      <w:r/>
      <w:bookmarkStart w:id="439" w:name="_Toc164351629"/>
      <w:r/>
      <w:bookmarkStart w:id="440" w:name="_Toc226965808"/>
      <w:r/>
      <w:bookmarkStart w:id="441" w:name="_Toc520356160"/>
      <w:r/>
      <w:bookmarkStart w:id="442" w:name="_Toc164608804"/>
      <w:r/>
      <w:bookmarkStart w:id="443" w:name="_Toc151193633"/>
      <w:r/>
      <w:bookmarkStart w:id="444" w:name="_Toc264969225"/>
      <w:r/>
      <w:bookmarkStart w:id="445" w:name="_Toc127161449"/>
      <w:r/>
      <w:bookmarkStart w:id="446" w:name="_Toc226337231"/>
      <w:r/>
      <w:bookmarkStart w:id="447" w:name="_Toc142311037"/>
      <w:r/>
      <w:bookmarkStart w:id="448" w:name="_Toc149720828"/>
      <w:r/>
      <w:bookmarkStart w:id="449" w:name="_Toc1271515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450" w:name="_Toc127151737"/>
      <w:r/>
      <w:bookmarkStart w:id="451" w:name="_Toc151193778"/>
      <w:r/>
      <w:bookmarkStart w:id="452" w:name="_Toc195842901"/>
      <w:r/>
      <w:bookmarkStart w:id="453" w:name="_Toc151193706"/>
      <w:r/>
      <w:bookmarkStart w:id="454" w:name="_Toc265228374"/>
      <w:r/>
      <w:bookmarkStart w:id="455" w:name="_Toc164229377"/>
      <w:r/>
      <w:bookmarkStart w:id="456" w:name="_Toc151190163"/>
      <w:r/>
      <w:bookmarkStart w:id="457" w:name="_Toc150509287"/>
      <w:r/>
      <w:bookmarkStart w:id="458" w:name="_Toc226309780"/>
      <w:r/>
      <w:bookmarkStart w:id="459" w:name="_Toc264969226"/>
      <w:r/>
      <w:bookmarkStart w:id="460" w:name="_Toc150480774"/>
      <w:r/>
      <w:bookmarkStart w:id="461" w:name="_Toc305158804"/>
      <w:r/>
      <w:bookmarkStart w:id="462" w:name="_Toc305158878"/>
      <w:r/>
      <w:bookmarkStart w:id="463" w:name="_Toc226337232"/>
      <w:r/>
      <w:bookmarkStart w:id="464" w:name="_Toc151193634"/>
      <w:r/>
      <w:bookmarkStart w:id="465" w:name="_Toc164351630"/>
      <w:r/>
      <w:bookmarkStart w:id="466" w:name="_Toc150774741"/>
      <w:r/>
      <w:bookmarkStart w:id="467" w:name="_Toc226965726"/>
      <w:r/>
      <w:bookmarkStart w:id="468" w:name="_Toc142311038"/>
      <w:r/>
      <w:bookmarkStart w:id="469" w:name="_Toc164229231"/>
      <w:r/>
      <w:bookmarkStart w:id="470" w:name="_Toc149720829"/>
      <w:r/>
      <w:bookmarkStart w:id="471" w:name="_Toc127151536"/>
      <w:r/>
      <w:bookmarkStart w:id="472" w:name="_Toc226965809"/>
      <w:r/>
      <w:bookmarkStart w:id="473" w:name="_Toc127161450"/>
      <w:r/>
      <w:bookmarkStart w:id="474" w:name="_Toc164608650"/>
      <w:r/>
      <w:bookmarkStart w:id="475" w:name="_Toc151193850"/>
      <w:r/>
      <w:bookmarkStart w:id="476" w:name="_Toc164608805"/>
      <w:r/>
      <w:bookmarkStart w:id="477" w:name="_Toc520356161"/>
      <w:r/>
      <w:bookmarkStart w:id="478" w:name="_Toc151193924"/>
      <w:r/>
      <w:bookmarkStart w:id="479" w:name="_Toc15077463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480" w:name="_Toc149720830"/>
      <w:r/>
      <w:bookmarkStart w:id="481" w:name="_Toc164351631"/>
      <w:r/>
      <w:bookmarkStart w:id="482" w:name="_Toc127151537"/>
      <w:r/>
      <w:bookmarkStart w:id="483" w:name="_Toc127161451"/>
      <w:r/>
      <w:bookmarkStart w:id="484" w:name="_Toc226309781"/>
      <w:r/>
      <w:bookmarkStart w:id="485" w:name="_Toc151190164"/>
      <w:r/>
      <w:bookmarkStart w:id="486" w:name="_Toc226337233"/>
      <w:r/>
      <w:bookmarkStart w:id="487" w:name="_Toc226965727"/>
      <w:r/>
      <w:bookmarkStart w:id="488" w:name="_Toc520356162"/>
      <w:r/>
      <w:bookmarkStart w:id="489" w:name="_Toc164229378"/>
      <w:r/>
      <w:bookmarkStart w:id="490" w:name="_Toc164229232"/>
      <w:r/>
      <w:bookmarkStart w:id="491" w:name="_Toc151193925"/>
      <w:r/>
      <w:bookmarkStart w:id="492" w:name="_Toc226965810"/>
      <w:r/>
      <w:bookmarkStart w:id="493" w:name="_Toc151193779"/>
      <w:r/>
      <w:bookmarkStart w:id="494" w:name="_Toc142311039"/>
      <w:r/>
      <w:bookmarkStart w:id="495" w:name="_Toc305158805"/>
      <w:r/>
      <w:bookmarkStart w:id="496" w:name="_Toc150480775"/>
      <w:r/>
      <w:bookmarkStart w:id="497" w:name="_Toc265228375"/>
      <w:r/>
      <w:bookmarkStart w:id="498" w:name="_Toc151193707"/>
      <w:r/>
      <w:bookmarkStart w:id="499" w:name="_Toc164608806"/>
      <w:r/>
      <w:bookmarkStart w:id="500" w:name="_Toc305158879"/>
      <w:r/>
      <w:bookmarkStart w:id="501" w:name="_Toc264969227"/>
      <w:r/>
      <w:bookmarkStart w:id="502" w:name="_Toc150774637"/>
      <w:r/>
      <w:bookmarkStart w:id="503" w:name="_Toc164608651"/>
      <w:r/>
      <w:bookmarkStart w:id="504" w:name="_Toc150774742"/>
      <w:r/>
      <w:bookmarkStart w:id="505" w:name="_Toc150509288"/>
      <w:r/>
      <w:bookmarkStart w:id="506" w:name="_Toc151193635"/>
      <w:r/>
      <w:bookmarkStart w:id="507" w:name="_Toc151193851"/>
      <w:r/>
      <w:bookmarkStart w:id="508" w:name="_Toc127151738"/>
      <w:r/>
      <w:bookmarkStart w:id="509" w:name="_Toc19584290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sz w:val="24"/>
        </w:rPr>
      </w:pPr>
      <w:r>
        <w:rPr>
          <w:rFonts w:hint="eastAsia" w:ascii="宋体" w:hAnsi="宋体" w:cs="宋体"/>
          <w:sz w:val="24"/>
        </w:rPr>
      </w:r>
      <w:r/>
    </w:p>
    <w:p>
      <w:pPr>
        <w:pStyle w:val="937"/>
        <w:ind w:firstLine="562"/>
        <w:spacing w:before="0" w:line="360" w:lineRule="auto"/>
        <w:rPr>
          <w:rFonts w:hint="eastAsia" w:ascii="宋体" w:hAnsi="宋体" w:eastAsia="宋体" w:cs="宋体"/>
          <w:sz w:val="28"/>
        </w:rPr>
      </w:pPr>
      <w:r/>
      <w:bookmarkStart w:id="510" w:name="_Toc151193636"/>
      <w:r/>
      <w:bookmarkStart w:id="511" w:name="_Toc151193852"/>
      <w:r/>
      <w:bookmarkStart w:id="512" w:name="_Toc150509289"/>
      <w:r/>
      <w:bookmarkStart w:id="513" w:name="_Toc151193780"/>
      <w:r/>
      <w:bookmarkStart w:id="514" w:name="_Toc226337234"/>
      <w:r/>
      <w:bookmarkStart w:id="515" w:name="_Toc226965728"/>
      <w:r/>
      <w:bookmarkStart w:id="516" w:name="_Toc195842903"/>
      <w:r/>
      <w:bookmarkStart w:id="517" w:name="_Toc520356163"/>
      <w:r/>
      <w:bookmarkStart w:id="518" w:name="_Toc142311040"/>
      <w:r/>
      <w:bookmarkStart w:id="519" w:name="_Toc150774743"/>
      <w:r/>
      <w:bookmarkStart w:id="520" w:name="_Toc265228376"/>
      <w:r/>
      <w:bookmarkStart w:id="521" w:name="_Toc127151538"/>
      <w:r/>
      <w:bookmarkStart w:id="522" w:name="_Toc226309782"/>
      <w:r/>
      <w:bookmarkStart w:id="523" w:name="_Toc150480776"/>
      <w:r/>
      <w:bookmarkStart w:id="524" w:name="_Toc151190165"/>
      <w:r/>
      <w:bookmarkStart w:id="525" w:name="_Toc305158806"/>
      <w:r/>
      <w:bookmarkStart w:id="526" w:name="_Toc150774638"/>
      <w:r/>
      <w:bookmarkStart w:id="527" w:name="_Toc305158880"/>
      <w:r/>
      <w:bookmarkStart w:id="528" w:name="_Toc151193708"/>
      <w:r/>
      <w:bookmarkStart w:id="529" w:name="_Toc226965811"/>
      <w:r/>
      <w:bookmarkStart w:id="530" w:name="_Toc264969228"/>
      <w:r/>
      <w:bookmarkStart w:id="531" w:name="_Toc15119392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532" w:name="_Toc150774639"/>
      <w:r/>
      <w:bookmarkStart w:id="533" w:name="_Toc164608808"/>
      <w:r/>
      <w:bookmarkStart w:id="534" w:name="_Toc151193781"/>
      <w:r/>
      <w:bookmarkStart w:id="535" w:name="_Toc150774744"/>
      <w:r/>
      <w:bookmarkStart w:id="536" w:name="_Toc520356164"/>
      <w:r/>
      <w:bookmarkStart w:id="537" w:name="_Toc127161453"/>
      <w:r/>
      <w:bookmarkStart w:id="538" w:name="_Toc195842904"/>
      <w:r/>
      <w:bookmarkStart w:id="539" w:name="_Toc151190166"/>
      <w:r/>
      <w:bookmarkStart w:id="540" w:name="_Toc150509290"/>
      <w:r/>
      <w:bookmarkStart w:id="541" w:name="_Toc265228377"/>
      <w:r/>
      <w:bookmarkStart w:id="542" w:name="_Toc305158807"/>
      <w:r/>
      <w:bookmarkStart w:id="543" w:name="_Toc151193637"/>
      <w:r/>
      <w:bookmarkStart w:id="544" w:name="_Toc305158881"/>
      <w:r/>
      <w:bookmarkStart w:id="545" w:name="_Toc151193853"/>
      <w:r/>
      <w:bookmarkStart w:id="546" w:name="_Toc149720832"/>
      <w:r/>
      <w:bookmarkStart w:id="547" w:name="_Toc127151539"/>
      <w:r/>
      <w:bookmarkStart w:id="548" w:name="_Toc151193709"/>
      <w:r/>
      <w:bookmarkStart w:id="549" w:name="_Toc226965812"/>
      <w:r/>
      <w:bookmarkStart w:id="550" w:name="_Toc151193927"/>
      <w:r/>
      <w:bookmarkStart w:id="551" w:name="_Toc150480777"/>
      <w:r/>
      <w:bookmarkStart w:id="552" w:name="_Toc164229380"/>
      <w:r/>
      <w:bookmarkStart w:id="553" w:name="_Toc142311041"/>
      <w:r/>
      <w:bookmarkStart w:id="554" w:name="_Toc226309783"/>
      <w:r/>
      <w:bookmarkStart w:id="555" w:name="_Toc164608653"/>
      <w:r/>
      <w:bookmarkStart w:id="556" w:name="_Toc127151740"/>
      <w:r/>
      <w:bookmarkStart w:id="557" w:name="_Toc226965729"/>
      <w:r/>
      <w:bookmarkStart w:id="558" w:name="_Toc164351633"/>
      <w:r/>
      <w:bookmarkStart w:id="559" w:name="_Toc164229234"/>
      <w:r/>
      <w:bookmarkStart w:id="560" w:name="_Toc226337235"/>
      <w:r/>
      <w:bookmarkStart w:id="561" w:name="_Toc26496922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见第三章《资格审查》。</w:t>
      </w:r>
      <w:bookmarkEnd w:id="562"/>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563" w:name="_Toc150774640"/>
      <w:r/>
      <w:bookmarkStart w:id="564" w:name="_Toc151193854"/>
      <w:r/>
      <w:bookmarkStart w:id="565" w:name="_Toc226965730"/>
      <w:r/>
      <w:bookmarkStart w:id="566" w:name="_Toc164608809"/>
      <w:r/>
      <w:bookmarkStart w:id="567" w:name="_Toc150509291"/>
      <w:r/>
      <w:bookmarkStart w:id="568" w:name="_Toc150774745"/>
      <w:r/>
      <w:bookmarkStart w:id="569" w:name="_Toc305158808"/>
      <w:r/>
      <w:bookmarkStart w:id="570" w:name="_Toc142311042"/>
      <w:r/>
      <w:bookmarkStart w:id="571" w:name="_Toc265228378"/>
      <w:r/>
      <w:bookmarkStart w:id="572" w:name="_Toc127151540"/>
      <w:r/>
      <w:bookmarkStart w:id="573" w:name="_Toc150480778"/>
      <w:r/>
      <w:bookmarkStart w:id="574" w:name="_Toc264969230"/>
      <w:r/>
      <w:bookmarkStart w:id="575" w:name="_Toc305158882"/>
      <w:r/>
      <w:bookmarkStart w:id="576" w:name="_Toc151193638"/>
      <w:r/>
      <w:bookmarkStart w:id="577" w:name="_Toc127151741"/>
      <w:r/>
      <w:bookmarkStart w:id="578" w:name="_Toc149720833"/>
      <w:r/>
      <w:bookmarkStart w:id="579" w:name="_Toc151193782"/>
      <w:r/>
      <w:bookmarkStart w:id="580" w:name="_Toc164608654"/>
      <w:r/>
      <w:bookmarkStart w:id="581" w:name="_Toc226965813"/>
      <w:r/>
      <w:bookmarkStart w:id="582" w:name="_Toc226337236"/>
      <w:r/>
      <w:bookmarkStart w:id="583" w:name="_Toc151190167"/>
      <w:r/>
      <w:bookmarkStart w:id="584" w:name="_Toc151193710"/>
      <w:r/>
      <w:bookmarkStart w:id="585" w:name="_Toc164351634"/>
      <w:r/>
      <w:bookmarkStart w:id="586" w:name="_Toc195842905"/>
      <w:r/>
      <w:bookmarkStart w:id="587" w:name="_Toc226309784"/>
      <w:r/>
      <w:bookmarkStart w:id="588" w:name="_Toc164229381"/>
      <w:r/>
      <w:bookmarkStart w:id="589" w:name="_Toc127161454"/>
      <w:r/>
      <w:bookmarkStart w:id="590" w:name="_Toc164229235"/>
      <w:r/>
      <w:bookmarkStart w:id="591" w:name="_Toc15119392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37"/>
        <w:ind w:firstLine="562"/>
        <w:spacing w:before="0" w:line="360" w:lineRule="auto"/>
        <w:rPr>
          <w:rFonts w:hint="eastAsia" w:ascii="宋体" w:hAnsi="宋体" w:eastAsia="宋体" w:cs="宋体"/>
          <w:sz w:val="28"/>
        </w:rPr>
      </w:pPr>
      <w:r/>
      <w:bookmarkStart w:id="594" w:name="_Toc142311047"/>
      <w:r/>
      <w:bookmarkStart w:id="595" w:name="_Toc265228383"/>
      <w:r/>
      <w:bookmarkStart w:id="596" w:name="_Toc226965818"/>
      <w:r/>
      <w:bookmarkStart w:id="597" w:name="_Toc151193715"/>
      <w:r/>
      <w:bookmarkStart w:id="598" w:name="_Toc305158813"/>
      <w:r/>
      <w:bookmarkStart w:id="599" w:name="_Toc305158887"/>
      <w:r/>
      <w:bookmarkStart w:id="600" w:name="_Toc150509296"/>
      <w:r/>
      <w:bookmarkStart w:id="601" w:name="_Toc226965735"/>
      <w:r/>
      <w:bookmarkStart w:id="602" w:name="_Toc151193933"/>
      <w:r/>
      <w:bookmarkStart w:id="603" w:name="_Toc150480783"/>
      <w:r/>
      <w:bookmarkStart w:id="604" w:name="_Toc151193787"/>
      <w:r/>
      <w:bookmarkStart w:id="605" w:name="_Toc127151545"/>
      <w:r/>
      <w:bookmarkStart w:id="606" w:name="_Toc151193643"/>
      <w:r/>
      <w:bookmarkStart w:id="607" w:name="_Toc195842910"/>
      <w:r/>
      <w:bookmarkStart w:id="608" w:name="_Toc226337241"/>
      <w:r/>
      <w:bookmarkStart w:id="609" w:name="_Toc151190172"/>
      <w:r/>
      <w:bookmarkStart w:id="610" w:name="_Toc264969235"/>
      <w:r/>
      <w:bookmarkStart w:id="611" w:name="_Toc151193859"/>
      <w:r/>
      <w:bookmarkStart w:id="612" w:name="_Toc226309789"/>
      <w:r/>
      <w:bookmarkStart w:id="613" w:name="_Toc150774750"/>
      <w:r/>
      <w:bookmarkStart w:id="614" w:name="_Toc15077464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09791"/>
      <w:r/>
      <w:bookmarkStart w:id="616" w:name="_Toc195842912"/>
      <w:r/>
      <w:bookmarkStart w:id="617" w:name="_Toc151190174"/>
      <w:r/>
      <w:bookmarkStart w:id="618" w:name="_Toc149720840"/>
      <w:r/>
      <w:bookmarkStart w:id="619" w:name="_Toc142311049"/>
      <w:r/>
      <w:bookmarkStart w:id="620" w:name="_Toc265228385"/>
      <w:r/>
      <w:bookmarkStart w:id="621" w:name="_Toc127151547"/>
      <w:r/>
      <w:bookmarkStart w:id="622" w:name="_Toc164608816"/>
      <w:r/>
      <w:bookmarkStart w:id="623" w:name="_Toc164351641"/>
      <w:r/>
      <w:bookmarkStart w:id="624" w:name="_Toc151193789"/>
      <w:r/>
      <w:bookmarkStart w:id="625" w:name="_Toc226965737"/>
      <w:r/>
      <w:bookmarkStart w:id="626" w:name="_Toc264969237"/>
      <w:r/>
      <w:bookmarkStart w:id="627" w:name="_Toc305158815"/>
      <w:r/>
      <w:bookmarkStart w:id="628" w:name="_Toc127151748"/>
      <w:r/>
      <w:bookmarkStart w:id="629" w:name="_Toc151193861"/>
      <w:r/>
      <w:bookmarkStart w:id="630" w:name="_Toc150480785"/>
      <w:r/>
      <w:bookmarkStart w:id="631" w:name="_Toc305158889"/>
      <w:r/>
      <w:bookmarkStart w:id="632" w:name="_Toc151193717"/>
      <w:r/>
      <w:bookmarkStart w:id="633" w:name="_Toc150774647"/>
      <w:r/>
      <w:bookmarkStart w:id="634" w:name="_Toc226965820"/>
      <w:r/>
      <w:bookmarkStart w:id="635" w:name="_Toc150509298"/>
      <w:r/>
      <w:bookmarkStart w:id="636" w:name="_Toc127161461"/>
      <w:r/>
      <w:bookmarkStart w:id="637" w:name="_Toc150774752"/>
      <w:r/>
      <w:bookmarkStart w:id="638" w:name="_Toc164229242"/>
      <w:r/>
      <w:bookmarkStart w:id="639" w:name="_Toc226337243"/>
      <w:r/>
      <w:bookmarkStart w:id="640" w:name="_Toc151193645"/>
      <w:r/>
      <w:bookmarkStart w:id="641" w:name="_Toc164608661"/>
      <w:r/>
      <w:bookmarkStart w:id="642" w:name="_Toc151193935"/>
      <w:r/>
      <w:bookmarkStart w:id="643" w:name="_Toc164229388"/>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644" w:name="_Toc305158817"/>
      <w:r/>
      <w:bookmarkStart w:id="645" w:name="_Toc305158891"/>
      <w:r/>
      <w:bookmarkStart w:id="646" w:name="_Toc142311051"/>
      <w:r/>
      <w:bookmarkStart w:id="647" w:name="_Toc151193719"/>
      <w:r/>
      <w:bookmarkStart w:id="648" w:name="_Toc164351643"/>
      <w:r/>
      <w:bookmarkStart w:id="649" w:name="_Toc226965822"/>
      <w:r/>
      <w:bookmarkStart w:id="650" w:name="_Toc265228387"/>
      <w:r/>
      <w:bookmarkStart w:id="651" w:name="_Toc149720842"/>
      <w:r/>
      <w:bookmarkStart w:id="652" w:name="_Toc164229244"/>
      <w:r/>
      <w:bookmarkStart w:id="653" w:name="_Toc226309793"/>
      <w:r/>
      <w:bookmarkStart w:id="654" w:name="_Toc150480787"/>
      <w:r/>
      <w:bookmarkStart w:id="655" w:name="_Toc150774754"/>
      <w:r/>
      <w:bookmarkStart w:id="656" w:name="_Toc127151750"/>
      <w:r/>
      <w:bookmarkStart w:id="657" w:name="_Toc151193647"/>
      <w:r/>
      <w:bookmarkStart w:id="658" w:name="_Toc150774649"/>
      <w:r/>
      <w:bookmarkStart w:id="659" w:name="_Toc151193791"/>
      <w:r/>
      <w:bookmarkStart w:id="660" w:name="_Toc164608663"/>
      <w:r/>
      <w:bookmarkStart w:id="661" w:name="_Toc164608818"/>
      <w:r/>
      <w:bookmarkStart w:id="662" w:name="_Toc226965739"/>
      <w:r/>
      <w:bookmarkStart w:id="663" w:name="_Toc226337245"/>
      <w:r/>
      <w:bookmarkStart w:id="664" w:name="_Toc150509300"/>
      <w:r/>
      <w:bookmarkStart w:id="665" w:name="_Toc151193937"/>
      <w:r/>
      <w:bookmarkStart w:id="666" w:name="_Toc264969239"/>
      <w:r/>
      <w:bookmarkStart w:id="667" w:name="_Toc195842914"/>
      <w:r/>
      <w:bookmarkStart w:id="668" w:name="_Toc127151549"/>
      <w:r/>
      <w:bookmarkStart w:id="669" w:name="_Toc151190176"/>
      <w:r/>
      <w:bookmarkStart w:id="670" w:name="_Toc164229390"/>
      <w:r/>
      <w:bookmarkStart w:id="671" w:name="_Toc151193863"/>
      <w:r/>
      <w:bookmarkStart w:id="672" w:name="_Toc127161463"/>
      <w:r/>
      <w:bookmarkStart w:id="673" w:name="_Ref467306425"/>
      <w:r/>
      <w:bookmarkStart w:id="674" w:name="_Ref467307090"/>
      <w:r/>
      <w:bookmarkStart w:id="675" w:name="_Toc520356176"/>
      <w:r>
        <w:rPr>
          <w:rFonts w:hint="eastAsia" w:ascii="宋体" w:hAnsi="宋体" w:cs="宋体"/>
          <w:b/>
          <w:sz w:val="24"/>
        </w:rPr>
        <w:t xml:space="preserve">中标公告与中标通知书</w:t>
      </w:r>
      <w:bookmarkEnd w:id="644"/>
      <w:r/>
      <w:bookmarkEnd w:id="645"/>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采购人或采购代理机构自中标人确定之日起2个工作日内，在常州市政府采购网公告中标结果，同时向中标人发出中标通知书，中标公告期限为1个工作日。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因重大变故，采购任务取消的。</w:t>
      </w:r>
      <w:r/>
    </w:p>
    <w:p>
      <w:pPr>
        <w:numPr>
          <w:ilvl w:val="2"/>
          <w:numId w:val="8"/>
        </w:numPr>
        <w:ind w:left="0" w:firstLine="488"/>
        <w:spacing w:line="360" w:lineRule="auto"/>
        <w:tabs>
          <w:tab w:val="left" w:pos="1276"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676" w:name="_Toc151193864"/>
      <w:r/>
      <w:bookmarkStart w:id="677" w:name="_Toc164229245"/>
      <w:r/>
      <w:bookmarkStart w:id="678" w:name="_Toc164229391"/>
      <w:r/>
      <w:bookmarkStart w:id="679" w:name="_Toc150774755"/>
      <w:r/>
      <w:bookmarkStart w:id="680" w:name="_Ref467306377"/>
      <w:r/>
      <w:bookmarkStart w:id="681" w:name="_Toc150480788"/>
      <w:r/>
      <w:bookmarkStart w:id="682" w:name="_Toc151193938"/>
      <w:r/>
      <w:bookmarkStart w:id="683" w:name="_Ref467307062"/>
      <w:r/>
      <w:bookmarkStart w:id="684" w:name="_Toc226337246"/>
      <w:r/>
      <w:bookmarkStart w:id="685" w:name="_Toc127161464"/>
      <w:r/>
      <w:bookmarkStart w:id="686" w:name="_Ref467307204"/>
      <w:r/>
      <w:bookmarkStart w:id="687" w:name="_Toc150774650"/>
      <w:r/>
      <w:bookmarkStart w:id="688" w:name="_Toc164351644"/>
      <w:r/>
      <w:bookmarkStart w:id="689" w:name="_Toc305158818"/>
      <w:r/>
      <w:bookmarkStart w:id="690" w:name="_Toc195842915"/>
      <w:r/>
      <w:bookmarkStart w:id="691" w:name="_Toc226965823"/>
      <w:r/>
      <w:bookmarkStart w:id="692" w:name="_Toc151190177"/>
      <w:r/>
      <w:bookmarkStart w:id="693" w:name="_Toc164608664"/>
      <w:r/>
      <w:bookmarkStart w:id="694" w:name="_Ref467306978"/>
      <w:r/>
      <w:bookmarkStart w:id="695" w:name="_Toc305158892"/>
      <w:r/>
      <w:bookmarkStart w:id="696" w:name="_Toc151193648"/>
      <w:r/>
      <w:bookmarkStart w:id="697" w:name="_Toc265228388"/>
      <w:r/>
      <w:bookmarkStart w:id="698" w:name="_Toc151193792"/>
      <w:r/>
      <w:bookmarkStart w:id="699" w:name="_Toc149720843"/>
      <w:r/>
      <w:bookmarkStart w:id="700" w:name="_Toc151193720"/>
      <w:r/>
      <w:bookmarkStart w:id="701" w:name="_Toc226309794"/>
      <w:r/>
      <w:bookmarkStart w:id="702" w:name="_Toc127151751"/>
      <w:r/>
      <w:bookmarkStart w:id="703" w:name="_Toc142311052"/>
      <w:r/>
      <w:bookmarkStart w:id="704" w:name="_Toc264969240"/>
      <w:r/>
      <w:bookmarkStart w:id="705" w:name="_Toc520356175"/>
      <w:r/>
      <w:bookmarkStart w:id="706" w:name="_Toc150509301"/>
      <w:r/>
      <w:bookmarkStart w:id="707" w:name="_Toc226965740"/>
      <w:r/>
      <w:bookmarkStart w:id="708" w:name="_Toc127151550"/>
      <w:r/>
      <w:bookmarkStart w:id="709" w:name="_Toc164608819"/>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bookmarkEnd w:id="673"/>
      <w:r/>
      <w:bookmarkEnd w:id="674"/>
      <w:r/>
      <w:bookmarkEnd w:id="675"/>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询问</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cs="宋体"/>
          <w:sz w:val="24"/>
        </w:rPr>
      </w:pPr>
      <w:r>
        <w:rPr>
          <w:rFonts w:hint="eastAsia" w:ascii="宋体" w:hAnsi="宋体" w:cs="宋体"/>
          <w:sz w:val="24"/>
        </w:rPr>
        <w:t xml:space="preserve">质疑</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质疑函须使用财政部制定的范本文件。（下载网址：</w:t>
      </w:r>
      <w:r>
        <w:fldChar w:fldCharType="begin"/>
      </w:r>
      <w:r>
        <w:instrText xml:space="preserve"> HYPERLINK "http://gks.mof.gov.cn/ztztz/zhengfucaigouguanli/201802/t20180201_2804589.htm" \o "http://gks.mof.gov.cn/ztztz/zhengfucaigouguanli/201802/t20180201_2804589.htm" </w:instrText>
      </w:r>
      <w:r>
        <w:fldChar w:fldCharType="separate"/>
      </w:r>
      <w:r>
        <w:rPr>
          <w:rStyle w:val="990"/>
          <w:rFonts w:hint="eastAsia" w:ascii="宋体" w:hAnsi="宋体" w:cs="宋体"/>
          <w:color w:val="000000"/>
        </w:rPr>
        <w:t xml:space="preserve">http://gk</w:t>
      </w:r>
      <w:bookmarkStart w:id="710" w:name="_Hlt100654014"/>
      <w:r>
        <w:rPr>
          <w:rStyle w:val="990"/>
          <w:rFonts w:hint="eastAsia" w:ascii="宋体" w:hAnsi="宋体" w:cs="宋体"/>
          <w:color w:val="000000"/>
        </w:rPr>
        <w:t xml:space="preserve">s</w:t>
      </w:r>
      <w:bookmarkEnd w:id="710"/>
      <w:r>
        <w:rPr>
          <w:rStyle w:val="990"/>
          <w:rFonts w:hint="eastAsia" w:ascii="宋体" w:hAnsi="宋体" w:cs="宋体"/>
          <w:color w:val="000000"/>
        </w:rPr>
        <w:t xml:space="preserve">.m</w:t>
      </w:r>
      <w:bookmarkStart w:id="711" w:name="_Hlt100653993"/>
      <w:r/>
      <w:bookmarkStart w:id="712" w:name="_Hlt100653994"/>
      <w:r>
        <w:rPr>
          <w:rStyle w:val="990"/>
          <w:rFonts w:hint="eastAsia" w:ascii="宋体" w:hAnsi="宋体" w:cs="宋体"/>
          <w:color w:val="000000"/>
        </w:rPr>
        <w:t xml:space="preserve">o</w:t>
      </w:r>
      <w:bookmarkEnd w:id="711"/>
      <w:r/>
      <w:bookmarkEnd w:id="712"/>
      <w:r>
        <w:rPr>
          <w:rStyle w:val="990"/>
          <w:rFonts w:hint="eastAsia" w:ascii="宋体" w:hAnsi="宋体" w:cs="宋体"/>
          <w:color w:val="000000"/>
        </w:rPr>
        <w:t xml:space="preserve">f.gov.cn/ztztz/zhengfucaigouguanli/201802/t20180201_2804589.htm</w:t>
      </w:r>
      <w:r>
        <w:rPr>
          <w:rStyle w:val="990"/>
          <w:rFonts w:hint="eastAsia" w:ascii="宋体" w:hAnsi="宋体" w:cs="宋体"/>
          <w:color w:val="000000"/>
        </w:rPr>
        <w:fldChar w:fldCharType="end"/>
      </w:r>
      <w:r>
        <w:rPr>
          <w:rFonts w:hint="eastAsia" w:ascii="宋体" w:hAnsi="宋体" w:cs="宋体"/>
        </w:rPr>
        <w:t xml:space="preserve">）</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713" w:name="_Toc265228392"/>
      <w:r/>
      <w:bookmarkStart w:id="714" w:name="_Toc226337250"/>
      <w:r/>
      <w:bookmarkStart w:id="715" w:name="_Toc264969244"/>
      <w:r/>
      <w:bookmarkStart w:id="716" w:name="_Toc142311056"/>
      <w:r/>
      <w:bookmarkStart w:id="717" w:name="_Toc226965827"/>
      <w:r/>
      <w:bookmarkStart w:id="718" w:name="_Toc353873934"/>
      <w:r/>
      <w:bookmarkStart w:id="719" w:name="_Toc353873664"/>
      <w:r/>
      <w:bookmarkStart w:id="720" w:name="_Toc127151554"/>
      <w:r/>
      <w:bookmarkStart w:id="721" w:name="_Toc150774759"/>
      <w:r/>
      <w:bookmarkStart w:id="722" w:name="_Toc305158896"/>
      <w:r/>
      <w:bookmarkStart w:id="723" w:name="_Toc305158822"/>
      <w:r/>
      <w:bookmarkStart w:id="724" w:name="_Toc150480792"/>
      <w:r/>
      <w:bookmarkStart w:id="725" w:name="_Toc3538255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
    </w:p>
    <w:p>
      <w:pPr>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jc w:val="left"/>
        <w:widowControl/>
        <w:rPr>
          <w:rFonts w:hint="eastAsia" w:ascii="宋体" w:hAnsi="宋体" w:cs="宋体"/>
          <w:sz w:val="24"/>
        </w:rPr>
      </w:pPr>
      <w:r>
        <w:rPr>
          <w:rFonts w:hint="eastAsia" w:ascii="宋体" w:hAnsi="宋体" w:cs="宋体"/>
          <w:sz w:val="24"/>
        </w:rPr>
      </w:r>
      <w:r/>
    </w:p>
    <w:p>
      <w:pPr>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Style w:val="9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rFonts w:hint="eastAsia" w:ascii="宋体" w:hAnsi="宋体" w:cs="宋体"/>
          <w:sz w:val="24"/>
        </w:rPr>
      </w:pPr>
      <w:r/>
      <w:bookmarkStart w:id="730" w:name="_Toc353873940"/>
      <w:r/>
      <w:bookmarkStart w:id="731" w:name="_Toc353825550"/>
      <w:r/>
      <w:bookmarkStart w:id="732" w:name="_Toc127161490"/>
      <w:r/>
      <w:bookmarkStart w:id="733" w:name="_Toc127151779"/>
      <w:r/>
      <w:bookmarkStart w:id="734" w:name="_Toc226965858"/>
      <w:r>
        <w:rPr>
          <w:rFonts w:hint="eastAsia" w:ascii="宋体" w:hAnsi="宋体" w:cs="宋体"/>
          <w:sz w:val="24"/>
        </w:rPr>
        <w:br w:type="page" w:clear="all"/>
      </w:r>
      <w:r/>
    </w:p>
    <w:p>
      <w:pPr>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p>
    <w:p>
      <w:pPr>
        <w:numPr>
          <w:ilvl w:val="0"/>
          <w:numId w:val="11"/>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226337237"/>
      <w:r/>
      <w:bookmarkStart w:id="738" w:name="_Toc164608810"/>
      <w:r/>
      <w:bookmarkStart w:id="739" w:name="_Toc127151541"/>
      <w:r/>
      <w:bookmarkStart w:id="740" w:name="_Toc149720834"/>
      <w:r/>
      <w:bookmarkStart w:id="741" w:name="_Toc150480779"/>
      <w:r/>
      <w:bookmarkStart w:id="742" w:name="_Toc226965731"/>
      <w:r/>
      <w:bookmarkStart w:id="743" w:name="_Toc150774641"/>
      <w:r/>
      <w:bookmarkStart w:id="744" w:name="_Toc226309785"/>
      <w:r/>
      <w:bookmarkStart w:id="745" w:name="_Toc151193639"/>
      <w:r/>
      <w:bookmarkStart w:id="746" w:name="_Toc226965814"/>
      <w:r/>
      <w:bookmarkStart w:id="747" w:name="_Toc264969231"/>
      <w:r/>
      <w:bookmarkStart w:id="748" w:name="_Toc150509292"/>
      <w:r/>
      <w:bookmarkStart w:id="749" w:name="_Toc151193783"/>
      <w:r/>
      <w:bookmarkStart w:id="750" w:name="_Toc305158809"/>
      <w:r/>
      <w:bookmarkStart w:id="751" w:name="_Toc127161455"/>
      <w:r/>
      <w:bookmarkStart w:id="752" w:name="_Toc151193929"/>
      <w:r/>
      <w:bookmarkStart w:id="753" w:name="_Toc265228379"/>
      <w:r/>
      <w:bookmarkStart w:id="754" w:name="_Toc164351635"/>
      <w:r/>
      <w:bookmarkStart w:id="755" w:name="_Toc195842906"/>
      <w:r/>
      <w:bookmarkStart w:id="756" w:name="_Toc127151742"/>
      <w:r/>
      <w:bookmarkStart w:id="757" w:name="_Toc150774746"/>
      <w:r/>
      <w:bookmarkStart w:id="758" w:name="_Toc151193711"/>
      <w:r/>
      <w:bookmarkStart w:id="759" w:name="_Toc142311043"/>
      <w:r/>
      <w:bookmarkStart w:id="760" w:name="_Toc151190168"/>
      <w:r/>
      <w:bookmarkStart w:id="761" w:name="_Toc164608655"/>
      <w:r/>
      <w:bookmarkStart w:id="762" w:name="_Toc305158883"/>
      <w:r/>
      <w:bookmarkStart w:id="763" w:name="_Toc164229382"/>
      <w:r/>
      <w:bookmarkStart w:id="764" w:name="_Toc164229236"/>
      <w:r/>
      <w:bookmarkStart w:id="765" w:name="_Toc151193855"/>
      <w:r/>
      <w:bookmarkStart w:id="766" w:name="_Toc353873941"/>
      <w:r/>
      <w:bookmarkStart w:id="767" w:name="_Toc353825551"/>
      <w:r/>
      <w:bookmarkStart w:id="768" w:name="_Toc264969245"/>
      <w:r/>
      <w:bookmarkStart w:id="769" w:name="_Toc265228393"/>
      <w:r/>
      <w:bookmarkStart w:id="770" w:name="_Toc226965828"/>
      <w:r/>
      <w:bookmarkStart w:id="771" w:name="_Toc353873665"/>
      <w:r/>
      <w:bookmarkStart w:id="772" w:name="_Toc142311057"/>
      <w:r/>
      <w:bookmarkStart w:id="773" w:name="_Toc150480793"/>
      <w:r/>
      <w:bookmarkStart w:id="774" w:name="_Toc226337251"/>
      <w:r/>
      <w:bookmarkStart w:id="775" w:name="_Toc150774760"/>
      <w:r/>
      <w:bookmarkStart w:id="776" w:name="_Toc305158897"/>
      <w:r/>
      <w:bookmarkStart w:id="777" w:name="_Toc305158823"/>
      <w:r/>
      <w:bookmarkStart w:id="778" w:name="_Toc353873935"/>
      <w:r/>
      <w:bookmarkStart w:id="779" w:name="_Toc195842920"/>
      <w:r/>
      <w:bookmarkStart w:id="780" w:name="_Toc127151555"/>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
    </w:p>
    <w:p>
      <w:pPr>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Style w:val="9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按招标文件要求提供投标函、法定代表人资格证明书、授权委托书和政府采购供应商信用承诺书；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投标文件满足招标文件第五章《采购需求》中★号条款要求的；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jc w:val="left"/>
              <w:widowControl/>
              <w:rPr>
                <w:rFonts w:hint="eastAsia" w:ascii="宋体" w:hAnsi="宋体" w:cs="宋体"/>
                <w:sz w:val="24"/>
              </w:rPr>
            </w:pPr>
            <w:r>
              <w:rPr>
                <w:rFonts w:hint="eastAsia" w:ascii="宋体" w:hAnsi="宋体" w:cs="宋体"/>
                <w:sz w:val="24"/>
              </w:rPr>
              <w:t xml:space="preserve">（五）不同投标人的投标文件相互混装；</w:t>
            </w:r>
            <w:r/>
          </w:p>
          <w:p>
            <w:pPr>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p>
        </w:tc>
      </w:tr>
    </w:tbl>
    <w:p>
      <w:pPr>
        <w:numPr>
          <w:ilvl w:val="0"/>
          <w:numId w:val="12"/>
        </w:numPr>
        <w:spacing w:line="360" w:lineRule="auto"/>
        <w:tabs>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numPr>
          <w:ilvl w:val="1"/>
          <w:numId w:val="11"/>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11"/>
        </w:numPr>
        <w:ind w:left="0" w:firstLine="482"/>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numPr>
          <w:ilvl w:val="2"/>
          <w:numId w:val="11"/>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numPr>
          <w:ilvl w:val="2"/>
          <w:numId w:val="11"/>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评标方法和评标标准</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65228384"/>
      <w:r/>
      <w:bookmarkStart w:id="784" w:name="_Toc151193934"/>
      <w:r/>
      <w:bookmarkStart w:id="785" w:name="_Toc127161460"/>
      <w:r/>
      <w:bookmarkStart w:id="786" w:name="_Toc164229241"/>
      <w:r/>
      <w:bookmarkStart w:id="787" w:name="_Toc151190173"/>
      <w:r/>
      <w:bookmarkStart w:id="788" w:name="_Toc226965736"/>
      <w:r/>
      <w:bookmarkStart w:id="789" w:name="_Toc226965819"/>
      <w:r/>
      <w:bookmarkStart w:id="790" w:name="_Toc226309790"/>
      <w:r/>
      <w:bookmarkStart w:id="791" w:name="_Toc150509297"/>
      <w:r/>
      <w:bookmarkStart w:id="792" w:name="_Toc164229387"/>
      <w:r/>
      <w:bookmarkStart w:id="793" w:name="_Toc305158888"/>
      <w:r/>
      <w:bookmarkStart w:id="794" w:name="_Toc195842911"/>
      <w:r/>
      <w:bookmarkStart w:id="795" w:name="_Toc142311048"/>
      <w:r/>
      <w:bookmarkStart w:id="796" w:name="_Toc151193716"/>
      <w:r/>
      <w:bookmarkStart w:id="797" w:name="_Toc164351640"/>
      <w:r/>
      <w:bookmarkStart w:id="798" w:name="_Toc127151747"/>
      <w:r/>
      <w:bookmarkStart w:id="799" w:name="_Toc151193860"/>
      <w:r/>
      <w:bookmarkStart w:id="800" w:name="_Toc150774646"/>
      <w:r/>
      <w:bookmarkStart w:id="801" w:name="_Toc150774751"/>
      <w:r/>
      <w:bookmarkStart w:id="802" w:name="_Ref467307010"/>
      <w:r/>
      <w:bookmarkStart w:id="803" w:name="_Toc264969236"/>
      <w:r/>
      <w:bookmarkStart w:id="804" w:name="_Toc305158814"/>
      <w:r/>
      <w:bookmarkStart w:id="805" w:name="_Toc151193788"/>
      <w:r/>
      <w:bookmarkStart w:id="806" w:name="_Toc226337242"/>
      <w:r/>
      <w:bookmarkStart w:id="807" w:name="_Toc164608660"/>
      <w:r/>
      <w:bookmarkStart w:id="808" w:name="_Toc520356170"/>
      <w:r/>
      <w:bookmarkStart w:id="809" w:name="_Toc149720839"/>
      <w:r/>
      <w:bookmarkStart w:id="810" w:name="_Toc164608815"/>
      <w:r/>
      <w:bookmarkStart w:id="811" w:name="_Toc150480784"/>
      <w:r/>
      <w:bookmarkStart w:id="812" w:name="_Toc151193644"/>
      <w:r/>
      <w:bookmarkStart w:id="813" w:name="_Toc127151546"/>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59"/>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959"/>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1"/>
        </w:numPr>
        <w:ind w:left="0" w:firstLine="482"/>
        <w:jc w:val="left"/>
        <w:spacing w:line="360" w:lineRule="auto"/>
        <w:widowControl/>
        <w:tabs>
          <w:tab w:val="left" w:pos="0" w:leader="none"/>
          <w:tab w:val="left" w:pos="567" w:leader="none"/>
          <w:tab w:val="left" w:pos="1080" w:leader="none"/>
        </w:tabs>
        <w:rPr>
          <w:rFonts w:hint="eastAsia" w:ascii="宋体" w:hAnsi="宋体"/>
          <w:b/>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ascii="宋体" w:hAnsi="宋体"/>
          <w:b/>
          <w:sz w:val="24"/>
        </w:rPr>
        <w:br w:type="page" w:clear="all"/>
      </w:r>
      <w:r/>
    </w:p>
    <w:p>
      <w:pPr>
        <w:jc w:val="center"/>
        <w:spacing w:line="360" w:lineRule="auto"/>
        <w:tabs>
          <w:tab w:val="left" w:pos="360" w:leader="none"/>
          <w:tab w:val="left" w:pos="900" w:leader="none"/>
        </w:tabs>
        <w:rPr>
          <w:rFonts w:hint="eastAsia" w:ascii="宋体" w:hAnsi="宋体"/>
          <w:b/>
        </w:rPr>
        <w:outlineLvl w:val="1"/>
      </w:pPr>
      <w:r>
        <w:rPr>
          <w:rFonts w:ascii="宋体" w:hAnsi="宋体"/>
          <w:b/>
          <w:sz w:val="24"/>
        </w:rPr>
        <w:t xml:space="preserve">二、评标标准</w:t>
      </w:r>
      <w:r/>
    </w:p>
    <w:tbl>
      <w:tblPr>
        <w:tblStyle w:val="9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942"/>
        <w:gridCol w:w="540"/>
        <w:gridCol w:w="6524"/>
      </w:tblGrid>
      <w:tr>
        <w:trPr>
          <w:jc w:val="center"/>
          <w:trHeight w:val="283"/>
          <w:tblHeader/>
        </w:trPr>
        <w:tc>
          <w:tcPr>
            <w:tcW w:w="0" w:type="auto"/>
            <w:vAlign w:val="center"/>
            <w:textDirection w:val="lrTb"/>
            <w:noWrap w:val="false"/>
          </w:tcPr>
          <w:p>
            <w:pPr>
              <w:jc w:val="center"/>
              <w:spacing w:after="120"/>
              <w:tabs>
                <w:tab w:val="left" w:pos="567" w:leader="none"/>
              </w:tabs>
              <w:rPr>
                <w:rFonts w:cs="宋体"/>
                <w:b/>
                <w:bCs/>
              </w:rPr>
            </w:pPr>
            <w:r>
              <w:rPr>
                <w:rFonts w:hint="eastAsia" w:cs="宋体"/>
                <w:b/>
                <w:bCs/>
              </w:rPr>
              <w:t xml:space="preserve">序号</w:t>
            </w:r>
            <w:r/>
          </w:p>
        </w:tc>
        <w:tc>
          <w:tcPr>
            <w:tcW w:w="0" w:type="auto"/>
            <w:vAlign w:val="center"/>
            <w:textDirection w:val="lrTb"/>
            <w:noWrap w:val="false"/>
          </w:tcPr>
          <w:p>
            <w:pPr>
              <w:jc w:val="center"/>
              <w:spacing w:after="120"/>
              <w:tabs>
                <w:tab w:val="left" w:pos="567" w:leader="none"/>
              </w:tabs>
              <w:rPr>
                <w:rFonts w:cs="宋体"/>
                <w:b/>
                <w:bCs/>
              </w:rPr>
            </w:pPr>
            <w:r>
              <w:rPr>
                <w:rFonts w:hint="eastAsia" w:cs="宋体"/>
                <w:b/>
                <w:bCs/>
              </w:rPr>
              <w:t xml:space="preserve">评分</w:t>
            </w:r>
            <w:r/>
          </w:p>
          <w:p>
            <w:pPr>
              <w:jc w:val="center"/>
              <w:spacing w:after="120"/>
              <w:tabs>
                <w:tab w:val="left" w:pos="567" w:leader="none"/>
              </w:tabs>
              <w:rPr>
                <w:rFonts w:cs="宋体"/>
                <w:b/>
                <w:bCs/>
              </w:rPr>
            </w:pPr>
            <w:r>
              <w:rPr>
                <w:rFonts w:hint="eastAsia" w:cs="宋体"/>
                <w:b/>
                <w:bCs/>
              </w:rPr>
              <w:t xml:space="preserve">因素</w:t>
            </w:r>
            <w:r/>
          </w:p>
        </w:tc>
        <w:tc>
          <w:tcPr>
            <w:tcW w:w="0" w:type="auto"/>
            <w:vAlign w:val="center"/>
            <w:textDirection w:val="lrTb"/>
            <w:noWrap w:val="false"/>
          </w:tcPr>
          <w:p>
            <w:pPr>
              <w:jc w:val="center"/>
              <w:spacing w:after="120"/>
              <w:tabs>
                <w:tab w:val="left" w:pos="567" w:leader="none"/>
              </w:tabs>
              <w:rPr>
                <w:rFonts w:cs="宋体"/>
                <w:b/>
                <w:bCs/>
              </w:rPr>
            </w:pPr>
            <w:r>
              <w:rPr>
                <w:rFonts w:hint="eastAsia" w:cs="宋体"/>
                <w:b/>
                <w:bCs/>
              </w:rPr>
              <w:t xml:space="preserve">分值</w:t>
            </w:r>
            <w:r/>
          </w:p>
        </w:tc>
        <w:tc>
          <w:tcPr>
            <w:tcW w:w="0" w:type="auto"/>
            <w:vAlign w:val="center"/>
            <w:textDirection w:val="lrTb"/>
            <w:noWrap w:val="false"/>
          </w:tcPr>
          <w:p>
            <w:pPr>
              <w:jc w:val="center"/>
              <w:spacing w:after="120"/>
              <w:tabs>
                <w:tab w:val="left" w:pos="567" w:leader="none"/>
              </w:tabs>
              <w:rPr>
                <w:rFonts w:cs="宋体"/>
                <w:b/>
                <w:bCs/>
              </w:rPr>
            </w:pPr>
            <w:r>
              <w:rPr>
                <w:rFonts w:hint="eastAsia" w:cs="宋体"/>
                <w:b/>
                <w:bCs/>
              </w:rPr>
              <w:t xml:space="preserve">评分标准</w:t>
            </w:r>
            <w:r/>
          </w:p>
        </w:tc>
      </w:tr>
      <w:tr>
        <w:trPr>
          <w:jc w:val="center"/>
          <w:trHeight w:val="283"/>
        </w:trPr>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1</w:t>
            </w:r>
            <w:r/>
          </w:p>
        </w:tc>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价格分</w:t>
            </w:r>
            <w:r/>
          </w:p>
        </w:tc>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30</w:t>
            </w:r>
            <w:r/>
          </w:p>
        </w:tc>
        <w:tc>
          <w:tcPr>
            <w:tcW w:w="0" w:type="auto"/>
            <w:vAlign w:val="center"/>
            <w:textDirection w:val="lrTb"/>
            <w:noWrap w:val="false"/>
          </w:tcPr>
          <w:p>
            <w:pPr>
              <w:rPr>
                <w:rFonts w:hint="eastAsia" w:ascii="宋体" w:hAnsi="宋体" w:cs="宋体"/>
                <w:sz w:val="24"/>
              </w:rPr>
            </w:pPr>
            <w:r>
              <w:rPr>
                <w:rFonts w:hint="eastAsia" w:ascii="宋体" w:hAnsi="宋体" w:cs="宋体"/>
                <w:sz w:val="24"/>
              </w:rPr>
              <w:t xml:space="preserve">满足招标文件要求且最终报价最低的报价为评标基准价，其价格分为满分。其他投标人的价格分统一按照下列公式计算：</w:t>
            </w:r>
            <w:r/>
          </w:p>
          <w:p>
            <w:pPr>
              <w:spacing w:after="120"/>
              <w:tabs>
                <w:tab w:val="left" w:pos="567" w:leader="none"/>
              </w:tabs>
              <w:rPr>
                <w:rFonts w:cs="宋体"/>
              </w:rPr>
            </w:pPr>
            <w:r>
              <w:rPr>
                <w:rFonts w:hint="eastAsia" w:cs="宋体"/>
              </w:rPr>
              <w:t xml:space="preserve">价格分得分＝（评标基准价/最终报价）×分值。</w:t>
            </w:r>
            <w:r/>
          </w:p>
          <w:p>
            <w:pPr>
              <w:spacing w:after="120"/>
              <w:tabs>
                <w:tab w:val="left" w:pos="567" w:leader="none"/>
              </w:tabs>
              <w:rPr>
                <w:rFonts w:cs="宋体"/>
              </w:rPr>
            </w:pPr>
            <w:r>
              <w:rPr>
                <w:rFonts w:hint="eastAsia" w:cs="宋体"/>
              </w:rPr>
              <w:t xml:space="preserve">此处投标报价指经过报价修正，及因落实政府采购政策进行价格调整后的报价，详见第四章《评标方法和评标标准》2.4、2.5及2.6。</w:t>
            </w:r>
            <w:r/>
          </w:p>
        </w:tc>
      </w:tr>
      <w:tr>
        <w:trPr>
          <w:jc w:val="center"/>
          <w:trHeight w:val="283"/>
        </w:trPr>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2</w:t>
            </w:r>
            <w:r/>
          </w:p>
        </w:tc>
        <w:tc>
          <w:tcPr>
            <w:tcW w:w="1004" w:type="dxa"/>
            <w:vAlign w:val="center"/>
            <w:textDirection w:val="lrTb"/>
            <w:noWrap w:val="false"/>
          </w:tcPr>
          <w:p>
            <w:pPr>
              <w:jc w:val="center"/>
              <w:spacing w:after="120"/>
              <w:tabs>
                <w:tab w:val="left" w:pos="567" w:leader="none"/>
              </w:tabs>
              <w:rPr>
                <w:rFonts w:cs="宋体"/>
              </w:rPr>
            </w:pPr>
            <w:r>
              <w:rPr>
                <w:rFonts w:hint="eastAsia" w:cs="宋体"/>
              </w:rPr>
              <w:t xml:space="preserve">主观分</w:t>
            </w:r>
            <w:r/>
          </w:p>
        </w:tc>
        <w:tc>
          <w:tcPr>
            <w:tcW w:w="576" w:type="dxa"/>
            <w:vAlign w:val="center"/>
            <w:textDirection w:val="lrTb"/>
            <w:noWrap w:val="false"/>
          </w:tcPr>
          <w:p>
            <w:pPr>
              <w:jc w:val="center"/>
              <w:spacing w:after="120"/>
              <w:tabs>
                <w:tab w:val="left" w:pos="567" w:leader="none"/>
              </w:tabs>
              <w:rPr>
                <w:rFonts w:cs="宋体"/>
              </w:rPr>
            </w:pPr>
            <w:r>
              <w:rPr>
                <w:rFonts w:hint="eastAsia" w:cs="宋体"/>
              </w:rPr>
              <w:t xml:space="preserve">45</w:t>
            </w:r>
            <w:r/>
          </w:p>
        </w:tc>
        <w:tc>
          <w:tcPr>
            <w:tcW w:w="0" w:type="auto"/>
            <w:vAlign w:val="center"/>
            <w:textDirection w:val="lrTb"/>
            <w:noWrap w:val="false"/>
          </w:tcPr>
          <w:p>
            <w:pPr>
              <w:spacing w:after="120"/>
              <w:tabs>
                <w:tab w:val="left" w:pos="567" w:leader="none"/>
              </w:tabs>
              <w:rPr>
                <w:rFonts w:cs="宋体"/>
              </w:rPr>
            </w:pPr>
            <w:r>
              <w:rPr>
                <w:rFonts w:cs="宋体"/>
              </w:rPr>
            </w:r>
            <w:r/>
          </w:p>
        </w:tc>
      </w:tr>
      <w:tr>
        <w:trPr>
          <w:jc w:val="center"/>
          <w:trHeight w:val="90"/>
        </w:trPr>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2.1</w:t>
            </w:r>
            <w:r/>
          </w:p>
        </w:tc>
        <w:tc>
          <w:tcPr>
            <w:tcW w:w="1004" w:type="dxa"/>
            <w:vAlign w:val="center"/>
            <w:textDirection w:val="lrTb"/>
            <w:noWrap w:val="false"/>
          </w:tcPr>
          <w:p>
            <w:pPr>
              <w:jc w:val="center"/>
              <w:widowControl/>
              <w:rPr>
                <w:rFonts w:hint="eastAsia" w:ascii="宋体" w:hAnsi="宋体"/>
                <w:sz w:val="24"/>
              </w:rPr>
            </w:pPr>
            <w:r>
              <w:rPr>
                <w:rFonts w:hint="eastAsia" w:ascii="宋体" w:hAnsi="宋体"/>
                <w:sz w:val="24"/>
              </w:rPr>
              <w:t xml:space="preserve">供货保障及配送实施方案</w:t>
            </w:r>
            <w:r/>
          </w:p>
        </w:tc>
        <w:tc>
          <w:tcPr>
            <w:tcW w:w="576"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10</w:t>
            </w:r>
            <w:r/>
          </w:p>
        </w:tc>
        <w:tc>
          <w:tcPr>
            <w:tcW w:w="7133"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提供本项目供货及配送实施方案，包括但不限于库存保障、人员组织及分工、配套车辆情况、运输、装卸、搬运方案及保证措施等；项目实施方案全面、内容详细、证明材料齐全，可行性强的得10分；项目实施方案较全面、内容较详细，证明材料较齐全、有可行性较强的得7分；项目实施方案内容基本完整，证明材料有欠缺，可行性一般的，得4分；项目实施方案内容欠缺，但证明材料欠缺较多，可行性较差的得1分；项目实施方案空洞，缺乏实质性可行内容的或者未提供本项的，不得分。</w:t>
            </w:r>
            <w:r/>
          </w:p>
          <w:p>
            <w:pPr>
              <w:rPr>
                <w:rFonts w:hint="eastAsia" w:ascii="宋体" w:hAnsi="宋体"/>
                <w:b/>
                <w:bCs/>
              </w:rPr>
            </w:pPr>
            <w:r>
              <w:rPr>
                <w:rFonts w:hint="eastAsia" w:ascii="宋体" w:hAnsi="宋体"/>
                <w:b/>
                <w:bCs/>
                <w:sz w:val="24"/>
              </w:rPr>
              <w:t xml:space="preserve">提供证明材料包括不限于人员安排计划表、车辆照片、车辆购买发票或租赁协议、车辆行驶证、运输线路图等。 </w:t>
            </w:r>
            <w:r/>
          </w:p>
        </w:tc>
      </w:tr>
      <w:tr>
        <w:trPr>
          <w:jc w:val="center"/>
          <w:trHeight w:val="90"/>
        </w:trPr>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2.2</w:t>
            </w:r>
            <w:r/>
          </w:p>
        </w:tc>
        <w:tc>
          <w:tcPr>
            <w:tcW w:w="1004" w:type="dxa"/>
            <w:vAlign w:val="center"/>
            <w:textDirection w:val="lrTb"/>
            <w:noWrap w:val="false"/>
          </w:tcPr>
          <w:p>
            <w:pPr>
              <w:jc w:val="center"/>
              <w:widowControl/>
              <w:rPr>
                <w:rFonts w:hint="eastAsia" w:ascii="宋体" w:hAnsi="宋体"/>
                <w:sz w:val="24"/>
              </w:rPr>
            </w:pPr>
            <w:r>
              <w:rPr>
                <w:rFonts w:hint="eastAsia" w:ascii="宋体" w:hAnsi="宋体"/>
                <w:sz w:val="24"/>
              </w:rPr>
              <w:t xml:space="preserve">质量保证措施</w:t>
            </w:r>
            <w:r/>
          </w:p>
        </w:tc>
        <w:tc>
          <w:tcPr>
            <w:tcW w:w="576" w:type="dxa"/>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c>
          <w:tcPr>
            <w:tcW w:w="7133" w:type="dxa"/>
            <w:vAlign w:val="center"/>
            <w:textDirection w:val="lrTb"/>
            <w:noWrap w:val="false"/>
          </w:tcPr>
          <w:p>
            <w:pPr>
              <w:rPr>
                <w:rFonts w:hint="eastAsia" w:ascii="宋体" w:hAnsi="宋体"/>
                <w:sz w:val="24"/>
              </w:rPr>
            </w:pPr>
            <w:r>
              <w:rPr>
                <w:rFonts w:hint="eastAsia" w:ascii="宋体" w:hAnsi="宋体"/>
                <w:sz w:val="24"/>
              </w:rPr>
              <w:t xml:space="preserve">提供产品质量控制措施，包括但不限于货物可靠性、质量稳定性等内容，提供进货渠道、进货合同、产品说明书、合格证、检测报告、官网参数截图等证明材料。材料详细、完整、可靠性高的，得9分；材料较详细、较完整、可靠性较高的，得6分；材料详细程度一般、可靠性一般的，得3分；内容较差或未提供不得分。</w:t>
            </w:r>
            <w:r/>
          </w:p>
        </w:tc>
      </w:tr>
      <w:tr>
        <w:trPr>
          <w:jc w:val="center"/>
          <w:trHeight w:val="283"/>
        </w:trPr>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2.3</w:t>
            </w:r>
            <w:r/>
          </w:p>
        </w:tc>
        <w:tc>
          <w:tcPr>
            <w:tcW w:w="1004" w:type="dxa"/>
            <w:vAlign w:val="center"/>
            <w:textDirection w:val="lrTb"/>
            <w:noWrap w:val="false"/>
          </w:tcPr>
          <w:p>
            <w:pPr>
              <w:jc w:val="center"/>
              <w:widowControl/>
              <w:rPr>
                <w:rFonts w:hint="eastAsia" w:ascii="宋体" w:hAnsi="宋体"/>
                <w:sz w:val="24"/>
              </w:rPr>
            </w:pPr>
            <w:r>
              <w:rPr>
                <w:rFonts w:hint="eastAsia" w:ascii="宋体" w:hAnsi="宋体"/>
                <w:sz w:val="24"/>
              </w:rPr>
              <w:t xml:space="preserve">售后服务方案</w:t>
            </w:r>
            <w:r/>
          </w:p>
        </w:tc>
        <w:tc>
          <w:tcPr>
            <w:tcW w:w="576" w:type="dxa"/>
            <w:vAlign w:val="center"/>
            <w:textDirection w:val="lrTb"/>
            <w:noWrap w:val="false"/>
          </w:tcPr>
          <w:p>
            <w:pPr>
              <w:jc w:val="center"/>
              <w:widowControl/>
              <w:rPr>
                <w:rFonts w:hint="eastAsia" w:ascii="宋体" w:hAnsi="宋体"/>
                <w:sz w:val="24"/>
              </w:rPr>
            </w:pPr>
            <w:r>
              <w:rPr>
                <w:rFonts w:hint="eastAsia" w:ascii="宋体" w:hAnsi="宋体"/>
                <w:sz w:val="24"/>
              </w:rPr>
              <w:t xml:space="preserve">6</w:t>
            </w:r>
            <w:r/>
          </w:p>
        </w:tc>
        <w:tc>
          <w:tcPr>
            <w:tcW w:w="7133" w:type="dxa"/>
            <w:vAlign w:val="center"/>
            <w:textDirection w:val="lrTb"/>
            <w:noWrap w:val="false"/>
          </w:tcPr>
          <w:p>
            <w:pPr>
              <w:jc w:val="left"/>
              <w:widowControl/>
              <w:rPr>
                <w:rFonts w:hint="eastAsia" w:ascii="宋体" w:hAnsi="宋体"/>
                <w:sz w:val="24"/>
              </w:rPr>
            </w:pPr>
            <w:r>
              <w:rPr>
                <w:rFonts w:hint="eastAsia" w:ascii="宋体" w:hAnsi="宋体"/>
                <w:sz w:val="24"/>
              </w:rPr>
              <w:t xml:space="preserve">根据采购人实际需求，提供详细的售后服务方案，包括但不限于产品质保期、质保期内免费更换、不合格品退换货、快速补货、及时配送等措施。</w:t>
            </w:r>
            <w:r/>
          </w:p>
          <w:p>
            <w:pPr>
              <w:jc w:val="left"/>
              <w:widowControl/>
              <w:rPr>
                <w:rFonts w:hint="eastAsia" w:ascii="宋体" w:hAnsi="宋体"/>
                <w:sz w:val="24"/>
              </w:rPr>
            </w:pPr>
            <w:r>
              <w:rPr>
                <w:rFonts w:hint="eastAsia" w:ascii="宋体" w:hAnsi="宋体"/>
                <w:sz w:val="24"/>
              </w:rPr>
              <w:t xml:space="preserve">方案完整、可行，能完全满足项目实施要求，得6分；方案较具体、可行，能基本满足项目实施要求，得4分；方案内容较简单，对项目实施要求响应一般，得2分；未提供本项不得分。</w:t>
            </w:r>
            <w:r/>
          </w:p>
        </w:tc>
      </w:tr>
      <w:tr>
        <w:trPr>
          <w:jc w:val="center"/>
          <w:trHeight w:val="90"/>
        </w:trPr>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2.4</w:t>
            </w:r>
            <w:r/>
          </w:p>
        </w:tc>
        <w:tc>
          <w:tcPr>
            <w:tcW w:w="0" w:type="auto"/>
            <w:vAlign w:val="center"/>
            <w:textDirection w:val="lrTb"/>
            <w:noWrap w:val="false"/>
          </w:tcPr>
          <w:p>
            <w:pPr>
              <w:jc w:val="center"/>
              <w:widowControl/>
              <w:rPr>
                <w:rFonts w:hint="eastAsia" w:ascii="宋体" w:hAnsi="宋体"/>
                <w:sz w:val="24"/>
              </w:rPr>
            </w:pPr>
            <w:r>
              <w:rPr>
                <w:rFonts w:hint="eastAsia" w:ascii="宋体" w:hAnsi="宋体"/>
                <w:sz w:val="24"/>
              </w:rPr>
              <w:t xml:space="preserve">样品</w:t>
            </w:r>
            <w:r/>
          </w:p>
        </w:tc>
        <w:tc>
          <w:tcPr>
            <w:tcW w:w="0" w:type="auto"/>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c>
          <w:tcPr>
            <w:tcW w:w="0" w:type="auto"/>
            <w:vAlign w:val="center"/>
            <w:textDirection w:val="lrTb"/>
            <w:noWrap w:val="false"/>
          </w:tcPr>
          <w:p>
            <w:pPr>
              <w:jc w:val="left"/>
              <w:widowControl/>
              <w:rPr>
                <w:rFonts w:hint="eastAsia" w:ascii="宋体" w:hAnsi="宋体"/>
                <w:sz w:val="24"/>
              </w:rPr>
            </w:pPr>
            <w:r>
              <w:rPr>
                <w:rFonts w:hint="eastAsia" w:ascii="宋体" w:hAnsi="宋体"/>
                <w:sz w:val="24"/>
              </w:rPr>
              <w:t xml:space="preserve">根据样品清单制作工艺、外观、材质等进行评定，每个样品最高得4分，本项最高得20分。未能提供样品或提供样品不符合要求的，样品不得分。</w:t>
            </w:r>
            <w:r/>
          </w:p>
          <w:p>
            <w:pPr>
              <w:jc w:val="left"/>
              <w:widowControl/>
              <w:rPr>
                <w:rFonts w:hint="eastAsia" w:ascii="宋体" w:hAnsi="宋体"/>
                <w:sz w:val="24"/>
              </w:rPr>
            </w:pPr>
            <w:r>
              <w:rPr>
                <w:rFonts w:hint="eastAsia" w:ascii="宋体" w:hAnsi="宋体"/>
                <w:sz w:val="24"/>
              </w:rPr>
              <w:t xml:space="preserve">每个样品评分要求如下：材质佳、工艺好、外观效果佳、样式符合需求的，得4分；材质较好、工艺较好、外观效果较好、较符合需求的，得3分；材质、工艺一般，外观效果一般，基本符合需求的，得2分；材质、做工差，工艺粗糙的，得1分。未提供样品不得分。 </w:t>
            </w:r>
            <w:r/>
          </w:p>
        </w:tc>
      </w:tr>
      <w:tr>
        <w:trPr>
          <w:jc w:val="center"/>
          <w:trHeight w:val="283"/>
        </w:trPr>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3</w:t>
            </w:r>
            <w:r/>
          </w:p>
        </w:tc>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客观分</w:t>
            </w:r>
            <w:r/>
          </w:p>
        </w:tc>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25</w:t>
            </w:r>
            <w:r/>
          </w:p>
        </w:tc>
        <w:tc>
          <w:tcPr>
            <w:tcW w:w="0" w:type="auto"/>
            <w:vAlign w:val="center"/>
            <w:textDirection w:val="lrTb"/>
            <w:noWrap w:val="false"/>
          </w:tcPr>
          <w:p>
            <w:pPr>
              <w:spacing w:after="120"/>
              <w:tabs>
                <w:tab w:val="left" w:pos="567" w:leader="none"/>
              </w:tabs>
              <w:rPr>
                <w:rFonts w:cs="宋体"/>
              </w:rPr>
            </w:pPr>
            <w:r>
              <w:rPr>
                <w:rFonts w:cs="宋体"/>
              </w:rPr>
            </w:r>
            <w:r/>
          </w:p>
        </w:tc>
      </w:tr>
      <w:tr>
        <w:trPr>
          <w:jc w:val="center"/>
          <w:trHeight w:val="90"/>
        </w:trPr>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3.1</w:t>
            </w:r>
            <w:r/>
          </w:p>
        </w:tc>
        <w:tc>
          <w:tcPr>
            <w:tcW w:w="0"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业绩</w:t>
            </w:r>
            <w:r/>
          </w:p>
        </w:tc>
        <w:tc>
          <w:tcPr>
            <w:tcW w:w="0"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0" w:type="auto"/>
            <w:vAlign w:val="center"/>
            <w:textDirection w:val="lrTb"/>
            <w:noWrap w:val="false"/>
          </w:tcPr>
          <w:p>
            <w:pPr>
              <w:rPr>
                <w:rFonts w:hint="eastAsia" w:ascii="宋体" w:hAnsi="宋体" w:cs="宋体"/>
                <w:sz w:val="24"/>
              </w:rPr>
            </w:pPr>
            <w:r>
              <w:rPr>
                <w:rFonts w:hint="eastAsia" w:ascii="宋体" w:hAnsi="宋体" w:cs="宋体"/>
                <w:sz w:val="24"/>
              </w:rPr>
              <w:t xml:space="preserve">投标人自2023年1月1日以来（以合同签订时间为准），承接过类似实训耗材项目业绩的得5分。</w:t>
            </w:r>
            <w:r/>
          </w:p>
          <w:p>
            <w:pPr>
              <w:rPr>
                <w:rFonts w:hint="eastAsia" w:ascii="宋体" w:hAnsi="宋体" w:cs="宋体"/>
                <w:sz w:val="24"/>
              </w:rPr>
            </w:pPr>
            <w:r>
              <w:rPr>
                <w:rFonts w:hint="eastAsia" w:ascii="宋体" w:hAnsi="宋体" w:cs="宋体"/>
                <w:b/>
                <w:bCs/>
                <w:sz w:val="24"/>
              </w:rPr>
              <w:t xml:space="preserve">提供完整业绩合同扫描件和项目结算发票，并加盖投标人公章，未提供或不符合要求的，本项不得分。</w:t>
            </w:r>
            <w:r/>
          </w:p>
        </w:tc>
      </w:tr>
      <w:tr>
        <w:trPr>
          <w:jc w:val="center"/>
          <w:trHeight w:val="90"/>
        </w:trPr>
        <w:tc>
          <w:tcPr>
            <w:tcW w:w="0" w:type="auto"/>
            <w:vAlign w:val="center"/>
            <w:textDirection w:val="lrTb"/>
            <w:noWrap w:val="false"/>
          </w:tcPr>
          <w:p>
            <w:pPr>
              <w:jc w:val="center"/>
              <w:spacing w:after="120"/>
              <w:tabs>
                <w:tab w:val="left" w:pos="567" w:leader="none"/>
              </w:tabs>
              <w:rPr>
                <w:rFonts w:hint="eastAsia" w:ascii="宋体" w:hAnsi="宋体" w:cs="宋体"/>
                <w:sz w:val="24"/>
              </w:rPr>
            </w:pPr>
            <w:r>
              <w:rPr>
                <w:rFonts w:hint="eastAsia" w:cs="宋体"/>
              </w:rPr>
              <w:t xml:space="preserve">3.2</w:t>
            </w:r>
            <w:r/>
          </w:p>
        </w:tc>
        <w:tc>
          <w:tcPr>
            <w:tcW w:w="0"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体系认证</w:t>
            </w:r>
            <w:r/>
          </w:p>
        </w:tc>
        <w:tc>
          <w:tcPr>
            <w:tcW w:w="57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71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所投任一产品制造商具有有效期内的质量管理体系认证证书、环境管理体系认证证书、职业健康与安全管理体系认证证书的，每提供一个得1分，最高得3分。</w:t>
            </w:r>
            <w:r/>
          </w:p>
          <w:p>
            <w:pPr>
              <w:jc w:val="left"/>
              <w:widowControl/>
              <w:rPr>
                <w:rFonts w:hint="eastAsia" w:ascii="宋体" w:hAnsi="宋体" w:cs="宋体"/>
                <w:sz w:val="24"/>
              </w:rPr>
            </w:pPr>
            <w:r>
              <w:rPr>
                <w:rFonts w:hint="eastAsia" w:ascii="宋体" w:hAnsi="宋体" w:cs="宋体"/>
                <w:b/>
                <w:bCs/>
                <w:sz w:val="24"/>
              </w:rPr>
              <w:t xml:space="preserve">提供认证证书扫描件及国家认监委网站查询状态为有效的截图，未提供或不符合要求的，本项不得分。</w:t>
            </w:r>
            <w:r/>
          </w:p>
        </w:tc>
      </w:tr>
      <w:tr>
        <w:trPr>
          <w:jc w:val="center"/>
          <w:trHeight w:val="90"/>
        </w:trPr>
        <w:tc>
          <w:tcPr>
            <w:tcW w:w="0" w:type="auto"/>
            <w:vAlign w:val="center"/>
            <w:textDirection w:val="lrTb"/>
            <w:noWrap w:val="false"/>
          </w:tcPr>
          <w:p>
            <w:pPr>
              <w:jc w:val="center"/>
              <w:spacing w:after="120"/>
              <w:tabs>
                <w:tab w:val="left" w:pos="567" w:leader="none"/>
              </w:tabs>
              <w:rPr>
                <w:rFonts w:hint="eastAsia" w:ascii="宋体" w:hAnsi="宋体" w:cs="宋体"/>
                <w:sz w:val="24"/>
              </w:rPr>
            </w:pPr>
            <w:r>
              <w:rPr>
                <w:rFonts w:hint="eastAsia" w:cs="宋体"/>
              </w:rPr>
              <w:t xml:space="preserve">3.3</w:t>
            </w:r>
            <w:r/>
          </w:p>
        </w:tc>
        <w:tc>
          <w:tcPr>
            <w:tcW w:w="100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技术参数响应</w:t>
            </w:r>
            <w:r/>
          </w:p>
        </w:tc>
        <w:tc>
          <w:tcPr>
            <w:tcW w:w="57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15</w:t>
            </w:r>
            <w:r/>
          </w:p>
        </w:tc>
        <w:tc>
          <w:tcPr>
            <w:tcW w:w="0" w:type="auto"/>
            <w:vAlign w:val="center"/>
            <w:textDirection w:val="lrTb"/>
            <w:noWrap w:val="false"/>
          </w:tcPr>
          <w:p>
            <w:pPr>
              <w:rPr>
                <w:rFonts w:hint="eastAsia" w:ascii="宋体" w:hAnsi="宋体" w:cs="宋体"/>
                <w:sz w:val="24"/>
              </w:rPr>
            </w:pPr>
            <w:r>
              <w:rPr>
                <w:rFonts w:hint="eastAsia" w:ascii="宋体" w:hAnsi="宋体" w:cs="宋体"/>
                <w:sz w:val="24"/>
              </w:rPr>
              <w:t xml:space="preserve">所投产品规格、型号、材质、精度等完全满足采购文件要求项目清单“</w:t>
            </w:r>
            <w:r>
              <w:rPr>
                <w:rFonts w:hint="eastAsia" w:ascii="宋体" w:hAnsi="宋体" w:cs="宋体"/>
                <w:b/>
                <w:bCs/>
                <w:sz w:val="24"/>
              </w:rPr>
              <w:t xml:space="preserve">规格和技术参数要求</w:t>
            </w:r>
            <w:r>
              <w:rPr>
                <w:rFonts w:hint="eastAsia" w:ascii="宋体" w:hAnsi="宋体" w:cs="宋体"/>
                <w:sz w:val="24"/>
              </w:rPr>
              <w:t xml:space="preserve">”的，无负偏离的，得满分15分。如有负偏离，每项扣1分，扣完为止。</w:t>
            </w:r>
            <w:r>
              <w:rPr>
                <w:rFonts w:hint="eastAsia" w:ascii="宋体" w:hAnsi="宋体" w:cs="宋体"/>
                <w:b/>
                <w:bCs/>
                <w:sz w:val="24"/>
              </w:rPr>
              <w:t xml:space="preserve">提供技术参数对比列表，格式自拟。</w:t>
            </w:r>
            <w:r/>
          </w:p>
        </w:tc>
      </w:tr>
      <w:tr>
        <w:trPr>
          <w:jc w:val="center"/>
          <w:trHeight w:val="90"/>
        </w:trPr>
        <w:tc>
          <w:tcPr>
            <w:tcW w:w="0" w:type="auto"/>
            <w:vAlign w:val="center"/>
            <w:textDirection w:val="lrTb"/>
            <w:noWrap w:val="false"/>
          </w:tcPr>
          <w:p>
            <w:pPr>
              <w:jc w:val="center"/>
              <w:spacing w:after="120"/>
              <w:tabs>
                <w:tab w:val="left" w:pos="567" w:leader="none"/>
              </w:tabs>
              <w:rPr>
                <w:rFonts w:hint="eastAsia" w:ascii="宋体" w:hAnsi="宋体" w:cs="宋体"/>
                <w:sz w:val="24"/>
              </w:rPr>
            </w:pPr>
            <w:r>
              <w:rPr>
                <w:rFonts w:hint="eastAsia" w:cs="宋体"/>
                <w:sz w:val="24"/>
              </w:rPr>
              <w:t xml:space="preserve">3.4</w:t>
            </w:r>
            <w:r/>
          </w:p>
        </w:tc>
        <w:tc>
          <w:tcPr>
            <w:tcW w:w="0"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政府采购政策功能性得分</w:t>
            </w:r>
            <w:r/>
          </w:p>
        </w:tc>
        <w:tc>
          <w:tcPr>
            <w:tcW w:w="0" w:type="auto"/>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0" w:type="auto"/>
            <w:vAlign w:val="center"/>
            <w:textDirection w:val="lrTb"/>
            <w:noWrap w:val="false"/>
          </w:tcPr>
          <w:p>
            <w:pPr>
              <w:jc w:val="left"/>
              <w:rPr>
                <w:rFonts w:hint="eastAsia" w:ascii="宋体" w:hAnsi="宋体" w:cs="宋体"/>
                <w:sz w:val="24"/>
                <w:lang w:bidi="ar"/>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1.投标产品属于财政部、国家发改委公布的“节能产品品目清单”范围内的，投标人提供国家确定的认证机构出具的、处于有效期之内的该节能产品认证证书复印件的，有1个得1分，最多得1分。</w:t>
            </w:r>
            <w:r/>
          </w:p>
          <w:p>
            <w:pPr>
              <w:jc w:val="left"/>
              <w:rPr>
                <w:rFonts w:hint="eastAsia" w:ascii="宋体" w:hAnsi="宋体" w:cs="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2.投标产品属于财政部、生态环境部公布的“环境标志产品品目清单”范围内的，投标人提供国家确定的认证机构出具的、处于有效期内的该投标产品环境标志产品认证证书复印件的，有1个得1分，最多得1分。</w:t>
            </w:r>
            <w:r/>
          </w:p>
        </w:tc>
      </w:tr>
      <w:tr>
        <w:trPr>
          <w:jc w:val="center"/>
          <w:trHeight w:val="283"/>
        </w:trPr>
        <w:tc>
          <w:tcPr>
            <w:gridSpan w:val="2"/>
            <w:tcW w:w="0" w:type="auto"/>
            <w:vAlign w:val="center"/>
            <w:textDirection w:val="lrTb"/>
            <w:noWrap w:val="false"/>
          </w:tcPr>
          <w:p>
            <w:pPr>
              <w:jc w:val="center"/>
              <w:spacing w:after="120"/>
              <w:tabs>
                <w:tab w:val="left" w:pos="567" w:leader="none"/>
              </w:tabs>
              <w:rPr>
                <w:rFonts w:cs="宋体"/>
              </w:rPr>
            </w:pPr>
            <w:r>
              <w:rPr>
                <w:rFonts w:hint="eastAsia" w:cs="宋体"/>
              </w:rPr>
              <w:t xml:space="preserve">合计</w:t>
            </w:r>
            <w:r/>
          </w:p>
        </w:tc>
        <w:tc>
          <w:tcPr>
            <w:tcW w:w="0" w:type="auto"/>
            <w:vAlign w:val="center"/>
            <w:textDirection w:val="lrTb"/>
            <w:noWrap w:val="false"/>
          </w:tcPr>
          <w:p>
            <w:pPr>
              <w:jc w:val="center"/>
              <w:spacing w:after="120"/>
              <w:tabs>
                <w:tab w:val="left" w:pos="567" w:leader="none"/>
              </w:tabs>
              <w:rPr>
                <w:rFonts w:cs="宋体"/>
              </w:rPr>
            </w:pPr>
            <w:r>
              <w:rPr>
                <w:rFonts w:hint="eastAsia" w:cs="宋体"/>
              </w:rPr>
              <w:t xml:space="preserve">100</w:t>
            </w:r>
            <w:r/>
          </w:p>
        </w:tc>
        <w:tc>
          <w:tcPr>
            <w:tcW w:w="0" w:type="auto"/>
            <w:vAlign w:val="center"/>
            <w:textDirection w:val="lrTb"/>
            <w:noWrap w:val="false"/>
          </w:tcPr>
          <w:p>
            <w:pPr>
              <w:spacing w:after="120"/>
              <w:tabs>
                <w:tab w:val="left" w:pos="567" w:leader="none"/>
              </w:tabs>
              <w:rPr>
                <w:rFonts w:cs="宋体"/>
              </w:rPr>
            </w:pPr>
            <w:r>
              <w:rPr>
                <w:rFonts w:cs="宋体"/>
              </w:rPr>
            </w:r>
            <w:r/>
          </w:p>
        </w:tc>
      </w:tr>
    </w:tbl>
    <w:p>
      <w:pPr>
        <w:jc w:val="left"/>
        <w:widowControl/>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
    </w:p>
    <w:p>
      <w:pPr>
        <w:ind w:right="210" w:firstLine="482"/>
        <w:jc w:val="left"/>
        <w:spacing w:line="360" w:lineRule="auto"/>
        <w:rPr>
          <w:rFonts w:hint="eastAsia" w:ascii="宋体" w:hAnsi="宋体"/>
          <w:b/>
          <w:sz w:val="24"/>
        </w:rPr>
      </w:pPr>
      <w:r>
        <w:rPr>
          <w:rFonts w:hint="eastAsia" w:ascii="宋体" w:hAnsi="宋体"/>
          <w:b/>
          <w:sz w:val="24"/>
        </w:rPr>
        <w:t xml:space="preserve">一、基本要求</w:t>
      </w:r>
      <w:r/>
    </w:p>
    <w:p>
      <w:pPr>
        <w:ind w:right="210" w:firstLine="482"/>
        <w:jc w:val="left"/>
        <w:spacing w:line="360" w:lineRule="auto"/>
        <w:rPr>
          <w:rFonts w:hint="eastAsia" w:ascii="宋体" w:hAnsi="宋体"/>
          <w:b/>
          <w:sz w:val="24"/>
        </w:rPr>
      </w:pPr>
      <w:r>
        <w:rPr>
          <w:rFonts w:hint="eastAsia" w:ascii="宋体" w:hAnsi="宋体"/>
          <w:b/>
          <w:sz w:val="24"/>
        </w:rPr>
        <w:t xml:space="preserve">（一）采购标的需实现的功能或者目标:</w:t>
      </w:r>
      <w:r/>
    </w:p>
    <w:p>
      <w:pPr>
        <w:ind w:right="210" w:firstLine="482"/>
        <w:jc w:val="left"/>
        <w:spacing w:line="360" w:lineRule="auto"/>
        <w:rPr>
          <w:rFonts w:hint="eastAsia" w:ascii="宋体" w:hAnsi="宋体"/>
          <w:bCs/>
          <w:sz w:val="24"/>
        </w:rPr>
      </w:pPr>
      <w:r>
        <w:rPr>
          <w:rFonts w:hint="eastAsia" w:ascii="宋体" w:hAnsi="宋体"/>
          <w:bCs/>
          <w:sz w:val="24"/>
        </w:rPr>
        <w:t xml:space="preserve">本次采购的交通类实训耗材旨在保障汽车、轨道、无人机等专业日常实训教学的顺利开展，通过提供品质稳定、安全合规的消耗性物料，满足学生技能训练频次要求，维持实训设备良好运行状态，同时实现耗材库存的规范化管理和教学成本的精准控制。 </w:t>
      </w:r>
      <w:r/>
    </w:p>
    <w:p>
      <w:pPr>
        <w:ind w:right="210" w:firstLine="482"/>
        <w:jc w:val="left"/>
        <w:spacing w:line="360" w:lineRule="auto"/>
        <w:rPr>
          <w:rFonts w:hint="eastAsia" w:ascii="宋体" w:hAnsi="宋体"/>
          <w:b/>
          <w:sz w:val="24"/>
        </w:rPr>
      </w:pPr>
      <w:r>
        <w:rPr>
          <w:rFonts w:hint="eastAsia" w:ascii="宋体" w:hAnsi="宋体"/>
          <w:b/>
          <w:sz w:val="24"/>
        </w:rPr>
        <w:t xml:space="preserve">（二）需执行的国家相关标准、行业标准、地方标准或者其他标准、规范:</w:t>
      </w:r>
      <w:r/>
    </w:p>
    <w:p>
      <w:pPr>
        <w:ind w:right="210" w:firstLine="482"/>
        <w:jc w:val="left"/>
        <w:spacing w:line="360" w:lineRule="auto"/>
        <w:rPr>
          <w:rFonts w:hint="eastAsia" w:ascii="宋体" w:hAnsi="宋体"/>
          <w:bCs/>
          <w:sz w:val="24"/>
        </w:rPr>
      </w:pPr>
      <w:r>
        <w:rPr>
          <w:rFonts w:hint="eastAsia" w:ascii="宋体" w:hAnsi="宋体"/>
          <w:bCs/>
          <w:sz w:val="24"/>
        </w:rPr>
        <w:t xml:space="preserve">本次采购的所有实训耗材在生产、检验、包装及验收环节，均须严格执行国家现行有效的质量标准、行业通用技术规范及地方性环保安全法规，涉及强制性认证或危险品管理的耗材须具备相应资质证明，若相关标准存在更新或冲突，以其中最严格者为准。</w:t>
      </w:r>
      <w:r/>
    </w:p>
    <w:p>
      <w:pPr>
        <w:ind w:right="210" w:firstLine="482"/>
        <w:jc w:val="left"/>
        <w:spacing w:line="360" w:lineRule="auto"/>
        <w:rPr>
          <w:rFonts w:hint="eastAsia" w:ascii="宋体" w:hAnsi="宋体"/>
          <w:b/>
          <w:sz w:val="24"/>
        </w:rPr>
      </w:pPr>
      <w:r>
        <w:rPr>
          <w:rFonts w:hint="eastAsia" w:ascii="宋体" w:hAnsi="宋体"/>
          <w:b/>
          <w:sz w:val="24"/>
        </w:rPr>
        <w:t xml:space="preserve">二、基本</w:t>
      </w:r>
      <w:r>
        <w:rPr>
          <w:rFonts w:hint="eastAsia" w:ascii="宋体" w:hAnsi="宋体" w:cs="宋体"/>
          <w:b/>
          <w:sz w:val="24"/>
        </w:rPr>
        <w:t xml:space="preserve">要求</w:t>
      </w:r>
      <w:r/>
    </w:p>
    <w:p>
      <w:pPr>
        <w:ind w:right="210" w:firstLine="482"/>
        <w:jc w:val="left"/>
        <w:spacing w:line="360" w:lineRule="auto"/>
        <w:rPr>
          <w:rFonts w:hint="eastAsia" w:ascii="宋体" w:hAnsi="宋体"/>
          <w:bCs/>
          <w:sz w:val="24"/>
        </w:rPr>
      </w:pPr>
      <w:r>
        <w:rPr>
          <w:rFonts w:hint="eastAsia" w:ascii="宋体" w:hAnsi="宋体"/>
          <w:bCs/>
          <w:sz w:val="24"/>
        </w:rPr>
        <w:t xml:space="preserve">1. 本次采购的交通类实训耗材必须品质优良、性能稳定，能够满足高频次实训操作的耐用性需求；材</w:t>
      </w:r>
      <w:r>
        <w:rPr>
          <w:rFonts w:hint="eastAsia" w:ascii="宋体" w:hAnsi="宋体"/>
          <w:bCs/>
          <w:sz w:val="24"/>
        </w:rPr>
        <w:t xml:space="preserve">料选用应符合环保及行业规范要求，严禁使用劣质或有害材料；结构设计需与学校现有实训设备、教学车型及无人机机型完全匹配，确保安装牢固、拆装顺畅；外观应完好无损，标识清晰，具备合格证明；质量方面须为全新原厂或品牌正品，杜绝假冒伪劣及“三无”产品；安全性能必须放在首位，涉及油液、化学品需提供安全技术说明书，电气元件需具备阻燃、绝缘特性，无人机电池需具备防爆、防鼓包安全防护；技术规格与物理特性（如尺寸、硬度、标号、精度、动平衡等）必须严格符合国家或行业现行标准，并与采购清单参数完全一致，确保实训操作的真实性与规范性。</w:t>
      </w:r>
      <w:r/>
    </w:p>
    <w:p>
      <w:pPr>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2.投标人应保证招标人在使用其所供货物时不受第三方提出侵犯其专利权、著作权和工业产权等知识产权的起诉。一旦出现侵权，一律由投标人承担全部责任。同时，投标人对招标人采购的货物所涉及的技术、产能等信息负有保密义务。</w:t>
      </w:r>
      <w:r/>
    </w:p>
    <w:p>
      <w:pPr>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3.投标人成交后须与招标人在投标产品的“功能配置、技术要求等”方面及时交底沟通；中标人开始制造产品之前，招标人有权要求中标人对产品进行微调，最终的产品须经招标人确认同意。</w:t>
      </w:r>
      <w:r/>
    </w:p>
    <w:p>
      <w:pPr>
        <w:contextualSpacing/>
        <w:ind w:left="-2" w:firstLine="480"/>
        <w:spacing w:line="360" w:lineRule="auto"/>
        <w:tabs>
          <w:tab w:val="left" w:pos="567" w:leader="none"/>
        </w:tabs>
        <w:rPr>
          <w:rFonts w:hint="eastAsia" w:ascii="宋体" w:hAnsi="宋体"/>
          <w:b/>
          <w:i/>
          <w:sz w:val="24"/>
          <w:u w:val="single"/>
        </w:rPr>
      </w:pPr>
      <w:r>
        <w:rPr>
          <w:rFonts w:hint="eastAsia" w:ascii="仿宋" w:hAnsi="仿宋" w:eastAsia="仿宋" w:cs="仿宋"/>
          <w:i/>
          <w:iCs/>
          <w:spacing w:val="10"/>
          <w:u w:val="single"/>
        </w:rPr>
        <w:t xml:space="preserve">★</w:t>
      </w:r>
      <w:r>
        <w:rPr>
          <w:rFonts w:hint="eastAsia" w:ascii="仿宋" w:hAnsi="仿宋" w:eastAsia="仿宋" w:cs="仿宋"/>
          <w:b/>
          <w:bCs/>
          <w:i/>
          <w:iCs/>
          <w:spacing w:val="10"/>
          <w:u w:val="single"/>
        </w:rPr>
        <w:t xml:space="preserve">4.</w:t>
      </w:r>
      <w:r>
        <w:rPr>
          <w:rFonts w:hint="eastAsia" w:ascii="宋体" w:hAnsi="宋体"/>
          <w:b/>
          <w:i/>
          <w:sz w:val="24"/>
          <w:u w:val="single"/>
        </w:rPr>
        <w:t xml:space="preserve">供应商承诺所投产品均为正规厂家生产的合格以上产品，采购人有权进行抽样检验，如经检验判定为不合格，采购人有权拒收该批次货物，并由供应商承担全部违约责任及检测费用。</w:t>
      </w:r>
      <w:r/>
    </w:p>
    <w:p>
      <w:pPr>
        <w:ind w:right="210" w:firstLine="482"/>
        <w:jc w:val="left"/>
        <w:spacing w:line="360" w:lineRule="auto"/>
        <w:rPr>
          <w:rFonts w:hint="eastAsia" w:ascii="宋体" w:hAnsi="宋体"/>
          <w:b/>
          <w:sz w:val="24"/>
        </w:rPr>
      </w:pPr>
      <w:r>
        <w:rPr>
          <w:rFonts w:hint="eastAsia" w:ascii="宋体" w:hAnsi="宋体"/>
          <w:b/>
          <w:sz w:val="24"/>
        </w:rPr>
        <w:t xml:space="preserve">三、采购清单及技术要求</w:t>
      </w:r>
      <w:r/>
    </w:p>
    <w:tbl>
      <w:tblPr>
        <w:tblStyle w:val="946"/>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33"/>
        <w:gridCol w:w="2039"/>
        <w:gridCol w:w="3710"/>
        <w:gridCol w:w="493"/>
        <w:gridCol w:w="493"/>
        <w:gridCol w:w="764"/>
        <w:gridCol w:w="390"/>
      </w:tblGrid>
      <w:tr>
        <w:trPr>
          <w:jc w:val="center"/>
          <w:trHeight w:val="737"/>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val="false"/>
          </w:tcPr>
          <w:p>
            <w:pPr>
              <w:jc w:val="center"/>
              <w:rPr>
                <w:rFonts w:hint="eastAsia" w:ascii="宋体" w:hAnsi="宋体"/>
                <w:szCs w:val="21"/>
              </w:rPr>
            </w:pPr>
            <w:r>
              <w:rPr>
                <w:rFonts w:hint="eastAsia" w:ascii="宋体" w:hAnsi="宋体"/>
                <w:szCs w:val="21"/>
              </w:rPr>
              <w:t xml:space="preserve">产品名称</w:t>
            </w:r>
            <w:r/>
          </w:p>
        </w:tc>
        <w:tc>
          <w:tcPr>
            <w:tcBorders>
              <w:top w:val="single" w:color="000000" w:sz="4" w:space="0"/>
              <w:left w:val="single" w:color="000000" w:sz="4" w:space="0"/>
              <w:bottom w:val="single" w:color="000000" w:sz="4" w:space="0"/>
              <w:right w:val="single" w:color="000000" w:sz="4" w:space="0"/>
            </w:tcBorders>
            <w:tcW w:w="2174" w:type="pct"/>
            <w:vAlign w:val="center"/>
            <w:textDirection w:val="lrTb"/>
            <w:noWrap w:val="false"/>
          </w:tcPr>
          <w:p>
            <w:pPr>
              <w:jc w:val="center"/>
              <w:rPr>
                <w:rFonts w:hint="eastAsia" w:ascii="宋体" w:hAnsi="宋体"/>
                <w:szCs w:val="21"/>
              </w:rPr>
            </w:pPr>
            <w:r>
              <w:rPr>
                <w:rFonts w:hint="eastAsia" w:ascii="宋体" w:hAnsi="宋体"/>
                <w:szCs w:val="21"/>
              </w:rPr>
              <w:t xml:space="preserve">规格和技术参数要求</w:t>
            </w:r>
            <w:r/>
          </w:p>
        </w:tc>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auto" w:sz="4" w:space="0"/>
            </w:tcBorders>
            <w:tcW w:w="289" w:type="pct"/>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rPr>
                <w:rFonts w:hint="eastAsia" w:ascii="宋体" w:hAnsi="宋体"/>
                <w:szCs w:val="21"/>
              </w:rPr>
            </w:pPr>
            <w:r>
              <w:rPr>
                <w:rFonts w:hint="eastAsia"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229" w:type="pct"/>
            <w:vAlign w:val="center"/>
            <w:textDirection w:val="lrTb"/>
            <w:noWrap/>
          </w:tcPr>
          <w:p>
            <w:pPr>
              <w:jc w:val="center"/>
              <w:rPr>
                <w:rFonts w:hint="eastAsia" w:ascii="宋体" w:hAnsi="宋体"/>
                <w:szCs w:val="21"/>
              </w:rPr>
            </w:pPr>
            <w:r>
              <w:rPr>
                <w:rFonts w:hint="eastAsia" w:ascii="宋体" w:hAnsi="宋体"/>
                <w:szCs w:val="21"/>
              </w:rPr>
              <w:t xml:space="preserve">备注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APM2.8飞控套装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飞控+M8NGPS+电流计+GPS支架+减震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596.4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ATF油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ATF300，1L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变速箱油/齿轮油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适用于7速干式双离合自动变速箱，1L，全合成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四轴无人机机架+小脚架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适用于F450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按钮开关控制盒</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6孔急停+红绿黄蓝平钮+旋钮 KBH</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99.4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柏油清洗剂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450ml,配备毛巾（30*30cm）、小刮板</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保湿面霜</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150g，适用于敏感肌，柔润保湿霜</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保湿乳液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454g，适用于敏感肌，神经酰胺屏障修护</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汽车保险丝</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插片，中号、小号、迷你，100pcs 混合装，2-35A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变频器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额定功率0.12KW，供电：1AC，适配西门子S7-200SMART</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933.8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玻璃清洁剂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32ml*6瓶，蓝色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玻璃清洁水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2L*6，强力去污去油膜，0度，乙醇玻璃水，橙色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201.6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充电吸尘器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电压18V，风量10升/秒，吸真空能力≥60百帕，集尘盒容量≥700ml，机器净重&lt;1.4kg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630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补漆笔</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各类颜色（白、黑、灰、银、棕、蓝、金），20ml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无人机充电管家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适配大疆御3 Pro或同规格电池，功率100W</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汽车电瓶充电器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输出电流25A，输出电压12/24V，净重≤1.9kg，电瓶接线、电源线≥1.5m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725.2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充电器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内置200W电源，输入DC6.5-30v/AC100-240V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781.2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除臭剂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500ml*2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穿越机电池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120C放电倍率，2000mah，xt60接口</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穿越机桨叶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2正+2反，中心孔距5mm，直径5in，中心厚度8mm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刀口尺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0级，不锈钢，0-200mm、0-300mm、0-400mm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灯泡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H7、H1、H3、HB3、HB4灯泡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低温修补焊条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修补焊条-24条装，打火机可用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普通点火开关</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JK404，四线</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大众点火开关</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一建启动开关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点火线圈跨接线检测仪</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跳火量规</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蓄电池跨接线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4m，10平，1800A，纯铜线</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电动车窗润滑剂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电动螺丝刀</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5N.m，3.6V，3Ah，锂电，空载转速360r/min,8档扭矩调节，配常用螺丝批头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600.6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电工实训接线板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白，450*600*20mm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电烙铁</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60W内热式，51-100W，可调温，包含保护套、烙铁架、松香、焊锡丝</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发电机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适用于丰田皇冠、锐志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防尘面罩</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防PM2.5口罩，有呼吸阀，防有机蒸汽，含滤棉盖2个、滤棉2个、滤毒盒2个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防冻液笔式酸度计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PH-100，精度0.01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624.4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粉底液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奶油质地，30ml，黄调自然偏白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205/60R16，92V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汽车测试探针</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0°、45°、90°三种角度套装，尾孔4mm，针长37mm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化油器清洗剂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强力配方，450ml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活塞环压缩器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不锈钢材质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310.8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适用于铃木利亚纳吉塞姆天语长安CX-30，四支装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适用于大众EA211发动机，四支装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310.8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全合成机油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0W-40，全合成，4L装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机油滤清器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适配速腾 15-25款1.2T1.4T1.5T1.6</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中间继电器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14脚 DC24V 3A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中间继电器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8脚 AC220V 12A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加厚棉纱平板拖把</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90CM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剪刀</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7寸，全长215mm，不锈钢，绿色手柄</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接线端子排</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15A，12组，M3螺丝固定</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金属锯条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适配博世马刀锯/曲线锯，1.4mm、1.8mm、2.5mm、4.3mm各5套，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771.4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绝缘胶布</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PVC电气阻燃，10m/只，18mm*10m*0.13mm，10卷装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可调直流电源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0-30V/0-10A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417.2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冷冻机油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R134a，10瓶装，70ML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205/55R16 91V，适配速腾/朗逸/荣威350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803.6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汽车太阳膜隔热膜</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全车浅色/深色，30米/卷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车轮螺栓</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适配丰田、大众、吉利、比亚迪，银色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螺纹胶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中强度耐油污可拆，50ml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眉笔</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02灰棕色，120mg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密封袋</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12丝白边100只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磨光剂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漆面抛光用，120ml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工业磨光机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220v，磨盘直径100mm，空载转速11000r/min，带碳刷，具备抗负载功能和调速功能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23A12V电池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5粒，碱性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5号电池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16粒装，碱性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7号电池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12粒装，碱性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纽扣电池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直径20mm，厚度1.6mm，3V，5个装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泡沫清洗剂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内饰清洁用，皮革座椅可用，668ml*12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喷雾式黄油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通用型，450ml，耐高温防锈润滑</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平衡块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5g6条装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680.4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起动机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适配polo1.4T（EA111）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511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起动机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适用于老款卡罗拉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气动自锁快速接头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40SP+40pp锁外径12，内径8mm管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汽车发动机连杆测量尺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发动机连杆测量尺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汽车内饰卡扣</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混装30个，0001-0005型</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汽车内饰清洁套装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真皮可用，泡沫250ml+精华露75ml+皮革清洁刷+海绵擦+护理擦布</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404.6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汽车抛光机套装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398VF，20000毫安，2电池，1充电器，镀膜蜡+划痕蜡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571.2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汽车刹车盘静态抖动测试表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数显款</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415.8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汽车贴膜工具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不伤漆面，5m线长，2100W可调温烤枪，贴膜刀，边刮，手套，牛筋刮，毛刷，30°锰钢美工刀</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汽车蓄电池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12V，60Ah，L型端子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574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汽车蓄电池启停</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70Ah，12V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837.2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汽车应急起动电源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输出电压12V，12000mAh</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961.8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汽车诊断万用表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2.8英寸彩屏，DC1-1000V，AC0-700V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汽修防护袖套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45cm芳纶针织，阻燃防割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汽修工作灯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正面流明200LM，顶部流明80LM，电池2Ah，全长≤200mm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464.8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汽修千分尺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75-100mm/0.01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785.4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汽修三件套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两侧65*120，前片65*135</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汽修手套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棉纱型，60双装，500克毛纺触屏</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汽车电瓶充电器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12v24v通用蓄电池充电修复一体机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375.2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铅酸电池充电器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12V二合一</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强力磁铁</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直径20*厚3毫米/孔4毫米 (10个)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强力磁铁</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直径40*厚3毫米/孔5毫米 (2个)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强力脱蜡洗车液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215.6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清洁水洗液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带蜡型，1kg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燃油压力检测工具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精度1.6级别，测试范围0-150PSI</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塞尺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32件套，0.01-1.00mm,，尺身3.5mm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刹车片测量尺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免拆式</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时间继电器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直流24V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手持式稳定器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适用大疆设备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1087.8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手套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全指点胶60双，大尺码款</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鼠标键盘套装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有线键鼠套装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190.4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树脂开蜡洗车液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数显试灯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数显款</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数字万用表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3+1/2位，大电阻200M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155.4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刷子软毛</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爽肤水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150ml，适合敏感肌</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61.6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丝绒座椅清洁剂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646g，泡沫状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松动剂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除锈润滑400ml双瓶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松香</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高纯度，50g，铝盒装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塑料焊枪</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30W，汽修专用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285.6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塑料件养护蜡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表板蜡，240g，液体</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擦车毛巾</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纯棉，70*30cm，10条装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胎纹深度尺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数显款，量程0-30mm，表盘刻度两用，精度±0.03mm，电池SR44</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320.6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汽车刹车盘</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适配大众朗逸，前后盘套装，前后四个轮</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907.2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汽车刹车片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适配大众朗逸，前后盘套装，前后四个轮</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862.4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退针器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41件套，13个单针退针器、20个双针退针器、1个三针退针器、6个套管工具、1个钩针及3个备用针</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978.6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卷线盘</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4位30米卷线盘，1位16A，3位10A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1165.05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万用表电池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9V，碱性电池</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六类千兆305米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1129.7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网线测试仪</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具备POE端口闪烁、压接测试功能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网线钳</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6P+8P接口，扁线剥线口，圆线剥线口，工程升级款</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网线水晶头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六类水晶头，15U加厚镀金，100个/盒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人机界面触摸屏</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7英寸，适配西门子PLC，开孔尺寸215*152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无人机电子调速器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30A，适配大疆无人机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适用于蓝鲸多旋翼无人机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适用于大疆悟2机型，2对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828.8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适用于大疆御3机型，2对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511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无人机降压模块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5V/12V输出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遥控器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12通道，空中4km，遥控器+接收机+电压回传模块，DSSS&amp;FHSS</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1146.6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洗车毛巾大号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60*160cm，无痕，不掉毛，双层细纤维珊瑚绒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洗车毛巾中号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60*90cm，双面收水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65.8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洗车毛巾小号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60*36cm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洗车毛刷</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软毛，112cm，可伸缩</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65.8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洗手液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洗手液500g×2+瓶补500g×2，99.9%抑菌，清香型</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线束胶带</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19mm宽*10m长，650μm，黑色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卸妆湿巾</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100片装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220V，25次/分，自复位微型限位开关，接触电阻≤15mΩ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一次性筷子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50双每包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一字十字螺丝刀</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15件套，一字1.0*40mm，2.0*50mm，3.0*50mm，3.5*50mm，十字0*50mm,00*50mm,000*40mm，六角1.5*50mm,2.0*50mm,2.5*50mm,3.0*50mm，花型6*50mm,8*50mm,10*50mm,15*50mm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333.2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移动式稳压电源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30W氮化镓充电器+60W，多快充协议，5000mAh</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700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油脂开蜡洗车液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4斤，蜡水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云台组件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适配灵眸系列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扎带</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小号，3*100白1000根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袋</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粘性平衡块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5-10g八盒装，共360条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真空胎专用胶钉</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6根3MM+6根4.5MM，12根/盒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制动液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1L，DOT4</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制冷剂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R134a，300g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67.9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智能测电笔</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感应式验电笔，12-300V，数显式</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智能飞行电池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适用于大疆御3Pro</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适用于蓝鲸无人机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1043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适用于大疆悟2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1190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适用于大疆御2无人机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专用洗车海绵</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8字型，高密度</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转接口</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type-C转USB3.0x4+HDMI+网口+PD100W+TF/SD卡槽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组合式零件盒</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加厚蓝色，A2#斜口盒，30个装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394.8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座椅护理光亮剂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插排/插座</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67W+6位，防雷抗电涌1.8米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插排/插座</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6位分控5米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127.4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焊接隔热垫</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通用，50*35cm蓝色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飞控</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pixhawkpix2.4.8</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1118.6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3s，1500mah，XT60插头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锂电池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4s，5300mah，45C，XT60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599.2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制冷剂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R507A，净重10kg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气门芯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R134a气门芯100个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袋</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SD卡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512G，高速</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908.6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SD卡读卡器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USB/Type-C读卡器3.0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子午线补胎胶片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双面胶，10片/盒，直径125mm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补胎安全密封胶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470ml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补胎胶片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11号圆形，45mm，40片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补胎胶水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测电笔</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LED数显专业版，接触式验电笔，具备极性检测功能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齿轮油</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80W-90/GL-4，4L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扎带</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白，5*300mm,100根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低电压报警器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BB响低电压报警器，带蜂鸣器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电解质液</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5KG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电源测试线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香蕉插头转鳄鱼夹带线电源测试线，1m，1.2平方10-15A，黑红共两根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电子螺丝批组套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45件套，一字 (1.0, 1.5, 2.0, 2.5, 3.0, 3.5, 4.0mm) × 7，十字 (1.0, 1.5, 2.0, 2.5, 3.5mm) × 5，花形 (T2, T3, T4, T5, T6, T7, T8, T9, T10, T15, T20) × 11，六角 (0.9, 1.3, 1.5, 2.0, 2.5, 3.0, 4.0mm) × 7，Y型 (2.0mm) × 1，U型 (2.6mm) × 1，五角星 (0.8, 1.2mm) × 2，三角形 (2.0mm) × 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电子胎压表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数显，测压范围16.5公斤，LED蓝屏，磨砂手柄</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多功能测试线组</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92件套配工具箱，5KO可变电阻*2，发光二极管频闪仪*2，安全气囊系统连接器*2，1至2连接器*2，转接头一对一*4，针状探针*2，鳄鱼夹*2，圆形端子*24，扁平端子*48，探棒*2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发电机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适用于途观、速腾、朗逸、明锐、甲壳虫1.4T</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1190.4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发动机外部清洗剂带刷子，620ml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分电板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PDB-XT60接口</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封釉剂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高压气管</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PU10*6.5mm，80米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高压气水枪</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配备弯头延长杆、Φ9转接头、M22螺纹及3/8快插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定向工具箱尼龙轮</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5寸重型定向，1980斤，耐温380℃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万向工具箱尼龙轮</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5寸重型万向，1980斤，耐温380℃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137.2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四只装，适配科鲁兹1.8L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积碳清洗剂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295ML*2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368.2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胶带</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大号，48mm，100m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角向电钻充电手钻</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最大螺丝直径6.5mm，扭力11Nm，90度弯头，12V电池2Ah*2</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金属专用胶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铸工胶，最高耐温200度</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酒精湿巾</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75%酒精湿巾，80片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汽车抗震隔音板材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2mm厚，80*48cm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539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空气清新剂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278.6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螺丝垫片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M5-M20紫铜垫片300个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HDMI线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3米，2.0版，双头HDMI，8K铝壳款</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250.6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平面密封强力胶/密封胶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耐油抗震动50ml</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模拟训练遥控器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适配凤凰模拟器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汽车机电单元/液压阀体油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适用于7速干式双离合变速器(DCT)，1L,全合成</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汽车维修内窥镜</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8mm双镜头</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676.2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199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汽修千分尺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数显千分尺75-100mm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汽修万用表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全自动四位半，低通滤波，USB通讯，ACV+DCV功能</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884.8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汽修笔式万用表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全智能红色，电压等级600V，显示位数6000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295.4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汽修专用胶枪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手动，9''</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热熔胶枪套装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50W胶枪+60根加长胶棒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64.4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热塑管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φ1-φ4</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盘</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润滑油脂喷剂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液体黄油，150ml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润滑脂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白色特种润滑脂2号，800g</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刹车油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DOT4</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超声波检测液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喷油嘴检测液,1L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209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超声波清洗液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180ml*2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收纳盒</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透明，9.2*6.8*3cm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手持式红外测温仪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-30℃至350℃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620.2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数据传输线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双头TYPE-C，100W编织，1米</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43.4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数字钳形电流表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全自动防烧交直流万能表，交流600A+自动量程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165.2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水平尺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100mm，带磁吸</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塑料件养护蜡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表板蜡，450ml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网格纸学生用绘图纸</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A3，1mm网格，100张一包（双面）</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维修工作灯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笔型，锂电池，200-300流明</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271.6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香蕉插头测试电缆套件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4mm 香蕉插头测试线（红/黑/蓝/绿/黄各1条共5条）,4mm 全绝缘鳄鱼夹（红/黑/蓝/绿/黄各1个共 5个）,4mm 插式 U 型叉形接线端子（红/黑/蓝/绿/黄各1个共5个）,4mm 插式探针 / 刺破针（红/黑/蓝/绿/黄各1个共 5个）, 备用金属探针（10支）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219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消防战斗服</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14款3C认证（6件套），上衣+裤子+头盔+手套+腰带+防护靴</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1190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蓄电池断电开关</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纯铜加厚L型断电开关负极</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蓄电池检测仪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可打印，12V/24V电池测试，尺寸95*183*47</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789.6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钥匙牌</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24个装，ABS材质，黄色、橘色、粉色、蓝色混装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车灯灯泡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H4/H7/H8/H11/T20，2只装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正压式空气呼吸器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6L钢瓶呼吸器，配备有手提箱</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763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纸胶带</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彩虹7色7卷，1.5cm*15m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智能数字万用表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高精度电工维修防烧防摔，三位半精度</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专业级钳子三件套装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ff0000"/>
                <w:szCs w:val="21"/>
                <w:lang w:bidi="ar"/>
              </w:rPr>
              <w:t xml:space="preserve">8英寸钢丝钳、6英寸斜口钳、6英寸尖嘴钳</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137.2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专用洗车海绵</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海藻8字型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229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起子机电动螺丝刀</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充电式，空载转速235r/min，扭力5.5N.m，电池容量2Ah</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390.6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转向灯灯泡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T20单丝白光2只装，21W</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转向助力油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通用型，1L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1寸万向轮</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1寸TPE丝杆M6*15，万向4个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304不锈钢螺母</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M4，10只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3D打印线材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PLA材质，玉石白，1.75mm，含料盘</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盘</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3D打印耗材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PLA Aero发泡，白色，含料盘，轻量化低密度轻质，1.75mm，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盘</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310.8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can线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3.5mm，2m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CPR屏障面膜</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CPR屏障面膜10片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胎压监测工具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支持315/433MHz，4个传感器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1034.6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239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DSG拆卸专用工具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适用于朗逸干式DSG，量尺+新款量规+机电单元</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1190.4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车用LED灯泡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H7/H4/H11，1对装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USB转HDMI/VGA转换器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安全头盔/安全帽</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欧式透气桔色，ABS</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护目镜</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防冲击眼镜（防雾）</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拔插式铜插件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6.3/4.8/2.8mm插片+护套，各50套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空调压缩机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适用于比亚迪E5，653V</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标签纸</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2cm*1cm，800张</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表板蜡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汽车内饰清洗剂650ml+表板蜡450ml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43.4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适用于别克昂科拉(GX)1.3T/威朗1.3T</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249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诊断仪充电器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适配博世710D诊断仪充电器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232.4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全合成开放式差速器油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差速器油，1L装，75W-90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261.8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车桥传动系统专用油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1L装，75W-90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除油擦拭布</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白色，30cm*35cm，300张装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3D打印机模型处理工具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3d模型处理套餐包，耗材斜口钳、钢丝钳、尖嘴钳、热风枪、金刚石锉刀、不锈钢镊子、去毛刺刮刀、便携式打磨器、喷嘴清洁刷、电子数显卡尺、模型上色颜料、铲刀、美纹纸</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大灯还原翻新修复液套装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220v电源版，100ml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100.8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发动机飞轮</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适用于大众EA211-1.4T</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1190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代木（410）</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50*100*40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代木（410）</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50*100*30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汽车电瓶蓄电池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45AH/CCA380A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376.6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259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单向离合器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适配01N自动变速器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倒车雷达</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显示器*1 主机*1 线束*6 探头*6 说明书*1 钻头*1 ，珍珠白</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515.2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固定件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UK-固定件（100片）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205/55R16 91V，FM800花纹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低压启动电芯组</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适用于比亚迪E5</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组</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底盘维护剂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1000ml，底盘装甲油性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点火开关</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适用于适用比亚迪F3、G3</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点火线圈</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适用于大众POLP朗逸帕萨特途安迈腾速腾部分车型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187.6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5号，20粒，碱性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7号，20粒，碱性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58.8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269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汽车电瓶蓄电池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70AH/CCA600A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600.6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电池充电器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适用于大疆御2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动力电池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适用于大疆晓 Spark</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334.6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舵机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90-120度，20kg.cm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74.2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防冻液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冰点-45℃，绿色，4L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383.6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防烟面具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一次性消防面具，滤式自救呼吸器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工装领子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蓝色，领围40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65.8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工作灯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多功能手电筒（250流明）</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330.4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毫米波线束</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后减震器总成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适用于卡罗拉/雷凌，4个装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1120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279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划痕修复蜡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汽车抛光液，1L，适用金属漆面</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混动汽车蓄电池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12V，适配丰田卡罗拉，冷启动电流264，35Ah</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混动汽车蓄电池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适用于卡罗拉混动或同规格，12V45AH</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460.6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火花塞</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适用于丰田RAV4，4支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机油滤芯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适用于威驰/花冠/雅力士/卡罗拉</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PTC加热器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拆装教学用，适用于吉利或同规格</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1085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接收机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2.4G，9通道，空中距离4000m，适配AT10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接收机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8通道，18个i-bus，1.2g，2.4G，适配富斯产品</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洁面湿巾</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20*20cm，100抽</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扭矩扳手</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大飞（1/2)17-340N.M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1152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289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扭矩扳手</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中飞（3/8)5-85N.M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1125.6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扭矩扳手</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小飞（1/4)1.5-30N.M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全合成机油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5W-40，SP级,4L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390.6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空调滤芯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适用于13-15款朗逸，EA211发动机1.6L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空调滤芯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活性炭空调滤芯，适用于大众MQB平台车型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空调清洗剂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喷雾，118ml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制冷剂加氟工具套装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R22/R410/R32/汽车/空调通用工具</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空调压缩机总成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适用于朗逸/朗行/宝来</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空压机220v小型气泵</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30L无油静音</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1076.6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快拆折叠螺旋桨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适用于大疆晓Spark，4对金边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107.8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299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前减振器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适用于雷凌、卡罗拉，2只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1120.6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前轮轴承座</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适用于雷凌、卡罗拉，2只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476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汽车空调加氟套装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适用于R22R134a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501.2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冷却液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4KG，-37度+129度AF2100P+2170P</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456.4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量缸表体</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50-160/0.01表头0-5/1级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842.8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六爪焊台</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蓝色，铝合金材质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155.4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轮胎上光蜡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650ml*12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159.6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螺纹胶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中强度可拆卸，250ml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463.4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密封胶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强力型，315度，70ml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免打拉链领带</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蓝色，手打</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309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内六角扳手</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1.5-10mm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尼龙扎带</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4*200，500根/包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抛光打磨机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12V锂电蓝色，2AH，两档位</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595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平板车</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中号，二合一折叠手推，长134cm，宽44cm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辆</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Arduino开发板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国产主板</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漆膜仪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0-1700μm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680.4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气缸漏气率表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10/12/18接口</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1170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洗车自洁素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18L，压力罐装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334.6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气缸压力表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压力直径68MM，精度1.6级测试范围0-300PSI(0-21KG)，适配火花塞接头M18.M14.M12.M10</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492.8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气压喷壶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1L，打泡沫喷壶,1/4快插接口，自带1.2喷芯</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319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铜橡胶气门嘴</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半钢100颗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袋</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汽车补胎记号笔</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快干，清漆+固化剂，12支/盒</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汽车端子拆卸退针器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退针器26件套，0.8-3.0mm,D2.0-6.2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628.6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汽车发动机外部清洗剂</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发动机清洗剂25L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151.2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汽车机压力组件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3件套，仪表、转接软管、转接头</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697.2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汽车锂电喷枪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高雾续航王，300w，20V 4.0Ah两电一充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1099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汽车牌防拆螺丝螺母螺杆</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定制苏D，一套4个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应急照明灯</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800LM高亮便携可磁吸</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204.4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塞尺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汽修用，尺身0.3′′,0.02-1.00mm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丝巾</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蓝色花纹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329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丝锥板牙套装</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45件套，M6-M24</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858.2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胎压监测（内置）</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内置传感器，适配E3-PRO</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572.6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蓄电池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12V，容量60AH/CCA580A，适用速腾、别克英朗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488.6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外接式引擎清洗枪</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179.2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16*6</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西装（男）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黑色，L-4XL</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376.6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洗车喷壶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高压PA壶，800ml，PP+铜，1.05/1.23口径适用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洗车塑料台阶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双层，塑料，承重1000斤，白色</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267.4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橡胶刮板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20件刮板整套，1号、21-25号、31-33号、41-43号、51-53号、61-65号</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橡胶路锥</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4斤橡胶禁止停车黄黑2个+3米链条1根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44.8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339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正时皮带轮拆装工具</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适用于雪佛兰科鲁兹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IG1继电器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适用于吉利帝豪EV450，24V四角100A（带插座）</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汽车塑料膨胀穿心钉螺丝卡扣</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9.6/9.3/13mm3种装，通用型，160pcs</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镀膜蜡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高棕榈精华，260g，全合成，固体</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罐</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163.8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水蜡洗车液</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18L，免擦拭无痕镀膜</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291.2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抛光机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12V无线打蜡机，6档调速</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767.2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漏电保护插线板</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6位漏电保护10A，5米</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对讲机</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6000mah</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套(双台装)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自救呼吸器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通过3C认证，披肩款</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138.6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交流调压器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0-300V，500VA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349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镊子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尖头，140mm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把</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电感式传感器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直流三线NPN常开，检测4mm，电压12-24V，IP67</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开关电源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24V10A</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187.6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周转箱</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蓝色，740*560*400，不带盖</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173.6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指针式万用表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标配送鳄鱼夹电池+特尖表笔 可测100K</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吸锡器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铝合金吸锡器</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螺旋桨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适用大疆DJI AVATA 2黑色一对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3D打印耗材</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1.75mm，白色，1kg，ABS</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卷</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183.4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无人机智能锂电池</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适用于DJI Avata 2</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698.6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358</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无人机桨叶</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适配经纬M350，一套/8片白色印边</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414.4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359</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穿越机遥控器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左手油门，适配18650电池，ELRS协议，霍尔摇杆，可拆卸摇杆头、科折叠天线，24dBm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641.2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360</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TF（MicroSD）内存卡</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256G 读速200MB/s</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628.6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361</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刹车分泵挂钩</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S形状</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362</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汽油泵盖拆卸器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适配大众，三爪可调油箱盖扳手，87-170mm</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74.2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363</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大众原厂机油</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0W-20 国六蓝油，适用于大众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升</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124.6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364</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汽车空气滤清器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适配大众</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365</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汽车空调滤清器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适配奥迪A3/2010-2010款1.4T</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366</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雨刷器</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通用，1对装</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207.2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367</w:t>
            </w:r>
            <w:r/>
          </w:p>
        </w:tc>
        <w:tc>
          <w:tcPr>
            <w:tcBorders>
              <w:top w:val="single" w:color="000000" w:sz="4" w:space="0"/>
              <w:left w:val="single" w:color="000000" w:sz="4" w:space="0"/>
              <w:bottom w:val="non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non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适配马自达6标致307/308，205/55R16 91V</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non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821.8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适配大众途观，235/55R17，99V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980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铝合金轮毂</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16寸，适配大众高尔夫</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683.2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燃油滤清器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适用奥迪A1A3TT</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263.2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功率电阻</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50W黄金壳5R</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螺丝零件收纳盒</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18格大号透明抽屉零件箱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纽扣电池</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笤帚簸箕套装</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伸缩齿套扫</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工作灯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200lm、80lm两档，工作时间1.3h</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86.8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彩色纸</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A4，80g，10色可选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扩音输入设备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翻页版黑色15瓦带倒计时翻页笔功能</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359.8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扩音输出设备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2.0木质电脑音响</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138.6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379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音视频一体式组件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电脑摄像头1080P高清 1080P黑色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180.6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鼠标垫</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长款大桌垫, 900*400*3mm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54.6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锂电取电转接线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XH-2.54公转JST母，6S-JST输出22.2V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航模连接器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XT6H公头/母头带护套10个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无人机镀镍内六角螺丝</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12.9级 M2-M5，240个混装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热熔螺母</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M2*4*3、M2.5*5*3.5、M3*5*4混装150个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穿越机接收显示设备</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5.8G，5英寸，显示屏*1棒子天线*1蘑菇天线*1固定支架*13.5mm转AV头*1TYPE-C连接线*1</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1053.6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智能焊台</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标配+4种烙铁头（K头+KU头+IS头+BC3头)</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740.6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3寸圈圈机架</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适配MVD30无人机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697.2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飞控电调一体</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支持APM PX4 INAV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1162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389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无刷电机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2400kv(3-6s），1805.5电机</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131.6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三叶桨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穿越机竞赛专用，橘红色，2.4英寸</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接收机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适用于TRS</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190.4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高频头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适用于TRS，2.4G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443.8</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北斗模块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小尺寸M10带罗盘</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玻璃升降器（左前）</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适用于19款丰田卡罗拉（混动）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218.4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诊断线</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适用于特斯拉诊断线LAN线，一拖三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232.4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轮胎</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适配轩逸/爱丽舍/悦纳/欧尚，185/65R15 88H，SK70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355.6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汽车强启动充电机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适用于比亚迪/吉利/混动途观，3000AH，充电6档，启动1档</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1197.6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机舱工作灯</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6000mah，2300LM，6000-7000K色温，25W</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693</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399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新能源车电子真空泵</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适用奥迪A4LQ5A6L大众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980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转向柱总成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适用于吉利EV500</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1071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量缸表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50-160mm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385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25-50MM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348.6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汽车应急启动电源</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10000mAh+快充气泵+内置防反+变焦大灯+反向充电+加粗线夹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530.6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404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新能源汽车绝缘手套</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乳胶00级2.5kv</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副</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236.6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航模内六角螺丝刀</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1.5、2.5、3.0mm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406</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一次性丁腈手套</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黑色500只特厚丁腈8.0g</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407</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可编程胎压传感器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外置传感器，适配元征胎压监测设备，6个装</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789.6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408</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图钉塞（蘑菇钉）</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249/4.5UL，蘑菇钉，4.5MM，24支/箱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291.2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409</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新能源汽车子午线补片</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75*125MM，10片/盒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239.4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410</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电瓶保险丝盒 三件套</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适用于新桑塔纳/新捷达/新朗逸，175A</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航模扎带抛投器</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单发扎带抛投器（含1弹）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137.2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412</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FPV穿越机套装</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飞控+机架+电机+图传+摄像头+电调+XF5804+3D打印座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1120</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413</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F450动力套装</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四个马达+30A电调+2对白桨</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382.2</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414</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USB千兆网卡</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六类千兆，5m</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415</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USB转RJ45网线转接头</w:t>
            </w:r>
            <w:r/>
          </w:p>
        </w:tc>
        <w:tc>
          <w:tcPr>
            <w:tcBorders>
              <w:top w:val="single" w:color="000000" w:sz="4" w:space="0"/>
              <w:left w:val="single" w:color="000000" w:sz="4" w:space="0"/>
              <w:bottom w:val="single" w:color="000000" w:sz="4" w:space="0"/>
              <w:right w:val="single" w:color="000000" w:sz="4" w:space="0"/>
            </w:tcBorders>
            <w:tcW w:w="3707" w:type="dxa"/>
            <w:vAlign w:val="center"/>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USB千兆网卡，黑色</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416</w:t>
            </w:r>
            <w:r/>
          </w:p>
        </w:tc>
        <w:tc>
          <w:tcPr>
            <w:tcBorders>
              <w:top w:val="single" w:color="000000" w:sz="4" w:space="0"/>
              <w:left w:val="single" w:color="000000" w:sz="4" w:space="0"/>
              <w:bottom w:val="single" w:color="000000" w:sz="4" w:space="0"/>
              <w:right w:val="single" w:color="000000" w:sz="4" w:space="0"/>
            </w:tcBorders>
            <w:tcW w:w="2038"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工业网络交换机</w:t>
            </w:r>
            <w:r/>
          </w:p>
        </w:tc>
        <w:tc>
          <w:tcPr>
            <w:tcBorders>
              <w:top w:val="single" w:color="000000" w:sz="4" w:space="0"/>
              <w:left w:val="single" w:color="000000" w:sz="4" w:space="0"/>
              <w:bottom w:val="single" w:color="000000" w:sz="4" w:space="0"/>
              <w:right w:val="single" w:color="000000" w:sz="4" w:space="0"/>
            </w:tcBorders>
            <w:tcW w:w="3707" w:type="dxa"/>
            <w:vAlign w:val="bottom"/>
            <w:textDirection w:val="lrTb"/>
            <w:noWrap/>
          </w:tcPr>
          <w:p>
            <w:pPr>
              <w:jc w:val="center"/>
              <w:widowControl/>
              <w:rPr>
                <w:rFonts w:hint="eastAsia" w:ascii="宋体" w:hAnsi="宋体" w:cs="宋体"/>
                <w:szCs w:val="21"/>
                <w:lang w:bidi="ar"/>
              </w:rPr>
            </w:pPr>
            <w:r>
              <w:rPr>
                <w:rFonts w:hint="eastAsia" w:ascii="宋体" w:hAnsi="宋体" w:cs="宋体"/>
                <w:color w:val="000000"/>
                <w:szCs w:val="21"/>
                <w:lang w:bidi="ar"/>
              </w:rPr>
              <w:t xml:space="preserve">8口千兆，宽温防水防雷，工业级</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642.6</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210" w:firstLine="482"/>
        <w:jc w:val="left"/>
        <w:spacing w:line="360" w:lineRule="auto"/>
        <w:rPr>
          <w:rFonts w:hint="eastAsia" w:ascii="宋体" w:hAnsi="宋体"/>
          <w:b/>
          <w:bCs/>
          <w:i/>
          <w:iCs/>
          <w:sz w:val="32"/>
          <w:szCs w:val="32"/>
        </w:rPr>
      </w:pPr>
      <w:r>
        <w:rPr>
          <w:rFonts w:hint="eastAsia" w:ascii="宋体" w:hAnsi="宋体"/>
          <w:b/>
          <w:bCs/>
          <w:i/>
          <w:iCs/>
          <w:sz w:val="32"/>
          <w:szCs w:val="32"/>
        </w:rPr>
        <w:t xml:space="preserve">★以下四-十项为商务需求（商务条款应全部响应，如出现负偏离，将视为无效响应）</w:t>
      </w:r>
      <w:r/>
    </w:p>
    <w:p>
      <w:pPr>
        <w:ind w:right="210" w:firstLine="482"/>
        <w:jc w:val="left"/>
        <w:spacing w:line="360" w:lineRule="auto"/>
        <w:rPr>
          <w:rFonts w:hint="eastAsia" w:ascii="宋体" w:hAnsi="宋体"/>
          <w:sz w:val="24"/>
        </w:rPr>
      </w:pPr>
      <w:r>
        <w:rPr>
          <w:rFonts w:hint="eastAsia" w:ascii="宋体" w:hAnsi="宋体"/>
          <w:b/>
          <w:bCs/>
          <w:sz w:val="24"/>
        </w:rPr>
        <w:t xml:space="preserve">四、报价方式</w:t>
      </w:r>
      <w:r/>
    </w:p>
    <w:p>
      <w:pPr>
        <w:pStyle w:val="1201"/>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本项目投标报价为</w:t>
      </w:r>
      <w:r>
        <w:rPr>
          <w:rFonts w:hint="eastAsia" w:ascii="宋体" w:hAnsi="宋体"/>
          <w:b/>
          <w:bCs/>
          <w:sz w:val="24"/>
          <w:szCs w:val="24"/>
          <w:u w:val="single"/>
        </w:rPr>
        <w:t xml:space="preserve">固定优惠下浮率</w:t>
      </w:r>
      <w:r>
        <w:rPr>
          <w:rFonts w:hint="eastAsia" w:ascii="宋体" w:hAnsi="宋体"/>
          <w:sz w:val="24"/>
          <w:szCs w:val="24"/>
        </w:rPr>
        <w:t xml:space="preserve">。当采购数量为暂估，若与实际使用数量不一致时，中标人应根据实际使用量供货，合同的最终结算金额=实际使用量*《采购清单及技术要求》单价*（100%-优惠下浮率）。</w:t>
      </w:r>
      <w:r/>
    </w:p>
    <w:p>
      <w:pPr>
        <w:pStyle w:val="1201"/>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且并不因此而影响交付实际使用人的时间。</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五、包装和运输</w:t>
      </w:r>
      <w:r/>
    </w:p>
    <w:p>
      <w:pPr>
        <w:ind w:right="210" w:firstLine="482"/>
        <w:jc w:val="left"/>
        <w:spacing w:line="360" w:lineRule="auto"/>
        <w:rPr>
          <w:rFonts w:hint="eastAsia" w:ascii="宋体" w:hAnsi="宋体"/>
          <w:sz w:val="24"/>
        </w:rPr>
      </w:pPr>
      <w:r>
        <w:rPr>
          <w:rFonts w:hint="eastAsia" w:ascii="宋体" w:hAnsi="宋体"/>
          <w:sz w:val="24"/>
        </w:rPr>
        <w:t xml:space="preserve">1.投标人提供的全部货物均应按国家或专业标准保护措施进行包装。</w:t>
      </w:r>
      <w:r>
        <w:rPr>
          <w:rFonts w:hint="eastAsia" w:ascii="宋体" w:hAnsi="宋体" w:cs="宋体"/>
          <w:sz w:val="24"/>
        </w:rPr>
        <w:t xml:space="preserve">所有部件</w:t>
      </w:r>
      <w:r>
        <w:rPr>
          <w:rFonts w:hint="eastAsia" w:ascii="宋体" w:hAnsi="宋体"/>
          <w:sz w:val="24"/>
        </w:rPr>
        <w:t xml:space="preserve">包装应适应于远距离运输</w:t>
      </w:r>
      <w:r>
        <w:rPr>
          <w:rFonts w:hint="eastAsia" w:ascii="宋体" w:hAnsi="宋体" w:cs="宋体"/>
          <w:sz w:val="24"/>
        </w:rPr>
        <w:t xml:space="preserve">防静电</w:t>
      </w:r>
      <w:r>
        <w:rPr>
          <w:rFonts w:hint="eastAsia" w:ascii="宋体" w:hAnsi="宋体"/>
          <w:sz w:val="24"/>
        </w:rPr>
        <w:t xml:space="preserve">、防潮、防震</w:t>
      </w:r>
      <w:r>
        <w:rPr>
          <w:rFonts w:hint="eastAsia" w:ascii="宋体" w:hAnsi="宋体" w:cs="宋体"/>
          <w:sz w:val="24"/>
        </w:rPr>
        <w:t xml:space="preserve">、防潮、</w:t>
      </w:r>
      <w:r>
        <w:rPr>
          <w:rFonts w:hint="eastAsia" w:ascii="宋体" w:hAnsi="宋体"/>
          <w:sz w:val="24"/>
        </w:rPr>
        <w:t xml:space="preserve">防锈和防野蛮装卸，</w:t>
      </w:r>
      <w:r>
        <w:rPr>
          <w:rFonts w:hint="eastAsia" w:ascii="宋体" w:hAnsi="宋体" w:cs="宋体"/>
          <w:sz w:val="24"/>
        </w:rPr>
        <w:t xml:space="preserve">运输过程无损伤，</w:t>
      </w:r>
      <w:r>
        <w:rPr>
          <w:rFonts w:hint="eastAsia" w:ascii="宋体" w:hAnsi="宋体"/>
          <w:sz w:val="24"/>
        </w:rPr>
        <w:t xml:space="preserve">以确保货物安全无损运抵指定地点。由于包装不善所引起的货物损失均由投标人承担。</w:t>
      </w:r>
      <w:r/>
    </w:p>
    <w:p>
      <w:pPr>
        <w:ind w:right="210" w:firstLine="482"/>
        <w:jc w:val="left"/>
        <w:spacing w:line="360" w:lineRule="auto"/>
        <w:rPr>
          <w:rFonts w:hint="eastAsia" w:ascii="宋体" w:hAnsi="宋体" w:cs="宋体"/>
          <w:bCs/>
          <w:sz w:val="24"/>
        </w:rPr>
      </w:pPr>
      <w:r>
        <w:rPr>
          <w:rFonts w:hint="eastAsia" w:ascii="宋体" w:hAnsi="宋体" w:cs="宋体"/>
          <w:bCs/>
          <w:sz w:val="24"/>
        </w:rPr>
        <w:t xml:space="preserve">2.配送要求：采购人不接受快递送货，投标人需安排专员将货物配送至对应仓库并承担与此相关的一切运输及人工费用。</w:t>
      </w:r>
      <w:r/>
    </w:p>
    <w:p>
      <w:pPr>
        <w:pStyle w:val="1201"/>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3.投标人应负责安排运输并承担运费、装卸费等相关费用。在运输和卸货过程中所涉及的一切安全责任，均由投标人负责。</w:t>
      </w:r>
      <w:r/>
    </w:p>
    <w:p>
      <w:pPr>
        <w:ind w:right="210" w:firstLine="482"/>
        <w:jc w:val="left"/>
        <w:spacing w:line="360" w:lineRule="exact"/>
        <w:rPr>
          <w:rFonts w:hint="eastAsia" w:ascii="宋体" w:hAnsi="宋体" w:cs="宋体"/>
          <w:b/>
          <w:sz w:val="24"/>
        </w:rPr>
      </w:pPr>
      <w:r>
        <w:rPr>
          <w:rFonts w:hint="eastAsia" w:ascii="宋体" w:hAnsi="宋体" w:cs="宋体"/>
          <w:b/>
          <w:sz w:val="24"/>
        </w:rPr>
        <w:t xml:space="preserve">六、交货期及交货地点</w:t>
      </w:r>
      <w:r/>
    </w:p>
    <w:p>
      <w:pPr>
        <w:pStyle w:val="1201"/>
        <w:ind w:firstLine="480"/>
        <w:jc w:val="left"/>
        <w:spacing w:line="360" w:lineRule="auto"/>
        <w:rPr>
          <w:rFonts w:hint="eastAsia" w:ascii="宋体" w:hAnsi="宋体" w:cs="宋体"/>
          <w:sz w:val="24"/>
        </w:rPr>
      </w:pPr>
      <w:r>
        <w:rPr>
          <w:rFonts w:hint="eastAsia" w:ascii="宋体" w:hAnsi="宋体" w:cs="宋体"/>
          <w:sz w:val="24"/>
        </w:rPr>
        <w:t xml:space="preserve">1.交货日期： </w:t>
      </w:r>
      <w:r/>
    </w:p>
    <w:p>
      <w:pPr>
        <w:pStyle w:val="1201"/>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投标人必须按照各学院要求的时间节点分批次随时供货，将对应耗材送至各对应学院仓库，并配合学院完成耗材入库系统数据的录入工作。</w:t>
      </w:r>
      <w:r/>
    </w:p>
    <w:p>
      <w:pPr>
        <w:pStyle w:val="1201"/>
        <w:ind w:firstLine="480"/>
        <w:jc w:val="left"/>
        <w:spacing w:line="360" w:lineRule="auto"/>
        <w:rPr>
          <w:rFonts w:hint="eastAsia" w:ascii="宋体" w:hAnsi="宋体" w:cs="宋体"/>
          <w:sz w:val="24"/>
        </w:rPr>
      </w:pPr>
      <w:r>
        <w:rPr>
          <w:rFonts w:hint="eastAsia" w:ascii="宋体" w:hAnsi="宋体" w:cs="宋体"/>
          <w:sz w:val="24"/>
          <w:szCs w:val="24"/>
        </w:rPr>
        <w:t xml:space="preserve">如遇特殊情况，需要当天供货的，须在8小时内完成供货。</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交货地点：中标人负责将货物运到招标人指定地点和楼层，由中标人负责办理运输和装卸等，费用由中标人负责，由招标人组织验收，检验不合格或不符合质量要求，中标人除无条件退货、返工外，还应承担招标人的一切损失。</w:t>
      </w:r>
      <w:r/>
    </w:p>
    <w:p>
      <w:pPr>
        <w:pStyle w:val="1201"/>
        <w:ind w:firstLine="480"/>
        <w:jc w:val="left"/>
        <w:spacing w:line="360" w:lineRule="auto"/>
        <w:rPr>
          <w:rFonts w:hint="eastAsia" w:ascii="宋体" w:hAnsi="宋体" w:cs="宋体"/>
          <w:sz w:val="24"/>
          <w:szCs w:val="24"/>
        </w:rPr>
      </w:pPr>
      <w:r>
        <w:rPr>
          <w:rFonts w:hint="eastAsia" w:ascii="宋体" w:hAnsi="宋体" w:cs="宋体"/>
          <w:sz w:val="24"/>
          <w:szCs w:val="24"/>
        </w:rPr>
        <w:t xml:space="preserve">3.安装地址：招标人指定地点和楼层。</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七、验收标准</w:t>
      </w:r>
      <w:r/>
    </w:p>
    <w:p>
      <w:pPr>
        <w:ind w:right="210" w:firstLine="482"/>
        <w:jc w:val="left"/>
        <w:spacing w:line="360" w:lineRule="auto"/>
        <w:rPr>
          <w:rFonts w:hint="eastAsia" w:ascii="宋体" w:hAnsi="宋体" w:cs="宋体"/>
          <w:sz w:val="24"/>
        </w:rPr>
      </w:pPr>
      <w:r>
        <w:rPr>
          <w:rFonts w:hint="eastAsia" w:ascii="宋体" w:hAnsi="宋体" w:cs="宋体"/>
          <w:sz w:val="24"/>
        </w:rPr>
        <w:t xml:space="preserve">（1）中标人所提供的货物必须是满足采购文件的要求。保证所提供的货物均为正规厂家生产的合格以上、无侵权产品。符合国家有关质量和包装标准。若乙方提供假冒伪劣、以次充好产品的，一经发现，除按甲方要求无条件退货或换货外，其他损失均由供应商承担。</w:t>
      </w:r>
      <w:r/>
    </w:p>
    <w:p>
      <w:pPr>
        <w:ind w:right="210" w:firstLine="482"/>
        <w:jc w:val="left"/>
        <w:spacing w:line="360" w:lineRule="auto"/>
        <w:rPr>
          <w:rFonts w:hint="eastAsia" w:ascii="宋体" w:hAnsi="宋体" w:cs="宋体"/>
          <w:sz w:val="24"/>
        </w:rPr>
      </w:pPr>
      <w:r>
        <w:rPr>
          <w:rFonts w:hint="eastAsia" w:ascii="宋体" w:hAnsi="宋体" w:cs="宋体"/>
          <w:sz w:val="24"/>
        </w:rPr>
        <w:t xml:space="preserve">（2）货物有包装的，包装必须完整，甲方有权拒收包装不整齐、已拆封及货物已损坏的商品。</w:t>
      </w:r>
      <w:r/>
    </w:p>
    <w:p>
      <w:pPr>
        <w:ind w:right="210" w:firstLine="482"/>
        <w:jc w:val="left"/>
        <w:spacing w:line="360" w:lineRule="auto"/>
        <w:rPr>
          <w:rFonts w:hint="eastAsia" w:ascii="宋体" w:hAnsi="宋体" w:cs="宋体"/>
          <w:sz w:val="24"/>
        </w:rPr>
      </w:pPr>
      <w:r>
        <w:rPr>
          <w:rFonts w:hint="eastAsia" w:ascii="宋体" w:hAnsi="宋体" w:cs="宋体"/>
          <w:sz w:val="24"/>
        </w:rPr>
        <w:t xml:space="preserve">（3）乙方应根据甲方要求按采购文件规定的型号向采购人提供要求数量的货物。不得擅自变更（含规格、型号、数量等），否则，甲方有权拒收。乙方应更换被拒收的货物，使之符合要求，且承担由此发生的一切费用。</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八、售后服务（质保期）</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（一）质保期</w:t>
      </w:r>
      <w:r/>
    </w:p>
    <w:p>
      <w:pPr>
        <w:ind w:right="210" w:firstLine="480"/>
        <w:jc w:val="left"/>
        <w:spacing w:line="360" w:lineRule="auto"/>
        <w:rPr>
          <w:rFonts w:hint="eastAsia" w:ascii="宋体" w:hAnsi="宋体" w:cs="宋体"/>
          <w:sz w:val="24"/>
        </w:rPr>
      </w:pPr>
      <w:r>
        <w:rPr>
          <w:rFonts w:hint="eastAsia" w:ascii="宋体" w:hAnsi="宋体" w:cs="宋体"/>
          <w:sz w:val="24"/>
        </w:rPr>
        <w:t xml:space="preserve">1.自验收合格之日起1年（普通消耗品（如清洁剂、胶水、砂纸等）验收合格后质保期不少于3个月；有明确保质期的产品（如机油、电池等）到货时剩余保质期不得少于标注保质期的2/3；非消耗性工具类配件质保期不少于1年。）</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2.中标人对质保期内所发生的设备维护、维修、更换等一切费用负责。</w:t>
      </w:r>
      <w:r/>
    </w:p>
    <w:p>
      <w:pPr>
        <w:ind w:right="210" w:firstLine="482"/>
        <w:jc w:val="left"/>
        <w:spacing w:line="360" w:lineRule="auto"/>
        <w:rPr>
          <w:rFonts w:hint="eastAsia" w:ascii="宋体" w:hAnsi="宋体" w:cs="宋体"/>
          <w:bCs/>
          <w:sz w:val="24"/>
        </w:rPr>
      </w:pPr>
      <w:r>
        <w:rPr>
          <w:rFonts w:hint="eastAsia" w:ascii="宋体" w:hAnsi="宋体" w:cs="宋体"/>
          <w:bCs/>
          <w:sz w:val="24"/>
        </w:rPr>
        <w:t xml:space="preserve">3.合同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（二）售后服务</w:t>
      </w:r>
      <w:r/>
    </w:p>
    <w:p>
      <w:pPr>
        <w:ind w:right="210" w:firstLine="480"/>
        <w:jc w:val="left"/>
        <w:spacing w:line="360" w:lineRule="auto"/>
        <w:rPr>
          <w:rFonts w:hint="eastAsia" w:ascii="宋体" w:hAnsi="宋体" w:cs="宋体"/>
          <w:sz w:val="24"/>
        </w:rPr>
      </w:pPr>
      <w:r>
        <w:rPr>
          <w:rFonts w:hint="eastAsia" w:ascii="宋体" w:hAnsi="宋体" w:cs="宋体"/>
          <w:sz w:val="24"/>
        </w:rPr>
        <w:t xml:space="preserve">1.投标人须为本项目设立售后服务机构，建立售后服务队伍，提供售后服务方案，加强售后服务管理。</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投标人应保证：采购方安装合同货物时，免费派出技术人员赴采购方现场技术指导；对采购方人员进行培训，主要培训内容为：货物的功能、基本结构、性能、主要部件的构造及处理，日常使用操作、保养与管理、常见故障的排除、紧急情况的处理等。</w:t>
      </w:r>
      <w:r/>
    </w:p>
    <w:p>
      <w:pPr>
        <w:ind w:right="210" w:firstLine="480"/>
        <w:jc w:val="left"/>
        <w:spacing w:line="360" w:lineRule="auto"/>
        <w:rPr>
          <w:rFonts w:hint="eastAsia" w:ascii="宋体" w:hAnsi="宋体" w:cs="宋体"/>
          <w:sz w:val="24"/>
        </w:rPr>
      </w:pPr>
      <w:r>
        <w:rPr>
          <w:rFonts w:hint="eastAsia" w:ascii="宋体" w:hAnsi="宋体" w:cs="宋体"/>
          <w:sz w:val="24"/>
        </w:rPr>
        <w:t xml:space="preserve">3.免费质量保证期内免费更换零配件（人为损坏除外），免费质量保证期满后实行终身有偿维修保养。</w:t>
      </w:r>
      <w:r/>
    </w:p>
    <w:p>
      <w:pPr>
        <w:ind w:right="210" w:firstLine="480"/>
        <w:jc w:val="left"/>
        <w:spacing w:line="360" w:lineRule="auto"/>
        <w:rPr>
          <w:rFonts w:hint="eastAsia" w:ascii="宋体" w:hAnsi="宋体" w:cs="宋体"/>
          <w:sz w:val="24"/>
        </w:rPr>
      </w:pPr>
      <w:r>
        <w:rPr>
          <w:rFonts w:hint="eastAsia" w:ascii="宋体" w:hAnsi="宋体" w:cs="宋体"/>
          <w:sz w:val="24"/>
        </w:rPr>
        <w:t xml:space="preserve">4.免费质量保证期内接到用户报修电话后24小时内维修人员赶到现场检修处理。</w:t>
      </w:r>
      <w:r/>
    </w:p>
    <w:p>
      <w:pPr>
        <w:ind w:right="210" w:firstLine="480"/>
        <w:jc w:val="left"/>
        <w:spacing w:line="360" w:lineRule="auto"/>
        <w:rPr>
          <w:rFonts w:hint="eastAsia" w:ascii="宋体" w:hAnsi="宋体" w:cs="宋体"/>
          <w:sz w:val="24"/>
        </w:rPr>
      </w:pPr>
      <w:r>
        <w:rPr>
          <w:rFonts w:hint="eastAsia" w:ascii="宋体" w:hAnsi="宋体" w:cs="宋体"/>
          <w:sz w:val="24"/>
        </w:rPr>
        <w:t xml:space="preserve">5.免费质量保证期内免费提供一年两次的巡检服务。巡检情况应向招标人报备。</w:t>
      </w:r>
      <w:r/>
    </w:p>
    <w:p>
      <w:pPr>
        <w:ind w:right="210" w:firstLine="480"/>
        <w:jc w:val="left"/>
        <w:spacing w:line="360" w:lineRule="auto"/>
        <w:rPr>
          <w:rFonts w:hint="eastAsia" w:ascii="宋体" w:hAnsi="宋体" w:cs="宋体"/>
          <w:sz w:val="24"/>
        </w:rPr>
      </w:pPr>
      <w:r>
        <w:rPr>
          <w:rFonts w:hint="eastAsia" w:ascii="宋体" w:hAnsi="宋体" w:cs="宋体"/>
          <w:sz w:val="24"/>
        </w:rPr>
        <w:t xml:space="preserve">6.免费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（三）人员培训</w:t>
      </w:r>
      <w:r/>
    </w:p>
    <w:p>
      <w:pPr>
        <w:ind w:right="210" w:firstLine="480"/>
        <w:jc w:val="left"/>
        <w:spacing w:line="360" w:lineRule="auto"/>
        <w:rPr>
          <w:rFonts w:hint="eastAsia" w:ascii="宋体" w:hAnsi="宋体" w:cs="宋体"/>
          <w:sz w:val="24"/>
        </w:rPr>
      </w:pPr>
      <w:r>
        <w:rPr>
          <w:rFonts w:hint="eastAsia" w:ascii="宋体" w:hAnsi="宋体" w:cs="宋体"/>
          <w:sz w:val="24"/>
        </w:rPr>
        <w:t xml:space="preserve">1.投标人应安排专业技术人员提供现场技术培训，保证使用人员能正常操作设备的各种功能。</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2.对招标人员工进行设备安全培训。</w:t>
      </w:r>
      <w:r/>
    </w:p>
    <w:p>
      <w:pPr>
        <w:ind w:right="210" w:firstLine="480"/>
        <w:jc w:val="left"/>
        <w:spacing w:line="360" w:lineRule="auto"/>
        <w:rPr>
          <w:rFonts w:hint="eastAsia" w:ascii="宋体" w:hAnsi="宋体" w:cs="宋体"/>
          <w:sz w:val="24"/>
        </w:rPr>
      </w:pPr>
      <w:r>
        <w:rPr>
          <w:rFonts w:hint="eastAsia" w:ascii="宋体" w:hAnsi="宋体" w:cs="宋体"/>
          <w:sz w:val="24"/>
        </w:rPr>
        <w:t xml:space="preserve">3.提供设备运行、调试、维护过程中必要的专用工具、软件，以及对相关人员进行工艺设置、设备运行、调试和维护过程中相关的专用工具及软件使用的培训。</w:t>
      </w:r>
      <w:r/>
    </w:p>
    <w:p>
      <w:pPr>
        <w:ind w:right="210" w:firstLine="480"/>
        <w:jc w:val="left"/>
        <w:spacing w:line="360" w:lineRule="auto"/>
        <w:rPr>
          <w:rFonts w:hint="eastAsia" w:ascii="宋体" w:hAnsi="宋体" w:cs="宋体"/>
          <w:sz w:val="24"/>
        </w:rPr>
      </w:pPr>
      <w:r>
        <w:rPr>
          <w:rFonts w:hint="eastAsia" w:ascii="宋体" w:hAnsi="宋体" w:cs="宋体"/>
          <w:sz w:val="24"/>
        </w:rPr>
        <w:t xml:space="preserve">4.中标人应免费提供一定数量的培训资料。</w:t>
      </w:r>
      <w:r/>
    </w:p>
    <w:p>
      <w:pPr>
        <w:pStyle w:val="1201"/>
        <w:ind w:firstLine="482"/>
        <w:jc w:val="left"/>
        <w:spacing w:line="360" w:lineRule="auto"/>
        <w:rPr>
          <w:rFonts w:hint="eastAsia" w:ascii="宋体" w:hAnsi="宋体" w:cs="宋体"/>
          <w:sz w:val="24"/>
          <w:szCs w:val="24"/>
        </w:rPr>
      </w:pPr>
      <w:r>
        <w:rPr>
          <w:rFonts w:hint="eastAsia" w:ascii="宋体" w:hAnsi="宋体" w:cs="宋体"/>
          <w:b/>
          <w:sz w:val="24"/>
          <w:szCs w:val="24"/>
        </w:rPr>
        <w:t xml:space="preserve">九、保险：</w:t>
      </w:r>
      <w:r>
        <w:rPr>
          <w:rFonts w:hint="eastAsia" w:ascii="宋体" w:hAnsi="宋体" w:cs="宋体"/>
          <w:sz w:val="24"/>
          <w:szCs w:val="24"/>
        </w:rPr>
        <w:t xml:space="preserve">投标人应承担相应货物的保险费。</w:t>
      </w:r>
      <w:r/>
    </w:p>
    <w:p>
      <w:pPr>
        <w:pStyle w:val="1201"/>
        <w:ind w:firstLine="482"/>
        <w:jc w:val="left"/>
        <w:spacing w:line="360" w:lineRule="auto"/>
        <w:rPr>
          <w:rFonts w:hint="eastAsia" w:ascii="宋体" w:hAnsi="宋体" w:cs="宋体"/>
          <w:sz w:val="24"/>
          <w:szCs w:val="24"/>
        </w:rPr>
      </w:pPr>
      <w:r>
        <w:rPr>
          <w:rFonts w:hint="eastAsia" w:ascii="宋体" w:hAnsi="宋体" w:cs="宋体"/>
          <w:b/>
          <w:bCs/>
          <w:sz w:val="24"/>
          <w:szCs w:val="24"/>
        </w:rPr>
        <w:t xml:space="preserve">十、</w:t>
      </w:r>
      <w:r>
        <w:rPr>
          <w:rFonts w:hint="eastAsia" w:ascii="宋体" w:hAnsi="宋体" w:cs="宋体"/>
          <w:b/>
          <w:sz w:val="24"/>
          <w:szCs w:val="24"/>
        </w:rPr>
        <w:t xml:space="preserve">付款方式：</w:t>
      </w:r>
      <w:r/>
    </w:p>
    <w:p>
      <w:pPr>
        <w:pStyle w:val="1201"/>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1.本项目免收履约保证金。</w:t>
      </w:r>
      <w:r/>
    </w:p>
    <w:p>
      <w:pPr>
        <w:ind w:right="210" w:firstLine="482"/>
        <w:jc w:val="left"/>
        <w:spacing w:line="360" w:lineRule="auto"/>
        <w:rPr>
          <w:rFonts w:hint="eastAsia" w:ascii="宋体" w:hAnsi="宋体" w:cs="宋体"/>
          <w:sz w:val="24"/>
        </w:rPr>
      </w:pPr>
      <w:r>
        <w:rPr>
          <w:rFonts w:hint="eastAsia" w:ascii="宋体" w:hAnsi="宋体" w:cs="宋体"/>
          <w:sz w:val="24"/>
        </w:rPr>
        <w:t xml:space="preserve">2.考核要求：合同期内，二级学院将根据供应商每次供货情况（包括但不限于供货时效、供货质量、售后服务等）进行考核打分，若出现三次总分低于80分，采购人有权终止合同。</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3.合同签订后，中标人按照合同要求在规定时间内分批提供产品并安装到位，验收合格后，支付至该批货物实际价格（实际数量*投标单价）的100%（无息）。最终结算金额的不超过本项目预算金额。</w:t>
      </w:r>
      <w:r/>
    </w:p>
    <w:p>
      <w:pPr>
        <w:ind w:right="210" w:firstLine="482"/>
        <w:jc w:val="left"/>
        <w:spacing w:line="360" w:lineRule="auto"/>
        <w:rPr>
          <w:rFonts w:hint="eastAsia" w:ascii="宋体" w:hAnsi="宋体" w:cs="宋体"/>
          <w:b/>
          <w:sz w:val="24"/>
        </w:rPr>
      </w:pPr>
      <w:r>
        <w:rPr>
          <w:rFonts w:hint="eastAsia" w:ascii="宋体" w:hAnsi="宋体" w:cs="宋体"/>
          <w:b/>
          <w:sz w:val="24"/>
        </w:rPr>
        <w:t xml:space="preserve">中标人必须开具有效全额发票，凭票向采购人申请付款，同时随票须附采购人所需办理付款的其他相关材料。因中标人未及时提供发票及所需材料导致相应后果的，采购人不承担任何责任。采购人原则上应当自收到发票后10个工作日内将资金支付到合同约定的投标人账户。</w:t>
      </w:r>
      <w:r/>
    </w:p>
    <w:p>
      <w:pPr>
        <w:jc w:val="left"/>
        <w:widowControl/>
        <w:rPr>
          <w:rFonts w:hint="eastAsia" w:ascii="宋体" w:hAnsi="宋体"/>
          <w:bCs/>
        </w:rPr>
      </w:pPr>
      <w:r>
        <w:rPr>
          <w:rFonts w:hint="eastAsia" w:ascii="宋体" w:hAnsi="宋体"/>
          <w:bCs/>
        </w:rPr>
        <w:br w:type="page" w:clear="all"/>
      </w:r>
      <w:r/>
    </w:p>
    <w:p>
      <w:pPr>
        <w:rPr>
          <w:rFonts w:hint="eastAsia" w:ascii="宋体" w:hAnsi="宋体"/>
          <w:bCs/>
        </w:rPr>
      </w:pPr>
      <w:r>
        <w:rPr>
          <w:rFonts w:hint="eastAsia" w:ascii="宋体" w:hAnsi="宋体"/>
          <w:bCs/>
        </w:rPr>
      </w:r>
      <w:r/>
    </w:p>
    <w:p>
      <w:pPr>
        <w:rPr>
          <w:b/>
          <w:bCs/>
          <w:sz w:val="24"/>
        </w:rPr>
      </w:pPr>
      <w:r>
        <w:rPr>
          <w:rFonts w:hint="eastAsia"/>
          <w:b/>
          <w:bCs/>
          <w:sz w:val="24"/>
        </w:rPr>
        <w:t xml:space="preserve">附件：考核评分表</w:t>
      </w:r>
      <w:r/>
    </w:p>
    <w:p>
      <w:pPr>
        <w:jc w:val="center"/>
        <w:spacing w:line="400" w:lineRule="exact"/>
        <w:rPr>
          <w:rFonts w:hint="eastAsia" w:ascii="宋体" w:hAnsi="宋体" w:cs="宋体"/>
          <w:sz w:val="24"/>
        </w:rPr>
      </w:pPr>
      <w:r>
        <w:rPr>
          <w:rFonts w:hint="eastAsia" w:ascii="宋体" w:hAnsi="宋体" w:cs="宋体"/>
          <w:sz w:val="24"/>
        </w:rPr>
        <w:t xml:space="preserve">考核评分表</w:t>
      </w:r>
      <w:r/>
    </w:p>
    <w:tbl>
      <w:tblPr>
        <w:tblStyle w:val="946"/>
        <w:tblW w:w="44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119"/>
        <w:gridCol w:w="1481"/>
        <w:gridCol w:w="1481"/>
        <w:gridCol w:w="1661"/>
        <w:gridCol w:w="1842"/>
      </w:tblGrid>
      <w:tr>
        <w:trPr>
          <w:jc w:val="center"/>
        </w:trPr>
        <w:tc>
          <w:tcPr>
            <w:tcW w:w="545"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考核名称</w:t>
            </w:r>
            <w:r/>
          </w:p>
        </w:tc>
        <w:tc>
          <w:tcPr>
            <w:tcW w:w="653"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供货时效性</w:t>
            </w:r>
            <w:r/>
          </w:p>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（30分）</w:t>
            </w:r>
            <w:r/>
          </w:p>
        </w:tc>
        <w:tc>
          <w:tcPr>
            <w:tcW w:w="870"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货物质量满意度</w:t>
            </w:r>
            <w:r/>
          </w:p>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（30分）</w:t>
            </w:r>
            <w:r/>
          </w:p>
        </w:tc>
        <w:tc>
          <w:tcPr>
            <w:tcW w:w="870"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售后服务满意度</w:t>
            </w:r>
            <w:r/>
          </w:p>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（20分）</w:t>
            </w:r>
            <w:r/>
          </w:p>
        </w:tc>
        <w:tc>
          <w:tcPr>
            <w:tcW w:w="978"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总体服务态度评价</w:t>
            </w:r>
            <w:r/>
          </w:p>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（20分）</w:t>
            </w:r>
            <w:r/>
          </w:p>
        </w:tc>
        <w:tc>
          <w:tcPr>
            <w:tcW w:w="1086"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总分（满分100分）</w:t>
            </w:r>
            <w:r/>
          </w:p>
        </w:tc>
      </w:tr>
      <w:tr>
        <w:trPr>
          <w:jc w:val="center"/>
          <w:trHeight w:val="610"/>
        </w:trPr>
        <w:tc>
          <w:tcPr>
            <w:tcW w:w="545"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t xml:space="preserve">得分</w:t>
            </w:r>
            <w:r/>
          </w:p>
        </w:tc>
        <w:tc>
          <w:tcPr>
            <w:tcW w:w="653"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c>
          <w:tcPr>
            <w:tcW w:w="870"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c>
          <w:tcPr>
            <w:tcW w:w="870"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c>
          <w:tcPr>
            <w:tcW w:w="978"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c>
          <w:tcPr>
            <w:tcW w:w="1086" w:type="pct"/>
            <w:vAlign w:val="center"/>
            <w:textDirection w:val="lrTb"/>
            <w:noWrap/>
          </w:tcPr>
          <w:p>
            <w:pPr>
              <w:jc w:val="center"/>
              <w:spacing w:line="400" w:lineRule="exact"/>
              <w:widowControl/>
              <w:tabs>
                <w:tab w:val="left" w:pos="567" w:leader="none"/>
              </w:tabs>
              <w:rPr>
                <w:rFonts w:hint="eastAsia" w:ascii="宋体" w:hAnsi="宋体" w:cs="宋体"/>
                <w:sz w:val="24"/>
              </w:rPr>
            </w:pPr>
            <w:r>
              <w:rPr>
                <w:rFonts w:hint="eastAsia" w:ascii="宋体" w:hAnsi="宋体" w:cs="宋体"/>
                <w:sz w:val="24"/>
              </w:rPr>
            </w:r>
            <w:r/>
          </w:p>
        </w:tc>
      </w:tr>
    </w:tbl>
    <w:p>
      <w:pPr>
        <w:jc w:val="left"/>
        <w:widowControl/>
        <w:rPr>
          <w:rFonts w:hint="eastAsia" w:ascii="宋体" w:hAnsi="宋体"/>
          <w:b/>
          <w:sz w:val="36"/>
          <w:szCs w:val="36"/>
        </w:rPr>
      </w:pPr>
      <w:r>
        <w:rPr>
          <w:rFonts w:ascii="宋体" w:hAnsi="宋体"/>
          <w:b/>
          <w:sz w:val="36"/>
          <w:szCs w:val="36"/>
        </w:rPr>
        <w:br w:type="page" w:clear="all"/>
      </w:r>
      <w:r>
        <w:rPr>
          <w:rFonts w:ascii="宋体" w:hAnsi="宋体"/>
          <w:b/>
          <w:sz w:val="36"/>
          <w:szCs w:val="36"/>
        </w:rPr>
        <w:t xml:space="preserve"> </w:t>
      </w:r>
      <w:r/>
    </w:p>
    <w:p>
      <w:pPr>
        <w:jc w:val="center"/>
        <w:spacing w:line="360" w:lineRule="auto"/>
        <w:rPr>
          <w:rFonts w:hint="eastAsia"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
    </w:p>
    <w:p>
      <w:pPr>
        <w:pStyle w:val="938"/>
        <w:numPr>
          <w:ilvl w:val="2"/>
          <w:numId w:val="13"/>
        </w:numPr>
        <w:contextualSpacing/>
        <w:ind w:firstLine="643"/>
        <w:jc w:val="center"/>
        <w:spacing w:before="156" w:after="0" w:line="360" w:lineRule="auto"/>
        <w:tabs>
          <w:tab w:val="center" w:pos="4677" w:leader="none"/>
          <w:tab w:val="left" w:pos="7652" w:leader="none"/>
        </w:tabs>
        <w:rPr>
          <w:rFonts w:hint="eastAsia" w:hAnsi="宋体"/>
          <w:sz w:val="32"/>
          <w:szCs w:val="32"/>
          <w:u w:val="none"/>
        </w:rPr>
      </w:pPr>
      <w:r>
        <w:rPr>
          <w:rFonts w:hint="eastAsia" w:hAnsi="宋体"/>
          <w:sz w:val="32"/>
          <w:szCs w:val="32"/>
          <w:u w:val="none"/>
        </w:rPr>
        <w:t xml:space="preserve"> </w:t>
      </w:r>
      <w:r/>
    </w:p>
    <w:p>
      <w:pPr>
        <w:pStyle w:val="953"/>
        <w:jc w:val="center"/>
        <w:rPr>
          <w:rFonts w:hint="eastAsia" w:cs="宋体"/>
          <w:b/>
          <w:bCs/>
          <w:spacing w:val="-20"/>
          <w:sz w:val="48"/>
          <w:szCs w:val="48"/>
        </w:rPr>
      </w:pPr>
      <w:r/>
      <w:bookmarkStart w:id="816" w:name="_Toc3995"/>
      <w:r/>
      <w:r/>
    </w:p>
    <w:p>
      <w:pPr>
        <w:pStyle w:val="953"/>
        <w:jc w:val="center"/>
        <w:rPr>
          <w:rFonts w:hint="eastAsia" w:cs="宋体"/>
          <w:b/>
          <w:bCs/>
          <w:spacing w:val="-20"/>
          <w:sz w:val="48"/>
          <w:szCs w:val="48"/>
        </w:rPr>
      </w:pPr>
      <w:r>
        <w:rPr>
          <w:rFonts w:hint="eastAsia" w:cs="宋体"/>
          <w:b/>
          <w:bCs/>
          <w:spacing w:val="-20"/>
          <w:sz w:val="48"/>
          <w:szCs w:val="48"/>
        </w:rPr>
        <w:t xml:space="preserve">政府采购货物买卖合同</w:t>
      </w:r>
      <w:r/>
    </w:p>
    <w:p>
      <w:pPr>
        <w:pStyle w:val="953"/>
        <w:jc w:val="center"/>
        <w:rPr>
          <w:rFonts w:hint="eastAsia" w:cs="宋体"/>
          <w:b/>
          <w:bCs/>
          <w:spacing w:val="-20"/>
          <w:sz w:val="48"/>
          <w:szCs w:val="48"/>
        </w:rPr>
      </w:pPr>
      <w:r>
        <w:rPr>
          <w:rFonts w:hint="eastAsia" w:cs="宋体"/>
          <w:b/>
          <w:bCs/>
          <w:spacing w:val="-20"/>
          <w:sz w:val="48"/>
          <w:szCs w:val="48"/>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p>
    <w:p>
      <w:pPr>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ind w:left="420"/>
        <w:spacing w:line="360" w:lineRule="auto"/>
        <w:rPr>
          <w:sz w:val="32"/>
          <w:szCs w:val="32"/>
        </w:rPr>
      </w:pPr>
      <w:r>
        <w:rPr>
          <w:rFonts w:hint="eastAsia"/>
          <w:sz w:val="32"/>
          <w:szCs w:val="32"/>
        </w:rPr>
        <w:t xml:space="preserve">签订时间：</w:t>
      </w:r>
      <w:r>
        <w:rPr>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bookmarkEnd w:id="816"/>
      <w:r/>
      <w:r/>
    </w:p>
    <w:p>
      <w:r/>
      <w:bookmarkStart w:id="817" w:name="_Toc22209"/>
      <w:r/>
      <w:r/>
    </w:p>
    <w:p>
      <w:pPr>
        <w:pStyle w:val="937"/>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817"/>
      <w:r/>
      <w:r/>
    </w:p>
    <w:p>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r>
      <w:r>
        <w:rPr>
          <w:rFonts w:hint="eastAsia" w:ascii="宋体" w:hAnsi="宋体"/>
          <w:szCs w:val="21"/>
        </w:rPr>
        <w:tab/>
      </w:r>
      <w:r>
        <w:rPr>
          <w:rFonts w:hint="eastAsia" w:ascii="宋体" w:hAnsi="宋体"/>
          <w:szCs w:val="21"/>
        </w:rPr>
        <w:t xml:space="preserve">                                   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r>
      <w:r/>
    </w:p>
    <w:p>
      <w:pPr>
        <w:pStyle w:val="954"/>
        <w:ind w:firstLine="420"/>
        <w:spacing w:line="400" w:lineRule="exact"/>
        <w:rPr>
          <w:rFonts w:hint="eastAsia"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项目信息</w:t>
      </w:r>
      <w:r/>
    </w:p>
    <w:p>
      <w:pPr>
        <w:pStyle w:val="954"/>
        <w:numPr>
          <w:ilvl w:val="0"/>
          <w:numId w:val="15"/>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p>
    <w:p>
      <w:pPr>
        <w:pStyle w:val="954"/>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p>
    <w:p>
      <w:pPr>
        <w:pStyle w:val="954"/>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35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5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358"/>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358"/>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358"/>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358"/>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358"/>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358"/>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358"/>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358"/>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358"/>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358"/>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358"/>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358"/>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358"/>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286"/>
        <w:spacing w:line="400" w:lineRule="exact"/>
        <w:rPr>
          <w:rFonts w:hint="eastAsia" w:ascii="宋体" w:hAnsi="宋体"/>
          <w:szCs w:val="21"/>
        </w:rPr>
      </w:pPr>
      <w:r>
        <w:rPr>
          <w:rFonts w:hint="eastAsia" w:ascii="宋体" w:hAnsi="宋体"/>
          <w:szCs w:val="21"/>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4"/>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358"/>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358"/>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1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358"/>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358"/>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numPr>
          <w:ilvl w:val="0"/>
          <w:numId w:val="14"/>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1286"/>
        <w:spacing w:line="400" w:lineRule="exact"/>
        <w:rPr>
          <w:rFonts w:hint="eastAsia" w:ascii="宋体" w:hAnsi="宋体"/>
          <w:szCs w:val="21"/>
        </w:rPr>
      </w:pPr>
      <w:r>
        <w:rPr>
          <w:rFonts w:hint="eastAsia" w:ascii="宋体" w:hAnsi="宋体"/>
          <w:szCs w:val="21"/>
        </w:rPr>
      </w:r>
      <w:r/>
    </w:p>
    <w:p>
      <w:pPr>
        <w:rPr>
          <w:rFonts w:hint="eastAsia" w:ascii="宋体" w:hAnsi="宋体"/>
          <w:b/>
          <w:szCs w:val="21"/>
        </w:rPr>
      </w:pPr>
      <w:r>
        <w:rPr>
          <w:rFonts w:ascii="宋体" w:hAnsi="宋体"/>
          <w:szCs w:val="21"/>
          <w:lang w:val="en"/>
        </w:rPr>
        <w:t xml:space="preserve">   </w:t>
      </w:r>
      <w:r/>
    </w:p>
    <w:p>
      <w:r>
        <w:br w:type="page" w:clear="all"/>
      </w:r>
      <w:r/>
    </w:p>
    <w:p>
      <w:pPr>
        <w:pStyle w:val="1286"/>
      </w:pPr>
      <w:r/>
      <w:r/>
    </w:p>
    <w:tbl>
      <w:tblPr>
        <w:tblStyle w:val="94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jc w:val="center"/>
              <w:spacing w:line="300" w:lineRule="exact"/>
              <w:rPr>
                <w:szCs w:val="21"/>
              </w:rPr>
            </w:pPr>
            <w:r>
              <w:rPr>
                <w:rFonts w:hint="eastAsia"/>
                <w:szCs w:val="21"/>
              </w:rPr>
              <w:t xml:space="preserve">法定代表人</w:t>
            </w:r>
            <w:r/>
          </w:p>
          <w:p>
            <w:pPr>
              <w:ind w:firstLine="101"/>
              <w:jc w:val="center"/>
              <w:spacing w:line="300" w:lineRule="exact"/>
              <w:rPr>
                <w:szCs w:val="21"/>
              </w:rPr>
            </w:pPr>
            <w:r>
              <w:rPr>
                <w:rFonts w:hint="eastAsia"/>
                <w:szCs w:val="21"/>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法定代表人</w:t>
            </w:r>
            <w:r/>
          </w:p>
          <w:p>
            <w:pPr>
              <w:jc w:val="center"/>
              <w:spacing w:line="300" w:lineRule="exact"/>
              <w:rPr>
                <w:szCs w:val="21"/>
              </w:rPr>
            </w:pPr>
            <w:r>
              <w:rPr>
                <w:rFonts w:hint="eastAsia"/>
                <w:szCs w:val="21"/>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联系电话</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邮政编码</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开户名称</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开户银行</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银行账号</w:t>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954"/>
              <w:jc w:val="left"/>
              <w:spacing w:before="120"/>
              <w:rPr>
                <w:spacing w:val="20"/>
                <w:szCs w:val="21"/>
              </w:rPr>
            </w:pPr>
            <w:r>
              <w:rPr>
                <w:rFonts w:hint="eastAsia" w:ascii="宋体" w:hAnsi="宋体"/>
                <w:szCs w:val="21"/>
              </w:rPr>
              <w:t xml:space="preserve">注：涉及联合体或其他合同主体的信息应按上表格式加列。</w:t>
            </w:r>
            <w:r/>
          </w:p>
        </w:tc>
      </w:tr>
    </w:tbl>
    <w:p>
      <w:pPr>
        <w:pStyle w:val="937"/>
        <w:rPr>
          <w:rFonts w:hint="eastAsia" w:ascii="黑体" w:hAnsi="黑体"/>
          <w:sz w:val="28"/>
          <w:szCs w:val="28"/>
        </w:rPr>
      </w:pPr>
      <w:r>
        <w:rPr>
          <w:rFonts w:hint="eastAsia" w:ascii="宋体" w:hAnsi="宋体"/>
          <w:b w:val="0"/>
          <w:bCs/>
          <w:szCs w:val="21"/>
          <w:u w:val="single"/>
        </w:rPr>
        <w:br w:type="page" w:clear="all"/>
      </w:r>
      <w:bookmarkStart w:id="818" w:name="_Toc27624"/>
      <w:r>
        <w:rPr>
          <w:rFonts w:hint="eastAsia" w:ascii="黑体" w:hAnsi="黑体"/>
          <w:b w:val="0"/>
          <w:bCs/>
          <w:sz w:val="28"/>
          <w:szCs w:val="28"/>
        </w:rPr>
        <w:t xml:space="preserve">第二节 政府采购合同通用条款</w:t>
      </w:r>
      <w:bookmarkEnd w:id="818"/>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17"/>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360" w:lineRule="auto"/>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360" w:lineRule="auto"/>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360" w:lineRule="auto"/>
        <w:rPr>
          <w:rFonts w:hint="eastAsia" w:ascii="宋体" w:hAnsi="宋体"/>
          <w:b/>
          <w:bCs/>
          <w:sz w:val="24"/>
        </w:rPr>
      </w:pPr>
      <w:r>
        <w:rPr>
          <w:rFonts w:hint="eastAsia" w:ascii="宋体" w:hAnsi="宋体"/>
          <w:b/>
          <w:bCs/>
          <w:sz w:val="24"/>
        </w:rPr>
        <w:t xml:space="preserve">5. 乙方的权利和义务</w:t>
      </w:r>
      <w:r/>
    </w:p>
    <w:p>
      <w:pPr>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360" w:lineRule="auto"/>
        <w:rPr>
          <w:rFonts w:hint="eastAsia" w:ascii="宋体" w:hAnsi="宋体"/>
        </w:rPr>
      </w:pPr>
      <w:r>
        <w:rPr>
          <w:rFonts w:hint="eastAsia" w:ascii="宋体" w:hAnsi="宋体"/>
        </w:rPr>
        <w:t xml:space="preserve">5.3乙方有权根据合同约定向甲方收取合同价款。</w:t>
      </w:r>
      <w:r/>
    </w:p>
    <w:p>
      <w:pPr>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numPr>
          <w:ilvl w:val="0"/>
          <w:numId w:val="18"/>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1358"/>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59"/>
        <w:ind w:firstLine="420"/>
        <w:jc w:val="left"/>
        <w:spacing w:line="400" w:lineRule="exact"/>
        <w:rPr>
          <w:rFonts w:hAnsi="宋体"/>
          <w:b/>
        </w:rPr>
      </w:pPr>
      <w:r>
        <w:rPr>
          <w:rFonts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59"/>
        <w:ind w:firstLine="420"/>
        <w:jc w:val="left"/>
        <w:spacing w:line="400" w:lineRule="exact"/>
        <w:rPr>
          <w:rFonts w:hAnsi="宋体"/>
          <w:szCs w:val="21"/>
        </w:rPr>
      </w:pPr>
      <w:r>
        <w:rPr>
          <w:rFonts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 w:val="24"/>
        </w:rPr>
      </w:pPr>
      <w:r>
        <w:rPr>
          <w:rFonts w:hint="eastAsia" w:ascii="宋体" w:hAnsi="宋体"/>
          <w:b/>
          <w:bCs/>
          <w:sz w:val="24"/>
        </w:rPr>
        <w:t xml:space="preserve">9. 权利瑕疵担保</w:t>
      </w:r>
      <w:r/>
    </w:p>
    <w:p>
      <w:pPr>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81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19"/>
      <w:r>
        <w:rPr>
          <w:rFonts w:hint="eastAsia" w:ascii="宋体" w:hAnsi="宋体"/>
          <w:szCs w:val="21"/>
        </w:rPr>
        <w:t xml:space="preserve">。</w:t>
      </w:r>
      <w:r/>
    </w:p>
    <w:p>
      <w:pPr>
        <w:jc w:val="left"/>
        <w:spacing w:line="360" w:lineRule="auto"/>
        <w:rPr>
          <w:rFonts w:hint="eastAsia" w:ascii="宋体" w:hAnsi="宋体"/>
          <w:b/>
          <w:bCs/>
          <w:sz w:val="24"/>
        </w:rPr>
      </w:pPr>
      <w:r>
        <w:rPr>
          <w:rFonts w:hint="eastAsia" w:ascii="宋体" w:hAnsi="宋体"/>
          <w:b/>
          <w:bCs/>
          <w:sz w:val="24"/>
        </w:rPr>
        <w:t xml:space="preserve">11. 保密义务</w:t>
      </w:r>
      <w:r/>
    </w:p>
    <w:p>
      <w:pPr>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360" w:lineRule="auto"/>
        <w:rPr>
          <w:rFonts w:hint="eastAsia" w:ascii="宋体" w:hAnsi="宋体"/>
          <w:b/>
          <w:bCs/>
          <w:sz w:val="24"/>
        </w:rPr>
      </w:pPr>
      <w:r>
        <w:rPr>
          <w:rFonts w:hint="eastAsia" w:ascii="宋体" w:hAnsi="宋体"/>
          <w:b/>
          <w:bCs/>
          <w:sz w:val="24"/>
        </w:rPr>
        <w:t xml:space="preserve">12. 合同价款支付</w:t>
      </w:r>
      <w:r/>
    </w:p>
    <w:p>
      <w:pPr>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953"/>
        <w:spacing w:line="360" w:lineRule="auto"/>
        <w:rPr>
          <w:rFonts w:hint="eastAsia"/>
          <w:b/>
          <w:bCs/>
        </w:rPr>
      </w:pPr>
      <w:r>
        <w:rPr>
          <w:rFonts w:hint="eastAsia"/>
          <w:b/>
          <w:bCs/>
        </w:rPr>
        <w:t xml:space="preserve">13. 履约保证金</w:t>
      </w:r>
      <w:r/>
    </w:p>
    <w:p>
      <w:pPr>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358"/>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58"/>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358"/>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358"/>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358"/>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58"/>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358"/>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spacing w:line="360" w:lineRule="auto"/>
        <w:rPr>
          <w:rFonts w:hint="eastAsia" w:ascii="宋体" w:hAnsi="宋体"/>
        </w:rPr>
      </w:pPr>
      <w:r>
        <w:rPr>
          <w:rFonts w:hint="eastAsia" w:ascii="宋体" w:hAnsi="宋体"/>
        </w:rPr>
        <w:t xml:space="preserve">20.1 本合同应当按照规定执行政府采购政策。</w:t>
      </w:r>
      <w:r/>
    </w:p>
    <w:p>
      <w:pPr>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358"/>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358"/>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358"/>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358"/>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2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820"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37"/>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820"/>
      <w:r/>
      <w:r/>
    </w:p>
    <w:tbl>
      <w:tblPr>
        <w:tblStyle w:val="946"/>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t xml:space="preserve">/</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t xml:space="preserve">5个工作日</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天内将货物安装调试完毕交付甲方正常使用，地点由甲方指定。招标文件有约定的，从其约定。</w:t>
            </w:r>
            <w:r/>
          </w:p>
          <w:p>
            <w:pPr>
              <w:ind w:firstLine="420"/>
              <w:spacing w:line="360" w:lineRule="auto"/>
              <w:rPr>
                <w:rFonts w:hint="eastAsia"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auto"/>
              <w:rPr>
                <w:rFonts w:hint="eastAsia"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p>
          <w:p>
            <w:pPr>
              <w:ind w:firstLine="420"/>
              <w:spacing w:line="360" w:lineRule="auto"/>
              <w:rPr>
                <w:rFonts w:hint="eastAsia"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hint="eastAsia"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20"/>
              <w:spacing w:line="360" w:lineRule="auto"/>
              <w:rPr>
                <w:rFonts w:hint="eastAsia" w:ascii="宋体" w:hAnsi="宋体" w:cs="宋体"/>
                <w:szCs w:val="21"/>
              </w:rPr>
            </w:pPr>
            <w:r>
              <w:rPr>
                <w:rFonts w:hint="eastAsia" w:ascii="宋体" w:hAnsi="宋体" w:cs="宋体"/>
                <w:szCs w:val="21"/>
              </w:rPr>
              <w:t xml:space="preserve">a.重新调试直至合格为止；</w:t>
            </w:r>
            <w:r/>
          </w:p>
          <w:p>
            <w:pPr>
              <w:ind w:firstLine="420"/>
              <w:spacing w:line="360" w:lineRule="auto"/>
              <w:rPr>
                <w:rFonts w:hint="eastAsia" w:ascii="宋体" w:hAnsi="宋体" w:cs="宋体"/>
                <w:szCs w:val="21"/>
              </w:rPr>
            </w:pPr>
            <w:r>
              <w:rPr>
                <w:rFonts w:hint="eastAsia" w:ascii="宋体" w:hAnsi="宋体" w:cs="宋体"/>
                <w:szCs w:val="21"/>
              </w:rPr>
              <w:t xml:space="preserve">b.要求乙方对货物进行免费更换，然后重新调试直至合格为止。</w:t>
            </w:r>
            <w:r/>
          </w:p>
          <w:p>
            <w:pPr>
              <w:pStyle w:val="959"/>
              <w:ind w:firstLine="420"/>
              <w:spacing w:line="360" w:lineRule="auto"/>
              <w:rPr>
                <w:rFonts w:hAnsi="宋体"/>
                <w:szCs w:val="21"/>
              </w:rPr>
            </w:pPr>
            <w:r>
              <w:rPr>
                <w:rFonts w:hAnsi="宋体" w:cs="宋体"/>
                <w:szCs w:val="21"/>
              </w:rPr>
              <w:t xml:space="preserve">甲方因乙方原因所产生的所有费用均由乙方负担。</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rPr>
            </w:pPr>
            <w:r>
              <w:rPr>
                <w:rFonts w:hint="eastAsia" w:ascii="宋体" w:hAnsi="宋体"/>
              </w:rPr>
              <w:t xml:space="preserve">/</w:t>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rPr>
            </w:pPr>
            <w:r>
              <w:rPr>
                <w:rFonts w:hint="eastAsia" w:ascii="宋体" w:hAnsi="宋体"/>
              </w:rPr>
              <w:t xml:space="preserve">甲方指定现场</w:t>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rPr>
            </w:pPr>
            <w:r>
              <w:rPr>
                <w:rFonts w:hint="eastAsia" w:ascii="宋体" w:hAnsi="宋体"/>
              </w:rPr>
              <w:t xml:space="preserve">/</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rPr>
            </w:pPr>
            <w:r>
              <w:rPr>
                <w:rFonts w:hint="eastAsia" w:ascii="宋体" w:hAnsi="宋体"/>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 </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59"/>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358"/>
              <w:ind w:firstLine="0"/>
              <w:jc w:val="center"/>
              <w:rPr>
                <w:rFonts w:hint="eastAsia"/>
              </w:rP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本项目不收取履约保证金。</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双方约定的质保期</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jc w:val="left"/>
              <w:spacing w:line="360" w:lineRule="auto"/>
              <w:rPr>
                <w:rFonts w:hint="eastAsia" w:ascii="宋体" w:hAnsi="宋体"/>
              </w:rPr>
            </w:pPr>
            <w:r>
              <w:rPr>
                <w:rFonts w:hint="eastAsia" w:ascii="宋体" w:hAnsi="宋体"/>
              </w:rPr>
              <w:t xml:space="preserve">若招标文件中不包含有关伴随服务或售后服务的承诺，双方作如下约定：</w:t>
            </w:r>
            <w:r/>
          </w:p>
          <w:p>
            <w:pPr>
              <w:ind w:firstLine="420"/>
              <w:jc w:val="left"/>
              <w:spacing w:line="360" w:lineRule="auto"/>
              <w:rPr>
                <w:rFonts w:hint="eastAsia" w:ascii="宋体" w:hAnsi="宋体"/>
              </w:rPr>
            </w:pPr>
            <w:r>
              <w:rPr>
                <w:rFonts w:hint="eastAsia" w:ascii="宋体" w:hAnsi="宋体"/>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ind w:firstLine="420"/>
              <w:jc w:val="left"/>
              <w:spacing w:line="360" w:lineRule="auto"/>
              <w:rPr>
                <w:rFonts w:hint="eastAsia" w:ascii="宋体" w:hAnsi="宋体"/>
              </w:rPr>
            </w:pPr>
            <w:r>
              <w:rPr>
                <w:rFonts w:hint="eastAsia" w:ascii="宋体" w:hAnsi="宋体"/>
              </w:rPr>
              <w:t xml:space="preserve">6.所有货物保修服务方式均为乙方上门保修，即由乙方派员到货物使用现场维修，由此产生的一切费用均由乙方承担。</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spacing w:line="360" w:lineRule="auto"/>
              <w:rPr>
                <w:rFonts w:hint="eastAsia" w:ascii="宋体" w:hAnsi="宋体"/>
              </w:rPr>
            </w:pPr>
            <w:r>
              <w:rPr>
                <w:rFonts w:hint="eastAsia" w:ascii="宋体" w:hAnsi="宋体"/>
              </w:rPr>
              <w:t xml:space="preserve">调试检验出现全部或部分未达到本合同所约定的技术指标，甲方有权选择下列任一处理方式： </w:t>
            </w:r>
            <w:r/>
          </w:p>
          <w:p>
            <w:pPr>
              <w:ind w:firstLine="420"/>
              <w:spacing w:line="360" w:lineRule="auto"/>
              <w:rPr>
                <w:rFonts w:hint="eastAsia" w:ascii="宋体" w:hAnsi="宋体"/>
              </w:rPr>
            </w:pPr>
            <w:r>
              <w:rPr>
                <w:rFonts w:hint="eastAsia" w:ascii="宋体" w:hAnsi="宋体"/>
              </w:rPr>
              <w:t xml:space="preserve">1.重新调试直至合格为止；</w:t>
            </w:r>
            <w:r/>
          </w:p>
          <w:p>
            <w:pPr>
              <w:ind w:firstLine="420"/>
              <w:spacing w:line="360" w:lineRule="auto"/>
              <w:rPr>
                <w:rFonts w:hint="eastAsia" w:ascii="宋体" w:hAnsi="宋体"/>
              </w:rPr>
            </w:pPr>
            <w:r>
              <w:rPr>
                <w:rFonts w:hint="eastAsia" w:ascii="宋体" w:hAnsi="宋体"/>
              </w:rPr>
              <w:t xml:space="preserve">2.要求乙方对货物进行免费更换，然后重新调试直至合格为止。</w:t>
            </w:r>
            <w:r/>
          </w:p>
          <w:p>
            <w:pPr>
              <w:ind w:firstLine="420"/>
              <w:spacing w:line="360" w:lineRule="auto"/>
              <w:rPr>
                <w:rFonts w:hint="eastAsia" w:ascii="宋体" w:hAnsi="宋体"/>
              </w:rPr>
            </w:pPr>
            <w:r>
              <w:rPr>
                <w:rFonts w:hint="eastAsia" w:ascii="宋体" w:hAnsi="宋体"/>
              </w:rPr>
              <w:t xml:space="preserve">甲方因乙方原因所产生的所有费用均由乙方负担。</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jc w:val="left"/>
              <w:spacing w:line="360" w:lineRule="auto"/>
              <w:rPr>
                <w:rFonts w:hint="eastAsia"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20"/>
              <w:jc w:val="left"/>
              <w:spacing w:line="360" w:lineRule="auto"/>
              <w:rPr>
                <w:rFonts w:hint="eastAsia"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‰滞纳金，但累计滞纳金总额不超过欠款总额的</w:t>
            </w:r>
            <w:r>
              <w:rPr>
                <w:rFonts w:ascii="宋体" w:hAnsi="宋体"/>
              </w:rPr>
              <w:t xml:space="preserve">5%</w:t>
            </w:r>
            <w:r>
              <w:rPr>
                <w:rFonts w:hint="eastAsia" w:ascii="宋体" w:hAnsi="宋体"/>
              </w:rPr>
              <w:t xml:space="preserve">。</w:t>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ind w:firstLine="420"/>
              <w:spacing w:line="360" w:lineRule="auto"/>
              <w:rPr>
                <w:rFonts w:hint="eastAsia"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ind w:firstLine="420"/>
              <w:spacing w:line="360" w:lineRule="auto"/>
              <w:rPr>
                <w:rFonts w:hint="eastAsia"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p>
          <w:p>
            <w:pPr>
              <w:ind w:firstLine="420"/>
              <w:spacing w:line="360" w:lineRule="auto"/>
              <w:rPr>
                <w:rFonts w:hint="eastAsia"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p>
          <w:p>
            <w:pPr>
              <w:ind w:firstLine="420"/>
              <w:spacing w:line="360" w:lineRule="auto"/>
              <w:rPr>
                <w:rFonts w:hint="eastAsia"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p>
          <w:p>
            <w:pPr>
              <w:ind w:firstLine="420"/>
              <w:spacing w:line="360" w:lineRule="auto"/>
              <w:rPr>
                <w:rFonts w:hint="eastAsia"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rPr>
            </w:pPr>
            <w:r>
              <w:rPr>
                <w:rFonts w:hint="eastAsia" w:ascii="宋体" w:hAnsi="宋体"/>
              </w:rPr>
              <w:t xml:space="preserve">6.乙方投标属虚假承诺，或经权威部门监测提供的货物不能满足招标文件要求，或是由于乙方的过错造成合同无法继续履行的，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p>
          <w:p>
            <w:pPr>
              <w:ind w:firstLine="420"/>
              <w:spacing w:line="360" w:lineRule="auto"/>
              <w:rPr>
                <w:rFonts w:hint="eastAsia" w:ascii="宋体" w:hAnsi="宋体"/>
                <w:szCs w:val="21"/>
                <w:u w:val="single"/>
              </w:rPr>
            </w:pPr>
            <w:r>
              <w:rPr>
                <w:rFonts w:hint="eastAsia" w:ascii="宋体" w:hAnsi="宋体"/>
              </w:rPr>
              <w:t xml:space="preserve">7.其他未尽事宜，以《民法典》等有关法律法规规定为准，无相关规定的，双方协商解决。</w:t>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ind w:firstLine="420"/>
              <w:jc w:val="left"/>
              <w:spacing w:line="360" w:lineRule="auto"/>
              <w:rPr>
                <w:rFonts w:hint="eastAsia" w:ascii="宋体" w:hAnsi="宋体" w:cs="宋体"/>
                <w:iCs/>
                <w:szCs w:val="21"/>
              </w:rPr>
            </w:pPr>
            <w:r>
              <w:rPr>
                <w:rFonts w:hint="eastAsia" w:ascii="宋体" w:hAnsi="宋体" w:cs="宋体"/>
                <w:iCs/>
                <w:szCs w:val="21"/>
              </w:rPr>
              <w:t xml:space="preserve">因本合同及合同有关事项发生的争议，如未约定，默认按下列第1种方式解决：</w:t>
            </w:r>
            <w:r/>
          </w:p>
          <w:p>
            <w:pPr>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ind w:firstLine="420"/>
              <w:jc w:val="left"/>
              <w:spacing w:line="360" w:lineRule="auto"/>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spacing w:line="360" w:lineRule="auto"/>
        <w:rPr>
          <w:rFonts w:hint="eastAsia" w:ascii="宋体" w:hAnsi="宋体" w:cs="宋体"/>
          <w:sz w:val="24"/>
        </w:rPr>
      </w:pPr>
      <w:r>
        <w:rPr>
          <w:rFonts w:ascii="宋体" w:hAnsi="宋体" w:cs="宋体"/>
          <w:sz w:val="24"/>
        </w:rPr>
        <w:br w:type="page" w:clear="all"/>
      </w:r>
      <w:r/>
    </w:p>
    <w:p>
      <w:pPr>
        <w:pStyle w:val="938"/>
        <w:numPr>
          <w:ilvl w:val="2"/>
          <w:numId w:val="13"/>
        </w:numPr>
        <w:contextualSpacing/>
        <w:ind w:firstLine="643"/>
        <w:jc w:val="center"/>
        <w:spacing w:before="120" w:after="0" w:line="360" w:lineRule="auto"/>
        <w:tabs>
          <w:tab w:val="center" w:pos="4677" w:leader="none"/>
          <w:tab w:val="left" w:pos="7652" w:leader="none"/>
        </w:tabs>
        <w:rPr>
          <w:rFonts w:hint="eastAsia" w:hAnsi="宋体"/>
          <w:sz w:val="32"/>
          <w:szCs w:val="32"/>
          <w:u w:val="none"/>
        </w:rPr>
      </w:pPr>
      <w:r>
        <w:rPr>
          <w:rFonts w:hint="eastAsia" w:hAnsi="宋体"/>
          <w:sz w:val="32"/>
          <w:szCs w:val="32"/>
          <w:u w:val="none"/>
        </w:rPr>
        <w:t xml:space="preserve">安全协议</w:t>
      </w:r>
      <w:r/>
    </w:p>
    <w:p>
      <w:pPr>
        <w:contextualSpacing/>
        <w:ind w:firstLine="420"/>
        <w:spacing w:line="360" w:lineRule="auto"/>
        <w:rPr>
          <w:rFonts w:hint="eastAsia" w:ascii="宋体" w:hAnsi="宋体"/>
          <w:szCs w:val="21"/>
        </w:rPr>
      </w:pPr>
      <w:r>
        <w:rPr>
          <w:rFonts w:hint="eastAsia" w:ascii="宋体" w:hAnsi="宋体"/>
          <w:szCs w:val="21"/>
        </w:rPr>
      </w:r>
      <w:r/>
    </w:p>
    <w:p>
      <w:pPr>
        <w:contextualSpacing/>
        <w:ind w:firstLine="480"/>
        <w:spacing w:after="120" w:line="360" w:lineRule="auto"/>
        <w:rPr>
          <w:rFonts w:hint="eastAsia"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contextualSpacing/>
        <w:ind w:firstLine="480"/>
        <w:spacing w:after="120" w:line="360" w:lineRule="auto"/>
        <w:rPr>
          <w:rFonts w:hint="eastAsia" w:ascii="宋体" w:hAnsi="宋体"/>
          <w:bCs/>
          <w:sz w:val="24"/>
        </w:rPr>
      </w:pPr>
      <w:r>
        <w:rPr>
          <w:rFonts w:hint="eastAsia" w:ascii="宋体" w:hAnsi="宋体"/>
          <w:bCs/>
          <w:sz w:val="24"/>
        </w:rPr>
        <w:t xml:space="preserve">项目名称：</w:t>
      </w:r>
      <w:r>
        <w:rPr>
          <w:rFonts w:hint="eastAsia" w:ascii="宋体" w:hAnsi="宋体"/>
          <w:b/>
          <w:sz w:val="24"/>
          <w:u w:val="single"/>
        </w:rPr>
        <w:t xml:space="preserve">  </w:t>
      </w:r>
      <w:r>
        <w:rPr>
          <w:rFonts w:ascii="宋体" w:hAnsi="宋体"/>
          <w:b/>
          <w:sz w:val="24"/>
          <w:u w:val="single"/>
        </w:rPr>
        <w:t xml:space="preserve">                                 </w:t>
      </w:r>
      <w:r/>
    </w:p>
    <w:p>
      <w:pPr>
        <w:contextualSpacing/>
        <w:ind w:firstLine="480"/>
        <w:spacing w:line="360" w:lineRule="auto"/>
        <w:rPr>
          <w:rFonts w:hint="eastAsia"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hint="eastAsia" w:ascii="宋体" w:hAnsi="宋体"/>
          <w:sz w:val="24"/>
        </w:rPr>
      </w:pPr>
      <w:r>
        <w:rPr>
          <w:rFonts w:hint="eastAsia" w:ascii="宋体" w:hAnsi="宋体"/>
          <w:sz w:val="24"/>
        </w:rPr>
        <w:t xml:space="preserve">一、甲方责任</w:t>
      </w:r>
      <w:r/>
    </w:p>
    <w:p>
      <w:pPr>
        <w:contextualSpacing/>
        <w:ind w:firstLine="480"/>
        <w:spacing w:line="360" w:lineRule="auto"/>
        <w:tabs>
          <w:tab w:val="left" w:pos="537" w:leader="none"/>
        </w:tabs>
        <w:rPr>
          <w:rFonts w:hint="eastAsia"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p>
    <w:p>
      <w:pPr>
        <w:contextualSpacing/>
        <w:ind w:firstLine="480"/>
        <w:jc w:val="left"/>
        <w:spacing w:line="360" w:lineRule="auto"/>
        <w:widowControl/>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p>
    <w:p>
      <w:pPr>
        <w:numPr>
          <w:ilvl w:val="0"/>
          <w:numId w:val="21"/>
        </w:numPr>
        <w:contextualSpacing/>
        <w:ind w:firstLine="480"/>
        <w:jc w:val="left"/>
        <w:spacing w:line="360" w:lineRule="auto"/>
        <w:widowControl/>
        <w:rPr>
          <w:rFonts w:hint="eastAsia" w:ascii="宋体" w:hAnsi="宋体"/>
          <w:sz w:val="24"/>
        </w:rPr>
      </w:pPr>
      <w:r>
        <w:rPr>
          <w:rFonts w:hint="eastAsia" w:ascii="宋体" w:hAnsi="宋体"/>
          <w:sz w:val="24"/>
        </w:rPr>
        <w:t xml:space="preserve">乙方责任</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938"/>
        <w:numPr>
          <w:ilvl w:val="2"/>
          <w:numId w:val="13"/>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hAnsi="宋体"/>
          <w:sz w:val="32"/>
          <w:szCs w:val="32"/>
          <w:u w:val="none"/>
        </w:rPr>
        <w:t xml:space="preserve">廉 政 责 任 书</w:t>
      </w:r>
      <w:r/>
    </w:p>
    <w:p>
      <w:pPr>
        <w:ind w:firstLine="560"/>
        <w:spacing w:line="400" w:lineRule="exact"/>
        <w:widowControl/>
        <w:rPr>
          <w:rFonts w:hint="eastAsia" w:ascii="宋体" w:hAnsi="宋体"/>
          <w:sz w:val="28"/>
          <w:szCs w:val="28"/>
        </w:rPr>
      </w:pPr>
      <w:r>
        <w:rPr>
          <w:rFonts w:hint="eastAsia" w:ascii="宋体" w:hAnsi="宋体"/>
          <w:sz w:val="28"/>
          <w:szCs w:val="28"/>
        </w:rPr>
      </w:r>
      <w:r/>
    </w:p>
    <w:p>
      <w:pPr>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hint="eastAsia" w:ascii="宋体" w:hAnsi="宋体"/>
          <w:b/>
          <w:sz w:val="24"/>
        </w:rPr>
      </w:pPr>
      <w:r>
        <w:rPr>
          <w:rFonts w:hint="eastAsia" w:ascii="宋体" w:hAnsi="宋体"/>
          <w:b/>
          <w:sz w:val="24"/>
        </w:rPr>
        <w:t xml:space="preserve">二、违约责任</w:t>
      </w:r>
      <w:r/>
    </w:p>
    <w:p>
      <w:pPr>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ind w:firstLine="480"/>
        <w:spacing w:line="540" w:lineRule="exact"/>
        <w:widowControl/>
        <w:rPr>
          <w:rFonts w:hint="eastAsia" w:ascii="宋体" w:hAnsi="宋体"/>
          <w:sz w:val="24"/>
        </w:rPr>
      </w:pPr>
      <w:r>
        <w:rPr>
          <w:rFonts w:hint="eastAsia" w:ascii="宋体" w:hAnsi="宋体"/>
          <w:sz w:val="24"/>
        </w:rPr>
      </w:r>
      <w:r/>
    </w:p>
    <w:p>
      <w:pPr>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                                                                                 </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821" w:name="_Toc99301426"/>
      <w:r>
        <w:rPr>
          <w:rFonts w:ascii="宋体" w:hAnsi="宋体"/>
          <w:b/>
          <w:sz w:val="36"/>
          <w:szCs w:val="36"/>
        </w:rPr>
        <w:t xml:space="preserve">第七章   投标文件格式</w:t>
      </w:r>
      <w:bookmarkEnd w:id="821"/>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firstLine="48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widowControl/>
        <w:rPr>
          <w:rFonts w:hint="eastAsia" w:ascii="宋体" w:hAnsi="宋体"/>
          <w:sz w:val="24"/>
        </w:rPr>
      </w:pPr>
      <w:r>
        <w:rPr>
          <w:rFonts w:ascii="宋体" w:hAnsi="宋体"/>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hint="eastAsia" w:ascii="宋体" w:hAnsi="宋体"/>
          <w:b/>
          <w:sz w:val="30"/>
          <w:szCs w:val="20"/>
        </w:rPr>
        <w:outlineLvl w:val="1"/>
      </w:pPr>
      <w:r>
        <w:rPr>
          <w:rFonts w:ascii="宋体" w:hAnsi="宋体"/>
          <w:b/>
          <w:spacing w:val="20"/>
          <w:sz w:val="24"/>
        </w:rPr>
        <w:t xml:space="preserve">一、资格证明文件格式</w:t>
      </w:r>
      <w:r/>
    </w:p>
    <w:p>
      <w:pPr>
        <w:rPr>
          <w:rFonts w:hint="eastAsia" w:ascii="宋体" w:hAnsi="宋体"/>
          <w:b/>
          <w:spacing w:val="20"/>
          <w:szCs w:val="21"/>
        </w:rPr>
      </w:pPr>
      <w:r>
        <w:rPr>
          <w:rFonts w:hint="eastAsia" w:ascii="宋体" w:hAnsi="宋体"/>
          <w:b/>
          <w:spacing w:val="20"/>
          <w:szCs w:val="21"/>
        </w:rPr>
      </w:r>
      <w:r/>
    </w:p>
    <w:p>
      <w:pPr>
        <w:rPr>
          <w:rFonts w:hint="eastAsia"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p>
    <w:p>
      <w:pPr>
        <w:rPr>
          <w:rFonts w:hint="eastAsia" w:ascii="宋体" w:hAnsi="宋体"/>
          <w:b/>
        </w:rPr>
      </w:pPr>
      <w:r>
        <w:rPr>
          <w:rFonts w:hint="eastAsia" w:ascii="宋体" w:hAnsi="宋体"/>
          <w:b/>
        </w:rPr>
      </w:r>
      <w:r/>
    </w:p>
    <w:p>
      <w:pPr>
        <w:spacing w:line="360" w:lineRule="auto"/>
        <w:rPr>
          <w:rFonts w:hint="eastAsia"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p>
    <w:p>
      <w:pPr>
        <w:pStyle w:val="938"/>
        <w:rPr>
          <w:rFonts w:hint="eastAsia"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947"/>
        <w:ind w:firstLine="480"/>
        <w:spacing w:line="460" w:lineRule="exact"/>
        <w:rPr>
          <w:rFonts w:hint="eastAsia" w:hAnsi="宋体"/>
        </w:rPr>
      </w:pPr>
      <w:r>
        <w:rPr>
          <w:rFonts w:hint="eastAsia" w:hAnsi="宋体"/>
        </w:rPr>
      </w:r>
      <w:r/>
    </w:p>
    <w:p>
      <w:pPr>
        <w:pStyle w:val="947"/>
        <w:ind w:firstLine="480"/>
        <w:spacing w:line="460" w:lineRule="exact"/>
        <w:rPr>
          <w:rFonts w:hint="eastAsia" w:hAnsi="宋体"/>
        </w:rPr>
      </w:pPr>
      <w:r>
        <w:rPr>
          <w:rFonts w:hint="eastAsia" w:hAnsi="宋体"/>
        </w:rPr>
        <w:t xml:space="preserve">致：常州市城投建设工程招标有限公司</w:t>
      </w:r>
      <w:r/>
    </w:p>
    <w:p>
      <w:pPr>
        <w:pStyle w:val="947"/>
        <w:ind w:firstLine="960"/>
        <w:spacing w:line="460" w:lineRule="exact"/>
        <w:rPr>
          <w:rFonts w:hint="eastAsia" w:hAnsi="宋体"/>
          <w:u w:val="single"/>
        </w:rPr>
      </w:pPr>
      <w:r>
        <w:rPr>
          <w:rFonts w:hint="eastAsia" w:hAnsi="宋体"/>
          <w:u w:val="single"/>
        </w:rPr>
        <w:t xml:space="preserve">（采购人名称）</w:t>
      </w:r>
      <w:r/>
    </w:p>
    <w:p>
      <w:pPr>
        <w:pStyle w:val="947"/>
        <w:ind w:firstLine="480"/>
        <w:spacing w:line="460" w:lineRule="exact"/>
        <w:rPr>
          <w:rFonts w:hint="eastAsia" w:hAnsi="宋体"/>
        </w:rPr>
      </w:pPr>
      <w:r>
        <w:rPr>
          <w:rFonts w:hint="eastAsia" w:hAnsi="宋体"/>
        </w:rPr>
      </w:r>
      <w:r/>
    </w:p>
    <w:p>
      <w:pPr>
        <w:pStyle w:val="947"/>
        <w:ind w:firstLine="480"/>
        <w:spacing w:line="460" w:lineRule="exact"/>
        <w:rPr>
          <w:rFonts w:hint="eastAsia" w:hAnsi="宋体"/>
        </w:rPr>
      </w:pPr>
      <w:r>
        <w:rPr>
          <w:rFonts w:hint="eastAsia" w:hAnsi="宋体"/>
        </w:rPr>
        <w:t xml:space="preserve">按照《中华人民共和国政府采购法》第二十二条和招标文件的规定，我单位郑重声明如下：</w:t>
      </w:r>
      <w:r/>
    </w:p>
    <w:p>
      <w:pPr>
        <w:pStyle w:val="947"/>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947"/>
        <w:ind w:firstLine="480"/>
        <w:spacing w:line="460" w:lineRule="exact"/>
        <w:rPr>
          <w:rFonts w:hint="eastAsia" w:hAnsi="宋体"/>
        </w:rPr>
      </w:pPr>
      <w:r>
        <w:rPr>
          <w:rFonts w:hint="eastAsia" w:hAnsi="宋体"/>
        </w:rPr>
        <w:t xml:space="preserve">二、我单位具有良好的商业信誉（指投标人经营状况良好，无本资格声明第十条情形）和健全的财务会计制度。</w:t>
      </w:r>
      <w:r/>
    </w:p>
    <w:p>
      <w:pPr>
        <w:pStyle w:val="947"/>
        <w:ind w:firstLine="480"/>
        <w:spacing w:line="460" w:lineRule="exact"/>
        <w:rPr>
          <w:rFonts w:hint="eastAsia" w:hAnsi="宋体"/>
        </w:rPr>
      </w:pPr>
      <w:r>
        <w:rPr>
          <w:rFonts w:hint="eastAsia" w:hAnsi="宋体"/>
        </w:rPr>
        <w:t xml:space="preserve">三、我单位依法进行纳税和社会保险申报并实际履行了义务。</w:t>
      </w:r>
      <w:r/>
    </w:p>
    <w:p>
      <w:pPr>
        <w:pStyle w:val="947"/>
        <w:ind w:firstLine="480"/>
        <w:spacing w:line="460" w:lineRule="exact"/>
        <w:rPr>
          <w:rFonts w:hint="eastAsia"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947"/>
        <w:ind w:firstLine="480"/>
        <w:spacing w:line="460" w:lineRule="exact"/>
        <w:rPr>
          <w:rFonts w:hint="eastAsia" w:hAnsi="宋体"/>
        </w:rPr>
      </w:pPr>
      <w:r>
        <w:rPr>
          <w:rFonts w:hint="eastAsia" w:hAnsi="宋体"/>
        </w:rPr>
        <w:t xml:space="preserve">主要设备有：</w:t>
      </w:r>
      <w:r>
        <w:rPr>
          <w:rFonts w:hAnsi="宋体"/>
          <w:u w:val="single"/>
        </w:rPr>
        <w:t xml:space="preserve">            </w:t>
      </w:r>
      <w:r/>
    </w:p>
    <w:p>
      <w:pPr>
        <w:pStyle w:val="947"/>
        <w:ind w:firstLine="480"/>
        <w:spacing w:line="460" w:lineRule="exact"/>
        <w:rPr>
          <w:rFonts w:hint="eastAsia" w:hAnsi="宋体"/>
        </w:rPr>
      </w:pPr>
      <w:r>
        <w:rPr>
          <w:rFonts w:hint="eastAsia" w:hAnsi="宋体"/>
        </w:rPr>
        <w:t xml:space="preserve">主要专业技术能力有</w:t>
      </w:r>
      <w:r>
        <w:rPr>
          <w:rFonts w:hint="eastAsia" w:hAnsi="宋体"/>
          <w:u w:val="single"/>
        </w:rPr>
        <w:t xml:space="preserve">                 </w:t>
      </w:r>
      <w:r/>
    </w:p>
    <w:p>
      <w:pPr>
        <w:pStyle w:val="947"/>
        <w:ind w:firstLine="480"/>
        <w:spacing w:line="460" w:lineRule="exact"/>
        <w:rPr>
          <w:rFonts w:hint="eastAsia"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7"/>
        <w:ind w:firstLine="480"/>
        <w:spacing w:line="460" w:lineRule="exact"/>
        <w:rPr>
          <w:rFonts w:hint="eastAsia" w:hAnsi="宋体"/>
        </w:rPr>
      </w:pPr>
      <w:r>
        <w:rPr>
          <w:rFonts w:hint="eastAsia" w:hAnsi="宋体"/>
        </w:rPr>
        <w:t xml:space="preserve">六、我单位具备法律、行政法规规定的其他条件。</w:t>
      </w:r>
      <w:r/>
    </w:p>
    <w:p>
      <w:pPr>
        <w:pStyle w:val="947"/>
        <w:ind w:firstLine="480"/>
        <w:spacing w:line="460" w:lineRule="exact"/>
        <w:rPr>
          <w:rFonts w:hint="eastAsia" w:hAnsi="宋体"/>
        </w:rPr>
      </w:pPr>
      <w:r>
        <w:rPr>
          <w:rFonts w:hint="eastAsia" w:hAnsi="宋体"/>
        </w:rPr>
        <w:t xml:space="preserve">七、与我单位存在“单位负责人为同一人或者存在直接控股、管理关系”的其他单位信息如下（如无此情形的，填写“无”）：</w:t>
      </w:r>
      <w:r/>
    </w:p>
    <w:p>
      <w:pPr>
        <w:pStyle w:val="947"/>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p>
    <w:p>
      <w:pPr>
        <w:pStyle w:val="947"/>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p>
    <w:p>
      <w:pPr>
        <w:pStyle w:val="947"/>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p>
    <w:p>
      <w:pPr>
        <w:pStyle w:val="947"/>
        <w:ind w:firstLine="480"/>
        <w:spacing w:line="460" w:lineRule="exact"/>
        <w:rPr>
          <w:rFonts w:hint="eastAsia"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47"/>
        <w:ind w:firstLine="480"/>
        <w:spacing w:line="460" w:lineRule="exact"/>
        <w:rPr>
          <w:rFonts w:hint="eastAsia" w:hAnsi="宋体"/>
        </w:rPr>
      </w:pPr>
      <w:r>
        <w:rPr>
          <w:rFonts w:hint="eastAsia" w:hAnsi="宋体"/>
        </w:rPr>
        <w:t xml:space="preserve">九、</w:t>
      </w:r>
      <w:r>
        <w:rPr>
          <w:rFonts w:hAnsi="宋体"/>
        </w:rPr>
        <w:t xml:space="preserve">我单位无以下不良信用记录情形：</w:t>
      </w:r>
      <w:r/>
    </w:p>
    <w:p>
      <w:pPr>
        <w:pStyle w:val="947"/>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、在“信用中国”网站被列入失信被执行人和重大税收违法案件当事人名单；</w:t>
      </w:r>
      <w:r/>
    </w:p>
    <w:p>
      <w:pPr>
        <w:pStyle w:val="947"/>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p>
    <w:p>
      <w:pPr>
        <w:pStyle w:val="947"/>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47"/>
        <w:ind w:firstLine="480"/>
        <w:spacing w:line="460" w:lineRule="exact"/>
        <w:rPr>
          <w:rFonts w:hint="eastAsia" w:hAnsi="宋体"/>
        </w:rPr>
      </w:pPr>
      <w:r>
        <w:rPr>
          <w:rFonts w:hint="eastAsia" w:hAnsi="宋体"/>
        </w:rPr>
      </w:r>
      <w:r/>
    </w:p>
    <w:p>
      <w:pPr>
        <w:pStyle w:val="947"/>
        <w:ind w:firstLine="480"/>
        <w:spacing w:line="460" w:lineRule="exact"/>
        <w:rPr>
          <w:rFonts w:hint="eastAsia" w:hAnsi="宋体"/>
        </w:rPr>
      </w:pPr>
      <w:r>
        <w:rPr>
          <w:rFonts w:hint="eastAsia" w:hAnsi="宋体"/>
        </w:rPr>
        <w:t xml:space="preserve">我单位保证上述声明的事项都是真实的，如有虚假，我单位愿意承担相应的法律责任，并承担因此所造成的一切损失。</w:t>
      </w:r>
      <w:r/>
    </w:p>
    <w:p>
      <w:pPr>
        <w:pStyle w:val="947"/>
        <w:ind w:firstLine="480"/>
        <w:spacing w:line="460" w:lineRule="exact"/>
        <w:rPr>
          <w:rFonts w:hint="eastAsia" w:hAnsi="宋体"/>
        </w:rPr>
      </w:pPr>
      <w:r>
        <w:rPr>
          <w:rFonts w:hint="eastAsia" w:hAnsi="宋体"/>
        </w:rPr>
      </w:r>
      <w:r/>
    </w:p>
    <w:p>
      <w:pPr>
        <w:pStyle w:val="947"/>
        <w:ind w:firstLine="480"/>
        <w:spacing w:line="460" w:lineRule="exact"/>
        <w:rPr>
          <w:rFonts w:hint="eastAsia" w:hAnsi="宋体"/>
        </w:rPr>
      </w:pPr>
      <w:r>
        <w:rPr>
          <w:rFonts w:hint="eastAsia" w:hAnsi="宋体"/>
        </w:rPr>
      </w:r>
      <w:r/>
    </w:p>
    <w:p>
      <w:pPr>
        <w:pStyle w:val="947"/>
        <w:ind w:firstLine="840"/>
        <w:spacing w:line="460" w:lineRule="exact"/>
        <w:rPr>
          <w:rFonts w:hint="eastAsia" w:hAnsi="宋体"/>
        </w:rPr>
      </w:pPr>
      <w:r>
        <w:rPr>
          <w:rFonts w:hint="eastAsia" w:hAnsi="宋体"/>
        </w:rPr>
        <w:t xml:space="preserve">投标人：（加盖公章）</w:t>
      </w:r>
      <w:r/>
    </w:p>
    <w:p>
      <w:pPr>
        <w:pStyle w:val="947"/>
        <w:ind w:firstLine="840"/>
        <w:spacing w:line="460" w:lineRule="exact"/>
        <w:rPr>
          <w:rFonts w:hint="eastAsia" w:hAnsi="宋体"/>
        </w:rPr>
      </w:pPr>
      <w:r>
        <w:rPr>
          <w:rFonts w:hint="eastAsia" w:hAnsi="宋体"/>
        </w:rPr>
        <w:t xml:space="preserve">法定代表人（或单位负责人）签字或盖章：</w:t>
      </w:r>
      <w:r/>
    </w:p>
    <w:p>
      <w:pPr>
        <w:pStyle w:val="947"/>
        <w:ind w:firstLine="840"/>
        <w:spacing w:line="460" w:lineRule="exact"/>
        <w:rPr>
          <w:rFonts w:hint="eastAsia" w:hAnsi="宋体"/>
        </w:rPr>
      </w:pPr>
      <w:r>
        <w:rPr>
          <w:rFonts w:hint="eastAsia" w:hAnsi="宋体"/>
        </w:rPr>
        <w:t xml:space="preserve">日期：    年    月    日</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spacing w:line="360" w:lineRule="auto"/>
        <w:tabs>
          <w:tab w:val="left" w:pos="5580" w:leader="none"/>
        </w:tabs>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落实政府采购政策需满足的资格要求（如有）</w:t>
      </w:r>
      <w:r/>
    </w:p>
    <w:p>
      <w:pPr>
        <w:spacing w:line="360" w:lineRule="auto"/>
        <w:rPr>
          <w:rFonts w:hint="eastAsia" w:ascii="宋体" w:hAnsi="宋体"/>
          <w:b/>
          <w:sz w:val="24"/>
          <w:szCs w:val="20"/>
        </w:rPr>
        <w:outlineLvl w:val="2"/>
      </w:pPr>
      <w:r>
        <w:rPr>
          <w:rFonts w:ascii="宋体" w:hAnsi="宋体"/>
          <w:b/>
          <w:sz w:val="24"/>
          <w:szCs w:val="20"/>
        </w:rPr>
        <w:t xml:space="preserve">2-1</w:t>
      </w:r>
      <w:r>
        <w:rPr>
          <w:rFonts w:hint="eastAsia" w:ascii="宋体" w:hAnsi="宋体"/>
          <w:b/>
          <w:sz w:val="24"/>
          <w:szCs w:val="20"/>
        </w:rPr>
        <w:t xml:space="preserve">  </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rFonts w:hint="eastAsia" w:ascii="宋体" w:hAnsi="宋体"/>
          <w:sz w:val="24"/>
        </w:rPr>
      </w:pPr>
      <w:r>
        <w:rPr>
          <w:rFonts w:hint="eastAsia" w:ascii="宋体" w:hAnsi="宋体"/>
          <w:sz w:val="24"/>
        </w:rPr>
      </w:r>
      <w:r/>
    </w:p>
    <w:p>
      <w:pPr>
        <w:spacing w:line="360" w:lineRule="auto"/>
        <w:rPr>
          <w:rFonts w:hint="eastAsia" w:ascii="宋体" w:hAnsi="宋体"/>
          <w:b/>
          <w:sz w:val="24"/>
        </w:rPr>
        <w:outlineLvl w:val="2"/>
      </w:pPr>
      <w:r>
        <w:rPr>
          <w:rFonts w:ascii="宋体" w:hAnsi="宋体"/>
          <w:b/>
          <w:sz w:val="24"/>
          <w:szCs w:val="20"/>
        </w:rPr>
        <w:t xml:space="preserve">3 本项目的特定资格要求（如有）</w:t>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rPr>
      </w:pPr>
      <w:r>
        <w:rPr>
          <w:rFonts w:hint="eastAsia" w:ascii="宋体" w:hAnsi="宋体"/>
          <w:sz w:val="24"/>
        </w:rPr>
      </w:r>
      <w:r/>
    </w:p>
    <w:p>
      <w:pPr>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2" w:name="_Toc142311058"/>
      <w:r/>
      <w:bookmarkStart w:id="823" w:name="_Toc195842921"/>
      <w:r/>
      <w:bookmarkStart w:id="824" w:name="_Toc150774761"/>
      <w:r/>
      <w:bookmarkStart w:id="825" w:name="_Ref467988698"/>
      <w:r/>
      <w:bookmarkStart w:id="826" w:name="_Toc226337252"/>
      <w:r/>
      <w:bookmarkStart w:id="827" w:name="_Toc226965746"/>
      <w:r/>
      <w:bookmarkStart w:id="828" w:name="_Toc226309800"/>
      <w:r/>
      <w:bookmarkStart w:id="829" w:name="_Toc226965829"/>
      <w:r/>
      <w:bookmarkStart w:id="830" w:name="_Toc480942349"/>
      <w:r/>
      <w:bookmarkStart w:id="831" w:name="_Toc150480794"/>
      <w:r/>
      <w:bookmarkStart w:id="832" w:name="_Toc127151556"/>
      <w:r/>
      <w:bookmarkStart w:id="833" w:name="_Toc520356217"/>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rFonts w:hint="eastAsia"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b/>
          <w:sz w:val="24"/>
        </w:rPr>
        <w:t xml:space="preserve">函</w:t>
      </w:r>
      <w:r>
        <w:rPr>
          <w:rFonts w:ascii="宋体" w:hAnsi="宋体"/>
          <w:b/>
          <w:sz w:val="24"/>
          <w:szCs w:val="20"/>
        </w:rPr>
        <w:t xml:space="preserve">（实质性格式）</w:t>
      </w:r>
      <w:r/>
    </w:p>
    <w:p>
      <w:pPr>
        <w:spacing w:line="360" w:lineRule="auto"/>
        <w:tabs>
          <w:tab w:val="left" w:pos="5580" w:leader="none"/>
        </w:tabs>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pPr>
      <w:r>
        <w:rPr>
          <w:rFonts w:hint="eastAsia" w:ascii="宋体" w:hAnsi="宋体"/>
          <w:b/>
          <w:sz w:val="36"/>
          <w:szCs w:val="36"/>
        </w:rPr>
        <w:t xml:space="preserve">投标函</w:t>
      </w:r>
      <w:r/>
    </w:p>
    <w:p>
      <w:pPr>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hint="eastAsia" w:ascii="宋体" w:hAnsi="宋体"/>
          <w:sz w:val="24"/>
          <w:szCs w:val="20"/>
        </w:rPr>
      </w:pPr>
      <w:r>
        <w:rPr>
          <w:rFonts w:hint="eastAsia" w:ascii="宋体" w:hAnsi="宋体"/>
          <w:sz w:val="24"/>
          <w:szCs w:val="20"/>
        </w:rPr>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与本投标有关的一切正式往来信函请寄：</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 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日期：_____年______月______日    </w:t>
      </w:r>
      <w:r/>
    </w:p>
    <w:p>
      <w:pPr>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jc w:val="left"/>
        <w:widowControl/>
        <w:rPr>
          <w:rFonts w:hint="eastAsia" w:ascii="宋体" w:hAnsi="宋体"/>
          <w:b/>
          <w:sz w:val="24"/>
        </w:rPr>
      </w:pPr>
      <w:r/>
      <w:bookmarkStart w:id="834" w:name="_Hlt520356243"/>
      <w:r/>
      <w:bookmarkEnd w:id="834"/>
      <w:r/>
      <w:bookmarkStart w:id="835" w:name="_Hlt520355938"/>
      <w:r/>
      <w:bookmarkEnd w:id="835"/>
      <w:r>
        <w:rPr>
          <w:rFonts w:ascii="宋体" w:hAnsi="宋体"/>
          <w:sz w:val="24"/>
        </w:rPr>
        <w:br w:type="page" w:clear="all"/>
      </w:r>
      <w:r/>
    </w:p>
    <w:p>
      <w:pPr>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953"/>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9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rPr>
          <w:rFonts w:hint="eastAsia" w:ascii="宋体" w:hAnsi="宋体"/>
          <w:b/>
          <w:sz w:val="24"/>
        </w:rPr>
      </w:pPr>
      <w:r>
        <w:rPr>
          <w:rFonts w:hint="eastAsia" w:ascii="宋体" w:hAnsi="宋体"/>
          <w:b/>
          <w:sz w:val="24"/>
        </w:rPr>
        <w:br w:type="page" w:clear="all"/>
      </w:r>
      <w:r/>
    </w:p>
    <w:p>
      <w:pPr>
        <w:spacing w:line="360" w:lineRule="auto"/>
        <w:rPr>
          <w:rFonts w:hint="eastAsia"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357"/>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投标人公章：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85"/>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sz w:val="24"/>
        </w:rPr>
      </w:pPr>
      <w:r>
        <w:rPr>
          <w:rFonts w:hint="eastAsia" w:ascii="宋体" w:hAnsi="宋体" w:cs="宋体"/>
          <w:sz w:val="24"/>
        </w:rPr>
      </w:r>
      <w:r/>
    </w:p>
    <w:p>
      <w:pPr>
        <w:pStyle w:val="953"/>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Style w:val="9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pStyle w:val="953"/>
        <w:ind w:right="-46"/>
        <w:spacing w:line="583" w:lineRule="auto"/>
        <w:rPr>
          <w:rFonts w:hint="eastAsia"/>
          <w:b/>
          <w:bCs/>
        </w:rPr>
      </w:pPr>
      <w:r>
        <w:rPr>
          <w:rFonts w:hint="eastAsia"/>
          <w:b/>
          <w:bCs/>
        </w:rPr>
        <w:t xml:space="preserve">投标人近三个月内任意一个月（自开标之日往前推）为其缴纳社保的记录</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1.法定代表人参加投标时，不需要提供本授权委托书。</w:t>
      </w:r>
      <w:r/>
    </w:p>
    <w:p>
      <w:pPr>
        <w:pStyle w:val="1357"/>
        <w:spacing w:line="360" w:lineRule="exact"/>
        <w:rPr>
          <w:rFonts w:hint="eastAsia" w:cs="宋体"/>
          <w:sz w:val="21"/>
          <w:szCs w:val="21"/>
        </w:rPr>
      </w:pPr>
      <w:r>
        <w:rPr>
          <w:rFonts w:hint="eastAsia" w:cs="宋体"/>
          <w:sz w:val="21"/>
          <w:szCs w:val="21"/>
        </w:rPr>
        <w:t xml:space="preserve">2.投标人为自然人的情形，可不提供本《授权委托书》。</w:t>
      </w:r>
      <w:r/>
    </w:p>
    <w:p>
      <w:pPr>
        <w:jc w:val="left"/>
        <w:widowControl/>
        <w:rPr>
          <w:rFonts w:hint="eastAsia" w:ascii="宋体" w:hAnsi="宋体"/>
          <w:sz w:val="24"/>
        </w:rPr>
      </w:pPr>
      <w:r>
        <w:rPr>
          <w:rFonts w:hint="eastAsia" w:ascii="宋体" w:hAnsi="宋体"/>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p>
    <w:p>
      <w:pPr>
        <w:ind w:firstLine="321"/>
        <w:jc w:val="center"/>
        <w:spacing w:line="560" w:lineRule="exact"/>
        <w:rPr>
          <w:rFonts w:hint="eastAsia" w:ascii="宋体" w:hAnsi="宋体"/>
          <w:b/>
          <w:sz w:val="32"/>
          <w:szCs w:val="32"/>
        </w:rPr>
      </w:pPr>
      <w:r>
        <w:rPr>
          <w:rFonts w:hint="eastAsia" w:ascii="宋体" w:hAnsi="宋体"/>
          <w:b/>
          <w:sz w:val="32"/>
          <w:szCs w:val="32"/>
        </w:rPr>
      </w:r>
      <w:r/>
    </w:p>
    <w:p>
      <w:pPr>
        <w:ind w:firstLine="321"/>
        <w:jc w:val="center"/>
        <w:spacing w:line="560" w:lineRule="exact"/>
        <w:rPr>
          <w:rFonts w:hint="eastAsia" w:ascii="宋体" w:hAnsi="宋体"/>
          <w:b/>
          <w:sz w:val="32"/>
          <w:szCs w:val="32"/>
        </w:rPr>
      </w:pPr>
      <w:r>
        <w:rPr>
          <w:rFonts w:hint="eastAsia" w:ascii="宋体" w:hAnsi="宋体"/>
          <w:b/>
          <w:sz w:val="32"/>
          <w:szCs w:val="32"/>
        </w:rPr>
        <w:t xml:space="preserve">政府采购供应商信用承诺书</w:t>
      </w:r>
      <w:r/>
    </w:p>
    <w:p>
      <w:pPr>
        <w:ind w:firstLine="640"/>
        <w:rPr>
          <w:rFonts w:hint="eastAsia" w:ascii="宋体" w:hAnsi="宋体"/>
        </w:rPr>
      </w:pPr>
      <w:r>
        <w:rPr>
          <w:rFonts w:hint="eastAsia" w:ascii="宋体" w:hAnsi="宋体"/>
        </w:r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53"/>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bookmarkStart w:id="836" w:name="_Hlt520273711"/>
      <w:r/>
      <w:bookmarkEnd w:id="836"/>
      <w:r/>
      <w:bookmarkStart w:id="837" w:name="_Hlt520274407"/>
      <w:r/>
      <w:bookmarkEnd w:id="837"/>
      <w:r/>
      <w:bookmarkStart w:id="838" w:name="_Hlt520355504"/>
      <w:r/>
      <w:bookmarkEnd w:id="838"/>
      <w:r/>
      <w:bookmarkStart w:id="839" w:name="_Hlt520343392"/>
      <w:r/>
      <w:bookmarkEnd w:id="839"/>
      <w:r/>
      <w:bookmarkStart w:id="840" w:name="_Hlt520274121"/>
      <w:r/>
      <w:bookmarkEnd w:id="840"/>
      <w:r/>
      <w:bookmarkStart w:id="841" w:name="_Hlt520343000"/>
      <w:r/>
      <w:bookmarkEnd w:id="841"/>
      <w:r/>
      <w:bookmarkStart w:id="842" w:name="_Hlt520271212"/>
      <w:r/>
      <w:bookmarkEnd w:id="842"/>
      <w:r/>
      <w:bookmarkStart w:id="843" w:name="_Hlt520274065"/>
      <w:r/>
      <w:bookmarkEnd w:id="843"/>
      <w:r/>
      <w:bookmarkStart w:id="844" w:name="_Hlt520274393"/>
      <w:r/>
      <w:bookmarkEnd w:id="844"/>
      <w:r/>
      <w:bookmarkStart w:id="845" w:name="_Hlt520350918"/>
      <w:r/>
      <w:bookmarkEnd w:id="845"/>
      <w:r/>
      <w:bookmarkStart w:id="846" w:name="_Toc226965747"/>
      <w:r/>
      <w:bookmarkStart w:id="847" w:name="_Toc305158825"/>
      <w:r/>
      <w:bookmarkStart w:id="848" w:name="_Toc127151557"/>
      <w:r/>
      <w:bookmarkStart w:id="849" w:name="_Toc195842922"/>
      <w:r/>
      <w:bookmarkStart w:id="850" w:name="_Toc480942350"/>
      <w:r/>
      <w:bookmarkStart w:id="851" w:name="_Toc305158899"/>
      <w:r/>
      <w:bookmarkStart w:id="852" w:name="_Toc226309801"/>
      <w:r/>
      <w:bookmarkStart w:id="853" w:name="_Toc150774762"/>
      <w:r/>
      <w:bookmarkStart w:id="854" w:name="_Toc265228395"/>
      <w:r/>
      <w:bookmarkStart w:id="855" w:name="_Toc142311059"/>
      <w:r/>
      <w:bookmarkStart w:id="856" w:name="_Toc150480795"/>
      <w:r/>
      <w:bookmarkStart w:id="857" w:name="_Toc226965830"/>
      <w:r/>
      <w:bookmarkStart w:id="858" w:name="_Toc264969247"/>
      <w:r/>
      <w:bookmarkStart w:id="859" w:name="_Ref467988705"/>
      <w:r/>
      <w:bookmarkStart w:id="860" w:name="_Toc520356218"/>
      <w:r/>
      <w:bookmarkStart w:id="861" w:name="_Toc226337253"/>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b/>
          <w:sz w:val="24"/>
        </w:rPr>
        <w:t xml:space="preserve">（实质性格式）</w:t>
      </w:r>
      <w:r/>
    </w:p>
    <w:p>
      <w:pPr>
        <w:jc w:val="center"/>
        <w:spacing w:line="360" w:lineRule="exact"/>
        <w:rPr>
          <w:rFonts w:hint="eastAsia" w:ascii="宋体" w:hAnsi="宋体"/>
          <w:b/>
          <w:sz w:val="36"/>
          <w:szCs w:val="36"/>
        </w:rPr>
      </w:pPr>
      <w:r/>
      <w:bookmarkStart w:id="862" w:name="_Toc226965748"/>
      <w:r/>
      <w:bookmarkStart w:id="863" w:name="_Toc226337254"/>
      <w:r/>
      <w:bookmarkStart w:id="864" w:name="_Toc195842923"/>
      <w:r/>
      <w:bookmarkStart w:id="865" w:name="_Toc226965831"/>
      <w:r/>
      <w:bookmarkStart w:id="866" w:name="_Toc264969248"/>
      <w:r/>
      <w:bookmarkStart w:id="867" w:name="_Toc265228396"/>
      <w:r/>
      <w:bookmarkStart w:id="868" w:name="_Toc305158826"/>
      <w:r/>
      <w:bookmarkStart w:id="869" w:name="_Toc226309802"/>
      <w:r/>
      <w:bookmarkStart w:id="870" w:name="_Toc164608672"/>
      <w:r/>
      <w:bookmarkStart w:id="871" w:name="_Toc305158900"/>
      <w:r/>
      <w:bookmarkStart w:id="872" w:name="_Toc164608827"/>
      <w:r>
        <w:rPr>
          <w:rFonts w:hint="eastAsia" w:ascii="宋体" w:hAnsi="宋体"/>
          <w:b/>
          <w:sz w:val="36"/>
          <w:szCs w:val="36"/>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
    </w:p>
    <w:p>
      <w:pPr>
        <w:jc w:val="left"/>
        <w:spacing w:line="360" w:lineRule="auto"/>
        <w:tabs>
          <w:tab w:val="left" w:pos="1800" w:leader="none"/>
          <w:tab w:val="left" w:pos="5580" w:leader="none"/>
        </w:tabs>
        <w:rPr>
          <w:rFonts w:hint="eastAsia" w:ascii="宋体" w:hAnsi="宋体"/>
          <w:i/>
          <w:sz w:val="24"/>
        </w:rPr>
      </w:pPr>
      <w:r>
        <w:rPr>
          <w:rFonts w:hint="eastAsia" w:ascii="宋体" w:hAnsi="宋体"/>
          <w:i/>
          <w:sz w:val="24"/>
        </w:rPr>
      </w:r>
      <w:r/>
    </w:p>
    <w:p>
      <w:pPr>
        <w:ind w:firstLine="24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项目编号/包号：_____________________     项目名称：____________</w:t>
      </w:r>
      <w:r/>
    </w:p>
    <w:tbl>
      <w:tblPr>
        <w:tblStyle w:val="946"/>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jc w:val="center"/>
          <w:trHeight w:val="531"/>
        </w:trPr>
        <w:tc>
          <w:tcPr>
            <w:tcW w:w="412" w:type="pct"/>
            <w:vAlign w:val="center"/>
            <w:vMerge w:val="restart"/>
            <w:textDirection w:val="lrTb"/>
            <w:noWrap w:val="false"/>
          </w:tcPr>
          <w:p>
            <w:pPr>
              <w:jc w:val="center"/>
              <w:tabs>
                <w:tab w:val="left" w:pos="5580" w:leader="none"/>
              </w:tabs>
              <w:rPr>
                <w:rFonts w:hint="eastAsia"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jc w:val="center"/>
              <w:tabs>
                <w:tab w:val="left" w:pos="5580" w:leader="none"/>
              </w:tabs>
              <w:rPr>
                <w:rFonts w:hint="eastAsia"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投标报价</w:t>
            </w:r>
            <w:r/>
          </w:p>
        </w:tc>
      </w:tr>
      <w:tr>
        <w:trPr>
          <w:cantSplit/>
          <w:jc w:val="center"/>
          <w:trHeight w:val="674"/>
        </w:trPr>
        <w:tc>
          <w:tcPr>
            <w:tcW w:w="412"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vMerge w:val="continue"/>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大写</w:t>
            </w:r>
            <w:r/>
          </w:p>
        </w:tc>
        <w:tc>
          <w:tcPr>
            <w:tcW w:w="1182"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8"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1182"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r>
    </w:tbl>
    <w:p>
      <w:pPr>
        <w:jc w:val="left"/>
        <w:rPr>
          <w:rFonts w:hint="eastAsia" w:ascii="宋体" w:hAnsi="宋体"/>
          <w:sz w:val="24"/>
        </w:rPr>
      </w:pPr>
      <w:r>
        <w:rPr>
          <w:rFonts w:hint="eastAsia" w:ascii="宋体" w:hAnsi="宋体"/>
          <w:sz w:val="24"/>
        </w:rPr>
      </w:r>
      <w:r/>
    </w:p>
    <w:p>
      <w:pPr>
        <w:ind w:firstLine="480"/>
        <w:jc w:val="left"/>
        <w:rPr>
          <w:rFonts w:hint="eastAsia" w:ascii="宋体" w:hAnsi="宋体"/>
          <w:sz w:val="24"/>
          <w:szCs w:val="20"/>
        </w:rPr>
      </w:pPr>
      <w:r>
        <w:rPr>
          <w:rFonts w:hint="eastAsia" w:ascii="宋体" w:hAnsi="宋体"/>
          <w:sz w:val="24"/>
        </w:rPr>
        <w:t xml:space="preserve">1</w:t>
      </w:r>
      <w:r>
        <w:rPr>
          <w:rFonts w:hint="eastAsia" w:ascii="宋体" w:hAnsi="宋体"/>
          <w:sz w:val="24"/>
          <w:szCs w:val="20"/>
        </w:rPr>
        <w:t xml:space="preserve">.响应文件系统与此表中，每包的报价单位为：</w:t>
      </w:r>
      <w:r>
        <w:rPr>
          <w:rFonts w:hint="eastAsia" w:ascii="宋体" w:hAnsi="宋体" w:cs="宋体"/>
          <w:b/>
          <w:sz w:val="24"/>
        </w:rPr>
        <w:t xml:space="preserve">优惠下浮率</w:t>
      </w:r>
      <w:r>
        <w:rPr>
          <w:rFonts w:hint="eastAsia" w:ascii="宋体" w:hAnsi="宋体"/>
          <w:sz w:val="24"/>
          <w:szCs w:val="20"/>
        </w:rPr>
        <w:t xml:space="preserve">%。</w:t>
      </w:r>
      <w:r/>
    </w:p>
    <w:p>
      <w:pPr>
        <w:ind w:firstLine="480"/>
        <w:tabs>
          <w:tab w:val="left" w:pos="5580" w:leader="none"/>
        </w:tabs>
        <w:rPr>
          <w:rFonts w:hint="eastAsia" w:ascii="宋体" w:hAnsi="宋体"/>
          <w:sz w:val="24"/>
          <w:szCs w:val="20"/>
        </w:rPr>
      </w:pPr>
      <w:r>
        <w:rPr>
          <w:rFonts w:hint="eastAsia" w:ascii="宋体" w:hAnsi="宋体"/>
          <w:sz w:val="24"/>
          <w:szCs w:val="20"/>
        </w:rPr>
        <w:t xml:space="preserve">2.本表必须按包分别填写。</w:t>
      </w:r>
      <w:r/>
    </w:p>
    <w:p>
      <w:pPr>
        <w:ind w:firstLine="480"/>
        <w:tabs>
          <w:tab w:val="left" w:pos="5580" w:leader="none"/>
        </w:tabs>
        <w:rPr>
          <w:rFonts w:hint="eastAsia" w:ascii="宋体" w:hAnsi="宋体"/>
          <w:b/>
          <w:bCs/>
          <w:sz w:val="32"/>
          <w:szCs w:val="32"/>
        </w:rPr>
      </w:pPr>
      <w:r>
        <w:rPr>
          <w:rFonts w:hint="eastAsia" w:ascii="宋体" w:hAnsi="宋体"/>
          <w:b/>
          <w:bCs/>
          <w:sz w:val="32"/>
          <w:szCs w:val="32"/>
        </w:rPr>
        <w:t xml:space="preserve">3.供应商按优惠下浮率进行报价，价格分计算按（100%-优惠下浮率）进行计算。</w:t>
      </w:r>
      <w:r/>
    </w:p>
    <w:p>
      <w:pPr>
        <w:spacing w:before="25" w:after="25" w:line="360" w:lineRule="auto"/>
        <w:rPr>
          <w:rFonts w:hint="eastAsia" w:ascii="宋体" w:hAnsi="宋体"/>
          <w:sz w:val="24"/>
        </w:rPr>
      </w:pPr>
      <w:r>
        <w:rPr>
          <w:rFonts w:hint="eastAsia"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bookmarkStart w:id="873" w:name="_Toc226965749"/>
      <w:r/>
      <w:bookmarkStart w:id="874" w:name="_Toc142311060"/>
      <w:r/>
      <w:bookmarkStart w:id="875" w:name="_Toc195842924"/>
      <w:r/>
      <w:bookmarkStart w:id="876" w:name="_Toc150480796"/>
      <w:r/>
      <w:bookmarkStart w:id="877" w:name="_Toc226309803"/>
      <w:r/>
      <w:bookmarkStart w:id="878" w:name="_Toc305158827"/>
      <w:r/>
      <w:bookmarkStart w:id="879" w:name="_Toc150774763"/>
      <w:r/>
      <w:bookmarkStart w:id="880" w:name="_Toc127151558"/>
      <w:r/>
      <w:bookmarkStart w:id="881" w:name="_Toc226337255"/>
      <w:r/>
      <w:bookmarkStart w:id="882" w:name="_Toc264969249"/>
      <w:r/>
      <w:bookmarkStart w:id="883" w:name="_Toc305158901"/>
      <w:r/>
      <w:bookmarkStart w:id="884" w:name="_Toc226965832"/>
      <w:r/>
      <w:bookmarkStart w:id="885"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sz w:val="24"/>
        </w:rPr>
        <w:t xml:space="preserve">（实质性格式）</w:t>
      </w:r>
      <w:r/>
    </w:p>
    <w:p>
      <w:pPr>
        <w:jc w:val="center"/>
        <w:spacing w:line="360" w:lineRule="exact"/>
        <w:rPr>
          <w:rFonts w:hint="eastAsia" w:ascii="宋体" w:hAnsi="宋体"/>
          <w:sz w:val="36"/>
          <w:szCs w:val="36"/>
        </w:rPr>
      </w:pPr>
      <w:r>
        <w:rPr>
          <w:rFonts w:hint="eastAsia" w:ascii="宋体" w:hAnsi="宋体"/>
          <w:sz w:val="36"/>
          <w:szCs w:val="36"/>
        </w:rPr>
      </w:r>
      <w:r/>
    </w:p>
    <w:p>
      <w:pPr>
        <w:jc w:val="center"/>
        <w:spacing w:line="360" w:lineRule="exact"/>
        <w:rPr>
          <w:rFonts w:hint="eastAsia" w:ascii="宋体" w:hAnsi="宋体"/>
          <w:b/>
          <w:sz w:val="36"/>
          <w:szCs w:val="36"/>
        </w:rPr>
      </w:pPr>
      <w:r>
        <w:rPr>
          <w:rFonts w:hint="eastAsia" w:ascii="宋体" w:hAnsi="宋体"/>
          <w:b/>
          <w:sz w:val="36"/>
          <w:szCs w:val="36"/>
        </w:rPr>
        <w:t xml:space="preserve">投标分项报价表</w:t>
      </w:r>
      <w:r/>
    </w:p>
    <w:p>
      <w:pPr>
        <w:jc w:val="center"/>
        <w:spacing w:line="260" w:lineRule="exact"/>
        <w:rPr>
          <w:rFonts w:hint="eastAsia" w:ascii="宋体" w:hAnsi="宋体"/>
          <w:sz w:val="36"/>
          <w:szCs w:val="36"/>
        </w:rPr>
      </w:pPr>
      <w:r>
        <w:rPr>
          <w:rFonts w:hint="eastAsia" w:ascii="宋体" w:hAnsi="宋体"/>
          <w:sz w:val="36"/>
          <w:szCs w:val="36"/>
        </w:rPr>
      </w:r>
      <w:r/>
    </w:p>
    <w:p>
      <w:pPr>
        <w:tabs>
          <w:tab w:val="left" w:pos="1800" w:leader="none"/>
          <w:tab w:val="left" w:pos="5580" w:leader="none"/>
        </w:tabs>
        <w:rPr>
          <w:rFonts w:hint="eastAsia" w:ascii="宋体" w:hAnsi="宋体"/>
          <w:sz w:val="24"/>
        </w:rPr>
      </w:pPr>
      <w:r>
        <w:rPr>
          <w:rFonts w:ascii="宋体" w:hAnsi="宋体"/>
          <w:sz w:val="24"/>
        </w:rPr>
        <w:t xml:space="preserve">项目编号/包号：___________ 项目名称：__________报价单位：人民币元</w:t>
      </w:r>
      <w:r/>
    </w:p>
    <w:tbl>
      <w:tblPr>
        <w:tblStyle w:val="946"/>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w:t>
            </w:r>
            <w:r/>
          </w:p>
          <w:p>
            <w:pPr>
              <w:jc w:val="center"/>
              <w:spacing w:line="360" w:lineRule="auto"/>
              <w:widowControl/>
              <w:rPr>
                <w:rFonts w:hint="eastAsia" w:ascii="宋体" w:hAnsi="宋体" w:cs="Arial"/>
                <w:sz w:val="24"/>
              </w:rPr>
            </w:pPr>
            <w:r>
              <w:rPr>
                <w:rFonts w:hint="eastAsia" w:ascii="宋体" w:hAnsi="宋体" w:cs="Arial"/>
                <w:sz w:val="24"/>
              </w:rPr>
              <w:t xml:space="preserve">名称</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品牌商标</w:t>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规格型号</w:t>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技术参数</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     计</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jc w:val="left"/>
              <w:spacing w:line="360" w:lineRule="auto"/>
              <w:widowControl/>
              <w:rPr>
                <w:rFonts w:hint="eastAsia"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rPr>
          <w:rFonts w:ascii="宋体" w:hAnsi="宋体"/>
          <w:b/>
          <w:bCs/>
          <w:sz w:val="24"/>
        </w:rPr>
        <w:t xml:space="preserve">1.本表投标</w:t>
      </w:r>
      <w:r>
        <w:rPr>
          <w:rFonts w:hint="eastAsia" w:ascii="宋体" w:hAnsi="宋体" w:cs="Arial"/>
          <w:b/>
          <w:bCs/>
          <w:sz w:val="24"/>
        </w:rPr>
        <w:t xml:space="preserve">单价=《采购清单及技术要求》单价*（100%-优惠下浮率），计算结果四舍五入保留两位小数</w:t>
      </w:r>
      <w:r>
        <w:rPr>
          <w:rFonts w:ascii="宋体" w:hAnsi="宋体"/>
          <w:b/>
          <w:bCs/>
          <w:sz w:val="24"/>
        </w:rPr>
        <w:t xml:space="preserve">。</w:t>
      </w:r>
      <w:r>
        <w:rPr>
          <w:rFonts w:hint="eastAsia" w:ascii="宋体" w:hAnsi="宋体"/>
          <w:b/>
          <w:bCs/>
          <w:sz w:val="24"/>
        </w:rPr>
        <w:t xml:space="preserve">如有计算错误，以优惠下浮率为准进行调整，按上述规则进行调整。</w:t>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spacing w:before="25" w:after="25"/>
        <w:rPr>
          <w:rFonts w:hint="eastAsia"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bookmarkStart w:id="886" w:name="_Toc226309806"/>
      <w:r/>
      <w:bookmarkStart w:id="887" w:name="_Toc226337258"/>
      <w:r/>
      <w:bookmarkStart w:id="888" w:name="_Toc226965835"/>
      <w:r/>
      <w:bookmarkStart w:id="889" w:name="_Toc150480798"/>
      <w:r/>
      <w:bookmarkStart w:id="890" w:name="_Toc195842927"/>
      <w:r/>
      <w:bookmarkStart w:id="891" w:name="_Toc226965752"/>
      <w:r/>
      <w:bookmarkStart w:id="892" w:name="_Toc265228400"/>
      <w:r/>
      <w:bookmarkStart w:id="893" w:name="_Toc305158904"/>
      <w:r/>
      <w:bookmarkStart w:id="894" w:name="_Toc264969252"/>
      <w:r/>
      <w:bookmarkStart w:id="895" w:name="_Toc150774765"/>
      <w:r/>
      <w:bookmarkStart w:id="896" w:name="_Toc305158830"/>
      <w:r/>
      <w:bookmarkStart w:id="897" w:name="_Toc127151562"/>
      <w:r/>
      <w:bookmarkStart w:id="898" w:name="_Toc142311062"/>
      <w:r/>
      <w:bookmarkStart w:id="899" w:name="_Toc305158829"/>
      <w:r/>
      <w:bookmarkStart w:id="900" w:name="_Toc226965834"/>
      <w:r/>
      <w:bookmarkStart w:id="901" w:name="_Toc305158903"/>
      <w:r/>
      <w:bookmarkStart w:id="902" w:name="_Toc226965751"/>
      <w:r/>
      <w:bookmarkStart w:id="903" w:name="_Toc264969251"/>
      <w:r/>
      <w:bookmarkStart w:id="904" w:name="_Toc226337257"/>
      <w:r/>
      <w:bookmarkStart w:id="905" w:name="_Toc226309805"/>
      <w:r/>
      <w:bookmarkStart w:id="906" w:name="_Toc127151561"/>
      <w:r/>
      <w:bookmarkStart w:id="907" w:name="_Toc142311061"/>
      <w:r/>
      <w:bookmarkStart w:id="908" w:name="_Toc265228399"/>
      <w:r/>
      <w:bookmarkStart w:id="909" w:name="_Toc150774764"/>
      <w:r/>
      <w:bookmarkStart w:id="910" w:name="_Toc150480797"/>
      <w:r/>
      <w:bookmarkStart w:id="911" w:name="_Toc195842926"/>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sz w:val="24"/>
        </w:rPr>
        <w:t xml:space="preserve">（实质性格式）</w:t>
      </w:r>
      <w:r/>
    </w:p>
    <w:p>
      <w:pPr>
        <w:spacing w:line="360" w:lineRule="auto"/>
        <w:rPr>
          <w:rFonts w:hint="eastAsia" w:ascii="宋体" w:hAnsi="宋体"/>
          <w:sz w:val="24"/>
          <w:szCs w:val="20"/>
        </w:rPr>
      </w:pPr>
      <w:r>
        <w:rPr>
          <w:rFonts w:hint="eastAsia" w:ascii="宋体" w:hAnsi="宋体"/>
          <w:sz w:val="24"/>
          <w:szCs w:val="20"/>
        </w:rPr>
      </w:r>
      <w:r/>
    </w:p>
    <w:p>
      <w:pPr>
        <w:jc w:val="center"/>
        <w:spacing w:line="360" w:lineRule="auto"/>
        <w:tabs>
          <w:tab w:val="left" w:pos="2775" w:leader="none"/>
          <w:tab w:val="center" w:pos="4153" w:leader="none"/>
        </w:tabs>
        <w:rPr>
          <w:rFonts w:hint="eastAsia" w:ascii="宋体" w:hAnsi="宋体"/>
          <w:b/>
          <w:sz w:val="36"/>
          <w:szCs w:val="36"/>
        </w:rPr>
      </w:pPr>
      <w:r>
        <w:rPr>
          <w:rFonts w:hint="eastAsia" w:ascii="宋体" w:hAnsi="宋体"/>
          <w:b/>
          <w:sz w:val="36"/>
          <w:szCs w:val="36"/>
        </w:rPr>
        <w:t xml:space="preserve">合同条款偏离表</w:t>
      </w:r>
      <w:r/>
    </w:p>
    <w:p>
      <w:pPr>
        <w:spacing w:line="360" w:lineRule="auto"/>
        <w:rPr>
          <w:rFonts w:hint="eastAsia" w:ascii="宋体" w:hAnsi="宋体"/>
          <w:sz w:val="24"/>
          <w:szCs w:val="20"/>
        </w:rPr>
      </w:pPr>
      <w:r>
        <w:rPr>
          <w:rFonts w:hint="eastAsia" w:ascii="宋体" w:hAnsi="宋体"/>
          <w:sz w:val="24"/>
          <w:szCs w:val="20"/>
        </w:rPr>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项目编号/包号：_____________________     项目名称：_____________</w:t>
      </w:r>
      <w:r/>
    </w:p>
    <w:tbl>
      <w:tblPr>
        <w:tblStyle w:val="9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投标文件内容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sz w:val="24"/>
          <w:szCs w:val="20"/>
        </w:rPr>
        <w:t xml:space="preserve">采购需求偏离表（实质性格式）</w:t>
      </w:r>
      <w:r/>
    </w:p>
    <w:p>
      <w:pPr>
        <w:jc w:val="center"/>
        <w:spacing w:line="360" w:lineRule="auto"/>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6"/>
          <w:szCs w:val="36"/>
        </w:rPr>
      </w:pPr>
      <w:r>
        <w:rPr>
          <w:rFonts w:hint="eastAsia" w:ascii="宋体" w:hAnsi="宋体"/>
          <w:b/>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项目编号/包号：_____________________     项目名称：____________</w:t>
      </w:r>
      <w:r/>
    </w:p>
    <w:tbl>
      <w:tblPr>
        <w:tblStyle w:val="94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招标文件条目号(页码)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招标文件要求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投标响应内容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rFonts w:hint="eastAsia" w:ascii="宋体" w:hAnsi="宋体"/>
          <w:sz w:val="24"/>
          <w:u w:val="single"/>
        </w:rPr>
      </w:pPr>
      <w:r>
        <w:rPr>
          <w:rFonts w:hint="eastAsia" w:ascii="宋体" w:hAnsi="宋体"/>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spacing w:line="360" w:lineRule="auto"/>
        <w:tabs>
          <w:tab w:val="left" w:pos="5580" w:leader="none"/>
        </w:tabs>
        <w:rPr>
          <w:rFonts w:hint="eastAsia" w:ascii="宋体" w:hAnsi="宋体"/>
          <w:sz w:val="24"/>
        </w:rPr>
      </w:pPr>
      <w:r>
        <w:rPr>
          <w:rFonts w:hint="eastAsia" w:ascii="宋体" w:hAnsi="宋体"/>
          <w:sz w:val="24"/>
        </w:rPr>
        <w:t xml:space="preserve">说明：</w:t>
      </w:r>
      <w:r/>
    </w:p>
    <w:p>
      <w:pPr>
        <w:spacing w:line="360" w:lineRule="auto"/>
        <w:tabs>
          <w:tab w:val="left" w:pos="5580" w:leader="none"/>
        </w:tabs>
        <w:rPr>
          <w:rFonts w:hint="eastAsia"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hint="eastAsia" w:ascii="宋体" w:hAnsi="宋体"/>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fldChar w:fldCharType="begin"/>
      </w:r>
      <w:r>
        <w:instrText xml:space="preserve"> HYPERLINK "http://202.106.120.146/baosong/appweb/orgScale.html" \o "http://202.106.120.146/baosong/appweb/orgScale.html" </w:instrText>
      </w:r>
      <w:r>
        <w:fldChar w:fldCharType="separate"/>
      </w:r>
      <w:r>
        <w:rPr>
          <w:rStyle w:val="990"/>
          <w:rFonts w:ascii="宋体" w:hAnsi="宋体"/>
          <w:color w:val="000000"/>
          <w:sz w:val="24"/>
        </w:rPr>
        <w:t xml:space="preserve">http://202.106.120.146/baosong/appweb/orgScale.html</w:t>
      </w:r>
      <w:r>
        <w:rPr>
          <w:rStyle w:val="990"/>
          <w:rFonts w:ascii="宋体" w:hAnsi="宋体"/>
          <w:color w:val="000000"/>
          <w:sz w:val="24"/>
        </w:rPr>
        <w:fldChar w:fldCharType="end"/>
      </w:r>
      <w:r>
        <w:rPr>
          <w:rFonts w:hint="eastAsia" w:ascii="宋体" w:hAnsi="宋体"/>
          <w:sz w:val="24"/>
        </w:rPr>
        <w:t xml:space="preserve">）</w:t>
      </w:r>
      <w:r/>
    </w:p>
    <w:p>
      <w:pPr>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jc w:val="left"/>
        <w:widowControl/>
        <w:rPr>
          <w:rFonts w:hint="eastAsia" w:ascii="宋体" w:hAnsi="宋体"/>
          <w:b/>
          <w:bCs/>
          <w:sz w:val="24"/>
        </w:rPr>
      </w:pPr>
      <w:r>
        <w:rPr>
          <w:rFonts w:ascii="宋体" w:hAnsi="宋体"/>
          <w:b/>
          <w:bCs/>
          <w:sz w:val="24"/>
        </w:rPr>
        <w:br w:type="page" w:clear="all"/>
      </w:r>
      <w:r/>
    </w:p>
    <w:p>
      <w:pPr>
        <w:jc w:val="center"/>
        <w:spacing w:before="240" w:after="240" w:line="360" w:lineRule="auto"/>
        <w:rPr>
          <w:rFonts w:hint="eastAsia" w:ascii="宋体" w:hAnsi="宋体"/>
          <w:b/>
          <w:sz w:val="36"/>
          <w:szCs w:val="36"/>
        </w:rPr>
      </w:pPr>
      <w:r>
        <w:rPr>
          <w:rFonts w:ascii="宋体" w:hAnsi="宋体"/>
          <w:b/>
          <w:bCs/>
          <w:sz w:val="36"/>
          <w:szCs w:val="36"/>
        </w:rPr>
        <w:t xml:space="preserve">中小企业声明函（货物）格式</w:t>
      </w:r>
      <w:r/>
    </w:p>
    <w:p>
      <w:pPr>
        <w:ind w:left="220" w:right="415" w:firstLine="640"/>
        <w:jc w:val="left"/>
        <w:spacing w:line="360" w:lineRule="auto"/>
        <w:rPr>
          <w:rFonts w:hint="eastAsia"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工业</w:t>
      </w:r>
      <w:r>
        <w:rPr>
          <w:rFonts w:ascii="宋体" w:hAnsi="宋体"/>
          <w:iCs/>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fldChar w:fldCharType="begin"/>
      </w:r>
      <w:r>
        <w:instrText xml:space="preserve"> HYPERLINK \l "_bookmark0" \o "#_bookmark0" </w:instrText>
      </w:r>
      <w: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工业</w:t>
      </w:r>
      <w:r>
        <w:rPr>
          <w:rFonts w:ascii="宋体" w:hAnsi="宋体"/>
          <w:iCs/>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ind w:left="860"/>
        <w:jc w:val="left"/>
        <w:spacing w:line="360" w:lineRule="auto"/>
        <w:rPr>
          <w:rFonts w:hint="eastAsia" w:ascii="宋体" w:hAnsi="宋体"/>
          <w:sz w:val="24"/>
        </w:rPr>
      </w:pPr>
      <w:r>
        <w:rPr>
          <w:rFonts w:ascii="宋体" w:hAnsi="宋体"/>
          <w:sz w:val="24"/>
        </w:rPr>
        <w:t xml:space="preserve">……</w:t>
      </w:r>
      <w:r/>
    </w:p>
    <w:p>
      <w:pPr>
        <w:ind w:left="220" w:right="417" w:firstLine="645"/>
        <w:spacing w:line="360" w:lineRule="auto"/>
        <w:rPr>
          <w:rFonts w:hint="eastAsia"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hint="eastAsia" w:ascii="宋体" w:hAnsi="宋体"/>
          <w:sz w:val="24"/>
        </w:rPr>
      </w:pPr>
      <w:r>
        <w:rPr>
          <w:rFonts w:ascii="宋体" w:hAnsi="宋体"/>
          <w:sz w:val="24"/>
        </w:rPr>
        <w:t xml:space="preserve">本企业对上述声明内容的真实性负责。如有虚假，将依法承担相应责任。</w:t>
      </w:r>
      <w:r/>
    </w:p>
    <w:p>
      <w:pPr>
        <w:ind w:firstLine="504"/>
        <w:spacing w:line="360" w:lineRule="auto"/>
        <w:rPr>
          <w:rFonts w:hint="eastAsia" w:ascii="宋体" w:hAnsi="宋体"/>
          <w:spacing w:val="6"/>
          <w:sz w:val="24"/>
        </w:rPr>
      </w:pPr>
      <w:r>
        <w:rPr>
          <w:rFonts w:hint="eastAsia" w:ascii="宋体" w:hAnsi="宋体"/>
          <w:spacing w:val="6"/>
          <w:sz w:val="24"/>
        </w:rPr>
      </w:r>
      <w:r/>
    </w:p>
    <w:p>
      <w:pPr>
        <w:ind w:firstLine="504"/>
        <w:spacing w:line="360" w:lineRule="auto"/>
        <w:rPr>
          <w:rFonts w:hint="eastAsia" w:ascii="宋体" w:hAnsi="宋体"/>
          <w:spacing w:val="6"/>
          <w:sz w:val="24"/>
        </w:rPr>
      </w:pPr>
      <w:r>
        <w:rPr>
          <w:rFonts w:hint="eastAsia" w:ascii="宋体" w:hAnsi="宋体"/>
          <w:spacing w:val="6"/>
          <w:sz w:val="24"/>
        </w:rPr>
      </w:r>
      <w:r/>
    </w:p>
    <w:p>
      <w:pPr>
        <w:ind w:right="360" w:firstLine="480"/>
        <w:jc w:val="right"/>
        <w:spacing w:line="360" w:lineRule="auto"/>
        <w:rPr>
          <w:rFonts w:hint="eastAsia" w:ascii="宋体" w:hAnsi="宋体"/>
          <w:sz w:val="24"/>
        </w:rPr>
      </w:pPr>
      <w:r>
        <w:rPr>
          <w:rFonts w:ascii="宋体" w:hAnsi="宋体"/>
          <w:sz w:val="24"/>
        </w:rPr>
        <w:t xml:space="preserve">企业名称（加盖公章）：________</w:t>
      </w:r>
      <w:r/>
    </w:p>
    <w:p>
      <w:pPr>
        <w:ind w:right="360" w:firstLine="480"/>
        <w:jc w:val="right"/>
        <w:spacing w:line="360" w:lineRule="auto"/>
        <w:rPr>
          <w:rFonts w:hint="eastAsia" w:ascii="宋体" w:hAnsi="宋体"/>
          <w:sz w:val="24"/>
        </w:rPr>
      </w:pPr>
      <w:r>
        <w:rPr>
          <w:rFonts w:ascii="宋体" w:hAnsi="宋体"/>
          <w:sz w:val="24"/>
        </w:rPr>
        <w:t xml:space="preserve">日 期：________</w:t>
      </w:r>
      <w:r/>
    </w:p>
    <w:p>
      <w:pPr>
        <w:ind w:right="360" w:firstLine="480"/>
        <w:jc w:val="right"/>
        <w:spacing w:line="360" w:lineRule="auto"/>
        <w:rPr>
          <w:rFonts w:hint="eastAsia" w:ascii="宋体" w:hAnsi="宋体"/>
          <w:sz w:val="24"/>
        </w:rPr>
      </w:pPr>
      <w:r>
        <w:rPr>
          <w:rFonts w:hint="eastAsia" w:ascii="宋体" w:hAnsi="宋体"/>
          <w:sz w:val="24"/>
        </w:rPr>
      </w:r>
      <w:r/>
    </w:p>
    <w:p>
      <w:pPr>
        <w:ind w:right="360" w:firstLine="480"/>
        <w:jc w:val="right"/>
        <w:spacing w:line="360" w:lineRule="auto"/>
        <w:rPr>
          <w:rFonts w:hint="eastAsia" w:ascii="宋体" w:hAnsi="宋体"/>
          <w:sz w:val="24"/>
        </w:rPr>
      </w:pPr>
      <w:r>
        <w:rPr>
          <w:rFonts w:hint="eastAsia" w:ascii="宋体" w:hAnsi="宋体"/>
          <w:sz w:val="24"/>
        </w:rPr>
      </w:r>
      <w:r/>
    </w:p>
    <w:tbl>
      <w:tblPr>
        <w:tblStyle w:val="946"/>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ind w:firstLine="420"/>
        <w:jc w:val="lef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right="360" w:firstLine="480"/>
        <w:jc w:val="right"/>
        <w:spacing w:line="360" w:lineRule="auto"/>
        <w:rPr>
          <w:rFonts w:hint="eastAsia" w:ascii="宋体" w:hAnsi="宋体"/>
          <w:sz w:val="24"/>
        </w:rPr>
      </w:pPr>
      <w:r>
        <w:rPr>
          <w:rFonts w:hint="eastAsia" w:ascii="宋体" w:hAnsi="宋体"/>
          <w:sz w:val="24"/>
        </w:rPr>
      </w:r>
      <w:r/>
    </w:p>
    <w:p>
      <w:pPr>
        <w:ind w:right="360" w:firstLine="480"/>
        <w:jc w:val="right"/>
        <w:spacing w:line="360" w:lineRule="auto"/>
        <w:rPr>
          <w:rFonts w:hint="eastAsia" w:ascii="宋体" w:hAnsi="宋体"/>
          <w:sz w:val="24"/>
        </w:rPr>
      </w:pPr>
      <w:r>
        <w:rPr>
          <w:rFonts w:hint="eastAsia" w:ascii="宋体" w:hAnsi="宋体"/>
          <w:sz w:val="24"/>
        </w:rPr>
      </w:r>
      <w:r/>
    </w:p>
    <w:p>
      <w:pPr>
        <w:jc w:val="center"/>
        <w:spacing w:before="240" w:after="240" w:line="360" w:lineRule="auto"/>
        <w:rPr>
          <w:rFonts w:hint="eastAsia" w:ascii="宋体" w:hAnsi="宋体"/>
          <w:sz w:val="36"/>
          <w:szCs w:val="36"/>
        </w:rPr>
      </w:pPr>
      <w:r>
        <w:rPr>
          <w:rFonts w:ascii="宋体" w:hAnsi="宋体"/>
          <w:b/>
          <w:bCs/>
          <w:sz w:val="36"/>
          <w:szCs w:val="36"/>
        </w:rPr>
        <w:br w:type="page" w:clear="all"/>
      </w:r>
      <w:r>
        <w:rPr>
          <w:rFonts w:ascii="宋体" w:hAnsi="宋体"/>
          <w:b/>
          <w:bCs/>
          <w:sz w:val="36"/>
          <w:szCs w:val="36"/>
        </w:rPr>
        <w:t xml:space="preserve">残疾人福利性单位声明函格式</w:t>
      </w:r>
      <w:r>
        <w:rPr>
          <w:rFonts w:ascii="宋体" w:hAnsi="宋体"/>
          <w:sz w:val="36"/>
          <w:szCs w:val="36"/>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单位名称（加盖公章）：</w:t>
      </w:r>
      <w:r/>
    </w:p>
    <w:p>
      <w:pPr>
        <w:ind w:right="1560" w:firstLine="504"/>
        <w:jc w:val="center"/>
        <w:spacing w:line="588" w:lineRule="exact"/>
        <w:tabs>
          <w:tab w:val="left" w:pos="4860" w:leader="none"/>
        </w:tabs>
        <w:rPr>
          <w:rFonts w:hint="eastAsia" w:ascii="宋体" w:hAnsi="宋体"/>
          <w:b/>
          <w:sz w:val="24"/>
        </w:rPr>
      </w:pPr>
      <w:r>
        <w:rPr>
          <w:rFonts w:ascii="宋体" w:hAnsi="宋体"/>
          <w:spacing w:val="6"/>
          <w:sz w:val="24"/>
        </w:rPr>
        <w:t xml:space="preserve">       日  期：</w:t>
      </w:r>
      <w:r/>
    </w:p>
    <w:p>
      <w:pPr>
        <w:spacing w:line="360" w:lineRule="auto"/>
        <w:rPr>
          <w:rFonts w:hint="eastAsia"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p>
    <w:p>
      <w:pPr>
        <w:pStyle w:val="977"/>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77"/>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7"/>
        <w:ind w:firstLine="420"/>
        <w:spacing w:before="30" w:beforeAutospacing="0" w:after="30" w:afterAutospacing="0" w:line="0" w:lineRule="atLeast"/>
        <w:rPr>
          <w:rFonts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adj0" fmla="val 0"/>
                            <a:gd name="adj1" fmla="val 0"/>
                            <a:gd name="adj2" fmla="val 0"/>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3360;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adj0" fmla="val 0"/>
                            <a:gd name="adj1" fmla="val 0"/>
                            <a:gd name="adj2" fmla="val 0"/>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adj0" fmla="val 0"/>
                            <a:gd name="adj1" fmla="val 0"/>
                            <a:gd name="adj2" fmla="val 0"/>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ascii="方正魏碑_GBK" w:hAnsi="方正魏碑_GBK" w:eastAsia="方正魏碑_GBK" w:cs="方正魏碑_GBK"/>
        </w:rPr>
        <w:t xml:space="preserve">1.</w:t>
      </w:r>
      <w:r>
        <w:rPr>
          <w:rStyle w:val="989"/>
          <w:rFonts w:hint="eastAsia" w:ascii="方正魏碑_GBK" w:hAnsi="方正魏碑_GBK" w:eastAsia="方正魏碑_GBK" w:cs="方正魏碑_GBK"/>
          <w:color w:val="000000"/>
          <w:u w:val="single"/>
        </w:rPr>
        <w:t xml:space="preserve">（产品名称1）</w:t>
      </w:r>
      <w:r>
        <w:rPr>
          <w:rStyle w:val="989"/>
          <w:rFonts w:hint="eastAsia" w:ascii="方正魏碑_GBK" w:hAnsi="方正魏碑_GBK" w:eastAsia="方正魏碑_GBK" w:cs="方正魏碑_GBK"/>
          <w:color w:val="000000"/>
          <w:vertAlign w:val="superscript"/>
        </w:rPr>
        <w:t xml:space="preserve">1</w:t>
      </w:r>
      <w:r>
        <w:rPr>
          <w:rFonts w:hint="eastAsia" w:ascii="方正魏碑_GBK" w:hAnsi="方正魏碑_GBK" w:eastAsia="方正魏碑_GBK" w:cs="方正魏碑_GBK"/>
        </w:rPr>
        <w:t xml:space="preserve">，生产厂为</w:t>
      </w:r>
      <w:r>
        <w:rPr>
          <w:rStyle w:val="989"/>
          <w:rFonts w:hint="eastAsia" w:ascii="方正魏碑_GBK" w:hAnsi="方正魏碑_GBK" w:eastAsia="方正魏碑_GBK" w:cs="方正魏碑_GBK"/>
          <w:color w:val="000000"/>
          <w:u w:val="single"/>
        </w:rPr>
        <w:t xml:space="preserve">（厂名）</w:t>
      </w:r>
      <w:r>
        <w:rPr>
          <w:rStyle w:val="989"/>
          <w:rFonts w:hint="eastAsia" w:ascii="方正魏碑_GBK" w:hAnsi="方正魏碑_GBK" w:eastAsia="方正魏碑_GBK" w:cs="方正魏碑_GBK"/>
          <w:color w:val="000000"/>
          <w:vertAlign w:val="superscript"/>
        </w:rPr>
        <w:t xml:space="preserve">2</w:t>
      </w:r>
      <w:r>
        <w:rPr>
          <w:rFonts w:hint="eastAsia" w:ascii="方正魏碑_GBK" w:hAnsi="方正魏碑_GBK" w:eastAsia="方正魏碑_GBK" w:cs="方正魏碑_GBK"/>
        </w:rPr>
        <w:t xml:space="preserve">，厂址为</w:t>
      </w:r>
      <w:r>
        <w:rPr>
          <w:rStyle w:val="989"/>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u w:val="single"/>
        </w:rPr>
        <w:t xml:space="preserve"> </w:t>
      </w:r>
      <w:r>
        <w:rPr>
          <w:rStyle w:val="989"/>
          <w:rFonts w:hint="eastAsia" w:ascii="方正魏碑_GBK" w:hAnsi="方正魏碑_GBK" w:eastAsia="方正魏碑_GBK" w:cs="方正魏碑_GBK"/>
          <w:color w:val="000000"/>
          <w:u w:val="single"/>
        </w:rPr>
        <w:t xml:space="preserve">（产品名称1） </w:t>
      </w:r>
      <w:r>
        <w:rPr>
          <w:rFonts w:hint="eastAsia" w:ascii="方正魏碑_GBK" w:hAnsi="方正魏碑_GBK" w:eastAsia="方正魏碑_GBK" w:cs="方正魏碑_GBK"/>
        </w:rPr>
        <w:t xml:space="preserve">的中国境内生产的组件成本占比≥</w:t>
      </w:r>
      <w:r>
        <w:rPr>
          <w:rStyle w:val="989"/>
          <w:rFonts w:hint="eastAsia" w:ascii="方正魏碑_GBK" w:hAnsi="方正魏碑_GBK" w:eastAsia="方正魏碑_GBK" w:cs="方正魏碑_GBK"/>
          <w:color w:val="000000"/>
          <w:u w:val="single"/>
        </w:rPr>
        <w:t xml:space="preserve">（规定</w:t>
      </w:r>
      <w:r>
        <w:rPr>
          <w:rStyle w:val="989"/>
          <w:rFonts w:ascii="方正魏碑_GBK" w:hAnsi="方正魏碑_GBK" w:eastAsia="方正魏碑_GBK" w:cs="方正魏碑_GBK"/>
          <w:color w:val="000000"/>
          <w:u w:val="single"/>
        </w:rPr>
        <w:t xml:space="preserve">比例</w:t>
      </w:r>
      <w:r>
        <w:rPr>
          <w:rStyle w:val="989"/>
          <w:rFonts w:hint="eastAsia" w:ascii="方正魏碑_GBK" w:hAnsi="方正魏碑_GBK" w:eastAsia="方正魏碑_GBK" w:cs="方正魏碑_GBK"/>
          <w:color w:val="000000"/>
          <w:u w:val="single"/>
        </w:rPr>
        <w:t xml:space="preserve">）</w:t>
      </w:r>
      <w:r>
        <w:rPr>
          <w:rStyle w:val="989"/>
          <w:rFonts w:hint="eastAsia" w:ascii="方正魏碑_GBK" w:hAnsi="方正魏碑_GBK" w:eastAsia="方正魏碑_GBK" w:cs="方正魏碑_GBK"/>
          <w:color w:val="000000"/>
          <w:vertAlign w:val="superscript"/>
        </w:rPr>
        <w:t xml:space="preserve">3</w:t>
      </w:r>
      <w:r>
        <w:rPr>
          <w:rFonts w:hint="eastAsia" w:ascii="方正魏碑_GBK" w:hAnsi="方正魏碑_GBK" w:eastAsia="方正魏碑_GBK" w:cs="方正魏碑_GBK"/>
        </w:rPr>
        <w:t xml:space="preserve">。</w:t>
      </w:r>
      <w:r>
        <w:rPr>
          <w:rStyle w:val="989"/>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989"/>
          <w:rFonts w:hint="eastAsia" w:ascii="方正魏碑_GBK" w:hAnsi="方正魏碑_GBK" w:eastAsia="方正魏碑_GBK" w:cs="方正魏碑_GBK"/>
          <w:color w:val="000000"/>
          <w:u w:val="single"/>
        </w:rPr>
        <w:t xml:space="preserve">（关键</w:t>
      </w:r>
      <w:r>
        <w:rPr>
          <w:rStyle w:val="989"/>
          <w:rFonts w:ascii="方正魏碑_GBK" w:hAnsi="方正魏碑_GBK" w:eastAsia="方正魏碑_GBK" w:cs="方正魏碑_GBK"/>
          <w:color w:val="000000"/>
          <w:u w:val="single"/>
        </w:rPr>
        <w:t xml:space="preserve">组件</w:t>
      </w:r>
      <w:r>
        <w:rPr>
          <w:rStyle w:val="989"/>
          <w:rFonts w:hint="eastAsia" w:ascii="方正魏碑_GBK" w:hAnsi="方正魏碑_GBK" w:eastAsia="方正魏碑_GBK" w:cs="方正魏碑_GBK"/>
          <w:color w:val="000000"/>
          <w:u w:val="single"/>
        </w:rPr>
        <w:t xml:space="preserve">）</w:t>
      </w:r>
      <w:r>
        <w:rPr>
          <w:rStyle w:val="989"/>
          <w:rFonts w:hint="eastAsia" w:ascii="方正魏碑_GBK" w:hAnsi="方正魏碑_GBK" w:eastAsia="方正魏碑_GBK" w:cs="方正魏碑_GBK"/>
          <w:color w:val="000000"/>
          <w:vertAlign w:val="superscript"/>
        </w:rPr>
        <w:t xml:space="preserve">4</w:t>
      </w:r>
      <w:r>
        <w:rPr>
          <w:rFonts w:hint="eastAsia" w:ascii="方正魏碑_GBK" w:hAnsi="方正魏碑_GBK" w:eastAsia="方正魏碑_GBK" w:cs="方正魏碑_GBK"/>
        </w:rPr>
        <w:t xml:space="preserve">在中国境内生产。</w:t>
      </w:r>
      <w:r>
        <w:rPr>
          <w:rStyle w:val="989"/>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989"/>
          <w:rFonts w:hint="eastAsia" w:ascii="方正魏碑_GBK" w:hAnsi="方正魏碑_GBK" w:eastAsia="方正魏碑_GBK" w:cs="方正魏碑_GBK"/>
          <w:color w:val="000000"/>
          <w:u w:val="single"/>
        </w:rPr>
        <w:t xml:space="preserve">（关键工序）</w:t>
      </w:r>
      <w:r>
        <w:rPr>
          <w:rStyle w:val="989"/>
          <w:rFonts w:hint="eastAsia" w:ascii="方正魏碑_GBK" w:hAnsi="方正魏碑_GBK" w:eastAsia="方正魏碑_GBK" w:cs="方正魏碑_GBK"/>
          <w:color w:val="000000"/>
          <w:vertAlign w:val="superscript"/>
        </w:rPr>
        <w:t xml:space="preserve">5</w:t>
      </w:r>
      <w:r>
        <w:rPr>
          <w:rFonts w:hint="eastAsia" w:ascii="方正魏碑_GBK" w:hAnsi="方正魏碑_GBK" w:eastAsia="方正魏碑_GBK" w:cs="方正魏碑_GBK"/>
        </w:rPr>
        <w:t xml:space="preserve">在中国境内完成。</w:t>
      </w:r>
      <w:r/>
    </w:p>
    <w:p>
      <w:pPr>
        <w:pStyle w:val="977"/>
        <w:ind w:firstLine="420"/>
        <w:spacing w:before="30" w:beforeAutospacing="0" w:after="30" w:afterAutospacing="0" w:line="0" w:lineRule="atLeast"/>
        <w:rPr>
          <w:rFonts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70528;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71552;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adj0" fmla="val 0"/>
                            <a:gd name="adj1" fmla="val 0"/>
                            <a:gd name="adj2" fmla="val 0"/>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72576;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7" o:spid="_x0000_s17" style="position:absolute;z-index:251673600;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adj0" fmla="val 0"/>
                            <a:gd name="adj1" fmla="val 0"/>
                            <a:gd name="adj2" fmla="val 0"/>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8" o:spid="_x0000_s18" style="position:absolute;z-index:25167462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ascii="方正魏碑_GBK" w:hAnsi="方正魏碑_GBK" w:eastAsia="方正魏碑_GBK" w:cs="方正魏碑_GBK"/>
        </w:rPr>
        <w:t xml:space="preserve">2.</w:t>
      </w:r>
      <w:r>
        <w:rPr>
          <w:rStyle w:val="989"/>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，生产厂为</w:t>
      </w:r>
      <w:r>
        <w:rPr>
          <w:rStyle w:val="989"/>
          <w:rFonts w:hint="eastAsia" w:ascii="方正魏碑_GBK" w:hAnsi="方正魏碑_GBK" w:eastAsia="方正魏碑_GBK" w:cs="方正魏碑_GBK"/>
          <w:color w:val="000000"/>
          <w:u w:val="single"/>
        </w:rPr>
        <w:t xml:space="preserve">（厂名）</w:t>
      </w:r>
      <w:r>
        <w:rPr>
          <w:rFonts w:hint="eastAsia" w:ascii="方正魏碑_GBK" w:hAnsi="方正魏碑_GBK" w:eastAsia="方正魏碑_GBK" w:cs="方正魏碑_GBK"/>
        </w:rPr>
        <w:t xml:space="preserve">，厂址为</w:t>
      </w:r>
      <w:r>
        <w:rPr>
          <w:rStyle w:val="989"/>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Style w:val="989"/>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的中国境内生产的组件成本占比≥</w:t>
      </w:r>
      <w:r>
        <w:rPr>
          <w:rStyle w:val="989"/>
          <w:rFonts w:hint="eastAsia" w:ascii="方正魏碑_GBK" w:hAnsi="方正魏碑_GBK" w:eastAsia="方正魏碑_GBK" w:cs="方正魏碑_GBK"/>
          <w:color w:val="000000"/>
          <w:u w:val="single"/>
        </w:rPr>
        <w:t xml:space="preserve">（规定</w:t>
      </w:r>
      <w:r>
        <w:rPr>
          <w:rStyle w:val="989"/>
          <w:rFonts w:ascii="方正魏碑_GBK" w:hAnsi="方正魏碑_GBK" w:eastAsia="方正魏碑_GBK" w:cs="方正魏碑_GBK"/>
          <w:color w:val="000000"/>
          <w:u w:val="single"/>
        </w:rPr>
        <w:t xml:space="preserve">比例</w:t>
      </w:r>
      <w:r>
        <w:rPr>
          <w:rStyle w:val="989"/>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w:t>
      </w:r>
      <w:r>
        <w:rPr>
          <w:rStyle w:val="989"/>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989"/>
          <w:rFonts w:hint="eastAsia" w:ascii="方正魏碑_GBK" w:hAnsi="方正魏碑_GBK" w:eastAsia="方正魏碑_GBK" w:cs="方正魏碑_GBK"/>
          <w:color w:val="000000"/>
          <w:u w:val="single"/>
        </w:rPr>
        <w:t xml:space="preserve">（关键</w:t>
      </w:r>
      <w:r>
        <w:rPr>
          <w:rStyle w:val="989"/>
          <w:rFonts w:ascii="方正魏碑_GBK" w:hAnsi="方正魏碑_GBK" w:eastAsia="方正魏碑_GBK" w:cs="方正魏碑_GBK"/>
          <w:color w:val="000000"/>
          <w:u w:val="single"/>
        </w:rPr>
        <w:t xml:space="preserve">组件</w:t>
      </w:r>
      <w:r>
        <w:rPr>
          <w:rStyle w:val="989"/>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在中国境内生产。</w:t>
      </w:r>
      <w:r>
        <w:rPr>
          <w:rStyle w:val="989"/>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989"/>
          <w:rFonts w:hint="eastAsia" w:ascii="方正魏碑_GBK" w:hAnsi="方正魏碑_GBK" w:eastAsia="方正魏碑_GBK" w:cs="方正魏碑_GBK"/>
          <w:color w:val="000000"/>
          <w:u w:val="single"/>
        </w:rPr>
        <w:t xml:space="preserve">（关键工序）</w:t>
      </w:r>
      <w:r>
        <w:rPr>
          <w:rFonts w:hint="eastAsia" w:ascii="方正魏碑_GBK" w:hAnsi="方正魏碑_GBK" w:eastAsia="方正魏碑_GBK" w:cs="方正魏碑_GBK"/>
        </w:rPr>
        <w:t xml:space="preserve">在中国境内完成。</w:t>
      </w:r>
      <w:r/>
    </w:p>
    <w:p>
      <w:pPr>
        <w:pStyle w:val="97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w:t>
      </w:r>
      <w:r/>
    </w:p>
    <w:p>
      <w:pPr>
        <w:pStyle w:val="97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本公司（单位）对上述声明内容的真实性负责。如有虚假，愿承担相应法律责任。</w:t>
      </w:r>
      <w:r/>
    </w:p>
    <w:p>
      <w:pPr>
        <w:pStyle w:val="977"/>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77"/>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公司（单位）名称（盖章）：　        </w:t>
      </w:r>
      <w:r/>
    </w:p>
    <w:p>
      <w:pPr>
        <w:pStyle w:val="977"/>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                    </w:t>
      </w:r>
      <w:r>
        <w:rPr>
          <w:rFonts w:ascii="方正魏碑_GBK" w:hAnsi="方正魏碑_GBK" w:eastAsia="方正魏碑_GBK" w:cs="方正魏碑_GBK"/>
        </w:rPr>
        <w:t xml:space="preserve">            </w:t>
      </w:r>
      <w:r>
        <w:rPr>
          <w:rFonts w:hint="eastAsia" w:ascii="方正魏碑_GBK" w:hAnsi="方正魏碑_GBK" w:eastAsia="方正魏碑_GBK" w:cs="方正魏碑_GBK"/>
        </w:rPr>
        <w:t xml:space="preserve">日期：　   年　  月　  日         </w:t>
      </w:r>
      <w:r/>
    </w:p>
    <w:p>
      <w:pPr>
        <w:pStyle w:val="97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__________________</w:t>
      </w:r>
      <w:r/>
    </w:p>
    <w:p>
      <w:pPr>
        <w:pStyle w:val="97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1.产品如有型号，请在“产品名称”栏一并填写。</w:t>
      </w:r>
      <w:r/>
    </w:p>
    <w:p>
      <w:pPr>
        <w:pStyle w:val="97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2.生产厂名与厂址应与生产厂营业执照载明的相关信息保持一致。</w:t>
      </w:r>
      <w:r/>
    </w:p>
    <w:p>
      <w:pPr>
        <w:pStyle w:val="97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3.该产品的中国境内生产的组件成本占比相关要求实施前，“规定比例”栏可不填，下同。</w:t>
      </w:r>
      <w:r/>
    </w:p>
    <w:p>
      <w:pPr>
        <w:pStyle w:val="97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4.该产品的关键组件要求实施前，“关键组件”栏可不填，下同。</w:t>
      </w:r>
      <w:r/>
    </w:p>
    <w:p>
      <w:pPr>
        <w:pStyle w:val="97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5.该产品的关键工序要求实施前，“关键工序”栏可不填，下同。</w:t>
      </w:r>
      <w:r/>
    </w:p>
    <w:p>
      <w:pPr>
        <w:pStyle w:val="97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6.用斜线划除的地方无需填写。</w:t>
      </w:r>
      <w:r/>
    </w:p>
    <w:p>
      <w:pPr>
        <w:rPr>
          <w:rFonts w:ascii="方正魏碑_GBK" w:hAnsi="方正魏碑_GBK" w:eastAsia="方正魏碑_GBK" w:cs="方正魏碑_GBK"/>
        </w:rPr>
      </w:pPr>
      <w:r>
        <w:rPr>
          <w:rFonts w:hint="eastAsia" w:ascii="宋体" w:hAnsi="宋体"/>
          <w:b/>
          <w:sz w:val="24"/>
        </w:rPr>
        <w:br w:type="page" w:clear="all"/>
      </w:r>
      <w:r/>
    </w:p>
    <w:p>
      <w:pPr>
        <w:spacing w:line="360" w:lineRule="auto"/>
        <w:rPr>
          <w:rFonts w:hint="eastAsia"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评标标准</w:t>
      </w:r>
      <w:r/>
    </w:p>
    <w:p>
      <w:pPr>
        <w:ind w:firstLine="480"/>
        <w:spacing w:line="560" w:lineRule="exact"/>
        <w:rPr>
          <w:rFonts w:hint="eastAsia" w:ascii="宋体" w:hAnsi="宋体"/>
          <w:sz w:val="24"/>
          <w:szCs w:val="20"/>
        </w:rPr>
      </w:pPr>
      <w:r>
        <w:rPr>
          <w:rFonts w:hint="eastAsia" w:ascii="宋体" w:hAnsi="宋体"/>
          <w:sz w:val="24"/>
          <w:szCs w:val="20"/>
        </w:rPr>
      </w:r>
      <w:r/>
    </w:p>
    <w:p>
      <w:pPr>
        <w:spacing w:line="360" w:lineRule="auto"/>
        <w:rPr>
          <w:rFonts w:hint="eastAsia" w:ascii="宋体" w:hAnsi="宋体"/>
          <w:b/>
          <w:sz w:val="24"/>
        </w:rPr>
        <w:outlineLvl w:val="2"/>
      </w:pPr>
      <w:r>
        <w:rPr>
          <w:rFonts w:hint="eastAsia" w:ascii="宋体" w:hAnsi="宋体"/>
          <w:b/>
          <w:sz w:val="24"/>
        </w:rPr>
        <w:t xml:space="preserve">12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46"/>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rPr>
          <w:rFonts w:ascii="宋体" w:hAnsi="宋体"/>
          <w:sz w:val="22"/>
        </w:rPr>
        <w:br w:type="page" w:clear="all"/>
      </w:r>
      <w:bookmarkStart w:id="912" w:name="_Toc288738839"/>
      <w:r/>
      <w:bookmarkStart w:id="913" w:name="_Toc288738397"/>
      <w:r>
        <w:rPr>
          <w:rFonts w:hint="eastAsia" w:ascii="宋体" w:hAnsi="宋体"/>
          <w:b/>
          <w:sz w:val="24"/>
        </w:rPr>
        <w:t xml:space="preserve">13  相关业绩案例一览表</w:t>
      </w:r>
      <w:r/>
    </w:p>
    <w:p>
      <w:pPr>
        <w:rPr>
          <w:rFonts w:hint="eastAsia" w:ascii="宋体" w:hAnsi="宋体"/>
          <w:sz w:val="24"/>
          <w:szCs w:val="20"/>
        </w:rPr>
      </w:pPr>
      <w:r>
        <w:rPr>
          <w:rFonts w:hint="eastAsia" w:ascii="宋体" w:hAnsi="宋体"/>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12"/>
      <w:r/>
      <w:bookmarkEnd w:id="913"/>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4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jc w:val="center"/>
        <w:rPr>
          <w:rFonts w:hint="eastAsia" w:ascii="宋体" w:hAnsi="宋体" w:cs="黑体"/>
        </w:rPr>
      </w:pPr>
      <w:r>
        <w:rPr>
          <w:rFonts w:hint="eastAsia" w:ascii="宋体" w:hAnsi="宋体" w:cs="黑体"/>
          <w:b/>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方正小标宋简体">
    <w:panose1 w:val="020B0503020202020204"/>
  </w:font>
  <w:font w:name="方正魏碑_GBK">
    <w:panose1 w:val="020B0503020202020204"/>
  </w:font>
  <w:font w:name="MingLiU">
    <w:panose1 w:val="02020500000000000000"/>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rPr>
        <w:rStyle w:val="987"/>
      </w:rPr>
      <w:framePr w:wrap="around" w:vAnchor="text" w:hAnchor="margin" w:y="1"/>
    </w:pPr>
    <w:r/>
    <w:r/>
  </w:p>
  <w:p>
    <w:pPr>
      <w:pStyle w:val="965"/>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7"/>
      </w:rPr>
      <w:framePr w:wrap="around" w:vAnchor="text" w:hAnchor="margin" w:xAlign="center" w:y="1"/>
    </w:pPr>
    <w:r>
      <w:fldChar w:fldCharType="begin"/>
    </w:r>
    <w:r>
      <w:rPr>
        <w:rStyle w:val="987"/>
      </w:rPr>
      <w:instrText xml:space="preserve">PAGE  </w:instrText>
    </w:r>
    <w:r>
      <w:fldChar w:fldCharType="end"/>
    </w:r>
    <w:r/>
  </w:p>
  <w:p>
    <w:pPr>
      <w:pStyle w:val="96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7"/>
      </w:rPr>
      <w:framePr w:wrap="around" w:vAnchor="text" w:hAnchor="margin" w:xAlign="right" w:y="1"/>
    </w:pPr>
    <w:r/>
    <w:r/>
  </w:p>
  <w:p>
    <w:pPr>
      <w:pStyle w:val="96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89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7"/>
      </w:rPr>
      <w:framePr w:wrap="around" w:vAnchor="text" w:hAnchor="margin" w:xAlign="right" w:y="1"/>
    </w:pPr>
    <w:r>
      <w:rPr>
        <w:rStyle w:val="987"/>
      </w:rPr>
      <w:fldChar w:fldCharType="begin"/>
    </w:r>
    <w:r>
      <w:rPr>
        <w:rStyle w:val="987"/>
      </w:rPr>
      <w:instrText xml:space="preserve">PAGE  </w:instrText>
    </w:r>
    <w:r>
      <w:rPr>
        <w:rStyle w:val="987"/>
      </w:rPr>
      <w:fldChar w:fldCharType="end"/>
    </w:r>
    <w:r/>
  </w:p>
  <w:p>
    <w:pPr>
      <w:pStyle w:val="965"/>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7"/>
      </w:rPr>
      <w:framePr w:wrap="around" w:vAnchor="text" w:hAnchor="margin" w:xAlign="right" w:y="1"/>
    </w:pPr>
    <w:r>
      <w:rPr>
        <w:rStyle w:val="987"/>
      </w:rPr>
      <w:fldChar w:fldCharType="begin"/>
    </w:r>
    <w:r>
      <w:rPr>
        <w:rStyle w:val="987"/>
      </w:rPr>
      <w:instrText xml:space="preserve">PAGE  </w:instrText>
    </w:r>
    <w:r>
      <w:rPr>
        <w:rStyle w:val="987"/>
      </w:rPr>
      <w:fldChar w:fldCharType="end"/>
    </w:r>
    <w:r/>
  </w:p>
  <w:p>
    <w:pPr>
      <w:pStyle w:val="96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0" allowOverlap="1">
              <wp:simplePos x="0" y="0"/>
              <wp:positionH relativeFrom="margin">
                <wp:posOffset>-129540</wp:posOffset>
              </wp:positionH>
              <wp:positionV relativeFrom="margin">
                <wp:posOffset>2144395</wp:posOffset>
              </wp:positionV>
              <wp:extent cx="5401310" cy="5401310"/>
              <wp:effectExtent l="0" t="0" r="8890" b="8890"/>
              <wp:wrapNone/>
              <wp:docPr id="1" name="图片 19"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140156" name="图片 19" descr="标志"/>
                      <pic:cNvPicPr>
                        <a:picLocks noChangeAspect="1"/>
                      </pic:cNvPicPr>
                      <pic:nvPr/>
                    </pic:nvPicPr>
                    <pic:blipFill>
                      <a:blip r:embed="rId1">
                        <a:lum bright="70000" contrast="-70000"/>
                      </a:blip>
                      <a:stretch/>
                    </pic:blipFill>
                    <pic:spPr bwMode="auto">
                      <a:xfrm>
                        <a:off x="0" y="0"/>
                        <a:ext cx="5401310" cy="54013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1552;o:allowoverlap:true;o:allowincell:false;mso-position-horizontal-relative:margin;margin-left:-10.2pt;mso-position-horizontal:absolute;mso-position-vertical-relative:margin;margin-top:168.8pt;mso-position-vertical:absolute;width:425.3pt;height:425.3pt;mso-wrap-distance-left:9.0pt;mso-wrap-distance-top:0.0pt;mso-wrap-distance-right:9.0pt;mso-wrap-distance-bottom:0.0pt;" stroked="false">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0" allowOverlap="1">
              <wp:simplePos x="0" y="0"/>
              <wp:positionH relativeFrom="margin">
                <wp:posOffset>118745</wp:posOffset>
              </wp:positionH>
              <wp:positionV relativeFrom="margin">
                <wp:posOffset>1868170</wp:posOffset>
              </wp:positionV>
              <wp:extent cx="5401310" cy="5401310"/>
              <wp:effectExtent l="0" t="0" r="8890" b="8890"/>
              <wp:wrapNone/>
              <wp:docPr id="2" name="图片 17"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11230" name="图片 17" descr="标志"/>
                      <pic:cNvPicPr>
                        <a:picLocks noChangeAspect="1"/>
                      </pic:cNvPicPr>
                      <pic:nvPr/>
                    </pic:nvPicPr>
                    <pic:blipFill>
                      <a:blip r:embed="rId1">
                        <a:lum bright="70000" contrast="-70000"/>
                      </a:blip>
                      <a:stretch/>
                    </pic:blipFill>
                    <pic:spPr bwMode="auto">
                      <a:xfrm>
                        <a:off x="0" y="0"/>
                        <a:ext cx="5401310" cy="54013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7456;o:allowoverlap:true;o:allowincell:false;mso-position-horizontal-relative:margin;margin-left:9.3pt;mso-position-horizontal:absolute;mso-position-vertical-relative:margin;margin-top:147.1pt;mso-position-vertical:absolute;width:425.3pt;height:425.3pt;mso-wrap-distance-left:9.0pt;mso-wrap-distance-top:0.0pt;mso-wrap-distance-right:9.0pt;mso-wrap-distance-bottom:0.0pt;" stroked="false">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0" allowOverlap="1">
              <wp:simplePos x="0" y="0"/>
              <wp:positionH relativeFrom="margin">
                <wp:posOffset>59055</wp:posOffset>
              </wp:positionH>
              <wp:positionV relativeFrom="margin">
                <wp:posOffset>2323465</wp:posOffset>
              </wp:positionV>
              <wp:extent cx="5401310" cy="5401310"/>
              <wp:effectExtent l="0" t="0" r="8890" b="8890"/>
              <wp:wrapNone/>
              <wp:docPr id="3" name="图片 18"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587662" name="图片 18" descr="标志"/>
                      <pic:cNvPicPr>
                        <a:picLocks noChangeAspect="1"/>
                      </pic:cNvPicPr>
                      <pic:nvPr/>
                    </pic:nvPicPr>
                    <pic:blipFill>
                      <a:blip r:embed="rId1">
                        <a:lum bright="70000" contrast="-70000"/>
                      </a:blip>
                      <a:stretch/>
                    </pic:blipFill>
                    <pic:spPr bwMode="auto">
                      <a:xfrm>
                        <a:off x="0" y="0"/>
                        <a:ext cx="5401310" cy="54013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9504;o:allowoverlap:true;o:allowincell:false;mso-position-horizontal-relative:margin;margin-left:4.6pt;mso-position-horizontal:absolute;mso-position-vertical-relative:margin;margin-top:182.9pt;mso-position-vertical:absolute;width:425.3pt;height:425.3pt;mso-wrap-distance-left:9.0pt;mso-wrap-distance-top:0.0pt;mso-wrap-distance-right:9.0pt;mso-wrap-distance-bottom:0.0pt;" stroked="false">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chineseCountingThousand"/>
      <w:isLgl w:val="false"/>
      <w:suff w:val="tab"/>
      <w:lvlText w:val="第%1章"/>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6">
    <w:multiLevelType w:val="hybridMultilevel"/>
    <w:lvl w:ilvl="0">
      <w:start w:val="1"/>
      <w:numFmt w:val="decimal"/>
      <w:pStyle w:val="121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0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0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4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4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53"/>
      <w:isLgl w:val="false"/>
      <w:suff w:val="nothing"/>
      <w:lvlText w:val="%1.%2.%3.%4.%5.%6　"/>
      <w:lvlJc w:val="left"/>
      <w:pPr>
        <w:ind w:left="-25" w:firstLine="0"/>
      </w:pPr>
      <w:rPr>
        <w:rFonts w:ascii="Times New Roman" w:hAnsi="Times New Roman" w:eastAsia="宋体"/>
        <w:b/>
        <w:i w:val="0"/>
        <w:sz w:val="28"/>
      </w:rPr>
    </w:lvl>
    <w:lvl w:ilvl="6">
      <w:start w:val="1"/>
      <w:numFmt w:val="lowerLetter"/>
      <w:pStyle w:val="126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0">
    <w:multiLevelType w:val="hybridMultilevel"/>
    <w:lvl w:ilvl="0">
      <w:start w:val="1"/>
      <w:numFmt w:val="lowerLetter"/>
      <w:pStyle w:val="129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14"/>
      <w:isLgl w:val="false"/>
      <w:suff w:val="tab"/>
      <w:lvlText w:val="%1"/>
      <w:lvlJc w:val="left"/>
      <w:pPr>
        <w:ind w:left="680" w:hanging="680"/>
      </w:pPr>
      <w:rPr>
        <w:rFonts w:hint="eastAsia" w:ascii="宋体" w:hAnsi="宋体" w:eastAsia="宋体"/>
      </w:rPr>
    </w:lvl>
    <w:lvl w:ilvl="1">
      <w:start w:val="1"/>
      <w:numFmt w:val="decimal"/>
      <w:pStyle w:val="1315"/>
      <w:isLgl w:val="false"/>
      <w:suff w:val="tab"/>
      <w:lvlText w:val="%1.%2"/>
      <w:lvlJc w:val="left"/>
      <w:pPr>
        <w:ind w:left="851" w:hanging="851"/>
      </w:pPr>
      <w:rPr>
        <w:rFonts w:hint="eastAsia" w:ascii="宋体" w:hAnsi="宋体" w:eastAsia="宋体"/>
        <w:color w:val="000000"/>
      </w:rPr>
    </w:lvl>
    <w:lvl w:ilvl="2">
      <w:start w:val="1"/>
      <w:numFmt w:val="decimal"/>
      <w:pStyle w:val="131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1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7"/>
  </w:num>
  <w:num w:numId="4">
    <w:abstractNumId w:val="4"/>
  </w:num>
  <w:num w:numId="5">
    <w:abstractNumId w:val="3"/>
  </w:num>
  <w:num w:numId="6">
    <w:abstractNumId w:val="10"/>
  </w:num>
  <w:num w:numId="7">
    <w:abstractNumId w:val="13"/>
  </w:num>
  <w:num w:numId="8">
    <w:abstractNumId w:val="20"/>
  </w:num>
  <w:num w:numId="9">
    <w:abstractNumId w:val="9"/>
  </w:num>
  <w:num w:numId="10">
    <w:abstractNumId w:val="0"/>
  </w:num>
  <w:num w:numId="11">
    <w:abstractNumId w:val="14"/>
  </w:num>
  <w:num w:numId="12">
    <w:abstractNumId w:val="18"/>
  </w:num>
  <w:num w:numId="13">
    <w:abstractNumId w:val="5"/>
  </w:num>
  <w:num w:numId="14">
    <w:abstractNumId w:val="16"/>
    <w:lvlOverride w:ilvl="0">
      <w:startOverride w:val="1"/>
    </w:lvlOverride>
  </w:num>
  <w:num w:numId="15">
    <w:abstractNumId w:val="12"/>
    <w:lvlOverride w:ilvl="0">
      <w:startOverride w:val="1"/>
    </w:lvlOverride>
  </w:num>
  <w:num w:numId="16">
    <w:abstractNumId w:val="7"/>
    <w:lvlOverride w:ilvl="0">
      <w:startOverride w:val="1"/>
    </w:lvlOverride>
  </w:num>
  <w:num w:numId="17">
    <w:abstractNumId w:val="15"/>
    <w:lvlOverride w:ilvl="0">
      <w:startOverride w:val="2"/>
    </w:lvlOverride>
  </w:num>
  <w:num w:numId="18">
    <w:abstractNumId w:val="11"/>
    <w:lvlOverride w:ilvl="0">
      <w:startOverride w:val="6"/>
    </w:lvlOverride>
  </w:num>
  <w:num w:numId="19">
    <w:abstractNumId w:val="2"/>
    <w:lvlOverride w:ilvl="0">
      <w:startOverride w:val="16"/>
    </w:lvlOverride>
  </w:num>
  <w:num w:numId="20">
    <w:abstractNumId w:val="21"/>
    <w:lvlOverride w:ilvl="0">
      <w:startOverride w:val="23"/>
    </w:lvlOverride>
  </w:num>
  <w:num w:numId="21">
    <w:abstractNumId w:val="19"/>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15">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0">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1">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34">
    <w:name w:val="TOC Heading"/>
    <w:uiPriority w:val="39"/>
    <w:unhideWhenUsed/>
  </w:style>
  <w:style w:type="paragraph" w:styleId="93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6">
    <w:name w:val="Heading 1"/>
    <w:basedOn w:val="935"/>
    <w:next w:val="935"/>
    <w:link w:val="1147"/>
    <w:uiPriority w:val="0"/>
    <w:qFormat/>
    <w:pPr>
      <w:jc w:val="center"/>
      <w:keepLines/>
      <w:keepNext/>
      <w:spacing w:before="240" w:after="120" w:line="300" w:lineRule="auto"/>
      <w:outlineLvl w:val="0"/>
    </w:pPr>
    <w:rPr>
      <w:rFonts w:ascii="宋体"/>
      <w:b/>
      <w:sz w:val="32"/>
      <w:szCs w:val="20"/>
    </w:rPr>
  </w:style>
  <w:style w:type="paragraph" w:styleId="937">
    <w:name w:val="Heading 2"/>
    <w:basedOn w:val="935"/>
    <w:next w:val="947"/>
    <w:link w:val="1148"/>
    <w:uiPriority w:val="0"/>
    <w:qFormat/>
    <w:pPr>
      <w:jc w:val="center"/>
      <w:keepLines/>
      <w:keepNext/>
      <w:spacing w:before="120" w:line="300" w:lineRule="auto"/>
      <w:outlineLvl w:val="1"/>
    </w:pPr>
    <w:rPr>
      <w:rFonts w:ascii="Arial" w:hAnsi="Arial" w:eastAsia="黑体"/>
      <w:b/>
      <w:sz w:val="30"/>
      <w:szCs w:val="20"/>
    </w:rPr>
  </w:style>
  <w:style w:type="paragraph" w:styleId="938">
    <w:name w:val="Heading 3"/>
    <w:basedOn w:val="935"/>
    <w:next w:val="947"/>
    <w:link w:val="1150"/>
    <w:uiPriority w:val="9"/>
    <w:qFormat/>
    <w:pPr>
      <w:jc w:val="left"/>
      <w:keepLines/>
      <w:keepNext/>
      <w:spacing w:before="360" w:after="120"/>
      <w:outlineLvl w:val="2"/>
    </w:pPr>
    <w:rPr>
      <w:rFonts w:ascii="宋体"/>
      <w:b/>
      <w:sz w:val="24"/>
      <w:szCs w:val="20"/>
      <w:u w:val="single"/>
    </w:rPr>
  </w:style>
  <w:style w:type="paragraph" w:styleId="939">
    <w:name w:val="Heading 4"/>
    <w:basedOn w:val="935"/>
    <w:next w:val="935"/>
    <w:link w:val="1151"/>
    <w:uiPriority w:val="0"/>
    <w:qFormat/>
    <w:pPr>
      <w:keepLines/>
      <w:keepNext/>
      <w:spacing w:before="280" w:after="290" w:line="376" w:lineRule="atLeast"/>
      <w:outlineLvl w:val="3"/>
    </w:pPr>
    <w:rPr>
      <w:rFonts w:ascii="Arial" w:hAnsi="Arial" w:eastAsia="黑体"/>
      <w:b/>
      <w:sz w:val="28"/>
      <w:szCs w:val="20"/>
    </w:rPr>
  </w:style>
  <w:style w:type="paragraph" w:styleId="940">
    <w:name w:val="Heading 5"/>
    <w:basedOn w:val="935"/>
    <w:next w:val="935"/>
    <w:link w:val="1152"/>
    <w:uiPriority w:val="0"/>
    <w:qFormat/>
    <w:pPr>
      <w:keepLines/>
      <w:keepNext/>
      <w:spacing w:before="280" w:after="290" w:line="376" w:lineRule="atLeast"/>
      <w:outlineLvl w:val="4"/>
    </w:pPr>
    <w:rPr>
      <w:b/>
      <w:sz w:val="28"/>
      <w:szCs w:val="20"/>
    </w:rPr>
  </w:style>
  <w:style w:type="paragraph" w:styleId="941">
    <w:name w:val="Heading 6"/>
    <w:basedOn w:val="935"/>
    <w:next w:val="935"/>
    <w:link w:val="1153"/>
    <w:uiPriority w:val="0"/>
    <w:qFormat/>
    <w:pPr>
      <w:keepLines/>
      <w:keepNext/>
      <w:spacing w:before="240" w:after="64" w:line="320" w:lineRule="atLeast"/>
      <w:outlineLvl w:val="5"/>
    </w:pPr>
    <w:rPr>
      <w:rFonts w:ascii="Arial" w:hAnsi="Arial" w:eastAsia="黑体"/>
      <w:b/>
      <w:sz w:val="24"/>
      <w:szCs w:val="20"/>
    </w:rPr>
  </w:style>
  <w:style w:type="paragraph" w:styleId="942">
    <w:name w:val="Heading 7"/>
    <w:basedOn w:val="935"/>
    <w:next w:val="935"/>
    <w:link w:val="1154"/>
    <w:uiPriority w:val="0"/>
    <w:qFormat/>
    <w:pPr>
      <w:keepLines/>
      <w:keepNext/>
      <w:spacing w:before="240" w:after="64" w:line="320" w:lineRule="atLeast"/>
      <w:outlineLvl w:val="6"/>
    </w:pPr>
    <w:rPr>
      <w:b/>
      <w:sz w:val="24"/>
      <w:szCs w:val="20"/>
    </w:rPr>
  </w:style>
  <w:style w:type="paragraph" w:styleId="943">
    <w:name w:val="Heading 8"/>
    <w:basedOn w:val="935"/>
    <w:next w:val="935"/>
    <w:link w:val="1155"/>
    <w:uiPriority w:val="0"/>
    <w:qFormat/>
    <w:pPr>
      <w:keepLines/>
      <w:keepNext/>
      <w:spacing w:before="240" w:after="64" w:line="320" w:lineRule="atLeast"/>
      <w:outlineLvl w:val="7"/>
    </w:pPr>
    <w:rPr>
      <w:rFonts w:ascii="Arial" w:hAnsi="Arial" w:eastAsia="黑体"/>
      <w:sz w:val="24"/>
      <w:szCs w:val="20"/>
    </w:rPr>
  </w:style>
  <w:style w:type="paragraph" w:styleId="944">
    <w:name w:val="Heading 9"/>
    <w:basedOn w:val="935"/>
    <w:next w:val="935"/>
    <w:link w:val="1156"/>
    <w:uiPriority w:val="0"/>
    <w:qFormat/>
    <w:pPr>
      <w:keepLines/>
      <w:keepNext/>
      <w:spacing w:before="240" w:after="64" w:line="320" w:lineRule="atLeast"/>
      <w:outlineLvl w:val="8"/>
    </w:pPr>
    <w:rPr>
      <w:rFonts w:ascii="Arial" w:hAnsi="Arial" w:eastAsia="黑体"/>
      <w:szCs w:val="20"/>
    </w:rPr>
  </w:style>
  <w:style w:type="character" w:styleId="945" w:default="1">
    <w:name w:val="Default Paragraph Font"/>
    <w:uiPriority w:val="1"/>
    <w:semiHidden/>
    <w:unhideWhenUsed/>
  </w:style>
  <w:style w:type="table" w:styleId="946" w:default="1">
    <w:name w:val="Normal Table"/>
    <w:uiPriority w:val="99"/>
    <w:semiHidden/>
    <w:unhideWhenUsed/>
    <w:tblPr>
      <w:tblCellMar>
        <w:left w:w="108" w:type="dxa"/>
        <w:top w:w="0" w:type="dxa"/>
        <w:right w:w="108" w:type="dxa"/>
        <w:bottom w:w="0" w:type="dxa"/>
      </w:tblCellMar>
    </w:tblPr>
  </w:style>
  <w:style w:type="paragraph" w:styleId="947">
    <w:name w:val="Normal Indent"/>
    <w:basedOn w:val="935"/>
    <w:link w:val="1149"/>
    <w:uiPriority w:val="99"/>
    <w:qFormat/>
    <w:pPr>
      <w:ind w:firstLine="420"/>
      <w:jc w:val="left"/>
    </w:pPr>
    <w:rPr>
      <w:rFonts w:ascii="宋体"/>
      <w:sz w:val="24"/>
    </w:rPr>
  </w:style>
  <w:style w:type="paragraph" w:styleId="948">
    <w:name w:val="toc 7"/>
    <w:basedOn w:val="935"/>
    <w:next w:val="935"/>
    <w:uiPriority w:val="0"/>
    <w:unhideWhenUsed/>
    <w:qFormat/>
    <w:pPr>
      <w:ind w:left="1701"/>
      <w:spacing w:after="57"/>
    </w:pPr>
  </w:style>
  <w:style w:type="paragraph" w:styleId="949">
    <w:name w:val="Caption"/>
    <w:basedOn w:val="935"/>
    <w:next w:val="935"/>
    <w:uiPriority w:val="0"/>
    <w:qFormat/>
    <w:pPr>
      <w:spacing w:line="480" w:lineRule="auto"/>
    </w:pPr>
    <w:rPr>
      <w:rFonts w:ascii="华文中宋" w:hAnsi="华文中宋" w:eastAsia="华文中宋"/>
      <w:sz w:val="36"/>
      <w:szCs w:val="20"/>
    </w:rPr>
  </w:style>
  <w:style w:type="paragraph" w:styleId="950">
    <w:name w:val="Document Map"/>
    <w:basedOn w:val="935"/>
    <w:link w:val="1158"/>
    <w:uiPriority w:val="0"/>
    <w:qFormat/>
    <w:pPr>
      <w:shd w:val="clear" w:color="auto" w:fill="000080"/>
    </w:pPr>
  </w:style>
  <w:style w:type="paragraph" w:styleId="951">
    <w:name w:val="annotation text"/>
    <w:basedOn w:val="935"/>
    <w:link w:val="1159"/>
    <w:uiPriority w:val="0"/>
    <w:qFormat/>
    <w:pPr>
      <w:jc w:val="left"/>
    </w:pPr>
  </w:style>
  <w:style w:type="paragraph" w:styleId="952">
    <w:name w:val="Body Text 3"/>
    <w:basedOn w:val="935"/>
    <w:link w:val="1160"/>
    <w:uiPriority w:val="0"/>
    <w:qFormat/>
    <w:pPr>
      <w:spacing w:after="120"/>
    </w:pPr>
    <w:rPr>
      <w:sz w:val="16"/>
      <w:szCs w:val="16"/>
    </w:rPr>
  </w:style>
  <w:style w:type="paragraph" w:styleId="953">
    <w:name w:val="Body Text"/>
    <w:basedOn w:val="935"/>
    <w:link w:val="1161"/>
    <w:uiPriority w:val="0"/>
    <w:qFormat/>
    <w:pPr>
      <w:spacing w:before="120" w:line="22" w:lineRule="atLeast"/>
      <w:tabs>
        <w:tab w:val="left" w:pos="567" w:leader="none"/>
      </w:tabs>
    </w:pPr>
    <w:rPr>
      <w:rFonts w:ascii="宋体" w:hAnsi="宋体"/>
      <w:sz w:val="24"/>
    </w:rPr>
  </w:style>
  <w:style w:type="paragraph" w:styleId="954">
    <w:name w:val="Body Text Indent"/>
    <w:basedOn w:val="935"/>
    <w:link w:val="1162"/>
    <w:uiPriority w:val="0"/>
    <w:qFormat/>
    <w:pPr>
      <w:ind w:firstLine="570"/>
      <w:spacing w:line="360" w:lineRule="auto"/>
    </w:pPr>
    <w:rPr>
      <w:sz w:val="24"/>
    </w:rPr>
  </w:style>
  <w:style w:type="paragraph" w:styleId="955">
    <w:name w:val="List 2"/>
    <w:basedOn w:val="935"/>
    <w:uiPriority w:val="0"/>
    <w:qFormat/>
    <w:pPr>
      <w:ind w:left="100" w:hanging="200"/>
    </w:pPr>
  </w:style>
  <w:style w:type="paragraph" w:styleId="956">
    <w:name w:val="Block Text"/>
    <w:basedOn w:val="935"/>
    <w:uiPriority w:val="0"/>
    <w:qFormat/>
    <w:pPr>
      <w:ind w:left="480" w:right="-341" w:firstLine="513"/>
      <w:widowControl/>
    </w:pPr>
    <w:rPr>
      <w:sz w:val="24"/>
      <w:szCs w:val="20"/>
    </w:rPr>
  </w:style>
  <w:style w:type="paragraph" w:styleId="957">
    <w:name w:val="toc 5"/>
    <w:basedOn w:val="935"/>
    <w:next w:val="935"/>
    <w:uiPriority w:val="0"/>
    <w:unhideWhenUsed/>
    <w:qFormat/>
    <w:pPr>
      <w:ind w:left="1134"/>
      <w:spacing w:after="57"/>
    </w:pPr>
  </w:style>
  <w:style w:type="paragraph" w:styleId="958">
    <w:name w:val="toc 3"/>
    <w:basedOn w:val="935"/>
    <w:next w:val="935"/>
    <w:uiPriority w:val="39"/>
    <w:unhideWhenUsed/>
    <w:qFormat/>
    <w:pPr>
      <w:ind w:left="567"/>
      <w:spacing w:after="57"/>
    </w:pPr>
  </w:style>
  <w:style w:type="paragraph" w:styleId="959">
    <w:name w:val="Plain Text"/>
    <w:basedOn w:val="935"/>
    <w:link w:val="1165"/>
    <w:uiPriority w:val="0"/>
    <w:qFormat/>
    <w:rPr>
      <w:rFonts w:hint="eastAsia" w:ascii="宋体" w:hAnsi="Courier New"/>
      <w:szCs w:val="20"/>
    </w:rPr>
  </w:style>
  <w:style w:type="paragraph" w:styleId="960">
    <w:name w:val="toc 8"/>
    <w:basedOn w:val="935"/>
    <w:next w:val="935"/>
    <w:uiPriority w:val="0"/>
    <w:unhideWhenUsed/>
    <w:qFormat/>
    <w:pPr>
      <w:ind w:left="1984"/>
      <w:spacing w:after="57"/>
    </w:pPr>
  </w:style>
  <w:style w:type="paragraph" w:styleId="961">
    <w:name w:val="Date"/>
    <w:basedOn w:val="935"/>
    <w:next w:val="935"/>
    <w:link w:val="1167"/>
    <w:uiPriority w:val="0"/>
    <w:qFormat/>
    <w:pPr>
      <w:ind w:left="100"/>
    </w:pPr>
    <w:rPr>
      <w:rFonts w:ascii="仿宋_GB2312" w:hAnsi="宋体" w:eastAsia="仿宋_GB2312"/>
      <w:color w:val="000000"/>
      <w:sz w:val="24"/>
    </w:rPr>
  </w:style>
  <w:style w:type="paragraph" w:styleId="962">
    <w:name w:val="Body Text Indent 2"/>
    <w:basedOn w:val="935"/>
    <w:link w:val="1168"/>
    <w:uiPriority w:val="0"/>
    <w:qFormat/>
    <w:pPr>
      <w:ind w:firstLine="480"/>
    </w:pPr>
    <w:rPr>
      <w:rFonts w:ascii="仿宋_GB2312" w:eastAsia="仿宋_GB2312"/>
      <w:sz w:val="24"/>
    </w:rPr>
  </w:style>
  <w:style w:type="paragraph" w:styleId="963">
    <w:name w:val="endnote text"/>
    <w:basedOn w:val="935"/>
    <w:link w:val="1145"/>
    <w:uiPriority w:val="99"/>
    <w:semiHidden/>
    <w:unhideWhenUsed/>
    <w:qFormat/>
    <w:rPr>
      <w:sz w:val="20"/>
    </w:rPr>
  </w:style>
  <w:style w:type="paragraph" w:styleId="964">
    <w:name w:val="Balloon Text"/>
    <w:basedOn w:val="935"/>
    <w:link w:val="1169"/>
    <w:uiPriority w:val="0"/>
    <w:qFormat/>
    <w:rPr>
      <w:sz w:val="18"/>
      <w:szCs w:val="18"/>
    </w:rPr>
  </w:style>
  <w:style w:type="paragraph" w:styleId="965">
    <w:name w:val="Footer"/>
    <w:basedOn w:val="935"/>
    <w:link w:val="1170"/>
    <w:uiPriority w:val="0"/>
    <w:qFormat/>
    <w:pPr>
      <w:jc w:val="left"/>
      <w:tabs>
        <w:tab w:val="center" w:pos="4153" w:leader="none"/>
        <w:tab w:val="right" w:pos="8306" w:leader="none"/>
      </w:tabs>
    </w:pPr>
    <w:rPr>
      <w:rFonts w:ascii="宋体"/>
      <w:sz w:val="18"/>
      <w:szCs w:val="20"/>
    </w:rPr>
  </w:style>
  <w:style w:type="paragraph" w:styleId="966">
    <w:name w:val="Header"/>
    <w:basedOn w:val="935"/>
    <w:link w:val="1171"/>
    <w:uiPriority w:val="0"/>
    <w:qFormat/>
    <w:pPr>
      <w:jc w:val="center"/>
      <w:tabs>
        <w:tab w:val="center" w:pos="4153" w:leader="none"/>
        <w:tab w:val="right" w:pos="8306" w:leader="none"/>
      </w:tabs>
      <w:pBdr>
        <w:bottom w:val="single" w:color="000000" w:sz="6" w:space="1"/>
      </w:pBdr>
    </w:pPr>
    <w:rPr>
      <w:sz w:val="18"/>
      <w:szCs w:val="18"/>
    </w:rPr>
  </w:style>
  <w:style w:type="paragraph" w:styleId="967">
    <w:name w:val="toc 1"/>
    <w:basedOn w:val="935"/>
    <w:next w:val="935"/>
    <w:uiPriority w:val="39"/>
    <w:unhideWhenUsed/>
    <w:qFormat/>
    <w:pPr>
      <w:spacing w:after="57"/>
    </w:pPr>
  </w:style>
  <w:style w:type="paragraph" w:styleId="968">
    <w:name w:val="toc 4"/>
    <w:basedOn w:val="935"/>
    <w:next w:val="935"/>
    <w:uiPriority w:val="0"/>
    <w:unhideWhenUsed/>
    <w:qFormat/>
    <w:pPr>
      <w:ind w:left="850"/>
      <w:spacing w:after="57"/>
    </w:pPr>
  </w:style>
  <w:style w:type="paragraph" w:styleId="969">
    <w:name w:val="Subtitle"/>
    <w:basedOn w:val="935"/>
    <w:next w:val="935"/>
    <w:link w:val="1011"/>
    <w:uiPriority w:val="11"/>
    <w:qFormat/>
    <w:pPr>
      <w:spacing w:before="200" w:after="200"/>
    </w:pPr>
    <w:rPr>
      <w:sz w:val="24"/>
    </w:rPr>
  </w:style>
  <w:style w:type="paragraph" w:styleId="970">
    <w:name w:val="footnote text"/>
    <w:basedOn w:val="935"/>
    <w:link w:val="1144"/>
    <w:uiPriority w:val="99"/>
    <w:semiHidden/>
    <w:unhideWhenUsed/>
    <w:qFormat/>
    <w:pPr>
      <w:spacing w:after="40"/>
    </w:pPr>
    <w:rPr>
      <w:sz w:val="18"/>
    </w:rPr>
  </w:style>
  <w:style w:type="paragraph" w:styleId="971">
    <w:name w:val="toc 6"/>
    <w:basedOn w:val="935"/>
    <w:next w:val="935"/>
    <w:uiPriority w:val="0"/>
    <w:unhideWhenUsed/>
    <w:qFormat/>
    <w:pPr>
      <w:ind w:left="1417"/>
      <w:spacing w:after="57"/>
    </w:pPr>
  </w:style>
  <w:style w:type="paragraph" w:styleId="972">
    <w:name w:val="Body Text Indent 3"/>
    <w:basedOn w:val="935"/>
    <w:link w:val="1175"/>
    <w:uiPriority w:val="0"/>
    <w:qFormat/>
    <w:pPr>
      <w:ind w:left="720" w:firstLine="480"/>
      <w:jc w:val="left"/>
      <w:spacing w:before="120" w:line="22" w:lineRule="atLeast"/>
    </w:pPr>
    <w:rPr>
      <w:rFonts w:ascii="宋体"/>
      <w:sz w:val="24"/>
      <w:szCs w:val="20"/>
    </w:rPr>
  </w:style>
  <w:style w:type="paragraph" w:styleId="973">
    <w:name w:val="table of figures"/>
    <w:basedOn w:val="935"/>
    <w:next w:val="935"/>
    <w:uiPriority w:val="99"/>
    <w:unhideWhenUsed/>
    <w:qFormat/>
  </w:style>
  <w:style w:type="paragraph" w:styleId="974">
    <w:name w:val="toc 2"/>
    <w:basedOn w:val="935"/>
    <w:next w:val="935"/>
    <w:uiPriority w:val="39"/>
    <w:unhideWhenUsed/>
    <w:qFormat/>
    <w:pPr>
      <w:ind w:left="283"/>
      <w:spacing w:after="57"/>
    </w:pPr>
  </w:style>
  <w:style w:type="paragraph" w:styleId="975">
    <w:name w:val="toc 9"/>
    <w:basedOn w:val="935"/>
    <w:next w:val="935"/>
    <w:uiPriority w:val="0"/>
    <w:unhideWhenUsed/>
    <w:qFormat/>
    <w:pPr>
      <w:ind w:left="2268"/>
      <w:spacing w:after="57"/>
    </w:pPr>
  </w:style>
  <w:style w:type="paragraph" w:styleId="976">
    <w:name w:val="HTML Preformatted"/>
    <w:basedOn w:val="935"/>
    <w:link w:val="11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7">
    <w:name w:val="Normal (Web)"/>
    <w:basedOn w:val="935"/>
    <w:uiPriority w:val="99"/>
    <w:unhideWhenUsed/>
    <w:qFormat/>
    <w:pPr>
      <w:jc w:val="left"/>
      <w:spacing w:before="100" w:beforeAutospacing="1" w:after="100" w:afterAutospacing="1"/>
      <w:widowControl/>
    </w:pPr>
    <w:rPr>
      <w:rFonts w:ascii="宋体" w:hAnsi="宋体" w:cs="宋体"/>
      <w:sz w:val="24"/>
    </w:rPr>
  </w:style>
  <w:style w:type="paragraph" w:styleId="978">
    <w:name w:val="index 1"/>
    <w:basedOn w:val="935"/>
    <w:next w:val="935"/>
    <w:uiPriority w:val="0"/>
    <w:qFormat/>
    <w:rPr>
      <w:szCs w:val="20"/>
    </w:rPr>
  </w:style>
  <w:style w:type="paragraph" w:styleId="979">
    <w:name w:val="Title"/>
    <w:basedOn w:val="935"/>
    <w:link w:val="1179"/>
    <w:uiPriority w:val="0"/>
    <w:qFormat/>
    <w:pPr>
      <w:jc w:val="center"/>
      <w:outlineLvl w:val="0"/>
    </w:pPr>
    <w:rPr>
      <w:b/>
      <w:sz w:val="32"/>
      <w:szCs w:val="20"/>
    </w:rPr>
  </w:style>
  <w:style w:type="paragraph" w:styleId="980">
    <w:name w:val="annotation subject"/>
    <w:basedOn w:val="951"/>
    <w:next w:val="951"/>
    <w:link w:val="1180"/>
    <w:uiPriority w:val="0"/>
    <w:qFormat/>
    <w:rPr>
      <w:b/>
      <w:bCs/>
    </w:rPr>
  </w:style>
  <w:style w:type="paragraph" w:styleId="981">
    <w:name w:val="Body Text First Indent"/>
    <w:basedOn w:val="953"/>
    <w:link w:val="1367"/>
    <w:uiPriority w:val="0"/>
    <w:qFormat/>
    <w:pPr>
      <w:ind w:firstLine="420"/>
      <w:spacing w:line="240" w:lineRule="auto"/>
    </w:pPr>
    <w:rPr>
      <w:rFonts w:ascii="Calibri" w:hAnsi="Calibri"/>
      <w:sz w:val="21"/>
    </w:rPr>
  </w:style>
  <w:style w:type="paragraph" w:styleId="982">
    <w:name w:val="Body Text First Indent 2"/>
    <w:basedOn w:val="954"/>
    <w:link w:val="1368"/>
    <w:uiPriority w:val="0"/>
    <w:qFormat/>
    <w:pPr>
      <w:ind w:left="420" w:firstLine="420"/>
      <w:spacing w:after="120" w:line="480" w:lineRule="exact"/>
    </w:pPr>
    <w:rPr>
      <w:szCs w:val="20"/>
    </w:rPr>
  </w:style>
  <w:style w:type="table" w:styleId="983">
    <w:name w:val="Table Grid"/>
    <w:basedOn w:val="9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4">
    <w:name w:val="Medium Grid 1 Accent 2"/>
    <w:basedOn w:val="94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85">
    <w:name w:val="Strong"/>
    <w:uiPriority w:val="22"/>
    <w:qFormat/>
    <w:rPr>
      <w:b/>
      <w:bCs/>
    </w:rPr>
  </w:style>
  <w:style w:type="character" w:styleId="986">
    <w:name w:val="endnote reference"/>
    <w:uiPriority w:val="99"/>
    <w:semiHidden/>
    <w:unhideWhenUsed/>
    <w:qFormat/>
    <w:rPr>
      <w:vertAlign w:val="superscript"/>
    </w:rPr>
  </w:style>
  <w:style w:type="character" w:styleId="987">
    <w:name w:val="page number"/>
    <w:uiPriority w:val="0"/>
    <w:qFormat/>
  </w:style>
  <w:style w:type="character" w:styleId="988">
    <w:name w:val="FollowedHyperlink"/>
    <w:uiPriority w:val="0"/>
    <w:qFormat/>
    <w:rPr>
      <w:color w:val="800080"/>
      <w:u w:val="single"/>
    </w:rPr>
  </w:style>
  <w:style w:type="character" w:styleId="989">
    <w:name w:val="Emphasis"/>
    <w:uiPriority w:val="0"/>
    <w:qFormat/>
    <w:rPr>
      <w:color w:val="cc0033"/>
    </w:rPr>
  </w:style>
  <w:style w:type="character" w:styleId="990">
    <w:name w:val="Hyperlink"/>
    <w:uiPriority w:val="99"/>
    <w:qFormat/>
    <w:rPr>
      <w:color w:val="0000ff"/>
      <w:u w:val="single"/>
    </w:rPr>
  </w:style>
  <w:style w:type="character" w:styleId="991">
    <w:name w:val="annotation reference"/>
    <w:uiPriority w:val="0"/>
    <w:qFormat/>
    <w:rPr>
      <w:sz w:val="21"/>
      <w:szCs w:val="21"/>
    </w:rPr>
  </w:style>
  <w:style w:type="character" w:styleId="992">
    <w:name w:val="HTML Cite"/>
    <w:uiPriority w:val="0"/>
    <w:qFormat/>
    <w:rPr>
      <w:i/>
      <w:iCs/>
    </w:rPr>
  </w:style>
  <w:style w:type="character" w:styleId="993">
    <w:name w:val="footnote reference"/>
    <w:uiPriority w:val="99"/>
    <w:unhideWhenUsed/>
    <w:qFormat/>
    <w:rPr>
      <w:vertAlign w:val="superscript"/>
    </w:rPr>
  </w:style>
  <w:style w:type="character" w:styleId="994" w:customStyle="1">
    <w:name w:val="Subtitle Char"/>
    <w:basedOn w:val="945"/>
    <w:uiPriority w:val="11"/>
    <w:qFormat/>
    <w:rPr>
      <w:sz w:val="24"/>
      <w:szCs w:val="24"/>
    </w:rPr>
  </w:style>
  <w:style w:type="character" w:styleId="995" w:customStyle="1">
    <w:name w:val="Quote Char"/>
    <w:uiPriority w:val="29"/>
    <w:qFormat/>
    <w:rPr>
      <w:i/>
    </w:rPr>
  </w:style>
  <w:style w:type="character" w:styleId="996" w:customStyle="1">
    <w:name w:val="Intense Quote Char"/>
    <w:uiPriority w:val="30"/>
    <w:qFormat/>
    <w:rPr>
      <w:i/>
    </w:rPr>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character" w:styleId="999" w:customStyle="1">
    <w:name w:val="Heading 1 Char"/>
    <w:uiPriority w:val="9"/>
    <w:qFormat/>
    <w:rPr>
      <w:rFonts w:ascii="Arial" w:hAnsi="Arial" w:eastAsia="Arial" w:cs="Arial"/>
      <w:sz w:val="40"/>
      <w:szCs w:val="40"/>
    </w:rPr>
  </w:style>
  <w:style w:type="character" w:styleId="1000" w:customStyle="1">
    <w:name w:val="Heading 2 Char"/>
    <w:uiPriority w:val="9"/>
    <w:qFormat/>
    <w:rPr>
      <w:rFonts w:ascii="Arial" w:hAnsi="Arial" w:eastAsia="Arial" w:cs="Arial"/>
      <w:sz w:val="34"/>
    </w:rPr>
  </w:style>
  <w:style w:type="character" w:styleId="1001" w:customStyle="1">
    <w:name w:val="Heading 3 Char"/>
    <w:uiPriority w:val="9"/>
    <w:qFormat/>
    <w:rPr>
      <w:rFonts w:ascii="Arial" w:hAnsi="Arial" w:eastAsia="Arial" w:cs="Arial"/>
      <w:sz w:val="30"/>
      <w:szCs w:val="30"/>
    </w:rPr>
  </w:style>
  <w:style w:type="character" w:styleId="1002" w:customStyle="1">
    <w:name w:val="Heading 4 Char"/>
    <w:uiPriority w:val="9"/>
    <w:qFormat/>
    <w:rPr>
      <w:rFonts w:ascii="Arial" w:hAnsi="Arial" w:eastAsia="Arial" w:cs="Arial"/>
      <w:b/>
      <w:bCs/>
      <w:sz w:val="26"/>
      <w:szCs w:val="26"/>
    </w:rPr>
  </w:style>
  <w:style w:type="character" w:styleId="1003" w:customStyle="1">
    <w:name w:val="Heading 5 Char"/>
    <w:uiPriority w:val="9"/>
    <w:qFormat/>
    <w:rPr>
      <w:rFonts w:ascii="Arial" w:hAnsi="Arial" w:eastAsia="Arial" w:cs="Arial"/>
      <w:b/>
      <w:bCs/>
      <w:sz w:val="24"/>
      <w:szCs w:val="24"/>
    </w:rPr>
  </w:style>
  <w:style w:type="character" w:styleId="1004" w:customStyle="1">
    <w:name w:val="Heading 6 Char"/>
    <w:uiPriority w:val="9"/>
    <w:qFormat/>
    <w:rPr>
      <w:rFonts w:ascii="Arial" w:hAnsi="Arial" w:eastAsia="Arial" w:cs="Arial"/>
      <w:b/>
      <w:bCs/>
      <w:sz w:val="22"/>
      <w:szCs w:val="22"/>
    </w:rPr>
  </w:style>
  <w:style w:type="character" w:styleId="1005" w:customStyle="1">
    <w:name w:val="Heading 7 Char"/>
    <w:uiPriority w:val="9"/>
    <w:qFormat/>
    <w:rPr>
      <w:rFonts w:ascii="Arial" w:hAnsi="Arial" w:eastAsia="Arial" w:cs="Arial"/>
      <w:b/>
      <w:bCs/>
      <w:i/>
      <w:iCs/>
      <w:sz w:val="22"/>
      <w:szCs w:val="22"/>
    </w:rPr>
  </w:style>
  <w:style w:type="character" w:styleId="1006" w:customStyle="1">
    <w:name w:val="Heading 8 Char"/>
    <w:uiPriority w:val="9"/>
    <w:qFormat/>
    <w:rPr>
      <w:rFonts w:ascii="Arial" w:hAnsi="Arial" w:eastAsia="Arial" w:cs="Arial"/>
      <w:i/>
      <w:iCs/>
      <w:sz w:val="22"/>
      <w:szCs w:val="22"/>
    </w:rPr>
  </w:style>
  <w:style w:type="character" w:styleId="1007" w:customStyle="1">
    <w:name w:val="Heading 9 Char"/>
    <w:uiPriority w:val="9"/>
    <w:qFormat/>
    <w:rPr>
      <w:rFonts w:ascii="Arial" w:hAnsi="Arial" w:eastAsia="Arial" w:cs="Arial"/>
      <w:i/>
      <w:iCs/>
      <w:sz w:val="21"/>
      <w:szCs w:val="21"/>
    </w:rPr>
  </w:style>
  <w:style w:type="paragraph" w:styleId="1008">
    <w:name w:val="List Paragraph"/>
    <w:basedOn w:val="935"/>
    <w:link w:val="1371"/>
    <w:uiPriority w:val="34"/>
    <w:qFormat/>
    <w:pPr>
      <w:contextualSpacing/>
      <w:ind w:left="720"/>
    </w:pPr>
  </w:style>
  <w:style w:type="paragraph" w:styleId="1009">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010" w:customStyle="1">
    <w:name w:val="Title Char"/>
    <w:uiPriority w:val="10"/>
    <w:qFormat/>
    <w:rPr>
      <w:sz w:val="48"/>
      <w:szCs w:val="48"/>
    </w:rPr>
  </w:style>
  <w:style w:type="character" w:styleId="1011" w:customStyle="1">
    <w:name w:val="副标题 字符"/>
    <w:link w:val="969"/>
    <w:uiPriority w:val="11"/>
    <w:qFormat/>
    <w:rPr>
      <w:sz w:val="24"/>
      <w:szCs w:val="24"/>
    </w:rPr>
  </w:style>
  <w:style w:type="paragraph" w:styleId="1012">
    <w:name w:val="Quote"/>
    <w:basedOn w:val="935"/>
    <w:next w:val="935"/>
    <w:link w:val="1013"/>
    <w:uiPriority w:val="29"/>
    <w:qFormat/>
    <w:pPr>
      <w:ind w:left="720" w:right="720"/>
    </w:pPr>
    <w:rPr>
      <w:i/>
    </w:rPr>
  </w:style>
  <w:style w:type="character" w:styleId="1013" w:customStyle="1">
    <w:name w:val="引用 字符"/>
    <w:link w:val="1012"/>
    <w:uiPriority w:val="29"/>
    <w:qFormat/>
    <w:rPr>
      <w:i/>
    </w:rPr>
  </w:style>
  <w:style w:type="paragraph" w:styleId="1014">
    <w:name w:val="Intense Quote"/>
    <w:basedOn w:val="935"/>
    <w:next w:val="935"/>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字符"/>
    <w:link w:val="1014"/>
    <w:uiPriority w:val="30"/>
    <w:qFormat/>
    <w:rPr>
      <w:i/>
    </w:rPr>
  </w:style>
  <w:style w:type="character" w:styleId="1016" w:customStyle="1">
    <w:name w:val="Header Char"/>
    <w:uiPriority w:val="99"/>
    <w:qFormat/>
  </w:style>
  <w:style w:type="character" w:styleId="1017" w:customStyle="1">
    <w:name w:val="Footer Char"/>
    <w:uiPriority w:val="99"/>
    <w:qFormat/>
  </w:style>
  <w:style w:type="character" w:styleId="1018" w:customStyle="1">
    <w:name w:val="Caption Char"/>
    <w:uiPriority w:val="99"/>
    <w:qFormat/>
  </w:style>
  <w:style w:type="table" w:styleId="10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22" w:customStyle="1">
    <w:name w:val="无格式表格 31"/>
    <w:uiPriority w:val="99"/>
    <w:qFormat/>
    <w:tblPr>
      <w:tblCellMar>
        <w:left w:w="0" w:type="dxa"/>
        <w:top w:w="0" w:type="dxa"/>
        <w:right w:w="0" w:type="dxa"/>
        <w:bottom w:w="0" w:type="dxa"/>
      </w:tblCellMar>
    </w:tblPr>
  </w:style>
  <w:style w:type="table" w:styleId="1023" w:customStyle="1">
    <w:name w:val="无格式表格 41"/>
    <w:uiPriority w:val="99"/>
    <w:qFormat/>
    <w:tblPr>
      <w:tblCellMar>
        <w:left w:w="0" w:type="dxa"/>
        <w:top w:w="0" w:type="dxa"/>
        <w:right w:w="0" w:type="dxa"/>
        <w:bottom w:w="0" w:type="dxa"/>
      </w:tblCellMar>
    </w:tblPr>
  </w:style>
  <w:style w:type="table" w:styleId="1024" w:customStyle="1">
    <w:name w:val="无格式表格 51"/>
    <w:uiPriority w:val="99"/>
    <w:qFormat/>
    <w:tblPr>
      <w:tblCellMar>
        <w:left w:w="0" w:type="dxa"/>
        <w:top w:w="0" w:type="dxa"/>
        <w:right w:w="0" w:type="dxa"/>
        <w:bottom w:w="0" w:type="dxa"/>
      </w:tblCellMar>
    </w:tblPr>
  </w:style>
  <w:style w:type="table" w:styleId="10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4" w:customStyle="1">
    <w:name w:val="清单表 1 浅色1"/>
    <w:uiPriority w:val="99"/>
    <w:qFormat/>
    <w:tblPr>
      <w:tblCellMar>
        <w:left w:w="0" w:type="dxa"/>
        <w:top w:w="0" w:type="dxa"/>
        <w:right w:w="0" w:type="dxa"/>
        <w:bottom w:w="0" w:type="dxa"/>
      </w:tblCellMar>
    </w:tblPr>
  </w:style>
  <w:style w:type="table" w:styleId="1075" w:customStyle="1">
    <w:name w:val="List Table 1 Light - Accent 1"/>
    <w:uiPriority w:val="99"/>
    <w:qFormat/>
    <w:tblPr>
      <w:tblCellMar>
        <w:left w:w="0" w:type="dxa"/>
        <w:top w:w="0" w:type="dxa"/>
        <w:right w:w="0" w:type="dxa"/>
        <w:bottom w:w="0" w:type="dxa"/>
      </w:tblCellMar>
    </w:tblPr>
  </w:style>
  <w:style w:type="table" w:styleId="1076" w:customStyle="1">
    <w:name w:val="List Table 1 Light - Accent 2"/>
    <w:uiPriority w:val="99"/>
    <w:qFormat/>
    <w:tblPr>
      <w:tblCellMar>
        <w:left w:w="0" w:type="dxa"/>
        <w:top w:w="0" w:type="dxa"/>
        <w:right w:w="0" w:type="dxa"/>
        <w:bottom w:w="0" w:type="dxa"/>
      </w:tblCellMar>
    </w:tblPr>
  </w:style>
  <w:style w:type="table" w:styleId="1077" w:customStyle="1">
    <w:name w:val="List Table 1 Light - Accent 3"/>
    <w:uiPriority w:val="99"/>
    <w:qFormat/>
    <w:tblPr>
      <w:tblCellMar>
        <w:left w:w="0" w:type="dxa"/>
        <w:top w:w="0" w:type="dxa"/>
        <w:right w:w="0" w:type="dxa"/>
        <w:bottom w:w="0" w:type="dxa"/>
      </w:tblCellMar>
    </w:tblPr>
  </w:style>
  <w:style w:type="table" w:styleId="1078" w:customStyle="1">
    <w:name w:val="List Table 1 Light - Accent 4"/>
    <w:uiPriority w:val="99"/>
    <w:qFormat/>
    <w:tblPr>
      <w:tblCellMar>
        <w:left w:w="0" w:type="dxa"/>
        <w:top w:w="0" w:type="dxa"/>
        <w:right w:w="0" w:type="dxa"/>
        <w:bottom w:w="0" w:type="dxa"/>
      </w:tblCellMar>
    </w:tblPr>
  </w:style>
  <w:style w:type="table" w:styleId="1079" w:customStyle="1">
    <w:name w:val="List Table 1 Light - Accent 5"/>
    <w:uiPriority w:val="99"/>
    <w:qFormat/>
    <w:tblPr>
      <w:tblCellMar>
        <w:left w:w="0" w:type="dxa"/>
        <w:top w:w="0" w:type="dxa"/>
        <w:right w:w="0" w:type="dxa"/>
        <w:bottom w:w="0" w:type="dxa"/>
      </w:tblCellMar>
    </w:tblPr>
  </w:style>
  <w:style w:type="table" w:styleId="1080" w:customStyle="1">
    <w:name w:val="List Table 1 Light - Accent 6"/>
    <w:uiPriority w:val="99"/>
    <w:qFormat/>
    <w:tblPr>
      <w:tblCellMar>
        <w:left w:w="0" w:type="dxa"/>
        <w:top w:w="0" w:type="dxa"/>
        <w:right w:w="0" w:type="dxa"/>
        <w:bottom w:w="0" w:type="dxa"/>
      </w:tblCellMar>
    </w:tblPr>
  </w:style>
  <w:style w:type="table" w:styleId="10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23" w:customStyle="1">
    <w:name w:val="Lined - Accent"/>
    <w:uiPriority w:val="99"/>
    <w:qFormat/>
    <w:rPr>
      <w:color w:val="404040"/>
    </w:rPr>
    <w:tblPr>
      <w:tblCellMar>
        <w:left w:w="0" w:type="dxa"/>
        <w:top w:w="0" w:type="dxa"/>
        <w:right w:w="0" w:type="dxa"/>
        <w:bottom w:w="0" w:type="dxa"/>
      </w:tblCellMar>
    </w:tblPr>
  </w:style>
  <w:style w:type="table" w:styleId="1124" w:customStyle="1">
    <w:name w:val="Lined - Accent 1"/>
    <w:uiPriority w:val="99"/>
    <w:qFormat/>
    <w:rPr>
      <w:color w:val="404040"/>
    </w:rPr>
    <w:tblPr>
      <w:tblCellMar>
        <w:left w:w="0" w:type="dxa"/>
        <w:top w:w="0" w:type="dxa"/>
        <w:right w:w="0" w:type="dxa"/>
        <w:bottom w:w="0" w:type="dxa"/>
      </w:tblCellMar>
    </w:tblPr>
  </w:style>
  <w:style w:type="table" w:styleId="1125" w:customStyle="1">
    <w:name w:val="Lined - Accent 2"/>
    <w:uiPriority w:val="99"/>
    <w:qFormat/>
    <w:rPr>
      <w:color w:val="404040"/>
    </w:rPr>
    <w:tblPr>
      <w:tblCellMar>
        <w:left w:w="0" w:type="dxa"/>
        <w:top w:w="0" w:type="dxa"/>
        <w:right w:w="0" w:type="dxa"/>
        <w:bottom w:w="0" w:type="dxa"/>
      </w:tblCellMar>
    </w:tblPr>
  </w:style>
  <w:style w:type="table" w:styleId="1126" w:customStyle="1">
    <w:name w:val="Lined - Accent 3"/>
    <w:uiPriority w:val="99"/>
    <w:qFormat/>
    <w:rPr>
      <w:color w:val="404040"/>
    </w:rPr>
    <w:tblPr>
      <w:tblCellMar>
        <w:left w:w="0" w:type="dxa"/>
        <w:top w:w="0" w:type="dxa"/>
        <w:right w:w="0" w:type="dxa"/>
        <w:bottom w:w="0" w:type="dxa"/>
      </w:tblCellMar>
    </w:tblPr>
  </w:style>
  <w:style w:type="table" w:styleId="1127" w:customStyle="1">
    <w:name w:val="Lined - Accent 4"/>
    <w:uiPriority w:val="99"/>
    <w:qFormat/>
    <w:rPr>
      <w:color w:val="404040"/>
    </w:rPr>
    <w:tblPr>
      <w:tblCellMar>
        <w:left w:w="0" w:type="dxa"/>
        <w:top w:w="0" w:type="dxa"/>
        <w:right w:w="0" w:type="dxa"/>
        <w:bottom w:w="0" w:type="dxa"/>
      </w:tblCellMar>
    </w:tblPr>
  </w:style>
  <w:style w:type="table" w:styleId="1128" w:customStyle="1">
    <w:name w:val="Lined - Accent 5"/>
    <w:uiPriority w:val="99"/>
    <w:qFormat/>
    <w:rPr>
      <w:color w:val="404040"/>
    </w:rPr>
    <w:tblPr>
      <w:tblCellMar>
        <w:left w:w="0" w:type="dxa"/>
        <w:top w:w="0" w:type="dxa"/>
        <w:right w:w="0" w:type="dxa"/>
        <w:bottom w:w="0" w:type="dxa"/>
      </w:tblCellMar>
    </w:tblPr>
  </w:style>
  <w:style w:type="table" w:styleId="1129" w:customStyle="1">
    <w:name w:val="Lined - Accent 6"/>
    <w:uiPriority w:val="99"/>
    <w:qFormat/>
    <w:rPr>
      <w:color w:val="404040"/>
    </w:rPr>
    <w:tblPr>
      <w:tblCellMar>
        <w:left w:w="0" w:type="dxa"/>
        <w:top w:w="0" w:type="dxa"/>
        <w:right w:w="0" w:type="dxa"/>
        <w:bottom w:w="0" w:type="dxa"/>
      </w:tblCellMar>
    </w:tblPr>
  </w:style>
  <w:style w:type="table" w:styleId="11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4" w:customStyle="1">
    <w:name w:val="脚注文本 字符"/>
    <w:link w:val="970"/>
    <w:uiPriority w:val="99"/>
    <w:qFormat/>
    <w:rPr>
      <w:sz w:val="18"/>
    </w:rPr>
  </w:style>
  <w:style w:type="character" w:styleId="1145" w:customStyle="1">
    <w:name w:val="尾注文本 字符"/>
    <w:link w:val="963"/>
    <w:uiPriority w:val="99"/>
    <w:qFormat/>
    <w:rPr>
      <w:sz w:val="20"/>
    </w:rPr>
  </w:style>
  <w:style w:type="paragraph" w:styleId="1146" w:customStyle="1">
    <w:name w:val="TOC 标题1"/>
    <w:uiPriority w:val="39"/>
    <w:unhideWhenUsed/>
    <w:qFormat/>
    <w:rPr>
      <w:rFonts w:ascii="Times New Roman" w:hAnsi="Times New Roman" w:eastAsia="宋体" w:cs="Times New Roman"/>
      <w:lang w:val="en-US" w:eastAsia="zh-CN" w:bidi="ar-SA"/>
    </w:rPr>
  </w:style>
  <w:style w:type="character" w:styleId="1147" w:customStyle="1">
    <w:name w:val="标题 1 字符"/>
    <w:link w:val="936"/>
    <w:uiPriority w:val="0"/>
    <w:qFormat/>
    <w:rPr>
      <w:rFonts w:ascii="宋体"/>
      <w:b/>
      <w:sz w:val="32"/>
    </w:rPr>
  </w:style>
  <w:style w:type="character" w:styleId="1148" w:customStyle="1">
    <w:name w:val="标题 2 字符"/>
    <w:link w:val="937"/>
    <w:uiPriority w:val="0"/>
    <w:qFormat/>
    <w:rPr>
      <w:rFonts w:ascii="Arial" w:hAnsi="Arial" w:eastAsia="黑体"/>
      <w:b/>
      <w:sz w:val="30"/>
      <w:lang w:val="en-US" w:eastAsia="zh-CN" w:bidi="ar-SA"/>
    </w:rPr>
  </w:style>
  <w:style w:type="character" w:styleId="1149" w:customStyle="1">
    <w:name w:val="正文缩进 字符1"/>
    <w:link w:val="947"/>
    <w:uiPriority w:val="0"/>
    <w:qFormat/>
    <w:rPr>
      <w:rFonts w:ascii="宋体" w:eastAsia="宋体"/>
      <w:sz w:val="24"/>
      <w:szCs w:val="24"/>
      <w:lang w:val="en-US" w:eastAsia="zh-CN" w:bidi="ar-SA"/>
    </w:rPr>
  </w:style>
  <w:style w:type="character" w:styleId="1150" w:customStyle="1">
    <w:name w:val="标题 3 字符"/>
    <w:link w:val="938"/>
    <w:uiPriority w:val="9"/>
    <w:qFormat/>
    <w:rPr>
      <w:rFonts w:ascii="宋体" w:eastAsia="宋体"/>
      <w:b/>
      <w:sz w:val="24"/>
      <w:u w:val="single"/>
      <w:lang w:val="en-US" w:eastAsia="zh-CN" w:bidi="ar-SA"/>
    </w:rPr>
  </w:style>
  <w:style w:type="character" w:styleId="1151" w:customStyle="1">
    <w:name w:val="标题 4 字符"/>
    <w:link w:val="939"/>
    <w:uiPriority w:val="0"/>
    <w:qFormat/>
    <w:rPr>
      <w:rFonts w:ascii="Arial" w:hAnsi="Arial" w:eastAsia="黑体"/>
      <w:b/>
      <w:sz w:val="28"/>
    </w:rPr>
  </w:style>
  <w:style w:type="character" w:styleId="1152" w:customStyle="1">
    <w:name w:val="标题 5 字符"/>
    <w:link w:val="940"/>
    <w:uiPriority w:val="0"/>
    <w:qFormat/>
    <w:rPr>
      <w:b/>
      <w:sz w:val="28"/>
    </w:rPr>
  </w:style>
  <w:style w:type="character" w:styleId="1153" w:customStyle="1">
    <w:name w:val="标题 6 字符"/>
    <w:link w:val="941"/>
    <w:uiPriority w:val="0"/>
    <w:qFormat/>
    <w:rPr>
      <w:rFonts w:ascii="Arial" w:hAnsi="Arial" w:eastAsia="黑体"/>
      <w:b/>
      <w:sz w:val="24"/>
    </w:rPr>
  </w:style>
  <w:style w:type="character" w:styleId="1154" w:customStyle="1">
    <w:name w:val="标题 7 字符"/>
    <w:link w:val="942"/>
    <w:uiPriority w:val="0"/>
    <w:qFormat/>
    <w:rPr>
      <w:b/>
      <w:sz w:val="24"/>
    </w:rPr>
  </w:style>
  <w:style w:type="character" w:styleId="1155" w:customStyle="1">
    <w:name w:val="标题 8 字符"/>
    <w:link w:val="943"/>
    <w:uiPriority w:val="0"/>
    <w:qFormat/>
    <w:rPr>
      <w:rFonts w:ascii="Arial" w:hAnsi="Arial" w:eastAsia="黑体"/>
      <w:sz w:val="24"/>
    </w:rPr>
  </w:style>
  <w:style w:type="character" w:styleId="1156" w:customStyle="1">
    <w:name w:val="标题 9 字符"/>
    <w:link w:val="944"/>
    <w:uiPriority w:val="0"/>
    <w:qFormat/>
    <w:rPr>
      <w:rFonts w:ascii="Arial" w:hAnsi="Arial" w:eastAsia="黑体"/>
      <w:sz w:val="21"/>
    </w:rPr>
  </w:style>
  <w:style w:type="paragraph" w:styleId="1157" w:customStyle="1">
    <w:name w:val="目录 71"/>
    <w:basedOn w:val="935"/>
    <w:next w:val="935"/>
    <w:uiPriority w:val="0"/>
    <w:qFormat/>
    <w:pPr>
      <w:ind w:left="2520"/>
    </w:pPr>
  </w:style>
  <w:style w:type="character" w:styleId="1158" w:customStyle="1">
    <w:name w:val="文档结构图 字符"/>
    <w:link w:val="950"/>
    <w:uiPriority w:val="0"/>
    <w:qFormat/>
    <w:rPr>
      <w:sz w:val="21"/>
      <w:szCs w:val="24"/>
      <w:shd w:val="clear" w:color="auto" w:fill="000080"/>
    </w:rPr>
  </w:style>
  <w:style w:type="character" w:styleId="1159" w:customStyle="1">
    <w:name w:val="批注文字 字符1"/>
    <w:link w:val="951"/>
    <w:uiPriority w:val="0"/>
    <w:qFormat/>
    <w:rPr>
      <w:sz w:val="21"/>
      <w:szCs w:val="24"/>
    </w:rPr>
  </w:style>
  <w:style w:type="character" w:styleId="1160" w:customStyle="1">
    <w:name w:val="正文文本 3 字符"/>
    <w:link w:val="952"/>
    <w:uiPriority w:val="0"/>
    <w:qFormat/>
    <w:rPr>
      <w:sz w:val="16"/>
      <w:szCs w:val="16"/>
    </w:rPr>
  </w:style>
  <w:style w:type="character" w:styleId="1161" w:customStyle="1">
    <w:name w:val="正文文本 字符1"/>
    <w:link w:val="953"/>
    <w:uiPriority w:val="0"/>
    <w:qFormat/>
    <w:rPr>
      <w:rFonts w:ascii="宋体" w:hAnsi="宋体"/>
      <w:sz w:val="24"/>
      <w:szCs w:val="24"/>
    </w:rPr>
  </w:style>
  <w:style w:type="character" w:styleId="1162" w:customStyle="1">
    <w:name w:val="正文文本缩进 字符"/>
    <w:link w:val="954"/>
    <w:uiPriority w:val="0"/>
    <w:qFormat/>
    <w:rPr>
      <w:rFonts w:eastAsia="宋体"/>
      <w:sz w:val="24"/>
      <w:szCs w:val="24"/>
      <w:lang w:val="en-US" w:eastAsia="zh-CN" w:bidi="ar-SA"/>
    </w:rPr>
  </w:style>
  <w:style w:type="paragraph" w:styleId="1163" w:customStyle="1">
    <w:name w:val="目录 51"/>
    <w:basedOn w:val="935"/>
    <w:next w:val="935"/>
    <w:uiPriority w:val="0"/>
    <w:qFormat/>
    <w:pPr>
      <w:ind w:left="1680"/>
    </w:pPr>
  </w:style>
  <w:style w:type="paragraph" w:styleId="1164" w:customStyle="1">
    <w:name w:val="目录 31"/>
    <w:basedOn w:val="935"/>
    <w:next w:val="935"/>
    <w:uiPriority w:val="39"/>
    <w:qFormat/>
    <w:pPr>
      <w:ind w:left="840"/>
    </w:pPr>
  </w:style>
  <w:style w:type="character" w:styleId="1165" w:customStyle="1">
    <w:name w:val="纯文本 字符2"/>
    <w:link w:val="959"/>
    <w:uiPriority w:val="0"/>
    <w:qFormat/>
    <w:rPr>
      <w:rFonts w:hint="eastAsia" w:ascii="宋体" w:hAnsi="Courier New" w:eastAsia="宋体" w:cs="宋体"/>
      <w:sz w:val="21"/>
    </w:rPr>
  </w:style>
  <w:style w:type="paragraph" w:styleId="1166" w:customStyle="1">
    <w:name w:val="目录 81"/>
    <w:basedOn w:val="935"/>
    <w:next w:val="935"/>
    <w:uiPriority w:val="0"/>
    <w:qFormat/>
    <w:pPr>
      <w:ind w:left="2940"/>
    </w:pPr>
  </w:style>
  <w:style w:type="character" w:styleId="1167" w:customStyle="1">
    <w:name w:val="日期 字符"/>
    <w:link w:val="961"/>
    <w:uiPriority w:val="0"/>
    <w:qFormat/>
    <w:rPr>
      <w:rFonts w:ascii="仿宋_GB2312" w:hAnsi="宋体" w:eastAsia="仿宋_GB2312"/>
      <w:color w:val="000000"/>
      <w:sz w:val="24"/>
      <w:szCs w:val="24"/>
    </w:rPr>
  </w:style>
  <w:style w:type="character" w:styleId="1168" w:customStyle="1">
    <w:name w:val="正文文本缩进 2 字符"/>
    <w:link w:val="962"/>
    <w:uiPriority w:val="0"/>
    <w:qFormat/>
    <w:rPr>
      <w:rFonts w:ascii="仿宋_GB2312" w:eastAsia="仿宋_GB2312"/>
      <w:sz w:val="24"/>
      <w:szCs w:val="24"/>
    </w:rPr>
  </w:style>
  <w:style w:type="character" w:styleId="1169" w:customStyle="1">
    <w:name w:val="批注框文本 字符"/>
    <w:link w:val="964"/>
    <w:uiPriority w:val="0"/>
    <w:qFormat/>
    <w:rPr>
      <w:sz w:val="18"/>
      <w:szCs w:val="18"/>
    </w:rPr>
  </w:style>
  <w:style w:type="character" w:styleId="1170" w:customStyle="1">
    <w:name w:val="页脚 字符"/>
    <w:link w:val="965"/>
    <w:uiPriority w:val="0"/>
    <w:qFormat/>
    <w:rPr>
      <w:rFonts w:ascii="宋体" w:eastAsia="宋体"/>
      <w:sz w:val="18"/>
      <w:lang w:val="en-US" w:eastAsia="zh-CN" w:bidi="ar-SA"/>
    </w:rPr>
  </w:style>
  <w:style w:type="character" w:styleId="1171" w:customStyle="1">
    <w:name w:val="页眉 字符"/>
    <w:link w:val="966"/>
    <w:uiPriority w:val="0"/>
    <w:qFormat/>
    <w:rPr>
      <w:rFonts w:eastAsia="宋体"/>
      <w:sz w:val="18"/>
      <w:szCs w:val="18"/>
      <w:lang w:val="en-US" w:eastAsia="zh-CN" w:bidi="ar-SA"/>
    </w:rPr>
  </w:style>
  <w:style w:type="paragraph" w:styleId="1172" w:customStyle="1">
    <w:name w:val="目录 11"/>
    <w:basedOn w:val="935"/>
    <w:next w:val="935"/>
    <w:uiPriority w:val="39"/>
    <w:qFormat/>
    <w:pPr>
      <w:spacing w:line="300" w:lineRule="auto"/>
      <w:tabs>
        <w:tab w:val="left" w:pos="1050" w:leader="none"/>
        <w:tab w:val="right" w:pos="8937" w:leader="dot"/>
      </w:tabs>
    </w:pPr>
    <w:rPr>
      <w:rFonts w:ascii="宋体" w:hAnsi="宋体"/>
      <w:b/>
      <w:sz w:val="24"/>
    </w:rPr>
  </w:style>
  <w:style w:type="paragraph" w:styleId="1173" w:customStyle="1">
    <w:name w:val="目录 41"/>
    <w:basedOn w:val="935"/>
    <w:next w:val="935"/>
    <w:uiPriority w:val="0"/>
    <w:qFormat/>
    <w:pPr>
      <w:ind w:left="1260"/>
    </w:pPr>
  </w:style>
  <w:style w:type="paragraph" w:styleId="1174" w:customStyle="1">
    <w:name w:val="目录 61"/>
    <w:basedOn w:val="935"/>
    <w:next w:val="935"/>
    <w:uiPriority w:val="0"/>
    <w:qFormat/>
    <w:pPr>
      <w:ind w:left="2100"/>
    </w:pPr>
  </w:style>
  <w:style w:type="character" w:styleId="1175" w:customStyle="1">
    <w:name w:val="正文文本缩进 3 字符"/>
    <w:link w:val="972"/>
    <w:uiPriority w:val="0"/>
    <w:qFormat/>
    <w:rPr>
      <w:rFonts w:ascii="宋体"/>
      <w:sz w:val="24"/>
    </w:rPr>
  </w:style>
  <w:style w:type="paragraph" w:styleId="1176" w:customStyle="1">
    <w:name w:val="目录 21"/>
    <w:basedOn w:val="935"/>
    <w:next w:val="935"/>
    <w:uiPriority w:val="39"/>
    <w:qFormat/>
    <w:pPr>
      <w:ind w:left="420"/>
      <w:spacing w:line="312" w:lineRule="auto"/>
      <w:tabs>
        <w:tab w:val="right" w:pos="8937" w:leader="dot"/>
      </w:tabs>
    </w:pPr>
  </w:style>
  <w:style w:type="paragraph" w:styleId="1177" w:customStyle="1">
    <w:name w:val="目录 91"/>
    <w:basedOn w:val="935"/>
    <w:next w:val="935"/>
    <w:uiPriority w:val="0"/>
    <w:qFormat/>
    <w:pPr>
      <w:ind w:left="3360"/>
    </w:pPr>
  </w:style>
  <w:style w:type="character" w:styleId="1178" w:customStyle="1">
    <w:name w:val="HTML 预设格式 字符"/>
    <w:link w:val="976"/>
    <w:uiPriority w:val="0"/>
    <w:qFormat/>
    <w:rPr>
      <w:rFonts w:ascii="宋体" w:hAnsi="宋体" w:cs="宋体"/>
      <w:sz w:val="24"/>
      <w:szCs w:val="24"/>
    </w:rPr>
  </w:style>
  <w:style w:type="character" w:styleId="1179" w:customStyle="1">
    <w:name w:val="标题 字符"/>
    <w:link w:val="979"/>
    <w:uiPriority w:val="0"/>
    <w:qFormat/>
    <w:rPr>
      <w:b/>
      <w:sz w:val="32"/>
    </w:rPr>
  </w:style>
  <w:style w:type="character" w:styleId="1180" w:customStyle="1">
    <w:name w:val="批注主题 字符"/>
    <w:link w:val="980"/>
    <w:uiPriority w:val="0"/>
    <w:qFormat/>
    <w:rPr>
      <w:rFonts w:ascii="Times New Roman" w:hAnsi="Times New Roman" w:eastAsia="宋体" w:cs="Times New Roman"/>
      <w:b/>
      <w:bCs/>
      <w:sz w:val="21"/>
      <w:szCs w:val="24"/>
      <w:lang w:val="en-US" w:eastAsia="zh-CN" w:bidi="ar-SA"/>
    </w:rPr>
  </w:style>
  <w:style w:type="paragraph" w:styleId="1181" w:customStyle="1">
    <w:name w:val="正文首行缩进1"/>
    <w:basedOn w:val="953"/>
    <w:link w:val="1182"/>
    <w:uiPriority w:val="0"/>
    <w:qFormat/>
    <w:pPr>
      <w:ind w:firstLine="420"/>
      <w:spacing w:line="240" w:lineRule="auto"/>
    </w:pPr>
    <w:rPr>
      <w:rFonts w:ascii="Calibri" w:hAnsi="Calibri"/>
      <w:sz w:val="21"/>
    </w:rPr>
  </w:style>
  <w:style w:type="character" w:styleId="1182" w:customStyle="1">
    <w:name w:val="正文首行缩进 字符"/>
    <w:link w:val="1181"/>
    <w:uiPriority w:val="0"/>
    <w:qFormat/>
    <w:rPr>
      <w:rFonts w:ascii="Calibri" w:hAnsi="Calibri"/>
      <w:sz w:val="21"/>
      <w:szCs w:val="24"/>
    </w:rPr>
  </w:style>
  <w:style w:type="paragraph" w:styleId="1183" w:customStyle="1">
    <w:name w:val="正文首行缩进 21"/>
    <w:basedOn w:val="954"/>
    <w:link w:val="1184"/>
    <w:uiPriority w:val="0"/>
    <w:qFormat/>
    <w:pPr>
      <w:ind w:left="420" w:firstLine="420"/>
      <w:spacing w:after="120" w:line="480" w:lineRule="exact"/>
    </w:pPr>
    <w:rPr>
      <w:szCs w:val="20"/>
    </w:rPr>
  </w:style>
  <w:style w:type="character" w:styleId="1184" w:customStyle="1">
    <w:name w:val="正文首行缩进 2 字符"/>
    <w:link w:val="1183"/>
    <w:uiPriority w:val="0"/>
    <w:qFormat/>
    <w:rPr>
      <w:rFonts w:eastAsia="宋体"/>
      <w:sz w:val="24"/>
      <w:szCs w:val="24"/>
      <w:lang w:val="en-US" w:eastAsia="zh-CN" w:bidi="ar-SA"/>
    </w:rPr>
  </w:style>
  <w:style w:type="character" w:styleId="1185" w:customStyle="1">
    <w:name w:val="批注文字 字符"/>
    <w:uiPriority w:val="0"/>
    <w:qFormat/>
    <w:rPr>
      <w:rFonts w:ascii="Times New Roman" w:hAnsi="Times New Roman" w:eastAsia="宋体" w:cs="Times New Roman"/>
      <w:sz w:val="24"/>
      <w:lang w:val="en-US" w:eastAsia="zh-CN" w:bidi="ar-SA"/>
    </w:rPr>
  </w:style>
  <w:style w:type="character" w:styleId="1186" w:customStyle="1">
    <w:name w:val="c21"/>
    <w:uiPriority w:val="0"/>
    <w:qFormat/>
    <w:rPr>
      <w:rFonts w:ascii="ˎ̥" w:hAnsi="ˎ̥"/>
      <w:color w:val="000000"/>
      <w:sz w:val="20"/>
      <w:szCs w:val="20"/>
      <w:u w:val="none"/>
    </w:rPr>
  </w:style>
  <w:style w:type="character" w:styleId="1187" w:customStyle="1">
    <w:name w:val="title4"/>
    <w:uiPriority w:val="0"/>
    <w:qFormat/>
    <w:rPr>
      <w:b/>
      <w:bCs/>
      <w:color w:val="1d87b3"/>
      <w:sz w:val="15"/>
      <w:szCs w:val="15"/>
    </w:rPr>
  </w:style>
  <w:style w:type="character" w:styleId="1188" w:customStyle="1">
    <w:name w:val="标题 2 Char Char"/>
    <w:uiPriority w:val="0"/>
    <w:qFormat/>
    <w:rPr>
      <w:rFonts w:ascii="Arial" w:hAnsi="Arial" w:eastAsia="黑体"/>
      <w:b/>
      <w:bCs/>
      <w:sz w:val="32"/>
      <w:szCs w:val="32"/>
      <w:lang w:val="en-US" w:eastAsia="zh-CN" w:bidi="ar-SA"/>
    </w:rPr>
  </w:style>
  <w:style w:type="character" w:styleId="1189" w:customStyle="1">
    <w:name w:val="black1"/>
    <w:uiPriority w:val="0"/>
    <w:qFormat/>
    <w:rPr>
      <w:color w:val="000000"/>
    </w:rPr>
  </w:style>
  <w:style w:type="character" w:styleId="1190" w:customStyle="1">
    <w:name w:val="street-address"/>
    <w:uiPriority w:val="0"/>
    <w:qFormat/>
  </w:style>
  <w:style w:type="character" w:styleId="1191" w:customStyle="1">
    <w:name w:val="locality"/>
    <w:uiPriority w:val="0"/>
    <w:qFormat/>
  </w:style>
  <w:style w:type="character" w:styleId="1192" w:customStyle="1">
    <w:name w:val="正文文本缩进 Char1"/>
    <w:link w:val="1193"/>
    <w:uiPriority w:val="0"/>
    <w:qFormat/>
    <w:rPr>
      <w:rFonts w:ascii="宋体" w:hAnsi="宋体" w:eastAsia="宋体"/>
      <w:sz w:val="24"/>
      <w:szCs w:val="24"/>
      <w:lang w:bidi="ar-SA"/>
    </w:rPr>
  </w:style>
  <w:style w:type="paragraph" w:styleId="1193" w:customStyle="1">
    <w:name w:val="正文文本缩进1"/>
    <w:basedOn w:val="935"/>
    <w:link w:val="1192"/>
    <w:uiPriority w:val="0"/>
    <w:qFormat/>
    <w:pPr>
      <w:ind w:firstLine="480"/>
      <w:spacing w:line="480" w:lineRule="exact"/>
    </w:pPr>
    <w:rPr>
      <w:rFonts w:ascii="宋体" w:hAnsi="宋体"/>
      <w:sz w:val="24"/>
    </w:rPr>
  </w:style>
  <w:style w:type="character" w:styleId="1194" w:customStyle="1">
    <w:name w:val="Char Char11"/>
    <w:uiPriority w:val="0"/>
    <w:qFormat/>
    <w:rPr>
      <w:rFonts w:ascii="宋体" w:eastAsia="宋体"/>
      <w:b/>
      <w:sz w:val="24"/>
      <w:u w:val="single"/>
      <w:lang w:val="en-US" w:eastAsia="zh-CN" w:bidi="ar-SA"/>
    </w:rPr>
  </w:style>
  <w:style w:type="character" w:styleId="1195" w:customStyle="1">
    <w:name w:val="txt"/>
    <w:uiPriority w:val="0"/>
    <w:qFormat/>
  </w:style>
  <w:style w:type="character" w:styleId="1196" w:customStyle="1">
    <w:name w:val="正文缩进 Char Char"/>
    <w:link w:val="1197"/>
    <w:uiPriority w:val="0"/>
    <w:qFormat/>
    <w:rPr>
      <w:rFonts w:ascii="宋体" w:eastAsia="宋体"/>
      <w:color w:val="000000"/>
      <w:sz w:val="28"/>
      <w:lang w:bidi="ar-SA"/>
    </w:rPr>
  </w:style>
  <w:style w:type="paragraph" w:styleId="1197" w:customStyle="1">
    <w:name w:val="正文缩进1"/>
    <w:basedOn w:val="935"/>
    <w:link w:val="1196"/>
    <w:uiPriority w:val="0"/>
    <w:qFormat/>
    <w:pPr>
      <w:ind w:firstLine="567"/>
      <w:spacing w:line="480" w:lineRule="exact"/>
      <w:widowControl/>
    </w:pPr>
    <w:rPr>
      <w:rFonts w:ascii="宋体"/>
      <w:color w:val="000000"/>
      <w:sz w:val="28"/>
      <w:szCs w:val="20"/>
    </w:rPr>
  </w:style>
  <w:style w:type="character" w:styleId="1198" w:customStyle="1">
    <w:name w:val="普通文字1 Char1"/>
    <w:uiPriority w:val="0"/>
    <w:qFormat/>
    <w:rPr>
      <w:rFonts w:ascii="宋体" w:hAnsi="Courier New" w:eastAsia="宋体"/>
      <w:sz w:val="21"/>
      <w:lang w:val="en-US" w:eastAsia="zh-CN" w:bidi="ar-SA"/>
    </w:rPr>
  </w:style>
  <w:style w:type="character" w:styleId="1199" w:customStyle="1">
    <w:name w:val="chanpin1"/>
    <w:uiPriority w:val="0"/>
    <w:qFormat/>
    <w:rPr>
      <w:rFonts w:ascii="ˎ̥" w:hAnsi="ˎ̥"/>
      <w:color w:val="000000"/>
      <w:sz w:val="20"/>
      <w:szCs w:val="20"/>
      <w:u w:val="none"/>
    </w:rPr>
  </w:style>
  <w:style w:type="character" w:styleId="1200" w:customStyle="1">
    <w:name w:val="列出段落 字符"/>
    <w:link w:val="1201"/>
    <w:uiPriority w:val="34"/>
    <w:qFormat/>
    <w:rPr>
      <w:rFonts w:ascii="Calibri" w:hAnsi="Calibri" w:eastAsia="宋体"/>
      <w:sz w:val="21"/>
      <w:szCs w:val="22"/>
      <w:lang w:val="en-US" w:eastAsia="zh-CN" w:bidi="ar-SA"/>
    </w:rPr>
  </w:style>
  <w:style w:type="paragraph" w:styleId="1201" w:customStyle="1">
    <w:name w:val="列出段落"/>
    <w:basedOn w:val="935"/>
    <w:link w:val="1200"/>
    <w:uiPriority w:val="34"/>
    <w:qFormat/>
    <w:pPr>
      <w:ind w:firstLine="420"/>
    </w:pPr>
    <w:rPr>
      <w:rFonts w:ascii="Calibri" w:hAnsi="Calibri"/>
      <w:szCs w:val="22"/>
    </w:rPr>
  </w:style>
  <w:style w:type="character" w:styleId="1202" w:customStyle="1">
    <w:name w:val="标题 3 Char Char"/>
    <w:uiPriority w:val="0"/>
    <w:qFormat/>
    <w:rPr>
      <w:rFonts w:eastAsia="宋体"/>
      <w:b/>
      <w:bCs/>
      <w:sz w:val="32"/>
      <w:szCs w:val="32"/>
      <w:lang w:val="en-US" w:eastAsia="zh-CN" w:bidi="ar-SA"/>
    </w:rPr>
  </w:style>
  <w:style w:type="character" w:styleId="1203" w:customStyle="1">
    <w:name w:val="段1 Char"/>
    <w:uiPriority w:val="0"/>
    <w:qFormat/>
    <w:rPr>
      <w:rFonts w:ascii="宋体" w:eastAsia="宋体"/>
      <w:sz w:val="24"/>
      <w:lang w:val="en-US" w:eastAsia="zh-CN" w:bidi="ar-SA"/>
    </w:rPr>
  </w:style>
  <w:style w:type="character" w:styleId="1204" w:customStyle="1">
    <w:name w:val="chanpin拷贝"/>
    <w:uiPriority w:val="0"/>
    <w:qFormat/>
  </w:style>
  <w:style w:type="character" w:styleId="1205" w:customStyle="1">
    <w:name w:val="纯文本 Char1"/>
    <w:uiPriority w:val="99"/>
    <w:qFormat/>
    <w:rPr>
      <w:rFonts w:ascii="宋体" w:hAnsi="Courier New" w:eastAsia="宋体"/>
      <w:sz w:val="21"/>
      <w:lang w:val="en-US" w:eastAsia="zh-CN" w:bidi="ar-SA"/>
    </w:rPr>
  </w:style>
  <w:style w:type="character" w:styleId="1206" w:customStyle="1">
    <w:name w:val="apple-style-span"/>
    <w:uiPriority w:val="0"/>
    <w:qFormat/>
    <w:rPr>
      <w:rFonts w:cs="Times New Roman"/>
    </w:rPr>
  </w:style>
  <w:style w:type="paragraph" w:styleId="1207" w:customStyle="1">
    <w:name w:val="二级条标题"/>
    <w:basedOn w:val="1208"/>
    <w:next w:val="93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8" w:customStyle="1">
    <w:name w:val="一级条标题"/>
    <w:basedOn w:val="1209"/>
    <w:next w:val="935"/>
    <w:uiPriority w:val="0"/>
    <w:qFormat/>
    <w:pPr>
      <w:numPr>
        <w:ilvl w:val="1"/>
      </w:numPr>
      <w:ind w:left="0" w:hanging="840"/>
      <w:tabs>
        <w:tab w:val="left" w:pos="360" w:leader="none"/>
        <w:tab w:val="left" w:pos="840" w:leader="none"/>
      </w:tabs>
      <w:outlineLvl w:val="1"/>
    </w:pPr>
  </w:style>
  <w:style w:type="paragraph" w:styleId="1209" w:customStyle="1">
    <w:name w:val="章标题"/>
    <w:next w:val="93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10" w:customStyle="1">
    <w:name w:val="font7"/>
    <w:basedOn w:val="935"/>
    <w:uiPriority w:val="0"/>
    <w:qFormat/>
    <w:pPr>
      <w:jc w:val="left"/>
      <w:spacing w:before="100" w:beforeAutospacing="1" w:after="100" w:afterAutospacing="1"/>
      <w:widowControl/>
    </w:pPr>
    <w:rPr>
      <w:rFonts w:eastAsia="Arial Unicode MS"/>
      <w:b/>
      <w:bCs/>
      <w:color w:val="000000"/>
      <w:sz w:val="20"/>
      <w:szCs w:val="20"/>
    </w:rPr>
  </w:style>
  <w:style w:type="paragraph" w:styleId="1211" w:customStyle="1">
    <w:name w:val="字元 字元"/>
    <w:basedOn w:val="935"/>
    <w:uiPriority w:val="0"/>
    <w:qFormat/>
    <w:rPr>
      <w:rFonts w:ascii="Tahoma" w:hAnsi="Tahoma"/>
      <w:sz w:val="24"/>
      <w:szCs w:val="20"/>
    </w:rPr>
  </w:style>
  <w:style w:type="paragraph" w:styleId="1212" w:customStyle="1">
    <w:name w:val="Char3 Char Char Char"/>
    <w:basedOn w:val="935"/>
    <w:uiPriority w:val="0"/>
    <w:qFormat/>
    <w:rPr>
      <w:rFonts w:ascii="Tahoma" w:hAnsi="Tahoma"/>
      <w:sz w:val="24"/>
      <w:szCs w:val="20"/>
    </w:rPr>
  </w:style>
  <w:style w:type="paragraph" w:styleId="1213" w:customStyle="1">
    <w:name w:val="font6"/>
    <w:basedOn w:val="935"/>
    <w:uiPriority w:val="0"/>
    <w:qFormat/>
    <w:pPr>
      <w:jc w:val="left"/>
      <w:spacing w:before="100" w:beforeAutospacing="1" w:after="100" w:afterAutospacing="1"/>
      <w:widowControl/>
    </w:pPr>
    <w:rPr>
      <w:rFonts w:ascii="宋体" w:hAnsi="宋体" w:cs="宋体"/>
      <w:sz w:val="20"/>
      <w:szCs w:val="20"/>
    </w:rPr>
  </w:style>
  <w:style w:type="paragraph" w:styleId="1214" w:customStyle="1">
    <w:name w:val="项目编号2"/>
    <w:basedOn w:val="1215"/>
    <w:uiPriority w:val="0"/>
    <w:qFormat/>
    <w:pPr>
      <w:numPr>
        <w:numId w:val="2"/>
      </w:numPr>
    </w:pPr>
  </w:style>
  <w:style w:type="paragraph" w:styleId="1215" w:customStyle="1">
    <w:name w:val="项目编号1"/>
    <w:basedOn w:val="935"/>
    <w:uiPriority w:val="0"/>
    <w:qFormat/>
    <w:pPr>
      <w:numPr>
        <w:ilvl w:val="0"/>
        <w:numId w:val="3"/>
      </w:numPr>
      <w:spacing w:before="100" w:beforeAutospacing="1" w:after="100" w:afterAutospacing="1" w:line="360" w:lineRule="auto"/>
    </w:pPr>
    <w:rPr>
      <w:sz w:val="24"/>
    </w:rPr>
  </w:style>
  <w:style w:type="paragraph" w:styleId="1216" w:customStyle="1">
    <w:name w:val="图中文字"/>
    <w:basedOn w:val="935"/>
    <w:uiPriority w:val="0"/>
    <w:qFormat/>
    <w:pPr>
      <w:jc w:val="center"/>
      <w:spacing w:line="0" w:lineRule="atLeast"/>
    </w:pPr>
    <w:rPr>
      <w:sz w:val="24"/>
      <w:szCs w:val="20"/>
    </w:rPr>
  </w:style>
  <w:style w:type="paragraph" w:styleId="1217" w:customStyle="1">
    <w:name w:val="xl46"/>
    <w:basedOn w:val="93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8" w:customStyle="1">
    <w:name w:val="xl25"/>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customStyle="1">
    <w:name w:val="Char2"/>
    <w:basedOn w:val="935"/>
    <w:uiPriority w:val="0"/>
    <w:qFormat/>
    <w:rPr>
      <w:rFonts w:ascii="Tahoma" w:hAnsi="Tahoma"/>
      <w:sz w:val="24"/>
      <w:szCs w:val="20"/>
    </w:rPr>
  </w:style>
  <w:style w:type="paragraph" w:styleId="1220" w:customStyle="1">
    <w:name w:val="xl35"/>
    <w:basedOn w:val="93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1" w:customStyle="1">
    <w:name w:val="xl40"/>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customStyle="1">
    <w:name w:val="xl52"/>
    <w:basedOn w:val="9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3" w:customStyle="1">
    <w:name w:val="xl43"/>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4" w:customStyle="1">
    <w:name w:val="background1"/>
    <w:basedOn w:val="935"/>
    <w:uiPriority w:val="0"/>
    <w:qFormat/>
    <w:pPr>
      <w:jc w:val="left"/>
      <w:spacing w:before="100" w:beforeAutospacing="1" w:after="100" w:afterAutospacing="1"/>
      <w:widowControl/>
    </w:pPr>
    <w:rPr>
      <w:rFonts w:ascii="宋体" w:hAnsi="宋体" w:cs="宋体"/>
      <w:sz w:val="24"/>
    </w:rPr>
  </w:style>
  <w:style w:type="paragraph" w:styleId="1225" w:customStyle="1">
    <w:name w:val="Char Char Char Char Char Char Char"/>
    <w:basedOn w:val="935"/>
    <w:uiPriority w:val="0"/>
    <w:qFormat/>
    <w:pPr>
      <w:ind w:firstLine="200"/>
      <w:spacing w:line="360" w:lineRule="auto"/>
    </w:pPr>
    <w:rPr>
      <w:rFonts w:eastAsia="仿宋_GB2312"/>
      <w:sz w:val="24"/>
    </w:rPr>
  </w:style>
  <w:style w:type="paragraph" w:styleId="1226" w:customStyle="1">
    <w:name w:val="xl38"/>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7" w:customStyle="1">
    <w:name w:val="xl36"/>
    <w:basedOn w:val="93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8" w:customStyle="1">
    <w:name w:val="正文 + 宋体"/>
    <w:basedOn w:val="935"/>
    <w:uiPriority w:val="0"/>
    <w:qFormat/>
    <w:pPr>
      <w:ind w:left="360" w:hanging="360"/>
      <w:jc w:val="left"/>
      <w:widowControl/>
    </w:pPr>
    <w:rPr>
      <w:rFonts w:ascii="宋体" w:hAnsi="宋体" w:cs="宋体"/>
      <w:b/>
      <w:bCs/>
      <w:color w:val="000000"/>
      <w:sz w:val="18"/>
      <w:szCs w:val="18"/>
    </w:rPr>
  </w:style>
  <w:style w:type="paragraph" w:styleId="1229" w:customStyle="1">
    <w:name w:val="正文列项_数字"/>
    <w:basedOn w:val="93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30" w:customStyle="1">
    <w:name w:val="xl39"/>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customStyle="1">
    <w:name w:val="xl37"/>
    <w:basedOn w:val="93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2" w:customStyle="1">
    <w:name w:val="xl32"/>
    <w:basedOn w:val="9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customStyle="1">
    <w:name w:val="font8"/>
    <w:basedOn w:val="935"/>
    <w:uiPriority w:val="0"/>
    <w:qFormat/>
    <w:pPr>
      <w:jc w:val="left"/>
      <w:spacing w:before="100" w:beforeAutospacing="1" w:after="100" w:afterAutospacing="1"/>
      <w:widowControl/>
    </w:pPr>
    <w:rPr>
      <w:sz w:val="36"/>
      <w:szCs w:val="36"/>
    </w:rPr>
  </w:style>
  <w:style w:type="paragraph" w:styleId="1234" w:customStyle="1">
    <w:name w:val="Char"/>
    <w:basedOn w:val="935"/>
    <w:uiPriority w:val="0"/>
    <w:qFormat/>
    <w:pPr>
      <w:tabs>
        <w:tab w:val="left" w:pos="360" w:leader="none"/>
      </w:tabs>
    </w:pPr>
    <w:rPr>
      <w:sz w:val="24"/>
    </w:rPr>
  </w:style>
  <w:style w:type="paragraph" w:styleId="1235" w:customStyle="1">
    <w:name w:val="Char Char Char Char Char Char Char Char Char Char Char Char Char Char Char Char"/>
    <w:basedOn w:val="935"/>
    <w:uiPriority w:val="0"/>
    <w:qFormat/>
    <w:pPr>
      <w:jc w:val="center"/>
      <w:spacing w:after="160" w:line="240" w:lineRule="exact"/>
      <w:widowControl/>
    </w:pPr>
    <w:rPr>
      <w:rFonts w:ascii="宋体" w:hAnsi="宋体"/>
      <w:b/>
      <w:sz w:val="30"/>
      <w:szCs w:val="30"/>
      <w:lang w:eastAsia="en-US"/>
    </w:rPr>
  </w:style>
  <w:style w:type="paragraph" w:styleId="1236" w:customStyle="1">
    <w:name w:val="xl45"/>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7" w:customStyle="1">
    <w:name w:val="Char Char1 Char Char Char Char Char Char"/>
    <w:basedOn w:val="935"/>
    <w:uiPriority w:val="0"/>
    <w:qFormat/>
    <w:pPr>
      <w:jc w:val="left"/>
      <w:spacing w:after="160" w:line="240" w:lineRule="exact"/>
      <w:widowControl/>
    </w:pPr>
    <w:rPr>
      <w:rFonts w:ascii="Verdana" w:hAnsi="Verdana" w:eastAsia="仿宋_GB2312"/>
      <w:sz w:val="24"/>
      <w:szCs w:val="20"/>
      <w:lang w:eastAsia="en-US"/>
    </w:rPr>
  </w:style>
  <w:style w:type="paragraph" w:styleId="1238" w:customStyle="1">
    <w:name w:val="Char Char1"/>
    <w:basedOn w:val="950"/>
    <w:uiPriority w:val="0"/>
    <w:qFormat/>
    <w:rPr>
      <w:rFonts w:ascii="Tahoma" w:hAnsi="Tahoma"/>
      <w:sz w:val="24"/>
    </w:rPr>
  </w:style>
  <w:style w:type="paragraph" w:styleId="1239" w:customStyle="1">
    <w:name w:val="xl26"/>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0" w:customStyle="1">
    <w:name w:val="xl30"/>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1" w:customStyle="1">
    <w:name w:val="xl41"/>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2" w:customStyle="1">
    <w:name w:val="样式 宋体 五号 行距: 单倍行距"/>
    <w:basedOn w:val="935"/>
    <w:uiPriority w:val="0"/>
    <w:qFormat/>
    <w:pPr>
      <w:jc w:val="left"/>
    </w:pPr>
    <w:rPr>
      <w:rFonts w:ascii="宋体" w:hAnsi="宋体"/>
      <w:szCs w:val="20"/>
    </w:rPr>
  </w:style>
  <w:style w:type="paragraph" w:styleId="1243" w:customStyle="1">
    <w:name w:val="Char1 Char Char Char1"/>
    <w:basedOn w:val="935"/>
    <w:uiPriority w:val="0"/>
    <w:qFormat/>
    <w:rPr>
      <w:rFonts w:ascii="Tahoma" w:hAnsi="Tahoma" w:cs="仿宋_GB2312"/>
      <w:sz w:val="24"/>
      <w:szCs w:val="28"/>
    </w:rPr>
  </w:style>
  <w:style w:type="paragraph" w:styleId="1244" w:customStyle="1">
    <w:name w:val="四级条标题"/>
    <w:basedOn w:val="1245"/>
    <w:next w:val="935"/>
    <w:uiPriority w:val="0"/>
    <w:qFormat/>
    <w:pPr>
      <w:numPr>
        <w:ilvl w:val="4"/>
      </w:numPr>
      <w:ind w:left="0" w:hanging="840"/>
      <w:tabs>
        <w:tab w:val="left" w:pos="360" w:leader="none"/>
        <w:tab w:val="left" w:pos="840" w:leader="none"/>
      </w:tabs>
      <w:outlineLvl w:val="4"/>
    </w:pPr>
  </w:style>
  <w:style w:type="paragraph" w:styleId="1245" w:customStyle="1">
    <w:name w:val="三级条标题"/>
    <w:basedOn w:val="1207"/>
    <w:next w:val="935"/>
    <w:uiPriority w:val="0"/>
    <w:qFormat/>
    <w:pPr>
      <w:numPr>
        <w:ilvl w:val="3"/>
        <w:numId w:val="1"/>
      </w:numPr>
      <w:ind w:left="0" w:hanging="840"/>
      <w:outlineLvl w:val="3"/>
    </w:pPr>
  </w:style>
  <w:style w:type="paragraph" w:styleId="124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47" w:customStyle="1">
    <w:name w:val="样式 标题 2 + 宋体 五号 行距: 单倍行距"/>
    <w:basedOn w:val="937"/>
    <w:uiPriority w:val="0"/>
    <w:qFormat/>
    <w:pPr>
      <w:numPr>
        <w:ilvl w:val="1"/>
        <w:numId w:val="4"/>
      </w:numPr>
      <w:jc w:val="left"/>
      <w:spacing w:before="260" w:after="260" w:line="240" w:lineRule="auto"/>
    </w:pPr>
    <w:rPr>
      <w:rFonts w:ascii="宋体" w:hAnsi="宋体" w:eastAsia="宋体"/>
      <w:bCs/>
      <w:sz w:val="21"/>
    </w:rPr>
  </w:style>
  <w:style w:type="paragraph" w:styleId="1248" w:customStyle="1">
    <w:name w:val="List Paragraph1"/>
    <w:basedOn w:val="935"/>
    <w:uiPriority w:val="0"/>
    <w:qFormat/>
    <w:pPr>
      <w:ind w:firstLine="420"/>
    </w:pPr>
    <w:rPr>
      <w:rFonts w:ascii="Calibri" w:hAnsi="Calibri"/>
      <w:szCs w:val="22"/>
    </w:rPr>
  </w:style>
  <w:style w:type="paragraph" w:styleId="1249" w:customStyle="1">
    <w:name w:val="项目符号1"/>
    <w:basedOn w:val="1250"/>
    <w:uiPriority w:val="0"/>
    <w:qFormat/>
    <w:pPr>
      <w:ind w:left="-25" w:firstLine="0"/>
    </w:pPr>
  </w:style>
  <w:style w:type="paragraph" w:styleId="1250" w:customStyle="1">
    <w:name w:val="正文文本样式"/>
    <w:basedOn w:val="935"/>
    <w:uiPriority w:val="0"/>
    <w:qFormat/>
    <w:pPr>
      <w:ind w:firstLine="482"/>
      <w:spacing w:line="360" w:lineRule="auto"/>
    </w:pPr>
    <w:rPr>
      <w:rFonts w:cs="宋体"/>
      <w:sz w:val="24"/>
      <w:szCs w:val="20"/>
    </w:rPr>
  </w:style>
  <w:style w:type="paragraph" w:styleId="1251" w:customStyle="1">
    <w:name w:val="xl27"/>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2" w:customStyle="1">
    <w:name w:val="font5"/>
    <w:basedOn w:val="935"/>
    <w:uiPriority w:val="0"/>
    <w:qFormat/>
    <w:pPr>
      <w:jc w:val="left"/>
      <w:spacing w:before="100" w:beforeAutospacing="1" w:after="100" w:afterAutospacing="1"/>
      <w:widowControl/>
    </w:pPr>
    <w:rPr>
      <w:rFonts w:ascii="宋体" w:hAnsi="宋体" w:cs="宋体"/>
      <w:sz w:val="18"/>
      <w:szCs w:val="18"/>
    </w:rPr>
  </w:style>
  <w:style w:type="paragraph" w:styleId="1253" w:customStyle="1">
    <w:name w:val="五级条标题"/>
    <w:basedOn w:val="1244"/>
    <w:next w:val="935"/>
    <w:uiPriority w:val="0"/>
    <w:qFormat/>
    <w:pPr>
      <w:numPr>
        <w:ilvl w:val="5"/>
      </w:numPr>
      <w:ind w:left="0" w:hanging="840"/>
      <w:outlineLvl w:val="5"/>
    </w:pPr>
  </w:style>
  <w:style w:type="paragraph" w:styleId="1254" w:customStyle="1">
    <w:name w:val="xl49"/>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55" w:customStyle="1">
    <w:name w:val="文档正文"/>
    <w:basedOn w:val="935"/>
    <w:uiPriority w:val="0"/>
    <w:qFormat/>
    <w:pPr>
      <w:spacing w:before="120" w:after="120" w:line="180" w:lineRule="auto"/>
    </w:pPr>
    <w:rPr>
      <w:rFonts w:ascii="Arial" w:hAnsi="Arial"/>
      <w:szCs w:val="20"/>
    </w:rPr>
  </w:style>
  <w:style w:type="paragraph" w:styleId="1256" w:customStyle="1">
    <w:name w:val="xl33"/>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7" w:customStyle="1">
    <w:name w:val="xl42"/>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8" w:customStyle="1">
    <w:name w:val="Char Char Char1 Char"/>
    <w:basedOn w:val="935"/>
    <w:uiPriority w:val="0"/>
    <w:qFormat/>
    <w:rPr>
      <w:rFonts w:ascii="Tahoma" w:hAnsi="Tahoma"/>
      <w:sz w:val="24"/>
      <w:szCs w:val="20"/>
    </w:rPr>
  </w:style>
  <w:style w:type="paragraph" w:styleId="1259" w:customStyle="1">
    <w:name w:val="xl44"/>
    <w:basedOn w:val="9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0" w:customStyle="1">
    <w:name w:val="1名"/>
    <w:basedOn w:val="935"/>
    <w:uiPriority w:val="0"/>
    <w:qFormat/>
    <w:pPr>
      <w:numPr>
        <w:ilvl w:val="0"/>
        <w:numId w:val="5"/>
      </w:numPr>
      <w:spacing w:before="120"/>
    </w:pPr>
    <w:rPr>
      <w:rFonts w:ascii="宋体"/>
      <w:sz w:val="28"/>
      <w:szCs w:val="20"/>
    </w:rPr>
  </w:style>
  <w:style w:type="paragraph" w:styleId="1261" w:customStyle="1">
    <w:name w:val="font9"/>
    <w:basedOn w:val="93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62" w:customStyle="1">
    <w:name w:val="Char Char Char1 Char1"/>
    <w:basedOn w:val="935"/>
    <w:uiPriority w:val="0"/>
    <w:qFormat/>
    <w:rPr>
      <w:rFonts w:ascii="Tahoma" w:hAnsi="Tahoma"/>
      <w:sz w:val="24"/>
      <w:szCs w:val="20"/>
    </w:rPr>
  </w:style>
  <w:style w:type="paragraph" w:styleId="1263" w:customStyle="1">
    <w:name w:val="Char Char Char Char Char Char Char Char Char Char"/>
    <w:basedOn w:val="935"/>
    <w:uiPriority w:val="0"/>
    <w:qFormat/>
  </w:style>
  <w:style w:type="paragraph" w:styleId="1264" w:customStyle="1">
    <w:name w:val="Char Char1 Char Char Char Char Char Char Char Char"/>
    <w:basedOn w:val="935"/>
    <w:uiPriority w:val="0"/>
    <w:qFormat/>
    <w:pPr>
      <w:jc w:val="left"/>
      <w:spacing w:after="160" w:line="240" w:lineRule="exact"/>
      <w:widowControl/>
    </w:pPr>
    <w:rPr>
      <w:rFonts w:ascii="Verdana" w:hAnsi="Verdana"/>
      <w:sz w:val="20"/>
      <w:szCs w:val="20"/>
      <w:lang w:eastAsia="en-US"/>
    </w:rPr>
  </w:style>
  <w:style w:type="paragraph" w:styleId="1265" w:customStyle="1">
    <w:name w:val="Char1"/>
    <w:basedOn w:val="935"/>
    <w:uiPriority w:val="0"/>
    <w:qFormat/>
    <w:pPr>
      <w:tabs>
        <w:tab w:val="left" w:pos="360" w:leader="none"/>
      </w:tabs>
    </w:pPr>
    <w:rPr>
      <w:sz w:val="24"/>
    </w:rPr>
  </w:style>
  <w:style w:type="paragraph" w:styleId="1266" w:customStyle="1">
    <w:name w:val="正文列项_字母"/>
    <w:basedOn w:val="93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67" w:customStyle="1">
    <w:name w:val="xl28"/>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customStyle="1">
    <w:name w:val="xl47"/>
    <w:basedOn w:val="9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9" w:customStyle="1">
    <w:name w:val="默认段落字体 Para Char Char Char Char"/>
    <w:basedOn w:val="935"/>
    <w:uiPriority w:val="0"/>
    <w:qFormat/>
    <w:rPr>
      <w:rFonts w:ascii="Arial" w:hAnsi="Arial" w:cs="Arial"/>
      <w:szCs w:val="21"/>
    </w:rPr>
  </w:style>
  <w:style w:type="paragraph" w:styleId="1270" w:customStyle="1">
    <w:name w:val="xl48"/>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1" w:customStyle="1">
    <w:name w:val="xl31"/>
    <w:basedOn w:val="9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customStyle="1">
    <w:name w:val="xl53"/>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3" w:customStyle="1">
    <w:name w:val="Char Char Char"/>
    <w:basedOn w:val="935"/>
    <w:uiPriority w:val="0"/>
    <w:qFormat/>
    <w:rPr>
      <w:rFonts w:ascii="Tahoma" w:hAnsi="Tahoma"/>
      <w:sz w:val="24"/>
      <w:szCs w:val="20"/>
    </w:rPr>
  </w:style>
  <w:style w:type="paragraph" w:styleId="1274" w:customStyle="1">
    <w:name w:val="xl50"/>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5" w:customStyle="1">
    <w:name w:val="缺省文本"/>
    <w:basedOn w:val="935"/>
    <w:uiPriority w:val="0"/>
    <w:qFormat/>
    <w:pPr>
      <w:jc w:val="left"/>
    </w:pPr>
    <w:rPr>
      <w:sz w:val="24"/>
    </w:rPr>
  </w:style>
  <w:style w:type="paragraph" w:styleId="1276" w:customStyle="1">
    <w:name w:val="Char Char Char1"/>
    <w:basedOn w:val="935"/>
    <w:uiPriority w:val="0"/>
    <w:qFormat/>
    <w:rPr>
      <w:rFonts w:ascii="Tahoma" w:hAnsi="Tahoma"/>
      <w:sz w:val="24"/>
      <w:szCs w:val="20"/>
    </w:rPr>
  </w:style>
  <w:style w:type="paragraph" w:styleId="1277" w:customStyle="1">
    <w:name w:val="Char Char Char Char Char Char Char1"/>
    <w:basedOn w:val="935"/>
    <w:uiPriority w:val="0"/>
    <w:qFormat/>
    <w:pPr>
      <w:ind w:firstLine="200"/>
      <w:spacing w:line="360" w:lineRule="auto"/>
    </w:pPr>
    <w:rPr>
      <w:rFonts w:eastAsia="仿宋_GB2312"/>
      <w:sz w:val="24"/>
    </w:rPr>
  </w:style>
  <w:style w:type="paragraph" w:styleId="1278" w:customStyle="1">
    <w:name w:val="xl51"/>
    <w:basedOn w:val="9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customStyle="1">
    <w:name w:val="样式2"/>
    <w:basedOn w:val="978"/>
    <w:uiPriority w:val="0"/>
    <w:qFormat/>
    <w:pPr>
      <w:jc w:val="center"/>
      <w:spacing w:line="360" w:lineRule="auto"/>
    </w:pPr>
    <w:rPr>
      <w:sz w:val="24"/>
    </w:rPr>
  </w:style>
  <w:style w:type="paragraph" w:styleId="1280" w:customStyle="1">
    <w:name w:val="xl24"/>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customStyle="1">
    <w:name w:val="xl29"/>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2" w:customStyle="1">
    <w:name w:val="正文 + 楷体_GB2312"/>
    <w:basedOn w:val="935"/>
    <w:uiPriority w:val="0"/>
    <w:qFormat/>
    <w:pPr>
      <w:jc w:val="left"/>
      <w:widowControl/>
    </w:pPr>
    <w:rPr>
      <w:rFonts w:ascii="楷体_GB2312" w:eastAsia="楷体_GB2312" w:cs="Arial"/>
      <w:sz w:val="24"/>
    </w:rPr>
  </w:style>
  <w:style w:type="paragraph" w:styleId="1283" w:customStyle="1">
    <w:name w:val="xl34"/>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84" w:customStyle="1">
    <w:name w:val="1 Char Char Char Char"/>
    <w:basedOn w:val="935"/>
    <w:uiPriority w:val="0"/>
    <w:qFormat/>
    <w:rPr>
      <w:rFonts w:ascii="Tahoma" w:hAnsi="Tahoma"/>
      <w:sz w:val="24"/>
      <w:szCs w:val="20"/>
    </w:rPr>
  </w:style>
  <w:style w:type="paragraph" w:styleId="128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86" w:customStyle="1">
    <w:name w:val="列出段落1"/>
    <w:basedOn w:val="935"/>
    <w:uiPriority w:val="0"/>
    <w:qFormat/>
    <w:pPr>
      <w:ind w:firstLine="420"/>
    </w:pPr>
    <w:rPr>
      <w:rFonts w:ascii="Calibri" w:hAnsi="Calibri"/>
      <w:szCs w:val="22"/>
    </w:rPr>
  </w:style>
  <w:style w:type="paragraph" w:styleId="1287" w:customStyle="1">
    <w:name w:val="default"/>
    <w:basedOn w:val="935"/>
    <w:uiPriority w:val="0"/>
    <w:qFormat/>
    <w:pPr>
      <w:jc w:val="left"/>
      <w:spacing w:before="100" w:beforeAutospacing="1" w:after="100" w:afterAutospacing="1"/>
      <w:widowControl/>
    </w:pPr>
    <w:rPr>
      <w:rFonts w:ascii="宋体" w:hAnsi="宋体" w:cs="宋体"/>
      <w:sz w:val="24"/>
    </w:rPr>
  </w:style>
  <w:style w:type="paragraph" w:styleId="1288" w:customStyle="1">
    <w:name w:val="字元 字元1"/>
    <w:basedOn w:val="935"/>
    <w:uiPriority w:val="0"/>
    <w:qFormat/>
    <w:rPr>
      <w:rFonts w:ascii="Tahoma" w:hAnsi="Tahoma"/>
      <w:sz w:val="24"/>
      <w:szCs w:val="20"/>
    </w:rPr>
  </w:style>
  <w:style w:type="paragraph" w:styleId="1289" w:customStyle="1">
    <w:name w:val="_Style 160"/>
    <w:uiPriority w:val="0"/>
    <w:qFormat/>
    <w:rPr>
      <w:rFonts w:ascii="Times New Roman" w:hAnsi="Times New Roman" w:eastAsia="宋体" w:cs="Times New Roman"/>
      <w:sz w:val="21"/>
      <w:szCs w:val="24"/>
      <w:lang w:val="en-US" w:eastAsia="zh-CN" w:bidi="ar-SA"/>
    </w:rPr>
  </w:style>
  <w:style w:type="paragraph" w:styleId="1290" w:customStyle="1">
    <w:name w:val="项目编号3"/>
    <w:basedOn w:val="1250"/>
    <w:uiPriority w:val="0"/>
    <w:qFormat/>
    <w:pPr>
      <w:numPr>
        <w:ilvl w:val="0"/>
        <w:numId w:val="6"/>
      </w:numPr>
    </w:pPr>
  </w:style>
  <w:style w:type="paragraph" w:styleId="1291" w:customStyle="1">
    <w:name w:val="Char21"/>
    <w:basedOn w:val="935"/>
    <w:uiPriority w:val="0"/>
    <w:qFormat/>
    <w:rPr>
      <w:rFonts w:ascii="Tahoma" w:hAnsi="Tahoma"/>
      <w:sz w:val="24"/>
      <w:szCs w:val="20"/>
    </w:rPr>
  </w:style>
  <w:style w:type="paragraph" w:styleId="1292" w:customStyle="1">
    <w:name w:val="表格文字"/>
    <w:basedOn w:val="954"/>
    <w:uiPriority w:val="0"/>
    <w:qFormat/>
    <w:pPr>
      <w:ind w:firstLine="0"/>
      <w:spacing w:before="20" w:after="20" w:line="240" w:lineRule="auto"/>
    </w:pPr>
    <w:rPr>
      <w:rFonts w:ascii="Century Gothic" w:hAnsi="Century Gothic"/>
      <w:sz w:val="20"/>
      <w:szCs w:val="20"/>
    </w:rPr>
  </w:style>
  <w:style w:type="paragraph" w:styleId="1293" w:customStyle="1">
    <w:name w:val="Char Char Char Char Char Char Char Char Char Char1"/>
    <w:basedOn w:val="935"/>
    <w:uiPriority w:val="0"/>
    <w:qFormat/>
    <w:rPr>
      <w:rFonts w:ascii="宋体" w:hAnsi="宋体" w:cs="Courier New"/>
      <w:sz w:val="32"/>
      <w:szCs w:val="32"/>
    </w:rPr>
  </w:style>
  <w:style w:type="paragraph" w:styleId="1294" w:customStyle="1">
    <w:name w:val="正文文本样式 加粗"/>
    <w:basedOn w:val="1250"/>
    <w:uiPriority w:val="0"/>
    <w:qFormat/>
    <w:rPr>
      <w:b/>
    </w:rPr>
  </w:style>
  <w:style w:type="paragraph" w:styleId="1295" w:customStyle="1">
    <w:name w:val="Char2 Char Char Char Char Char Char"/>
    <w:basedOn w:val="935"/>
    <w:uiPriority w:val="0"/>
    <w:qFormat/>
    <w:pPr>
      <w:jc w:val="center"/>
      <w:spacing w:line="400" w:lineRule="exact"/>
      <w:widowControl/>
    </w:pPr>
  </w:style>
  <w:style w:type="paragraph" w:styleId="1296" w:customStyle="1">
    <w:name w:val="Char Char4"/>
    <w:basedOn w:val="935"/>
    <w:uiPriority w:val="0"/>
    <w:qFormat/>
    <w:pPr>
      <w:jc w:val="center"/>
      <w:spacing w:line="400" w:lineRule="exact"/>
      <w:widowControl/>
    </w:pPr>
  </w:style>
  <w:style w:type="paragraph" w:styleId="1297" w:customStyle="1">
    <w:name w:val="Char3 Char Char Char1"/>
    <w:basedOn w:val="935"/>
    <w:uiPriority w:val="0"/>
    <w:qFormat/>
    <w:rPr>
      <w:rFonts w:ascii="Tahoma" w:hAnsi="Tahoma"/>
      <w:sz w:val="24"/>
      <w:szCs w:val="20"/>
    </w:rPr>
  </w:style>
  <w:style w:type="paragraph" w:styleId="1298" w:customStyle="1">
    <w:name w:val="22222222222222"/>
    <w:basedOn w:val="935"/>
    <w:uiPriority w:val="0"/>
    <w:qFormat/>
    <w:pPr>
      <w:ind w:firstLine="480"/>
      <w:jc w:val="left"/>
      <w:spacing w:line="360" w:lineRule="auto"/>
      <w:widowControl/>
    </w:pPr>
    <w:rPr>
      <w:color w:val="ff0000"/>
      <w:sz w:val="24"/>
      <w:szCs w:val="20"/>
    </w:rPr>
  </w:style>
  <w:style w:type="character" w:styleId="1299" w:customStyle="1">
    <w:name w:val="中等深浅网格 1 - 强调文字颜色 2 Char"/>
    <w:link w:val="1300"/>
    <w:uiPriority w:val="0"/>
    <w:qFormat/>
    <w:rPr>
      <w:sz w:val="21"/>
      <w:szCs w:val="24"/>
      <w:lang w:val="zh-CN" w:eastAsia="zh-CN" w:bidi="ar-SA"/>
    </w:rPr>
  </w:style>
  <w:style w:type="paragraph" w:styleId="1300" w:customStyle="1">
    <w:name w:val="1"/>
    <w:link w:val="1299"/>
    <w:uiPriority w:val="0"/>
    <w:qFormat/>
    <w:rPr>
      <w:rFonts w:ascii="Times New Roman" w:hAnsi="Times New Roman" w:eastAsia="宋体" w:cs="Times New Roman"/>
      <w:sz w:val="21"/>
      <w:szCs w:val="24"/>
      <w:lang w:val="zh-CN" w:eastAsia="zh-CN" w:bidi="ar-SA"/>
    </w:rPr>
  </w:style>
  <w:style w:type="paragraph" w:styleId="1301" w:customStyle="1">
    <w:name w:val="图文"/>
    <w:basedOn w:val="935"/>
    <w:uiPriority w:val="0"/>
    <w:qFormat/>
    <w:pPr>
      <w:spacing w:after="50" w:line="360" w:lineRule="auto"/>
    </w:pPr>
    <w:rPr>
      <w:sz w:val="24"/>
    </w:rPr>
  </w:style>
  <w:style w:type="paragraph" w:styleId="1302" w:customStyle="1">
    <w:name w:val="xl23"/>
    <w:basedOn w:val="935"/>
    <w:uiPriority w:val="0"/>
    <w:qFormat/>
    <w:pPr>
      <w:spacing w:before="100" w:beforeAutospacing="1" w:after="100" w:afterAutospacing="1" w:line="360" w:lineRule="auto"/>
      <w:widowControl/>
    </w:pPr>
    <w:rPr>
      <w:sz w:val="24"/>
      <w:szCs w:val="20"/>
    </w:rPr>
  </w:style>
  <w:style w:type="paragraph" w:styleId="1303" w:customStyle="1">
    <w:name w:val="正文表格"/>
    <w:basedOn w:val="935"/>
    <w:link w:val="1304"/>
    <w:uiPriority w:val="0"/>
    <w:qFormat/>
    <w:pPr>
      <w:jc w:val="left"/>
    </w:pPr>
    <w:rPr>
      <w:rFonts w:ascii="宋体" w:hAnsi="宋体"/>
      <w:color w:val="000000"/>
      <w:szCs w:val="21"/>
    </w:rPr>
  </w:style>
  <w:style w:type="character" w:styleId="1304" w:customStyle="1">
    <w:name w:val="正文表格 Char"/>
    <w:link w:val="1303"/>
    <w:uiPriority w:val="0"/>
    <w:qFormat/>
    <w:rPr>
      <w:rFonts w:ascii="宋体" w:hAnsi="宋体"/>
      <w:color w:val="000000"/>
      <w:sz w:val="21"/>
      <w:szCs w:val="21"/>
    </w:rPr>
  </w:style>
  <w:style w:type="paragraph" w:styleId="1305" w:customStyle="1">
    <w:name w:val="正文重点"/>
    <w:basedOn w:val="935"/>
    <w:link w:val="1306"/>
    <w:uiPriority w:val="0"/>
    <w:qFormat/>
    <w:pPr>
      <w:ind w:firstLine="482"/>
      <w:jc w:val="left"/>
      <w:spacing w:line="360" w:lineRule="auto"/>
    </w:pPr>
    <w:rPr>
      <w:b/>
      <w:sz w:val="24"/>
      <w:szCs w:val="20"/>
    </w:rPr>
  </w:style>
  <w:style w:type="character" w:styleId="1306" w:customStyle="1">
    <w:name w:val="正文重点 Char"/>
    <w:link w:val="1305"/>
    <w:uiPriority w:val="0"/>
    <w:qFormat/>
    <w:rPr>
      <w:b/>
      <w:sz w:val="24"/>
    </w:rPr>
  </w:style>
  <w:style w:type="paragraph" w:styleId="1307" w:customStyle="1">
    <w:name w:val="标题1-附件"/>
    <w:basedOn w:val="936"/>
    <w:uiPriority w:val="0"/>
    <w:qFormat/>
    <w:pPr>
      <w:jc w:val="left"/>
    </w:pPr>
    <w:rPr>
      <w:sz w:val="24"/>
      <w:szCs w:val="24"/>
    </w:rPr>
  </w:style>
  <w:style w:type="paragraph" w:styleId="1308" w:customStyle="1">
    <w:name w:val="正文小标题"/>
    <w:basedOn w:val="935"/>
    <w:next w:val="947"/>
    <w:link w:val="1309"/>
    <w:uiPriority w:val="0"/>
    <w:qFormat/>
    <w:pPr>
      <w:ind w:firstLine="482"/>
      <w:jc w:val="left"/>
      <w:spacing w:before="312" w:after="312"/>
    </w:pPr>
    <w:rPr>
      <w:rFonts w:ascii="宋体" w:hAnsi="宋体"/>
      <w:b/>
      <w:i/>
      <w:color w:val="ff0000"/>
      <w:sz w:val="24"/>
      <w:szCs w:val="20"/>
    </w:rPr>
  </w:style>
  <w:style w:type="character" w:styleId="1309" w:customStyle="1">
    <w:name w:val="正文小标题 Char"/>
    <w:link w:val="1308"/>
    <w:uiPriority w:val="0"/>
    <w:qFormat/>
    <w:rPr>
      <w:rFonts w:ascii="宋体" w:hAnsi="宋体"/>
      <w:b/>
      <w:i/>
      <w:color w:val="ff0000"/>
      <w:sz w:val="24"/>
    </w:rPr>
  </w:style>
  <w:style w:type="paragraph" w:styleId="1310" w:customStyle="1">
    <w:name w:val="正文大标题"/>
    <w:basedOn w:val="1308"/>
    <w:next w:val="947"/>
    <w:link w:val="1311"/>
    <w:uiPriority w:val="0"/>
    <w:qFormat/>
    <w:pPr>
      <w:jc w:val="center"/>
    </w:pPr>
    <w:rPr>
      <w:i w:val="0"/>
      <w:color w:val="000000"/>
      <w:sz w:val="28"/>
      <w:szCs w:val="21"/>
    </w:rPr>
  </w:style>
  <w:style w:type="character" w:styleId="1311" w:customStyle="1">
    <w:name w:val="正文大标题 Char"/>
    <w:link w:val="1310"/>
    <w:uiPriority w:val="0"/>
    <w:qFormat/>
    <w:rPr>
      <w:rFonts w:ascii="宋体" w:hAnsi="宋体"/>
      <w:b/>
      <w:color w:val="000000"/>
      <w:sz w:val="28"/>
      <w:szCs w:val="21"/>
    </w:rPr>
  </w:style>
  <w:style w:type="paragraph" w:styleId="1312" w:customStyle="1">
    <w:name w:val="注释"/>
    <w:basedOn w:val="935"/>
    <w:link w:val="1313"/>
    <w:uiPriority w:val="0"/>
    <w:qFormat/>
    <w:pPr>
      <w:ind w:left="420" w:hanging="420"/>
      <w:jc w:val="left"/>
    </w:pPr>
    <w:rPr>
      <w:rFonts w:ascii="宋体" w:hAnsi="宋体"/>
      <w:szCs w:val="21"/>
    </w:rPr>
  </w:style>
  <w:style w:type="character" w:styleId="1313" w:customStyle="1">
    <w:name w:val="注释 Char"/>
    <w:link w:val="1312"/>
    <w:uiPriority w:val="0"/>
    <w:qFormat/>
    <w:rPr>
      <w:rFonts w:ascii="宋体" w:hAnsi="宋体"/>
      <w:sz w:val="21"/>
      <w:szCs w:val="21"/>
    </w:rPr>
  </w:style>
  <w:style w:type="paragraph" w:styleId="1314" w:customStyle="1">
    <w:name w:val="正文须知-1级"/>
    <w:basedOn w:val="935"/>
    <w:next w:val="935"/>
    <w:uiPriority w:val="0"/>
    <w:qFormat/>
    <w:pPr>
      <w:numPr>
        <w:ilvl w:val="0"/>
        <w:numId w:val="7"/>
      </w:numPr>
      <w:spacing w:line="300" w:lineRule="auto"/>
    </w:pPr>
    <w:rPr>
      <w:rFonts w:ascii="宋体" w:hAnsi="Calibri"/>
      <w:sz w:val="24"/>
      <w:szCs w:val="21"/>
    </w:rPr>
  </w:style>
  <w:style w:type="paragraph" w:styleId="1315" w:customStyle="1">
    <w:name w:val="正文须知-2级"/>
    <w:basedOn w:val="935"/>
    <w:uiPriority w:val="0"/>
    <w:qFormat/>
    <w:pPr>
      <w:numPr>
        <w:ilvl w:val="1"/>
        <w:numId w:val="7"/>
      </w:numPr>
      <w:spacing w:line="300" w:lineRule="auto"/>
    </w:pPr>
    <w:rPr>
      <w:rFonts w:ascii="宋体" w:hAnsi="Calibri"/>
      <w:sz w:val="24"/>
      <w:szCs w:val="21"/>
    </w:rPr>
  </w:style>
  <w:style w:type="paragraph" w:styleId="1316" w:customStyle="1">
    <w:name w:val="正文须知-3级"/>
    <w:basedOn w:val="935"/>
    <w:uiPriority w:val="0"/>
    <w:qFormat/>
    <w:pPr>
      <w:numPr>
        <w:ilvl w:val="2"/>
        <w:numId w:val="7"/>
      </w:numPr>
      <w:ind w:hanging="355"/>
      <w:spacing w:line="300" w:lineRule="auto"/>
    </w:pPr>
    <w:rPr>
      <w:rFonts w:ascii="宋体" w:hAnsi="Calibri"/>
      <w:sz w:val="24"/>
      <w:szCs w:val="21"/>
    </w:rPr>
  </w:style>
  <w:style w:type="character" w:styleId="1317" w:customStyle="1">
    <w:name w:val="纯文本 字符"/>
    <w:uiPriority w:val="0"/>
    <w:qFormat/>
    <w:rPr>
      <w:rFonts w:ascii="宋体" w:hAnsi="Courier New" w:eastAsia="宋体" w:cs="Times New Roman"/>
      <w:sz w:val="21"/>
      <w:szCs w:val="21"/>
      <w:lang w:val="en-US" w:eastAsia="zh-CN" w:bidi="ar-SA"/>
    </w:rPr>
  </w:style>
  <w:style w:type="paragraph" w:styleId="1318" w:customStyle="1">
    <w:name w:val="表格1"/>
    <w:basedOn w:val="935"/>
    <w:uiPriority w:val="0"/>
    <w:qFormat/>
    <w:pPr>
      <w:ind w:firstLine="480"/>
      <w:jc w:val="center"/>
    </w:pPr>
    <w:rPr>
      <w:sz w:val="24"/>
      <w:szCs w:val="20"/>
    </w:rPr>
  </w:style>
  <w:style w:type="character" w:styleId="1319" w:customStyle="1">
    <w:name w:val="纯文本 字符1"/>
    <w:uiPriority w:val="0"/>
    <w:qFormat/>
    <w:rPr>
      <w:rFonts w:ascii="宋体" w:hAnsi="Courier New"/>
    </w:rPr>
  </w:style>
  <w:style w:type="character" w:styleId="1320" w:customStyle="1">
    <w:name w:val="bjh-p"/>
    <w:uiPriority w:val="0"/>
    <w:qFormat/>
  </w:style>
  <w:style w:type="paragraph" w:styleId="1321" w:customStyle="1">
    <w:name w:val="无标题条"/>
    <w:next w:val="935"/>
    <w:uiPriority w:val="0"/>
    <w:qFormat/>
    <w:pPr>
      <w:jc w:val="both"/>
    </w:pPr>
    <w:rPr>
      <w:rFonts w:ascii="Times New Roman" w:hAnsi="Times New Roman" w:eastAsia="宋体" w:cs="Times New Roman"/>
      <w:sz w:val="21"/>
      <w:lang w:val="en-US" w:eastAsia="zh-CN" w:bidi="ar-SA"/>
    </w:rPr>
  </w:style>
  <w:style w:type="character" w:styleId="1322" w:customStyle="1">
    <w:name w:val="正文格式 Char"/>
    <w:link w:val="1323"/>
    <w:uiPriority w:val="0"/>
    <w:qFormat/>
    <w:rPr>
      <w:rFonts w:ascii="宋体" w:hAnsi="宋体"/>
      <w:sz w:val="24"/>
      <w:szCs w:val="24"/>
      <w:lang w:val="en-GB"/>
    </w:rPr>
  </w:style>
  <w:style w:type="paragraph" w:styleId="1323" w:customStyle="1">
    <w:name w:val="正文格式"/>
    <w:basedOn w:val="935"/>
    <w:link w:val="1322"/>
    <w:uiPriority w:val="0"/>
    <w:qFormat/>
    <w:pPr>
      <w:ind w:firstLine="480"/>
      <w:spacing w:line="360" w:lineRule="auto"/>
    </w:pPr>
    <w:rPr>
      <w:rFonts w:ascii="宋体" w:hAnsi="宋体"/>
      <w:sz w:val="24"/>
      <w:lang w:val="en-GB"/>
    </w:rPr>
  </w:style>
  <w:style w:type="character" w:styleId="1324" w:customStyle="1">
    <w:name w:val="标题 3 Char"/>
    <w:uiPriority w:val="0"/>
    <w:qFormat/>
    <w:rPr>
      <w:rFonts w:ascii="宋体" w:eastAsia="宋体"/>
      <w:b/>
      <w:sz w:val="24"/>
      <w:u w:val="single"/>
      <w:lang w:val="en-US" w:eastAsia="zh-CN" w:bidi="ar-SA"/>
    </w:rPr>
  </w:style>
  <w:style w:type="character" w:styleId="1325" w:customStyle="1">
    <w:name w:val="正文缩进 Char"/>
    <w:uiPriority w:val="0"/>
    <w:qFormat/>
    <w:rPr>
      <w:rFonts w:ascii="宋体" w:eastAsia="宋体"/>
      <w:sz w:val="24"/>
      <w:szCs w:val="24"/>
      <w:lang w:val="en-US" w:eastAsia="zh-CN" w:bidi="ar-SA"/>
    </w:rPr>
  </w:style>
  <w:style w:type="character" w:styleId="1326" w:customStyle="1">
    <w:name w:val="Char Char111"/>
    <w:uiPriority w:val="0"/>
    <w:qFormat/>
    <w:rPr>
      <w:rFonts w:ascii="宋体" w:eastAsia="宋体"/>
      <w:b/>
      <w:sz w:val="24"/>
      <w:u w:val="single"/>
      <w:lang w:val="en-US" w:eastAsia="zh-CN" w:bidi="ar-SA"/>
    </w:rPr>
  </w:style>
  <w:style w:type="character" w:styleId="1327" w:customStyle="1">
    <w:name w:val="正文文本缩进 Char"/>
    <w:uiPriority w:val="0"/>
    <w:qFormat/>
    <w:rPr>
      <w:rFonts w:eastAsia="宋体"/>
      <w:sz w:val="24"/>
      <w:szCs w:val="24"/>
      <w:lang w:val="en-US" w:eastAsia="zh-CN" w:bidi="ar-SA"/>
    </w:rPr>
  </w:style>
  <w:style w:type="character" w:styleId="1328" w:customStyle="1">
    <w:name w:val="列出段落 Char"/>
    <w:uiPriority w:val="0"/>
    <w:qFormat/>
    <w:rPr>
      <w:rFonts w:ascii="Calibri" w:hAnsi="Calibri" w:eastAsia="宋体"/>
      <w:sz w:val="21"/>
      <w:szCs w:val="22"/>
      <w:lang w:val="en-US" w:eastAsia="zh-CN" w:bidi="ar-SA"/>
    </w:rPr>
  </w:style>
  <w:style w:type="character" w:styleId="1329" w:customStyle="1">
    <w:name w:val="页眉 Char"/>
    <w:uiPriority w:val="0"/>
    <w:qFormat/>
    <w:rPr>
      <w:rFonts w:eastAsia="宋体"/>
      <w:sz w:val="18"/>
      <w:szCs w:val="18"/>
      <w:lang w:val="en-US" w:eastAsia="zh-CN" w:bidi="ar-SA"/>
    </w:rPr>
  </w:style>
  <w:style w:type="character" w:styleId="1330" w:customStyle="1">
    <w:name w:val="标题 2 Char"/>
    <w:uiPriority w:val="0"/>
    <w:qFormat/>
    <w:rPr>
      <w:rFonts w:ascii="Arial" w:hAnsi="Arial" w:eastAsia="黑体"/>
      <w:b/>
      <w:sz w:val="30"/>
      <w:lang w:val="en-US" w:eastAsia="zh-CN" w:bidi="ar-SA"/>
    </w:rPr>
  </w:style>
  <w:style w:type="paragraph" w:styleId="1331" w:customStyle="1">
    <w:name w:val="字元 字元2"/>
    <w:basedOn w:val="935"/>
    <w:uiPriority w:val="0"/>
    <w:qFormat/>
    <w:rPr>
      <w:rFonts w:ascii="Tahoma" w:hAnsi="Tahoma"/>
      <w:sz w:val="24"/>
      <w:szCs w:val="20"/>
    </w:rPr>
  </w:style>
  <w:style w:type="paragraph" w:styleId="1332" w:customStyle="1">
    <w:name w:val="Char3 Char Char Char2"/>
    <w:basedOn w:val="935"/>
    <w:uiPriority w:val="0"/>
    <w:qFormat/>
    <w:rPr>
      <w:rFonts w:ascii="Tahoma" w:hAnsi="Tahoma"/>
      <w:sz w:val="24"/>
      <w:szCs w:val="20"/>
    </w:rPr>
  </w:style>
  <w:style w:type="paragraph" w:styleId="1333" w:customStyle="1">
    <w:name w:val="正文文本缩进2"/>
    <w:basedOn w:val="935"/>
    <w:uiPriority w:val="0"/>
    <w:qFormat/>
    <w:pPr>
      <w:ind w:firstLine="480"/>
      <w:spacing w:line="480" w:lineRule="exact"/>
    </w:pPr>
    <w:rPr>
      <w:rFonts w:ascii="宋体" w:hAnsi="宋体"/>
      <w:sz w:val="24"/>
      <w:lang w:val="zh-CN"/>
    </w:rPr>
  </w:style>
  <w:style w:type="paragraph" w:styleId="1334" w:customStyle="1">
    <w:name w:val="Char3"/>
    <w:basedOn w:val="935"/>
    <w:uiPriority w:val="0"/>
    <w:qFormat/>
    <w:pPr>
      <w:tabs>
        <w:tab w:val="left" w:pos="360" w:leader="none"/>
      </w:tabs>
    </w:pPr>
    <w:rPr>
      <w:sz w:val="24"/>
    </w:rPr>
  </w:style>
  <w:style w:type="paragraph" w:styleId="1335" w:customStyle="1">
    <w:name w:val="Char Char Char Char Char Char Char Char Char Char Char Char Char Char Char Char1"/>
    <w:basedOn w:val="935"/>
    <w:uiPriority w:val="0"/>
    <w:qFormat/>
    <w:pPr>
      <w:jc w:val="center"/>
      <w:spacing w:after="160" w:line="240" w:lineRule="exact"/>
      <w:widowControl/>
    </w:pPr>
    <w:rPr>
      <w:rFonts w:ascii="宋体" w:hAnsi="宋体"/>
      <w:b/>
      <w:sz w:val="30"/>
      <w:szCs w:val="30"/>
      <w:lang w:eastAsia="en-US"/>
    </w:rPr>
  </w:style>
  <w:style w:type="paragraph" w:styleId="1336" w:customStyle="1">
    <w:name w:val="Char Char1 Char Char Char Char Char Char1"/>
    <w:basedOn w:val="935"/>
    <w:uiPriority w:val="0"/>
    <w:qFormat/>
    <w:pPr>
      <w:jc w:val="left"/>
      <w:spacing w:after="160" w:line="240" w:lineRule="exact"/>
      <w:widowControl/>
    </w:pPr>
    <w:rPr>
      <w:rFonts w:ascii="Verdana" w:hAnsi="Verdana" w:eastAsia="仿宋_GB2312"/>
      <w:sz w:val="24"/>
      <w:szCs w:val="20"/>
      <w:lang w:eastAsia="en-US"/>
    </w:rPr>
  </w:style>
  <w:style w:type="paragraph" w:styleId="1337" w:customStyle="1">
    <w:name w:val="列出段落2"/>
    <w:basedOn w:val="935"/>
    <w:uiPriority w:val="0"/>
    <w:qFormat/>
    <w:pPr>
      <w:ind w:firstLine="420"/>
    </w:pPr>
    <w:rPr>
      <w:rFonts w:ascii="Calibri" w:hAnsi="Calibri"/>
      <w:szCs w:val="22"/>
    </w:rPr>
  </w:style>
  <w:style w:type="paragraph" w:styleId="1338" w:customStyle="1">
    <w:name w:val="Char Char Char1 Char2"/>
    <w:basedOn w:val="935"/>
    <w:uiPriority w:val="0"/>
    <w:qFormat/>
    <w:rPr>
      <w:rFonts w:ascii="Tahoma" w:hAnsi="Tahoma"/>
      <w:sz w:val="24"/>
      <w:szCs w:val="20"/>
    </w:rPr>
  </w:style>
  <w:style w:type="paragraph" w:styleId="1339" w:customStyle="1">
    <w:name w:val="Char Char Char2"/>
    <w:basedOn w:val="935"/>
    <w:uiPriority w:val="0"/>
    <w:qFormat/>
    <w:rPr>
      <w:rFonts w:ascii="Tahoma" w:hAnsi="Tahoma"/>
      <w:sz w:val="24"/>
      <w:szCs w:val="20"/>
    </w:rPr>
  </w:style>
  <w:style w:type="paragraph" w:styleId="1340" w:customStyle="1">
    <w:name w:val="Char Char Char Char Char Char Char2"/>
    <w:basedOn w:val="935"/>
    <w:uiPriority w:val="0"/>
    <w:qFormat/>
    <w:pPr>
      <w:ind w:firstLine="200"/>
      <w:spacing w:line="360" w:lineRule="auto"/>
    </w:pPr>
    <w:rPr>
      <w:rFonts w:eastAsia="仿宋_GB2312"/>
      <w:sz w:val="24"/>
    </w:rPr>
  </w:style>
  <w:style w:type="paragraph" w:styleId="1341" w:customStyle="1">
    <w:name w:val="正文缩进2"/>
    <w:basedOn w:val="935"/>
    <w:uiPriority w:val="0"/>
    <w:qFormat/>
    <w:pPr>
      <w:ind w:firstLine="567"/>
      <w:spacing w:line="480" w:lineRule="exact"/>
      <w:widowControl/>
    </w:pPr>
    <w:rPr>
      <w:rFonts w:ascii="宋体"/>
      <w:color w:val="000000"/>
      <w:sz w:val="28"/>
      <w:szCs w:val="20"/>
      <w:lang w:val="zh-CN"/>
    </w:rPr>
  </w:style>
  <w:style w:type="paragraph" w:styleId="1342" w:customStyle="1">
    <w:name w:val="修订1"/>
    <w:uiPriority w:val="99"/>
    <w:unhideWhenUsed/>
    <w:qFormat/>
    <w:rPr>
      <w:rFonts w:ascii="Times New Roman" w:hAnsi="Times New Roman" w:eastAsia="宋体" w:cs="Times New Roman"/>
      <w:sz w:val="21"/>
      <w:szCs w:val="24"/>
      <w:lang w:val="en-US" w:eastAsia="zh-CN" w:bidi="ar-SA"/>
    </w:rPr>
  </w:style>
  <w:style w:type="paragraph" w:styleId="1343" w:customStyle="1">
    <w:name w:val="Char22"/>
    <w:basedOn w:val="935"/>
    <w:uiPriority w:val="0"/>
    <w:qFormat/>
    <w:rPr>
      <w:rFonts w:ascii="Tahoma" w:hAnsi="Tahoma"/>
      <w:sz w:val="24"/>
      <w:szCs w:val="20"/>
    </w:rPr>
  </w:style>
  <w:style w:type="paragraph" w:styleId="1344" w:customStyle="1">
    <w:name w:val="Char Char Char Char Char Char Char Char Char Char2"/>
    <w:basedOn w:val="935"/>
    <w:uiPriority w:val="0"/>
    <w:qFormat/>
    <w:rPr>
      <w:rFonts w:ascii="宋体" w:hAnsi="宋体" w:cs="Courier New"/>
      <w:sz w:val="32"/>
      <w:szCs w:val="32"/>
    </w:rPr>
  </w:style>
  <w:style w:type="paragraph" w:styleId="1345" w:customStyle="1">
    <w:name w:val="Char2 Char Char Char Char Char Char1"/>
    <w:basedOn w:val="935"/>
    <w:uiPriority w:val="0"/>
    <w:qFormat/>
    <w:pPr>
      <w:jc w:val="center"/>
      <w:spacing w:line="400" w:lineRule="exact"/>
      <w:widowControl/>
    </w:pPr>
  </w:style>
  <w:style w:type="character" w:styleId="1346" w:customStyle="1">
    <w:name w:val="页脚 Char"/>
    <w:uiPriority w:val="0"/>
    <w:qFormat/>
    <w:rPr>
      <w:rFonts w:ascii="宋体" w:eastAsia="宋体"/>
      <w:sz w:val="18"/>
      <w:lang w:val="en-US" w:eastAsia="zh-CN" w:bidi="ar-SA"/>
    </w:rPr>
  </w:style>
  <w:style w:type="paragraph" w:styleId="1347" w:customStyle="1">
    <w:name w:val="Char Char41"/>
    <w:basedOn w:val="935"/>
    <w:uiPriority w:val="0"/>
    <w:qFormat/>
    <w:pPr>
      <w:jc w:val="center"/>
      <w:spacing w:line="400" w:lineRule="exact"/>
      <w:widowControl/>
    </w:pPr>
  </w:style>
  <w:style w:type="character" w:styleId="1348" w:customStyle="1">
    <w:name w:val="批注文字 Char"/>
    <w:uiPriority w:val="99"/>
    <w:qFormat/>
    <w:rPr>
      <w:sz w:val="21"/>
      <w:szCs w:val="24"/>
    </w:rPr>
  </w:style>
  <w:style w:type="character" w:styleId="1349" w:customStyle="1">
    <w:name w:val="标题 Char"/>
    <w:uiPriority w:val="0"/>
    <w:qFormat/>
    <w:rPr>
      <w:b/>
      <w:sz w:val="32"/>
    </w:rPr>
  </w:style>
  <w:style w:type="paragraph" w:styleId="1350" w:customStyle="1">
    <w:name w:val="图例"/>
    <w:basedOn w:val="935"/>
    <w:uiPriority w:val="0"/>
    <w:qFormat/>
    <w:pPr>
      <w:jc w:val="center"/>
      <w:spacing w:before="120" w:after="120" w:line="360" w:lineRule="auto"/>
    </w:pPr>
    <w:rPr>
      <w:rFonts w:eastAsia="仿宋_GB2312"/>
      <w:b/>
      <w:sz w:val="24"/>
      <w:szCs w:val="20"/>
    </w:rPr>
  </w:style>
  <w:style w:type="table" w:styleId="135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52" w:customStyle="1">
    <w:name w:val="Table Paragraph"/>
    <w:basedOn w:val="935"/>
    <w:uiPriority w:val="1"/>
    <w:qFormat/>
    <w:pPr>
      <w:jc w:val="left"/>
    </w:pPr>
    <w:rPr>
      <w:rFonts w:ascii="宋体" w:hAnsi="宋体" w:cs="宋体"/>
      <w:sz w:val="22"/>
      <w:szCs w:val="22"/>
      <w:lang w:eastAsia="en-US"/>
    </w:rPr>
  </w:style>
  <w:style w:type="paragraph" w:styleId="1353" w:customStyle="1">
    <w:name w:val="成文日期"/>
    <w:basedOn w:val="935"/>
    <w:link w:val="1354"/>
    <w:uiPriority w:val="0"/>
    <w:qFormat/>
    <w:pPr>
      <w:ind w:right="400" w:firstLine="200"/>
      <w:jc w:val="right"/>
      <w:spacing w:line="570" w:lineRule="exact"/>
    </w:pPr>
    <w:rPr>
      <w:rFonts w:ascii="仿宋_GB2312" w:eastAsia="仿宋_GB2312"/>
      <w:sz w:val="32"/>
      <w:szCs w:val="20"/>
    </w:rPr>
  </w:style>
  <w:style w:type="character" w:styleId="1354" w:customStyle="1">
    <w:name w:val="成文日期 Char"/>
    <w:link w:val="1353"/>
    <w:uiPriority w:val="0"/>
    <w:qFormat/>
    <w:rPr>
      <w:rFonts w:ascii="仿宋_GB2312" w:eastAsia="仿宋_GB2312"/>
      <w:sz w:val="32"/>
    </w:rPr>
  </w:style>
  <w:style w:type="character" w:styleId="1355" w:customStyle="1">
    <w:name w:val="正文缩进 字符"/>
    <w:uiPriority w:val="99"/>
    <w:qFormat/>
    <w:rPr>
      <w:rFonts w:ascii="宋体" w:hAnsi="Times New Roman" w:eastAsia="宋体" w:cs="Times New Roman"/>
      <w:sz w:val="24"/>
    </w:rPr>
  </w:style>
  <w:style w:type="character" w:styleId="1356" w:customStyle="1">
    <w:name w:val="正文文本 字符"/>
    <w:uiPriority w:val="0"/>
    <w:qFormat/>
    <w:rPr>
      <w:rFonts w:ascii="宋体" w:hAnsi="宋体"/>
      <w:sz w:val="24"/>
      <w:szCs w:val="24"/>
    </w:rPr>
  </w:style>
  <w:style w:type="paragraph" w:styleId="1357" w:customStyle="1">
    <w:name w:val="纯文本1"/>
    <w:next w:val="1173"/>
    <w:uiPriority w:val="0"/>
    <w:qFormat/>
    <w:pPr>
      <w:jc w:val="both"/>
      <w:widowControl w:val="off"/>
    </w:pPr>
    <w:rPr>
      <w:rFonts w:ascii="宋体" w:hAnsi="宋体" w:eastAsia="宋体" w:cs="Times New Roman"/>
      <w:sz w:val="26"/>
      <w:szCs w:val="24"/>
      <w:lang w:val="en-US" w:eastAsia="zh-CN" w:bidi="ar-SA"/>
    </w:rPr>
  </w:style>
  <w:style w:type="paragraph" w:styleId="135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359" w:customStyle="1">
    <w:name w:val="正文文本_"/>
    <w:link w:val="1360"/>
    <w:uiPriority w:val="99"/>
    <w:unhideWhenUsed/>
    <w:qFormat/>
    <w:rPr>
      <w:rFonts w:ascii="MingLiU" w:hAnsi="MingLiU" w:eastAsia="MingLiU"/>
      <w:spacing w:val="10"/>
      <w:sz w:val="23"/>
      <w:shd w:val="clear" w:color="auto" w:fill="ffffff"/>
    </w:rPr>
  </w:style>
  <w:style w:type="paragraph" w:styleId="1360" w:customStyle="1">
    <w:name w:val="正文文本1"/>
    <w:basedOn w:val="935"/>
    <w:link w:val="1359"/>
    <w:uiPriority w:val="99"/>
    <w:unhideWhenUsed/>
    <w:qFormat/>
    <w:pPr>
      <w:spacing w:before="240" w:after="360" w:line="307" w:lineRule="exact"/>
      <w:shd w:val="clear" w:color="auto" w:fill="ffffff"/>
    </w:pPr>
    <w:rPr>
      <w:rFonts w:ascii="MingLiU" w:hAnsi="MingLiU" w:eastAsia="MingLiU"/>
      <w:spacing w:val="10"/>
      <w:sz w:val="23"/>
      <w:szCs w:val="20"/>
    </w:rPr>
  </w:style>
  <w:style w:type="table" w:styleId="1361" w:customStyle="1">
    <w:name w:val="网格型1"/>
    <w:basedOn w:val="946"/>
    <w:uiPriority w:val="0"/>
    <w:qFormat/>
    <w:pPr>
      <w:jc w:val="both"/>
      <w:widowControl w:val="off"/>
    </w:pPr>
    <w:tblPr/>
  </w:style>
  <w:style w:type="paragraph" w:styleId="1362" w:customStyle="1">
    <w:name w:val="一、"/>
    <w:basedOn w:val="935"/>
    <w:uiPriority w:val="0"/>
    <w:qFormat/>
    <w:pPr>
      <w:ind w:firstLine="640"/>
    </w:pPr>
    <w:rPr>
      <w:rFonts w:eastAsia="黑体"/>
      <w:szCs w:val="32"/>
    </w:rPr>
  </w:style>
  <w:style w:type="paragraph" w:styleId="1363" w:customStyle="1">
    <w:name w:val="第一章"/>
    <w:basedOn w:val="1362"/>
    <w:uiPriority w:val="0"/>
    <w:qFormat/>
    <w:pPr>
      <w:ind w:firstLine="0"/>
      <w:jc w:val="center"/>
    </w:pPr>
  </w:style>
  <w:style w:type="paragraph" w:styleId="1364"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character" w:styleId="1365" w:customStyle="1">
    <w:name w:val="font11"/>
    <w:uiPriority w:val="0"/>
    <w:qFormat/>
    <w:rPr>
      <w:rFonts w:hint="eastAsia" w:ascii="宋体" w:hAnsi="宋体" w:eastAsia="宋体" w:cs="宋体"/>
      <w:color w:val="000000"/>
      <w:sz w:val="20"/>
      <w:szCs w:val="20"/>
      <w:u w:val="none"/>
    </w:rPr>
  </w:style>
  <w:style w:type="character" w:styleId="1366" w:customStyle="1">
    <w:name w:val="font151"/>
    <w:uiPriority w:val="0"/>
    <w:rPr>
      <w:rFonts w:hint="eastAsia" w:ascii="宋体" w:hAnsi="宋体" w:eastAsia="宋体" w:cs="宋体"/>
      <w:color w:val="000000"/>
      <w:sz w:val="20"/>
      <w:szCs w:val="20"/>
      <w:u w:val="none"/>
    </w:rPr>
  </w:style>
  <w:style w:type="character" w:styleId="1367" w:customStyle="1">
    <w:name w:val="正文文本首行缩进 字符"/>
    <w:link w:val="981"/>
    <w:uiPriority w:val="0"/>
    <w:qFormat/>
    <w:rPr>
      <w:rFonts w:ascii="Calibri" w:hAnsi="Calibri"/>
      <w:sz w:val="21"/>
      <w:szCs w:val="24"/>
    </w:rPr>
  </w:style>
  <w:style w:type="character" w:styleId="1368" w:customStyle="1">
    <w:name w:val="正文文本首行缩进 2 字符"/>
    <w:link w:val="982"/>
    <w:uiPriority w:val="0"/>
    <w:qFormat/>
    <w:rPr>
      <w:rFonts w:eastAsia="宋体"/>
      <w:sz w:val="24"/>
      <w:szCs w:val="24"/>
      <w:lang w:val="en-US" w:eastAsia="zh-CN" w:bidi="ar-SA"/>
    </w:rPr>
  </w:style>
  <w:style w:type="table" w:styleId="1369" w:customStyle="1">
    <w:name w:val="网格型2"/>
    <w:basedOn w:val="9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0" w:customStyle="1">
    <w:name w:val="中等深浅网格 1 - 着色 21"/>
    <w:basedOn w:val="94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71" w:customStyle="1">
    <w:name w:val="列表段落 字符"/>
    <w:link w:val="1008"/>
    <w:uiPriority w:val="34"/>
    <w:qFormat/>
    <w:rPr>
      <w:sz w:val="21"/>
      <w:szCs w:val="24"/>
    </w:rPr>
  </w:style>
  <w:style w:type="paragraph" w:styleId="1372" w:customStyle="1">
    <w:name w:val="修订11"/>
    <w:uiPriority w:val="0"/>
    <w:qFormat/>
    <w:rPr>
      <w:rFonts w:ascii="Times New Roman" w:hAnsi="Times New Roman" w:eastAsia="宋体" w:cs="Times New Roman"/>
      <w:sz w:val="21"/>
      <w:szCs w:val="24"/>
      <w:lang w:val="en-US" w:eastAsia="zh-CN" w:bidi="ar-SA"/>
    </w:rPr>
  </w:style>
  <w:style w:type="table" w:styleId="1373"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374" w:customStyle="1">
    <w:name w:val="网格型11"/>
    <w:basedOn w:val="9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59</cp:revision>
  <dcterms:created xsi:type="dcterms:W3CDTF">2026-04-13T03:17:00Z</dcterms:created>
  <dcterms:modified xsi:type="dcterms:W3CDTF">2026-06-15T05:57:00Z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eyJoZGlkIjoiMWZkNzliN2MyOGI1Yzk3MDIyNWIyMmE0NzAwOTFmNmUiLCJ1c2VySWQiOiI4OTg2Njk0MTUifQ==</vt:lpwstr>
  </property>
  <property fmtid="{D5CDD505-2E9C-101B-9397-08002B2CF9AE}" pid="3" name="KSOProductBuildVer">
    <vt:lpwstr>2052-12.1.0.26895</vt:lpwstr>
  </property>
  <property fmtid="{D5CDD505-2E9C-101B-9397-08002B2CF9AE}" pid="4" name="ICV">
    <vt:lpwstr>40BED084126645C6A4DA6D85436EE259_13</vt:lpwstr>
  </property>
</Properties>
</file>