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rPr>
          <w:rFonts w:hint="eastAsia" w:ascii="微软雅黑" w:hAnsi="微软雅黑" w:cs="微软雅黑"/>
          <w:sz w:val="84"/>
        </w:rPr>
      </w:pPr>
      <w:r>
        <w:rPr>
          <w:rFonts w:hint="eastAsia" w:ascii="微软雅黑" w:hAnsi="微软雅黑" w:cs="微软雅黑"/>
          <w:sz w:val="84"/>
        </w:rPr>
      </w:r>
      <w:r/>
    </w:p>
    <w:p>
      <w:pPr>
        <w:pStyle w:val="1098"/>
        <w:jc w:val="center"/>
        <w:spacing w:line="720" w:lineRule="auto"/>
        <w:rPr>
          <w:rFonts w:ascii="微软雅黑" w:hAnsi="微软雅黑" w:cs="微软雅黑"/>
          <w:b/>
          <w:bCs/>
          <w:sz w:val="84"/>
        </w:rPr>
      </w:pPr>
      <w:r>
        <w:rPr>
          <w:rFonts w:hint="eastAsia" w:ascii="微软雅黑" w:hAnsi="微软雅黑" w:cs="微软雅黑"/>
          <w:sz w:val="72"/>
          <w:szCs w:val="72"/>
        </w:rPr>
        <w:t xml:space="preserve">采 购 文 件</w:t>
      </w:r>
      <w:r>
        <w:rPr>
          <w:rFonts w:ascii="微软雅黑" w:hAnsi="微软雅黑" w:cs="微软雅黑"/>
          <w:b/>
          <w:bCs/>
          <w:sz w:val="84"/>
        </w:rPr>
      </w:r>
      <w:r/>
    </w:p>
    <w:p>
      <w:pPr>
        <w:pStyle w:val="1098"/>
        <w:jc w:val="center"/>
        <w:rPr>
          <w:rFonts w:ascii="微软雅黑" w:hAnsi="微软雅黑" w:cs="微软雅黑"/>
          <w:sz w:val="48"/>
        </w:rPr>
      </w:pPr>
      <w:r>
        <w:rPr>
          <w:rFonts w:hint="eastAsia" w:ascii="微软雅黑" w:hAnsi="微软雅黑" w:cs="微软雅黑"/>
          <w:sz w:val="44"/>
          <w:szCs w:val="21"/>
        </w:rPr>
        <w:t xml:space="preserve">（公开招标）</w:t>
      </w:r>
      <w:r>
        <w:rPr>
          <w:rFonts w:ascii="微软雅黑" w:hAnsi="微软雅黑" w:cs="微软雅黑"/>
          <w:sz w:val="48"/>
        </w:rPr>
      </w:r>
      <w:r/>
    </w:p>
    <w:p>
      <w:pPr>
        <w:pStyle w:val="1098"/>
        <w:rPr>
          <w:rStyle w:val="1169"/>
          <w:rFonts w:ascii="微软雅黑" w:hAnsi="微软雅黑" w:cs="微软雅黑"/>
          <w:color w:val="000000"/>
        </w:rPr>
      </w:pPr>
      <w:r>
        <w:rPr>
          <w:rStyle w:val="1169"/>
          <w:rFonts w:ascii="微软雅黑" w:hAnsi="微软雅黑" w:cs="微软雅黑"/>
          <w:color w:val="000000"/>
        </w:rPr>
      </w:r>
      <w:r/>
    </w:p>
    <w:p>
      <w:pPr>
        <w:pStyle w:val="1098"/>
        <w:jc w:val="left"/>
        <w:rPr>
          <w:rFonts w:ascii="微软雅黑" w:hAnsi="微软雅黑" w:cs="微软雅黑"/>
          <w:sz w:val="36"/>
        </w:rPr>
      </w:pPr>
      <w:r>
        <w:rPr>
          <w:rFonts w:ascii="微软雅黑" w:hAnsi="微软雅黑" w:cs="微软雅黑"/>
          <w:sz w:val="36"/>
        </w:rPr>
      </w:r>
      <w:r/>
    </w:p>
    <w:p>
      <w:pPr>
        <w:pStyle w:val="1098"/>
        <w:jc w:val="left"/>
        <w:rPr>
          <w:rFonts w:ascii="微软雅黑" w:hAnsi="微软雅黑" w:cs="微软雅黑"/>
          <w:sz w:val="36"/>
        </w:rPr>
      </w:pPr>
      <w:r>
        <w:rPr>
          <w:rFonts w:ascii="微软雅黑" w:hAnsi="微软雅黑" w:cs="微软雅黑"/>
          <w:sz w:val="36"/>
        </w:rPr>
      </w:r>
      <w:r/>
    </w:p>
    <w:p>
      <w:pPr>
        <w:pStyle w:val="1098"/>
        <w:ind w:firstLine="0"/>
        <w:spacing w:line="360" w:lineRule="auto"/>
        <w:rPr>
          <w:rFonts w:ascii="微软雅黑" w:hAnsi="微软雅黑" w:cs="微软雅黑"/>
          <w:sz w:val="30"/>
          <w:szCs w:val="30"/>
        </w:rPr>
      </w:pPr>
      <w:r>
        <w:rPr>
          <w:rFonts w:ascii="微软雅黑" w:hAnsi="微软雅黑" w:cs="微软雅黑"/>
          <w:sz w:val="30"/>
          <w:szCs w:val="30"/>
        </w:rPr>
      </w:r>
      <w:r/>
    </w:p>
    <w:p>
      <w:pPr>
        <w:pStyle w:val="1098"/>
        <w:ind w:firstLine="9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lang w:eastAsia="zh-CN"/>
        </w:rPr>
        <w:t xml:space="preserve">项目编号：</w:t>
      </w:r>
      <w:r>
        <w:rPr>
          <w:rFonts w:hint="eastAsia" w:ascii="微软雅黑" w:hAnsi="微软雅黑" w:cs="微软雅黑"/>
          <w:sz w:val="30"/>
          <w:szCs w:val="30"/>
          <w:highlight w:val="none"/>
          <w:lang w:eastAsia="zh-CN"/>
        </w:rPr>
        <w:t xml:space="preserve">JSZC-320000-JSHC-G2026-0024</w:t>
      </w:r>
      <w:r>
        <w:rPr>
          <w:rFonts w:hint="eastAsia" w:ascii="微软雅黑" w:hAnsi="微软雅黑" w:eastAsia="微软雅黑" w:cs="微软雅黑"/>
          <w:sz w:val="30"/>
          <w:szCs w:val="30"/>
          <w:highlight w:val="none"/>
          <w:lang w:eastAsia="zh-CN"/>
        </w:rPr>
      </w:r>
      <w:r/>
    </w:p>
    <w:p>
      <w:pPr>
        <w:pStyle w:val="1098"/>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代理机构内部编号：</w:t>
      </w:r>
      <w:r>
        <w:rPr>
          <w:rFonts w:hint="eastAsia" w:ascii="微软雅黑" w:hAnsi="微软雅黑" w:cs="微软雅黑"/>
          <w:sz w:val="30"/>
          <w:szCs w:val="30"/>
          <w:highlight w:val="none"/>
          <w:lang w:eastAsia="zh-CN"/>
        </w:rPr>
        <w:t xml:space="preserve">JSHC-2026060403B3</w:t>
      </w:r>
      <w:r>
        <w:rPr>
          <w:rFonts w:hint="eastAsia" w:ascii="微软雅黑" w:hAnsi="微软雅黑" w:eastAsia="微软雅黑" w:cs="微软雅黑"/>
          <w:sz w:val="30"/>
          <w:szCs w:val="30"/>
          <w:highlight w:val="none"/>
          <w:lang w:eastAsia="zh-CN"/>
        </w:rPr>
      </w:r>
      <w:r/>
    </w:p>
    <w:p>
      <w:pPr>
        <w:pStyle w:val="1098"/>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项目名称：</w:t>
      </w:r>
      <w:r>
        <w:rPr>
          <w:rFonts w:hint="eastAsia" w:ascii="微软雅黑" w:hAnsi="微软雅黑" w:cs="微软雅黑"/>
          <w:sz w:val="30"/>
          <w:szCs w:val="30"/>
          <w:highlight w:val="none"/>
          <w:lang w:eastAsia="zh-CN"/>
        </w:rPr>
        <w:t xml:space="preserve">徐州医科大学附属医院淮海路院区和鲲鹏路院区消防维保项目</w:t>
      </w:r>
      <w:r>
        <w:rPr>
          <w:rFonts w:hint="eastAsia" w:ascii="微软雅黑" w:hAnsi="微软雅黑" w:eastAsia="微软雅黑" w:cs="微软雅黑"/>
          <w:sz w:val="30"/>
          <w:szCs w:val="30"/>
          <w:highlight w:val="none"/>
          <w:lang w:eastAsia="zh-CN"/>
        </w:rPr>
      </w:r>
      <w:r/>
    </w:p>
    <w:p>
      <w:pPr>
        <w:pStyle w:val="1098"/>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w:t>
      </w:r>
      <w:r>
        <w:rPr>
          <w:rFonts w:hint="eastAsia" w:ascii="微软雅黑" w:hAnsi="微软雅黑" w:cs="微软雅黑"/>
          <w:sz w:val="30"/>
          <w:szCs w:val="30"/>
          <w:lang w:eastAsia="zh-CN"/>
        </w:rPr>
        <w:t xml:space="preserve">徐州医科大学附属医院</w:t>
      </w:r>
      <w:r>
        <w:rPr>
          <w:rFonts w:ascii="微软雅黑" w:hAnsi="微软雅黑" w:cs="微软雅黑"/>
          <w:sz w:val="30"/>
          <w:szCs w:val="30"/>
        </w:rPr>
      </w:r>
      <w:r/>
    </w:p>
    <w:p>
      <w:pPr>
        <w:pStyle w:val="1098"/>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125"/>
        <w:ind w:left="1260"/>
        <w:rPr>
          <w:rFonts w:ascii="微软雅黑" w:hAnsi="微软雅黑" w:cs="微软雅黑"/>
        </w:rPr>
      </w:pPr>
      <w:r>
        <w:rPr>
          <w:rFonts w:ascii="微软雅黑" w:hAnsi="微软雅黑" w:cs="微软雅黑"/>
        </w:rPr>
      </w:r>
      <w:r/>
    </w:p>
    <w:p>
      <w:pPr>
        <w:pStyle w:val="1098"/>
        <w:jc w:val="center"/>
        <w:rPr>
          <w:rFonts w:ascii="微软雅黑" w:hAnsi="微软雅黑" w:cs="微软雅黑"/>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rPr>
        <w:t xml:space="preserve">202</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年</w:t>
      </w:r>
      <w:r>
        <w:rPr>
          <w:rFonts w:hint="eastAsia" w:ascii="微软雅黑" w:hAnsi="微软雅黑" w:cs="微软雅黑"/>
          <w:spacing w:val="30"/>
          <w:sz w:val="32"/>
          <w:szCs w:val="32"/>
          <w:lang w:val="en-US" w:eastAsia="zh-CN"/>
        </w:rPr>
        <w:t xml:space="preserve">7</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1098"/>
        <w:jc w:val="center"/>
        <w:rPr>
          <w:rFonts w:ascii="微软雅黑" w:hAnsi="微软雅黑" w:cs="微软雅黑"/>
          <w:sz w:val="30"/>
        </w:rPr>
      </w:pPr>
      <w:r>
        <w:rPr>
          <w:rFonts w:hint="eastAsia" w:ascii="微软雅黑" w:hAnsi="微软雅黑" w:cs="微软雅黑"/>
          <w:sz w:val="44"/>
        </w:rPr>
        <w:t xml:space="preserve">目 录</w:t>
      </w:r>
      <w:r>
        <w:rPr>
          <w:rFonts w:ascii="微软雅黑" w:hAnsi="微软雅黑" w:cs="微软雅黑"/>
          <w:sz w:val="30"/>
        </w:rPr>
      </w:r>
      <w:r/>
    </w:p>
    <w:p>
      <w:pPr>
        <w:pStyle w:val="1142"/>
        <w:tabs>
          <w:tab w:val="right" w:pos="8504" w:leader="dot"/>
        </w:tabs>
        <w:rPr>
          <w:rFonts w:hint="eastAsia" w:ascii="宋体" w:hAnsi="宋体" w:eastAsia="宋体" w:cs="宋体"/>
        </w:rPr>
      </w:pP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TOC \o "1-3" \f </w:instrText>
      </w:r>
      <w:r>
        <w:rPr>
          <w:rFonts w:hint="eastAsia" w:ascii="微软雅黑" w:hAnsi="微软雅黑" w:eastAsia="微软雅黑" w:cs="微软雅黑"/>
          <w:sz w:val="21"/>
          <w:szCs w:val="21"/>
        </w:rPr>
        <w:fldChar w:fldCharType="separate"/>
      </w:r>
      <w:bookmarkStart w:id="0" w:name="_第一章_公开招标公告"/>
      <w:r>
        <w:rPr>
          <w:rFonts w:hint="eastAsia" w:ascii="宋体" w:hAnsi="宋体" w:eastAsia="宋体" w:cs="宋体"/>
          <w:bCs w:val="0"/>
          <w:szCs w:val="32"/>
        </w:rPr>
        <w:t xml:space="preserve">第一章 公开招标公告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_Toc27328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1142"/>
        <w:tabs>
          <w:tab w:val="right" w:pos="8504" w:leader="dot"/>
        </w:tabs>
        <w:rPr>
          <w:rFonts w:hint="eastAsia" w:ascii="宋体" w:hAnsi="宋体" w:eastAsia="宋体" w:cs="宋体"/>
        </w:rPr>
      </w:pPr>
      <w:r>
        <w:rPr>
          <w:rFonts w:hint="eastAsia" w:ascii="宋体" w:hAnsi="宋体" w:eastAsia="宋体" w:cs="宋体"/>
          <w:lang w:eastAsia="zh-CN"/>
        </w:rPr>
        <w:t xml:space="preserve">第二章</w:t>
      </w:r>
      <w:r>
        <w:rPr>
          <w:rFonts w:hint="eastAsia" w:ascii="宋体" w:hAnsi="宋体" w:eastAsia="宋体" w:cs="宋体"/>
        </w:rPr>
        <w:t xml:space="preserve">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_Toc586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highlight w:val="none"/>
        </w:rPr>
        <w:t xml:space="preserve">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_Toc20073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1.1 适用范围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_Toc9348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1.2 合格的供应商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_Toc23224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1.3 参加采购活动费用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_Toc5824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1.4 法律适用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_Toc28207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1.5 采购文件的约束力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_Toc3839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二、采购文件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_Toc6699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2.1 采购文件的组成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_Toc18177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2.2 采购文件的更正或补充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_Toc20445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三、投标文件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_Toc22499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3.1 投标文件的语言及度量衡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_Toc9712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3.2 投标文件的组成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_Toc24476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3.3 投标报价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_Toc1173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3.4 投标报价中的货币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_Toc10078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3.6 投标有效期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_Toc13011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rPr>
        <w:t xml:space="preserve">3.7 投标文件的签署、形式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_Toc31285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四、投标文件的递交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_Toc22333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4.2有下列情形的投标文件将被拒收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_Toc5456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4.2.1投标人应当按照《操作手册》规定，在“苏采云”系统规定的时间内对投标文件进行解密。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_Toc20355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4.2.2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_Toc10199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3</w:t>
      </w:r>
      <w:r>
        <w:rPr>
          <w:rFonts w:hint="eastAsia" w:ascii="宋体" w:hAnsi="宋体" w:eastAsia="宋体" w:cs="宋体"/>
          <w:bCs w:val="0"/>
          <w:szCs w:val="21"/>
          <w:highlight w:val="none"/>
        </w:rPr>
        <w:t xml:space="preserve"> 投标截止时间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_Toc7552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 投标文件的修改和撤回</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_Toc17988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szCs w:val="32"/>
          <w:highlight w:val="none"/>
          <w:lang w:val="en-US" w:eastAsia="zh-CN" w:bidi="ar-SA"/>
        </w:rPr>
        <w:t xml:space="preserve">五、开标与评标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_Toc23980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5.1 投标文件启封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_Toc5516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5.2 评标委员会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_Toc6678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5.3 对投标文件的资格性审查和符合性审查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_Toc21669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5.4投标文件的澄清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_Toc9824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5.5评标及中标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_Toc24363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5.6评标过程保密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_Toc21574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5.7投标截止时间结束后参加供应商不足三家情况的处理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_Toc23087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5.8废标（终止采购活动）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_Toc3515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5.9有下列情形之一的，视为投标供应商串通投标，其投标无效：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_Toc1138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rPr>
        <w:t xml:space="preserve">六、合同授予及签订</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_Toc2217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6.1确定中标、成交供应商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_Toc11683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6.2质疑处理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_Toc10695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6.3中标通知书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_Toc13396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6.4签订合同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_Toc5936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1142"/>
        <w:tabs>
          <w:tab w:val="right" w:pos="8504" w:leader="dot"/>
        </w:tabs>
        <w:rPr>
          <w:rFonts w:hint="eastAsia" w:ascii="宋体" w:hAnsi="宋体" w:eastAsia="宋体" w:cs="宋体"/>
        </w:rPr>
      </w:pPr>
      <w:r>
        <w:rPr>
          <w:rFonts w:hint="eastAsia" w:ascii="宋体" w:hAnsi="宋体" w:eastAsia="宋体" w:cs="宋体"/>
        </w:rPr>
        <w:t xml:space="preserve">第三章 评标办法和定标原则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_Toc10431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rPr>
      </w:r>
      <w:r/>
    </w:p>
    <w:p>
      <w:pPr>
        <w:pStyle w:val="1142"/>
        <w:tabs>
          <w:tab w:val="right" w:pos="8504" w:leader="dot"/>
        </w:tabs>
        <w:rPr>
          <w:rFonts w:hint="eastAsia" w:ascii="宋体" w:hAnsi="宋体" w:eastAsia="宋体" w:cs="宋体"/>
        </w:rPr>
      </w:pPr>
      <w:r>
        <w:rPr>
          <w:rFonts w:hint="eastAsia" w:ascii="宋体" w:hAnsi="宋体" w:eastAsia="宋体" w:cs="宋体"/>
          <w:szCs w:val="32"/>
        </w:rPr>
        <w:t xml:space="preserve">第四章 项目采购需求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_Toc16541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包一：</w:t>
      </w:r>
      <w:r>
        <w:rPr>
          <w:rFonts w:hint="eastAsia" w:ascii="宋体" w:hAnsi="宋体" w:eastAsia="宋体" w:cs="宋体"/>
          <w:szCs w:val="21"/>
          <w:lang w:eastAsia="zh-CN"/>
        </w:rPr>
        <w:t xml:space="preserve">徐州医科大学附属医院淮海路院区（淮海西路99号）及相应租赁区域消防维保</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_Toc25236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_Toc4712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_Toc2669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_Toc29133 \h </w:instrText>
      </w:r>
      <w:r>
        <w:rPr>
          <w:rFonts w:hint="eastAsia" w:ascii="宋体" w:hAnsi="宋体" w:eastAsia="宋体" w:cs="宋体"/>
        </w:rPr>
        <w:fldChar w:fldCharType="separate"/>
      </w:r>
      <w:r>
        <w:rPr>
          <w:rFonts w:hint="eastAsia" w:ascii="宋体" w:hAnsi="宋体" w:eastAsia="宋体" w:cs="宋体"/>
        </w:rPr>
        <w:t xml:space="preserve">40</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_Toc23443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包二：</w:t>
      </w:r>
      <w:r>
        <w:rPr>
          <w:rFonts w:hint="eastAsia" w:ascii="宋体" w:hAnsi="宋体" w:eastAsia="宋体" w:cs="宋体"/>
          <w:szCs w:val="21"/>
          <w:lang w:eastAsia="zh-CN"/>
        </w:rPr>
        <w:t xml:space="preserve">徐州医科大学附属医院鲲鹏路院区及相应租赁区域（院外物流园国资库房）消防维保</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_Toc21501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_Toc18747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_Toc3840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_Toc19047 \h </w:instrText>
      </w:r>
      <w:r>
        <w:rPr>
          <w:rFonts w:hint="eastAsia" w:ascii="宋体" w:hAnsi="宋体" w:eastAsia="宋体" w:cs="宋体"/>
        </w:rPr>
        <w:fldChar w:fldCharType="separate"/>
      </w:r>
      <w:r>
        <w:rPr>
          <w:rFonts w:hint="eastAsia" w:ascii="宋体" w:hAnsi="宋体" w:eastAsia="宋体" w:cs="宋体"/>
        </w:rPr>
        <w:t xml:space="preserve">59</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_Toc14974 \h </w:instrText>
      </w:r>
      <w:r>
        <w:rPr>
          <w:rFonts w:hint="eastAsia" w:ascii="宋体" w:hAnsi="宋体" w:eastAsia="宋体" w:cs="宋体"/>
        </w:rPr>
        <w:fldChar w:fldCharType="separate"/>
      </w:r>
      <w:r>
        <w:rPr>
          <w:rFonts w:hint="eastAsia" w:ascii="宋体" w:hAnsi="宋体" w:eastAsia="宋体" w:cs="宋体"/>
        </w:rPr>
        <w:t xml:space="preserve">60</w:t>
      </w:r>
      <w:r>
        <w:rPr>
          <w:rFonts w:hint="eastAsia" w:ascii="宋体" w:hAnsi="宋体" w:eastAsia="宋体" w:cs="宋体"/>
        </w:rPr>
        <w:fldChar w:fldCharType="end"/>
      </w:r>
      <w:r>
        <w:rPr>
          <w:rFonts w:hint="eastAsia" w:ascii="宋体" w:hAnsi="宋体" w:eastAsia="宋体" w:cs="宋体"/>
        </w:rPr>
      </w:r>
      <w:r/>
    </w:p>
    <w:p>
      <w:pPr>
        <w:pStyle w:val="1142"/>
        <w:tabs>
          <w:tab w:val="right" w:pos="8504" w:leader="dot"/>
        </w:tabs>
        <w:rPr>
          <w:rFonts w:hint="eastAsia" w:ascii="宋体" w:hAnsi="宋体" w:eastAsia="宋体" w:cs="宋体"/>
        </w:rPr>
      </w:pPr>
      <w:r>
        <w:rPr>
          <w:rFonts w:hint="eastAsia" w:ascii="宋体" w:hAnsi="宋体" w:eastAsia="宋体" w:cs="宋体"/>
        </w:rPr>
        <w:t xml:space="preserve">第五章 拟签订的合同主要条款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_Toc27147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rPr>
      </w:r>
      <w:r/>
    </w:p>
    <w:p>
      <w:pPr>
        <w:pStyle w:val="1142"/>
        <w:tabs>
          <w:tab w:val="right" w:pos="8504" w:leader="dot"/>
        </w:tabs>
        <w:rPr>
          <w:rFonts w:hint="eastAsia" w:ascii="宋体" w:hAnsi="宋体" w:eastAsia="宋体" w:cs="宋体"/>
        </w:rPr>
      </w:pPr>
      <w:r>
        <w:rPr>
          <w:rFonts w:hint="eastAsia" w:ascii="宋体" w:hAnsi="宋体" w:eastAsia="宋体" w:cs="宋体"/>
        </w:rPr>
        <w:t xml:space="preserve">第六章 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_Toc26588 \h </w:instrText>
      </w:r>
      <w:r>
        <w:rPr>
          <w:rFonts w:hint="eastAsia" w:ascii="宋体" w:hAnsi="宋体" w:eastAsia="宋体" w:cs="宋体"/>
        </w:rPr>
        <w:fldChar w:fldCharType="separate"/>
      </w:r>
      <w:r>
        <w:rPr>
          <w:rFonts w:hint="eastAsia" w:ascii="宋体" w:hAnsi="宋体" w:eastAsia="宋体" w:cs="宋体"/>
        </w:rPr>
        <w:t xml:space="preserve">76</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rPr>
        <w:t xml:space="preserve">一、投标函、投标报价及项目相关文件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_Toc25900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1.投标函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_Toc29791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2.开标一览表（分包号：）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_Toc12043 \h </w:instrText>
      </w:r>
      <w:r>
        <w:rPr>
          <w:rFonts w:hint="eastAsia" w:ascii="宋体" w:hAnsi="宋体" w:eastAsia="宋体" w:cs="宋体"/>
        </w:rPr>
        <w:fldChar w:fldCharType="separate"/>
      </w:r>
      <w:r>
        <w:rPr>
          <w:rFonts w:hint="eastAsia" w:ascii="宋体" w:hAnsi="宋体" w:eastAsia="宋体" w:cs="宋体"/>
        </w:rPr>
        <w:t xml:space="preserve">82</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3.</w:t>
      </w:r>
      <w:r>
        <w:rPr>
          <w:rFonts w:hint="eastAsia" w:ascii="宋体" w:hAnsi="宋体" w:eastAsia="宋体" w:cs="宋体"/>
          <w:lang w:eastAsia="zh-CN"/>
        </w:rPr>
        <w:t xml:space="preserve">投标</w:t>
      </w:r>
      <w:r>
        <w:rPr>
          <w:rFonts w:hint="eastAsia" w:ascii="宋体" w:hAnsi="宋体" w:eastAsia="宋体" w:cs="宋体"/>
        </w:rPr>
        <w:t xml:space="preserve">报价明细表</w:t>
      </w:r>
      <w:r>
        <w:rPr>
          <w:rFonts w:hint="eastAsia" w:ascii="宋体" w:hAnsi="宋体" w:eastAsia="宋体" w:cs="宋体"/>
          <w:lang w:eastAsia="zh-CN"/>
        </w:rPr>
        <w:t xml:space="preserve">（分包：）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_Toc3368 \h </w:instrText>
      </w:r>
      <w:r>
        <w:rPr>
          <w:rFonts w:hint="eastAsia" w:ascii="宋体" w:hAnsi="宋体" w:eastAsia="宋体" w:cs="宋体"/>
        </w:rPr>
        <w:fldChar w:fldCharType="separate"/>
      </w:r>
      <w:r>
        <w:rPr>
          <w:rFonts w:hint="eastAsia" w:ascii="宋体" w:hAnsi="宋体" w:eastAsia="宋体" w:cs="宋体"/>
        </w:rPr>
        <w:t xml:space="preserve">83</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8"/>
          <w:lang w:val="en-US" w:eastAsia="zh-CN"/>
        </w:rPr>
        <w:t xml:space="preserve">4</w:t>
      </w:r>
      <w:r>
        <w:rPr>
          <w:rFonts w:hint="eastAsia" w:ascii="宋体" w:hAnsi="宋体" w:eastAsia="宋体" w:cs="宋体"/>
          <w:bCs w:val="0"/>
          <w:szCs w:val="28"/>
        </w:rPr>
        <w:t xml:space="preserve">.服务要求响应表（分包号：）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_Toc13215 \h </w:instrText>
      </w:r>
      <w:r>
        <w:rPr>
          <w:rFonts w:hint="eastAsia" w:ascii="宋体" w:hAnsi="宋体" w:eastAsia="宋体" w:cs="宋体"/>
        </w:rPr>
        <w:fldChar w:fldCharType="separate"/>
      </w:r>
      <w:r>
        <w:rPr>
          <w:rFonts w:hint="eastAsia" w:ascii="宋体" w:hAnsi="宋体" w:eastAsia="宋体" w:cs="宋体"/>
        </w:rPr>
        <w:t xml:space="preserve">84</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szCs w:val="30"/>
          <w:lang w:val="en-US" w:eastAsia="zh-CN"/>
        </w:rPr>
        <w:t xml:space="preserve">5</w:t>
      </w:r>
      <w:r>
        <w:rPr>
          <w:rFonts w:hint="eastAsia" w:ascii="宋体" w:hAnsi="宋体" w:eastAsia="宋体" w:cs="宋体"/>
          <w:bCs/>
          <w:szCs w:val="24"/>
        </w:rPr>
        <w:t xml:space="preserve">.商</w:t>
      </w:r>
      <w:r>
        <w:rPr>
          <w:rFonts w:hint="eastAsia" w:ascii="宋体" w:hAnsi="宋体" w:eastAsia="宋体" w:cs="宋体"/>
          <w:bCs w:val="0"/>
          <w:szCs w:val="24"/>
        </w:rPr>
        <w:t xml:space="preserve">务要求响应表</w:t>
      </w:r>
      <w:r>
        <w:rPr>
          <w:rFonts w:hint="eastAsia" w:ascii="宋体" w:hAnsi="宋体" w:eastAsia="宋体" w:cs="宋体"/>
          <w:bCs w:val="0"/>
          <w:szCs w:val="28"/>
        </w:rPr>
        <w:t xml:space="preserve">（分包号：）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_Toc31812 \h </w:instrText>
      </w:r>
      <w:r>
        <w:rPr>
          <w:rFonts w:hint="eastAsia" w:ascii="宋体" w:hAnsi="宋体" w:eastAsia="宋体" w:cs="宋体"/>
        </w:rPr>
        <w:fldChar w:fldCharType="separate"/>
      </w:r>
      <w:r>
        <w:rPr>
          <w:rFonts w:hint="eastAsia" w:ascii="宋体" w:hAnsi="宋体" w:eastAsia="宋体" w:cs="宋体"/>
        </w:rPr>
        <w:t xml:space="preserve">85</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6</w:t>
      </w:r>
      <w:r>
        <w:rPr>
          <w:rFonts w:hint="eastAsia" w:ascii="宋体" w:hAnsi="宋体" w:eastAsia="宋体" w:cs="宋体"/>
          <w:bCs w:val="0"/>
          <w:szCs w:val="24"/>
        </w:rPr>
        <w:t xml:space="preserve">.项目实施方案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_Toc13032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7</w:t>
      </w:r>
      <w:r>
        <w:rPr>
          <w:rFonts w:hint="eastAsia" w:ascii="宋体" w:hAnsi="宋体" w:eastAsia="宋体" w:cs="宋体"/>
          <w:bCs w:val="0"/>
          <w:szCs w:val="24"/>
        </w:rPr>
        <w:t xml:space="preserve">.经营业绩（提供合同复印件）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_Toc20273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1145"/>
        <w:tabs>
          <w:tab w:val="right" w:pos="8504" w:leader="dot"/>
        </w:tabs>
        <w:rPr>
          <w:rFonts w:hint="eastAsia" w:ascii="宋体" w:hAnsi="宋体" w:eastAsia="宋体" w:cs="宋体"/>
        </w:rPr>
      </w:pPr>
      <w:r>
        <w:rPr>
          <w:rFonts w:hint="eastAsia" w:ascii="宋体" w:hAnsi="宋体" w:eastAsia="宋体" w:cs="宋体"/>
        </w:rPr>
        <w:t xml:space="preserve">二、相关附表格式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_Toc9193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1.法人授权委托书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_Toc10877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2.具有履行合同所必需的设备和专业技术能力承诺函（参考格式）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_Toc17471 \h </w:instrText>
      </w:r>
      <w:r>
        <w:rPr>
          <w:rFonts w:hint="eastAsia" w:ascii="宋体" w:hAnsi="宋体" w:eastAsia="宋体" w:cs="宋体"/>
        </w:rPr>
        <w:fldChar w:fldCharType="separate"/>
      </w:r>
      <w:r>
        <w:rPr>
          <w:rFonts w:hint="eastAsia" w:ascii="宋体" w:hAnsi="宋体" w:eastAsia="宋体" w:cs="宋体"/>
        </w:rPr>
        <w:t xml:space="preserve">88</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3.三年无重大违法记录声明（参考格式）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_Toc31596 \h </w:instrText>
      </w:r>
      <w:r>
        <w:rPr>
          <w:rFonts w:hint="eastAsia" w:ascii="宋体" w:hAnsi="宋体" w:eastAsia="宋体" w:cs="宋体"/>
        </w:rPr>
        <w:fldChar w:fldCharType="separate"/>
      </w:r>
      <w:r>
        <w:rPr>
          <w:rFonts w:hint="eastAsia" w:ascii="宋体" w:hAnsi="宋体" w:eastAsia="宋体" w:cs="宋体"/>
        </w:rPr>
        <w:t xml:space="preserve">89</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4.其他相关承诺（参考格式）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_Toc25016 \h </w:instrText>
      </w:r>
      <w:r>
        <w:rPr>
          <w:rFonts w:hint="eastAsia" w:ascii="宋体" w:hAnsi="宋体" w:eastAsia="宋体" w:cs="宋体"/>
        </w:rPr>
        <w:fldChar w:fldCharType="separate"/>
      </w:r>
      <w:r>
        <w:rPr>
          <w:rFonts w:hint="eastAsia" w:ascii="宋体" w:hAnsi="宋体" w:eastAsia="宋体" w:cs="宋体"/>
        </w:rPr>
        <w:t xml:space="preserve">90</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rPr>
          <w:rFonts w:hint="eastAsia" w:ascii="宋体" w:hAnsi="宋体" w:eastAsia="宋体" w:cs="宋体"/>
        </w:rPr>
      </w:pPr>
      <w:r>
        <w:rPr>
          <w:rFonts w:hint="eastAsia" w:ascii="宋体" w:hAnsi="宋体" w:eastAsia="宋体" w:cs="宋体"/>
          <w:bCs w:val="0"/>
          <w:szCs w:val="24"/>
        </w:rPr>
        <w:t xml:space="preserve">附件1.中小企业声明函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_Toc32716 \h </w:instrText>
      </w:r>
      <w:r>
        <w:rPr>
          <w:rFonts w:hint="eastAsia" w:ascii="宋体" w:hAnsi="宋体" w:eastAsia="宋体" w:cs="宋体"/>
        </w:rPr>
        <w:fldChar w:fldCharType="separate"/>
      </w:r>
      <w:r>
        <w:rPr>
          <w:rFonts w:hint="eastAsia" w:ascii="宋体" w:hAnsi="宋体" w:eastAsia="宋体" w:cs="宋体"/>
        </w:rPr>
        <w:t xml:space="preserve">91</w:t>
      </w:r>
      <w:r>
        <w:rPr>
          <w:rFonts w:hint="eastAsia" w:ascii="宋体" w:hAnsi="宋体" w:eastAsia="宋体" w:cs="宋体"/>
        </w:rPr>
        <w:fldChar w:fldCharType="end"/>
      </w:r>
      <w:r>
        <w:rPr>
          <w:rFonts w:hint="eastAsia" w:ascii="宋体" w:hAnsi="宋体" w:eastAsia="宋体" w:cs="宋体"/>
        </w:rPr>
      </w:r>
      <w:r/>
    </w:p>
    <w:p>
      <w:pPr>
        <w:pStyle w:val="1127"/>
        <w:tabs>
          <w:tab w:val="right" w:pos="8504" w:leader="dot"/>
        </w:tabs>
      </w:pPr>
      <w:r>
        <w:rPr>
          <w:rFonts w:hint="eastAsia" w:ascii="宋体" w:hAnsi="宋体" w:eastAsia="宋体" w:cs="宋体"/>
          <w:bCs w:val="0"/>
          <w:szCs w:val="24"/>
        </w:rPr>
        <w:t xml:space="preserve">附件2.残疾人福利性单位声明函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_Toc5461 \h </w:instrText>
      </w:r>
      <w:r>
        <w:rPr>
          <w:rFonts w:hint="eastAsia" w:ascii="宋体" w:hAnsi="宋体" w:eastAsia="宋体" w:cs="宋体"/>
        </w:rPr>
        <w:fldChar w:fldCharType="separate"/>
      </w:r>
      <w:r>
        <w:rPr>
          <w:rFonts w:hint="eastAsia" w:ascii="宋体" w:hAnsi="宋体" w:eastAsia="宋体" w:cs="宋体"/>
        </w:rPr>
        <w:t xml:space="preserve">93</w:t>
      </w:r>
      <w:r>
        <w:rPr>
          <w:rFonts w:hint="eastAsia" w:ascii="宋体" w:hAnsi="宋体" w:eastAsia="宋体" w:cs="宋体"/>
        </w:rPr>
        <w:fldChar w:fldCharType="end"/>
      </w:r>
      <w:r/>
    </w:p>
    <w:p>
      <w:pPr>
        <w:pStyle w:val="1099"/>
        <w:spacing w:line="420" w:lineRule="exact"/>
        <w:rPr>
          <w:rStyle w:val="1158"/>
          <w:rFonts w:ascii="微软雅黑" w:hAnsi="微软雅黑" w:cs="微软雅黑"/>
          <w:bCs/>
          <w:sz w:val="32"/>
          <w:szCs w:val="32"/>
        </w:rPr>
      </w:pPr>
      <w:r>
        <w:rPr>
          <w:rFonts w:hint="eastAsia" w:ascii="微软雅黑" w:hAnsi="微软雅黑" w:eastAsia="微软雅黑" w:cs="微软雅黑"/>
          <w:bCs w:val="0"/>
          <w:szCs w:val="21"/>
        </w:rPr>
        <w:fldChar w:fldCharType="end"/>
      </w:r>
      <w:bookmarkStart w:id="1" w:name="_Toc27328"/>
      <w:r/>
      <w:bookmarkStart w:id="2" w:name="_Toc452384169"/>
      <w:r>
        <w:rPr>
          <w:rFonts w:hint="eastAsia" w:ascii="微软雅黑" w:hAnsi="微软雅黑" w:cs="微软雅黑"/>
          <w:sz w:val="24"/>
          <w:szCs w:val="24"/>
        </w:rPr>
        <w:br w:type="page" w:clear="all"/>
      </w:r>
      <w:r>
        <w:rPr>
          <w:rFonts w:hint="eastAsia" w:ascii="微软雅黑" w:hAnsi="微软雅黑" w:cs="微软雅黑"/>
          <w:bCs w:val="0"/>
          <w:szCs w:val="32"/>
        </w:rPr>
        <w:t xml:space="preserve">第一章 公开招标公告</w:t>
      </w:r>
      <w:bookmarkEnd w:id="1"/>
      <w:r>
        <w:rPr>
          <w:rStyle w:val="1158"/>
          <w:rFonts w:ascii="微软雅黑" w:hAnsi="微软雅黑" w:cs="微软雅黑"/>
          <w:bCs/>
          <w:sz w:val="32"/>
          <w:szCs w:val="32"/>
        </w:rPr>
      </w:r>
      <w:r/>
    </w:p>
    <w:p>
      <w:pPr>
        <w:pStyle w:val="1098"/>
        <w:ind w:firstLine="420"/>
        <w:spacing w:line="440" w:lineRule="exact"/>
        <w:rPr>
          <w:rFonts w:ascii="微软雅黑" w:hAnsi="微软雅黑" w:cs="微软雅黑"/>
          <w:szCs w:val="21"/>
        </w:rPr>
      </w:pPr>
      <w:r/>
      <w:bookmarkEnd w:id="0"/>
      <w:r>
        <w:rPr>
          <w:rFonts w:hint="eastAsia" w:ascii="微软雅黑" w:hAnsi="微软雅黑" w:cs="微软雅黑"/>
          <w:szCs w:val="21"/>
        </w:rPr>
        <w:t xml:space="preserve">（</w:t>
      </w: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cs="微软雅黑"/>
          <w:szCs w:val="21"/>
        </w:rPr>
        <w:t xml:space="preserve">）招标项目的潜在投标供应商应在（</w:t>
      </w:r>
      <w:r>
        <w:rPr>
          <w:rFonts w:hint="eastAsia" w:ascii="微软雅黑" w:hAnsi="微软雅黑" w:cs="微软雅黑"/>
          <w:szCs w:val="21"/>
          <w:lang w:eastAsia="zh-CN"/>
        </w:rPr>
        <w:t xml:space="preserve">江苏政府采购网</w:t>
      </w:r>
      <w:r>
        <w:rPr>
          <w:rFonts w:hint="eastAsia" w:ascii="微软雅黑" w:hAnsi="微软雅黑" w:cs="微软雅黑"/>
          <w:szCs w:val="21"/>
        </w:rPr>
        <w:t xml:space="preserve">）获取采购文件，并于202</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24</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分00秒（北京时间）前递交投标文件。</w:t>
      </w:r>
      <w:r>
        <w:rPr>
          <w:rFonts w:ascii="微软雅黑" w:hAnsi="微软雅黑" w:cs="微软雅黑"/>
          <w:szCs w:val="21"/>
        </w:rPr>
      </w:r>
      <w:r/>
    </w:p>
    <w:p>
      <w:pPr>
        <w:pStyle w:val="1098"/>
        <w:rPr>
          <w:rFonts w:hint="eastAsia"/>
        </w:rPr>
      </w:pPr>
      <w:r/>
      <w:bookmarkStart w:id="3" w:name="_Toc28359079"/>
      <w:r/>
      <w:bookmarkStart w:id="4" w:name="_Toc35393621"/>
      <w:r/>
      <w:bookmarkStart w:id="5" w:name="_Toc22074"/>
      <w:r/>
      <w:bookmarkStart w:id="6" w:name="_Toc35393790"/>
      <w:r/>
      <w:bookmarkStart w:id="7" w:name="_Toc5452"/>
      <w:r/>
      <w:bookmarkStart w:id="8" w:name="_Toc28359002"/>
      <w:r/>
      <w:bookmarkStart w:id="9" w:name="_Hlk24379207"/>
      <w:r>
        <w:rPr>
          <w:rFonts w:hint="eastAsia"/>
        </w:rPr>
        <w:t xml:space="preserve">一、项目基本情况</w:t>
      </w:r>
      <w:bookmarkEnd w:id="3"/>
      <w:r/>
      <w:bookmarkEnd w:id="4"/>
      <w:r/>
      <w:bookmarkEnd w:id="5"/>
      <w:r/>
      <w:bookmarkEnd w:id="6"/>
      <w:r/>
      <w:bookmarkEnd w:id="7"/>
      <w:r/>
      <w:bookmarkEnd w:id="8"/>
      <w:r>
        <w:rPr>
          <w:rFonts w:hint="eastAsia"/>
        </w:rPr>
      </w:r>
      <w:r/>
    </w:p>
    <w:p>
      <w:pPr>
        <w:pStyle w:val="1098"/>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项目编号</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1098"/>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p>
      <w:pPr>
        <w:pStyle w:val="1098"/>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lang w:eastAsia="zh-CN"/>
        </w:rPr>
        <w:t xml:space="preserve">徐州医科大学附属医院淮海路院区和鲲鹏路院区消防维保项目</w:t>
      </w:r>
      <w:r>
        <w:rPr>
          <w:rFonts w:hint="eastAsia" w:ascii="微软雅黑" w:hAnsi="微软雅黑" w:eastAsia="微软雅黑" w:cs="微软雅黑"/>
          <w:szCs w:val="21"/>
          <w:highlight w:val="none"/>
          <w:lang w:eastAsia="zh-CN"/>
        </w:rPr>
      </w:r>
      <w:r/>
    </w:p>
    <w:p>
      <w:pPr>
        <w:pStyle w:val="1098"/>
        <w:ind w:firstLine="420"/>
        <w:spacing w:line="420" w:lineRule="exact"/>
        <w:rPr>
          <w:rFonts w:hint="eastAsia" w:ascii="微软雅黑" w:hAnsi="微软雅黑" w:cs="微软雅黑"/>
          <w:szCs w:val="21"/>
          <w:lang w:val="en-US" w:eastAsia="zh-CN"/>
        </w:rPr>
      </w:pPr>
      <w:r/>
      <w:bookmarkEnd w:id="9"/>
      <w:r>
        <w:rPr>
          <w:rFonts w:hint="eastAsia" w:ascii="微软雅黑" w:hAnsi="微软雅黑" w:cs="微软雅黑"/>
          <w:szCs w:val="21"/>
          <w:highlight w:val="none"/>
        </w:rPr>
        <w:t xml:space="preserve">总预算金额：人民币</w:t>
      </w:r>
      <w:r>
        <w:rPr>
          <w:rFonts w:hint="eastAsia" w:ascii="微软雅黑" w:hAnsi="微软雅黑" w:cs="微软雅黑"/>
          <w:szCs w:val="21"/>
          <w:highlight w:val="none"/>
          <w:lang w:eastAsia="zh-CN"/>
        </w:rPr>
        <w:t xml:space="preserve">贰佰零陆万伍仟</w:t>
      </w:r>
      <w:r>
        <w:rPr>
          <w:rFonts w:hint="eastAsia" w:ascii="微软雅黑" w:hAnsi="微软雅黑" w:cs="微软雅黑"/>
          <w:szCs w:val="21"/>
          <w:highlight w:val="none"/>
        </w:rPr>
        <w:t xml:space="preserve">元整</w:t>
      </w:r>
      <w:r>
        <w:rPr>
          <w:rFonts w:hint="eastAsia" w:ascii="微软雅黑" w:hAnsi="微软雅黑" w:cs="微软雅黑"/>
          <w:szCs w:val="21"/>
          <w:highlight w:val="none"/>
          <w:lang w:val="en-US" w:eastAsia="zh-CN"/>
        </w:rPr>
        <w:t xml:space="preserve">/年</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206</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r>
      <w:r/>
    </w:p>
    <w:p>
      <w:pPr>
        <w:pStyle w:val="1098"/>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cs="微软雅黑"/>
          <w:szCs w:val="21"/>
          <w:lang w:val="en-US" w:eastAsia="zh-CN"/>
        </w:rPr>
      </w:r>
      <w:r/>
    </w:p>
    <w:p>
      <w:pPr>
        <w:pStyle w:val="1098"/>
        <w:ind w:firstLine="1470"/>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eastAsia="微软雅黑" w:cs="微软雅黑"/>
          <w:szCs w:val="21"/>
          <w:lang w:eastAsia="zh-CN"/>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rPr>
      </w:r>
      <w:r/>
    </w:p>
    <w:p>
      <w:pPr>
        <w:pStyle w:val="1098"/>
        <w:ind w:firstLine="147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098"/>
        <w:ind w:firstLine="1470"/>
        <w:spacing w:line="420" w:lineRule="exact"/>
        <w:rPr>
          <w:rFonts w:ascii="微软雅黑" w:hAnsi="微软雅黑" w:cs="微软雅黑"/>
          <w:szCs w:val="21"/>
          <w:lang w:val="en-US" w:eastAsia="zh-CN"/>
        </w:rPr>
      </w:pPr>
      <w:r>
        <w:rPr>
          <w:rFonts w:ascii="微软雅黑" w:hAnsi="微软雅黑" w:cs="微软雅黑"/>
          <w:szCs w:val="21"/>
          <w:lang w:val="en-US" w:eastAsia="zh-CN"/>
        </w:rPr>
        <w:t xml:space="preserve">报价超过最高限价的投标文件按无效标处理</w:t>
      </w:r>
      <w:r>
        <w:rPr>
          <w:rFonts w:ascii="微软雅黑" w:hAnsi="微软雅黑" w:cs="微软雅黑"/>
          <w:szCs w:val="21"/>
          <w:lang w:val="en-US" w:eastAsia="zh-CN"/>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w:t>
      </w:r>
      <w:r>
        <w:rPr>
          <w:rFonts w:hint="eastAsia" w:ascii="微软雅黑" w:hAnsi="微软雅黑" w:cs="微软雅黑"/>
          <w:szCs w:val="21"/>
        </w:rPr>
      </w:r>
      <w:r/>
    </w:p>
    <w:p>
      <w:pPr>
        <w:pStyle w:val="1098"/>
        <w:ind w:firstLine="420"/>
        <w:rPr>
          <w:rFonts w:hint="eastAsia" w:ascii="微软雅黑" w:hAnsi="微软雅黑" w:eastAsia="微软雅黑" w:cs="微软雅黑"/>
          <w:szCs w:val="21"/>
        </w:rPr>
      </w:pPr>
      <w:r>
        <w:rPr>
          <w:rFonts w:hint="eastAsia" w:ascii="微软雅黑" w:hAnsi="微软雅黑" w:eastAsia="微软雅黑" w:cs="微软雅黑"/>
          <w:szCs w:val="21"/>
        </w:rPr>
        <w:t xml:space="preserve">采购需求：</w:t>
      </w:r>
      <w:bookmarkStart w:id="10" w:name="_Toc28359080"/>
      <w:r/>
      <w:bookmarkStart w:id="11" w:name="_Toc19106"/>
      <w:r/>
      <w:bookmarkStart w:id="12" w:name="_Toc28359003"/>
      <w:r/>
      <w:bookmarkStart w:id="13" w:name="_Toc18689"/>
      <w:r/>
      <w:bookmarkStart w:id="14" w:name="_Toc35393622"/>
      <w:r/>
      <w:bookmarkStart w:id="15" w:name="_Toc35393791"/>
      <w:r>
        <w:rPr>
          <w:rFonts w:hint="eastAsia" w:ascii="微软雅黑" w:hAnsi="微软雅黑" w:eastAsia="微软雅黑" w:cs="微软雅黑"/>
          <w:szCs w:val="21"/>
        </w:rPr>
      </w:r>
      <w:r/>
    </w:p>
    <w:p>
      <w:pPr>
        <w:pStyle w:val="1098"/>
        <w:ind w:firstLine="420"/>
        <w:rPr>
          <w:rFonts w:hint="eastAsia" w:ascii="微软雅黑" w:hAnsi="微软雅黑" w:cs="微软雅黑"/>
          <w:szCs w:val="21"/>
          <w:lang w:val="en-US" w:eastAsia="zh-CN"/>
        </w:rPr>
      </w:pPr>
      <w:r>
        <w:rPr>
          <w:rFonts w:hint="eastAsia" w:ascii="微软雅黑" w:hAnsi="微软雅黑" w:eastAsia="微软雅黑" w:cs="微软雅黑"/>
          <w:szCs w:val="21"/>
          <w:lang w:eastAsia="zh-CN"/>
        </w:rPr>
        <w:t xml:space="preserve">分包一：徐州医科大学附属医院淮海路院区（淮海西路99号）及相应租赁区域，即徐州医科大学附属医院整形美容中心、科创中心、巨龙楼、院外药库、院外病案室等的消防维保；</w:t>
      </w:r>
      <w:r>
        <w:rPr>
          <w:rFonts w:hint="eastAsia" w:ascii="微软雅黑" w:hAnsi="微软雅黑" w:eastAsia="微软雅黑" w:cs="微软雅黑"/>
          <w:szCs w:val="21"/>
          <w:lang w:val="en-US" w:eastAsia="zh-CN"/>
        </w:rPr>
        <w:t xml:space="preserve">  </w:t>
      </w:r>
      <w:r>
        <w:rPr>
          <w:rFonts w:hint="eastAsia" w:ascii="微软雅黑" w:hAnsi="微软雅黑" w:cs="微软雅黑"/>
          <w:szCs w:val="21"/>
          <w:lang w:val="en-US" w:eastAsia="zh-CN"/>
        </w:rPr>
        <w:t xml:space="preserve">      </w:t>
      </w:r>
      <w:r>
        <w:rPr>
          <w:rFonts w:hint="eastAsia" w:ascii="微软雅黑" w:hAnsi="微软雅黑" w:cs="微软雅黑"/>
          <w:szCs w:val="21"/>
          <w:lang w:val="en-US" w:eastAsia="zh-CN"/>
        </w:rPr>
      </w:r>
      <w:r/>
    </w:p>
    <w:p>
      <w:pPr>
        <w:pStyle w:val="1098"/>
        <w:ind w:firstLine="420"/>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分包二：徐州医科大学附属医院鲲鹏路院区及相应租赁区域（院外物流园国资库房）的消防维保。</w:t>
      </w:r>
      <w:r>
        <w:rPr>
          <w:rFonts w:hint="eastAsia" w:ascii="微软雅黑" w:hAnsi="微软雅黑" w:eastAsia="微软雅黑" w:cs="微软雅黑"/>
          <w:szCs w:val="21"/>
          <w:lang w:eastAsia="zh-CN"/>
        </w:rPr>
      </w:r>
      <w:r/>
    </w:p>
    <w:p>
      <w:pPr>
        <w:pStyle w:val="1098"/>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rPr>
        <w:t xml:space="preserve">本项目分包一、分包二同时开标，并按以上分包一、二顺序依次进行评标。同一供应商可以同时参加两个分包的投标，但是只能中标一个分包，供应商在前一个分包中被推荐为第一中标候选人之后，仍然参加后续其他分包的评审，但是在后续其他分包中不能被推荐为中标候选人</w:t>
      </w:r>
      <w:r>
        <w:rPr>
          <w:rFonts w:hint="eastAsia" w:ascii="微软雅黑" w:hAnsi="微软雅黑" w:cs="微软雅黑"/>
          <w:b/>
          <w:bCs/>
          <w:szCs w:val="21"/>
          <w:highlight w:val="none"/>
        </w:rPr>
        <w:t xml:space="preserve">。  </w:t>
      </w:r>
      <w:r>
        <w:rPr>
          <w:rFonts w:hint="eastAsia" w:ascii="微软雅黑" w:hAnsi="微软雅黑" w:cs="微软雅黑"/>
          <w:b/>
          <w:bCs/>
          <w:szCs w:val="21"/>
          <w:highlight w:val="none"/>
        </w:rPr>
      </w:r>
      <w:r/>
    </w:p>
    <w:p>
      <w:pPr>
        <w:pStyle w:val="1098"/>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rPr>
      </w:r>
      <w:r/>
    </w:p>
    <w:p>
      <w:pPr>
        <w:pStyle w:val="1098"/>
        <w:ind w:firstLine="420"/>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二、申请人的资格要求：</w:t>
      </w:r>
      <w:bookmarkEnd w:id="10"/>
      <w:r/>
      <w:bookmarkEnd w:id="11"/>
      <w:r/>
      <w:bookmarkEnd w:id="12"/>
      <w:r/>
      <w:bookmarkEnd w:id="13"/>
      <w:r/>
      <w:bookmarkEnd w:id="14"/>
      <w:r/>
      <w:bookmarkEnd w:id="15"/>
      <w:r>
        <w:rPr>
          <w:rFonts w:hint="eastAsia" w:ascii="微软雅黑" w:hAnsi="微软雅黑" w:cs="微软雅黑"/>
          <w:b/>
          <w:bCs/>
          <w:highlight w:val="none"/>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098"/>
        <w:ind w:firstLine="420"/>
        <w:spacing w:line="420" w:lineRule="exact"/>
        <w:rPr>
          <w:rFonts w:ascii="微软雅黑" w:hAnsi="微软雅黑" w:cs="微软雅黑"/>
          <w:szCs w:val="21"/>
          <w:highlight w:val="none"/>
        </w:rPr>
      </w:pPr>
      <w:r>
        <w:rPr>
          <w:rFonts w:hint="eastAsia" w:ascii="微软雅黑" w:hAnsi="微软雅黑" w:cs="微软雅黑"/>
          <w:szCs w:val="21"/>
        </w:rPr>
        <w:t xml:space="preserve">1.2具有良好的商业信誉和健全的财务会计制度，提供202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月至投标截止时间前任意一月份的财务状况报告（至少包括资产负债表和利润表），或其银行出具的资信证书（复印件）</w:t>
      </w:r>
      <w:r>
        <w:rPr>
          <w:rFonts w:hint="eastAsia" w:ascii="微软雅黑" w:hAnsi="微软雅黑" w:cs="微软雅黑"/>
          <w:szCs w:val="21"/>
          <w:highlight w:val="none"/>
        </w:rPr>
        <w:t xml:space="preserve">，或</w:t>
      </w:r>
      <w:r>
        <w:rPr>
          <w:rFonts w:hint="eastAsia" w:ascii="微软雅黑" w:hAnsi="微软雅黑" w:cs="微软雅黑"/>
          <w:szCs w:val="21"/>
          <w:highlight w:val="none"/>
          <w:lang w:val="en-US" w:eastAsia="zh-CN"/>
        </w:rPr>
        <w:t xml:space="preserve">2025</w:t>
      </w:r>
      <w:r>
        <w:rPr>
          <w:rFonts w:hint="eastAsia" w:ascii="微软雅黑" w:hAnsi="微软雅黑" w:cs="微软雅黑"/>
          <w:szCs w:val="21"/>
          <w:highlight w:val="none"/>
        </w:rPr>
        <w:t xml:space="preserve">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，或银行出具的资信证明，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ascii="微软雅黑" w:hAnsi="微软雅黑" w:cs="微软雅黑"/>
          <w:szCs w:val="21"/>
          <w:highlight w:val="none"/>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098"/>
        <w:ind w:firstLine="420"/>
        <w:spacing w:line="420" w:lineRule="exact"/>
        <w:rPr>
          <w:rFonts w:hint="eastAsia" w:ascii="微软雅黑" w:hAnsi="微软雅黑" w:cs="微软雅黑"/>
          <w:b/>
          <w:bCs/>
        </w:rPr>
      </w:pPr>
      <w:r>
        <w:rPr>
          <w:rFonts w:hint="eastAsia" w:ascii="微软雅黑" w:hAnsi="微软雅黑" w:cs="微软雅黑"/>
        </w:rPr>
        <w:t xml:space="preserve">2.是否专门面向中小企业：否</w:t>
      </w:r>
      <w:r>
        <w:rPr>
          <w:rFonts w:hint="eastAsia" w:ascii="微软雅黑" w:hAnsi="微软雅黑" w:cs="微软雅黑"/>
          <w:b/>
          <w:bCs/>
        </w:rPr>
        <w:t xml:space="preserve">。</w:t>
      </w:r>
      <w:r>
        <w:rPr>
          <w:rFonts w:hint="eastAsia" w:ascii="微软雅黑" w:hAnsi="微软雅黑" w:cs="微软雅黑"/>
          <w:b/>
          <w:bCs/>
        </w:rPr>
      </w:r>
      <w:r/>
    </w:p>
    <w:p>
      <w:pPr>
        <w:pStyle w:val="1098"/>
        <w:ind w:firstLine="420"/>
        <w:spacing w:line="420" w:lineRule="exact"/>
        <w:rPr>
          <w:rFonts w:hint="eastAsia"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w:t>
      </w:r>
      <w:r>
        <w:rPr>
          <w:rFonts w:hint="eastAsia" w:ascii="微软雅黑" w:hAnsi="微软雅黑" w:cs="微软雅黑"/>
          <w:szCs w:val="21"/>
          <w:lang w:eastAsia="zh-CN"/>
        </w:rPr>
        <w:t xml:space="preserve">无</w:t>
      </w:r>
      <w:r>
        <w:rPr>
          <w:rFonts w:hint="eastAsia" w:ascii="微软雅黑" w:hAnsi="微软雅黑" w:cs="微软雅黑"/>
          <w:szCs w:val="21"/>
        </w:rPr>
        <w:t xml:space="preserve">。</w:t>
      </w:r>
      <w:r>
        <w:rPr>
          <w:rFonts w:hint="eastAsia" w:ascii="微软雅黑" w:hAnsi="微软雅黑" w:cs="微软雅黑"/>
          <w:szCs w:val="21"/>
        </w:rPr>
      </w:r>
      <w:r/>
    </w:p>
    <w:p>
      <w:pPr>
        <w:pStyle w:val="1098"/>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1098"/>
        <w:ind w:firstLine="420"/>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6.3被“信用中国”网站(www.creditchina.gov.cn)或中国政府采购网(www.ccgp.gov.cn)列入失信被</w:t>
      </w:r>
      <w:r>
        <w:rPr>
          <w:rFonts w:hint="eastAsia" w:ascii="微软雅黑" w:hAnsi="微软雅黑" w:cs="微软雅黑"/>
          <w:szCs w:val="21"/>
          <w:highlight w:val="none"/>
        </w:rPr>
        <w:t xml:space="preserve">执行人、重大税收违法失信主体、政府采购严重违法失信行为记录名单的。</w:t>
      </w:r>
      <w:r>
        <w:rPr>
          <w:rFonts w:hint="eastAsia" w:ascii="微软雅黑" w:hAnsi="微软雅黑" w:eastAsia="微软雅黑" w:cs="微软雅黑"/>
          <w:szCs w:val="21"/>
          <w:highlight w:val="none"/>
          <w:lang w:eastAsia="zh-CN"/>
        </w:rPr>
      </w:r>
      <w:r/>
    </w:p>
    <w:p>
      <w:pPr>
        <w:pStyle w:val="1098"/>
        <w:rPr>
          <w:rFonts w:hint="eastAsia" w:ascii="微软雅黑" w:hAnsi="微软雅黑" w:cs="微软雅黑"/>
          <w:b/>
          <w:bCs/>
          <w:color w:val="000000"/>
          <w:highlight w:val="none"/>
        </w:rPr>
      </w:pPr>
      <w:r/>
      <w:bookmarkStart w:id="16" w:name="_Toc35393624"/>
      <w:r/>
      <w:bookmarkStart w:id="17" w:name="_Toc28359005"/>
      <w:r/>
      <w:bookmarkStart w:id="18" w:name="_Toc1219"/>
      <w:r/>
      <w:bookmarkStart w:id="19" w:name="_Toc28359082"/>
      <w:r/>
      <w:bookmarkStart w:id="20" w:name="_Toc35393793"/>
      <w:r/>
      <w:bookmarkStart w:id="21" w:name="_Toc35393796"/>
      <w:r/>
      <w:bookmarkStart w:id="22" w:name="_Toc28359008"/>
      <w:r/>
      <w:bookmarkStart w:id="23" w:name="_Toc35393627"/>
      <w:r/>
      <w:bookmarkStart w:id="24" w:name="_Toc28359085"/>
      <w:r/>
      <w:bookmarkStart w:id="25" w:name="_Toc19317"/>
      <w:r>
        <w:rPr>
          <w:rFonts w:hint="eastAsia" w:ascii="微软雅黑" w:hAnsi="微软雅黑" w:cs="微软雅黑"/>
          <w:b/>
          <w:bCs/>
          <w:color w:val="000000"/>
          <w:highlight w:val="none"/>
        </w:rPr>
        <w:t xml:space="preserve">三、获取采购文件</w:t>
      </w:r>
      <w:r>
        <w:rPr>
          <w:rFonts w:hint="eastAsia" w:ascii="微软雅黑" w:hAnsi="微软雅黑" w:cs="微软雅黑"/>
          <w:b/>
          <w:bCs/>
          <w:color w:val="000000"/>
          <w:highlight w:val="none"/>
        </w:rPr>
      </w:r>
      <w:r/>
    </w:p>
    <w:p>
      <w:pPr>
        <w:pStyle w:val="1098"/>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098"/>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1098"/>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098"/>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1098"/>
        <w:keepLines w:val="0"/>
        <w:keepNext w:val="0"/>
        <w:pageBreakBefore w:val="0"/>
        <w:spacing w:line="420" w:lineRule="exact"/>
        <w:rPr>
          <w:rFonts w:hint="eastAsia" w:ascii="微软雅黑" w:hAnsi="微软雅黑" w:cs="微软雅黑"/>
          <w:b/>
          <w:color w:val="000000"/>
          <w:szCs w:val="21"/>
          <w:highlight w:val="none"/>
        </w:rPr>
      </w:pPr>
      <w:r/>
      <w:bookmarkEnd w:id="16"/>
      <w:r/>
      <w:bookmarkEnd w:id="17"/>
      <w:r/>
      <w:bookmarkEnd w:id="18"/>
      <w:r/>
      <w:bookmarkEnd w:id="19"/>
      <w:r/>
      <w:bookmarkEnd w:id="20"/>
      <w:r>
        <w:rPr>
          <w:rFonts w:hint="eastAsia" w:ascii="微软雅黑" w:hAnsi="微软雅黑" w:cs="微软雅黑"/>
          <w:b/>
          <w:color w:val="000000"/>
          <w:szCs w:val="21"/>
          <w:highlight w:val="none"/>
        </w:rPr>
        <w:t xml:space="preserve">四、提交投标文件截止时间、开标时间和地点</w:t>
      </w:r>
      <w:r>
        <w:rPr>
          <w:rFonts w:hint="eastAsia" w:ascii="微软雅黑" w:hAnsi="微软雅黑" w:cs="微软雅黑"/>
          <w:b/>
          <w:color w:val="000000"/>
          <w:szCs w:val="21"/>
          <w:highlight w:val="none"/>
        </w:rPr>
      </w:r>
      <w:r/>
    </w:p>
    <w:p>
      <w:pPr>
        <w:pStyle w:val="1098"/>
        <w:ind w:firstLine="420"/>
        <w:keepLines w:val="0"/>
        <w:keepNext w:val="0"/>
        <w:pageBreakBefore w:val="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7</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24</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none"/>
        </w:rPr>
      </w:r>
      <w:r/>
    </w:p>
    <w:p>
      <w:pPr>
        <w:pStyle w:val="109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1098"/>
        <w:rPr>
          <w:rFonts w:hint="eastAsia" w:ascii="微软雅黑" w:hAnsi="微软雅黑" w:cs="微软雅黑"/>
          <w:b/>
          <w:bCs/>
          <w:color w:val="000000"/>
          <w:highlight w:val="none"/>
        </w:rPr>
      </w:pPr>
      <w:r/>
      <w:bookmarkStart w:id="26" w:name="_Toc31210"/>
      <w:r/>
      <w:bookmarkStart w:id="27" w:name="_Toc35393625"/>
      <w:r/>
      <w:bookmarkStart w:id="28" w:name="_Toc28359007"/>
      <w:r/>
      <w:bookmarkStart w:id="29" w:name="_Toc28359084"/>
      <w:r/>
      <w:bookmarkStart w:id="30" w:name="_Toc35393794"/>
      <w:r>
        <w:rPr>
          <w:rFonts w:hint="eastAsia" w:ascii="微软雅黑" w:hAnsi="微软雅黑" w:cs="微软雅黑"/>
          <w:b/>
          <w:bCs/>
          <w:color w:val="000000"/>
          <w:highlight w:val="none"/>
        </w:rPr>
        <w:t xml:space="preserve">五、公告期限</w:t>
      </w:r>
      <w:bookmarkEnd w:id="26"/>
      <w:r/>
      <w:bookmarkEnd w:id="27"/>
      <w:r/>
      <w:bookmarkEnd w:id="28"/>
      <w:r/>
      <w:bookmarkEnd w:id="29"/>
      <w:r/>
      <w:bookmarkEnd w:id="30"/>
      <w:r>
        <w:rPr>
          <w:rFonts w:hint="eastAsia" w:ascii="微软雅黑" w:hAnsi="微软雅黑" w:cs="微软雅黑"/>
          <w:b/>
          <w:bCs/>
          <w:color w:val="000000"/>
          <w:highlight w:val="none"/>
        </w:rPr>
      </w:r>
      <w:r/>
    </w:p>
    <w:p>
      <w:pPr>
        <w:pStyle w:val="109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自本公告发布之日起5个工作日。</w:t>
      </w:r>
      <w:r>
        <w:rPr>
          <w:rFonts w:hint="eastAsia" w:ascii="微软雅黑" w:hAnsi="微软雅黑" w:cs="微软雅黑"/>
          <w:color w:val="000000"/>
          <w:highlight w:val="none"/>
        </w:rPr>
      </w:r>
      <w:r/>
    </w:p>
    <w:p>
      <w:pPr>
        <w:pStyle w:val="1098"/>
        <w:rPr>
          <w:rFonts w:hint="eastAsia" w:ascii="微软雅黑" w:hAnsi="微软雅黑" w:cs="微软雅黑"/>
          <w:b/>
          <w:bCs/>
          <w:color w:val="000000"/>
          <w:highlight w:val="none"/>
        </w:rPr>
      </w:pPr>
      <w:r/>
      <w:bookmarkStart w:id="31" w:name="_Toc19985"/>
      <w:r/>
      <w:bookmarkStart w:id="32" w:name="_Toc35393626"/>
      <w:r/>
      <w:bookmarkStart w:id="33" w:name="_Toc35393795"/>
      <w:r>
        <w:rPr>
          <w:rFonts w:hint="eastAsia" w:ascii="微软雅黑" w:hAnsi="微软雅黑" w:cs="微软雅黑"/>
          <w:b/>
          <w:bCs/>
          <w:color w:val="000000"/>
          <w:highlight w:val="none"/>
        </w:rPr>
        <w:t xml:space="preserve">六、其他补充事宜</w:t>
      </w:r>
      <w:bookmarkEnd w:id="31"/>
      <w:r/>
      <w:bookmarkEnd w:id="32"/>
      <w:r/>
      <w:bookmarkEnd w:id="33"/>
      <w:r>
        <w:rPr>
          <w:rFonts w:hint="eastAsia" w:ascii="微软雅黑" w:hAnsi="微软雅黑" w:cs="微软雅黑"/>
          <w:b/>
          <w:bCs/>
          <w:color w:val="000000"/>
          <w:highlight w:val="none"/>
        </w:rPr>
      </w:r>
      <w:r/>
    </w:p>
    <w:p>
      <w:pPr>
        <w:pStyle w:val="1098"/>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rPr>
          <w:rFonts w:ascii="微软雅黑" w:hAnsi="微软雅黑" w:cs="微软雅黑"/>
          <w:szCs w:val="21"/>
          <w:highlight w:val="none"/>
        </w:rPr>
      </w:r>
      <w:r/>
    </w:p>
    <w:p>
      <w:pPr>
        <w:pStyle w:val="1098"/>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此采购公告在江苏政府采购网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http://www.ccgp-jiangsu.gov.cn</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发布。 </w:t>
      </w:r>
      <w:r>
        <w:rPr>
          <w:rFonts w:ascii="微软雅黑" w:hAnsi="微软雅黑" w:cs="微软雅黑"/>
          <w:color w:val="000000"/>
          <w:szCs w:val="21"/>
          <w:highlight w:val="none"/>
        </w:rPr>
      </w:r>
      <w:r/>
    </w:p>
    <w:p>
      <w:pPr>
        <w:pStyle w:val="1098"/>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 苏采云CA办理及登录：</w:t>
      </w:r>
      <w:r>
        <w:rPr>
          <w:rFonts w:ascii="微软雅黑" w:hAnsi="微软雅黑" w:cs="微软雅黑"/>
          <w:color w:val="000000"/>
          <w:szCs w:val="21"/>
          <w:highlight w:val="none"/>
          <w:lang w:val="en-US" w:eastAsia="zh-CN"/>
        </w:rPr>
      </w:r>
      <w:r/>
    </w:p>
    <w:p>
      <w:pPr>
        <w:pStyle w:val="109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4"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4"/>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109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09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098"/>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109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ascii="微软雅黑" w:hAnsi="微软雅黑" w:cs="微软雅黑"/>
          <w:szCs w:val="21"/>
        </w:rPr>
        <w:t xml:space="preserve"> </w:t>
      </w:r>
      <w:r>
        <w:rPr>
          <w:rFonts w:hint="eastAsia" w:ascii="微软雅黑" w:hAnsi="微软雅黑" w:cs="微软雅黑"/>
          <w:szCs w:val="21"/>
        </w:rPr>
      </w:r>
      <w:r/>
    </w:p>
    <w:p>
      <w:pPr>
        <w:pStyle w:val="1098"/>
        <w:rPr>
          <w:rFonts w:hint="eastAsia"/>
        </w:rPr>
      </w:pPr>
      <w:r/>
      <w:bookmarkStart w:id="35" w:name="_Toc30491"/>
      <w:r/>
      <w:bookmarkStart w:id="36" w:name="_Toc22125"/>
      <w:r>
        <w:rPr>
          <w:rFonts w:hint="eastAsia"/>
        </w:rPr>
        <w:t xml:space="preserve">七、对本次招标提出询问，请按以下方式联系。</w:t>
      </w:r>
      <w:bookmarkEnd w:id="21"/>
      <w:r/>
      <w:bookmarkEnd w:id="22"/>
      <w:r/>
      <w:bookmarkEnd w:id="23"/>
      <w:r/>
      <w:bookmarkEnd w:id="24"/>
      <w:r/>
      <w:bookmarkEnd w:id="25"/>
      <w:r/>
      <w:bookmarkEnd w:id="35"/>
      <w:r/>
      <w:bookmarkEnd w:id="36"/>
      <w:r>
        <w:rPr>
          <w:rFonts w:hint="eastAsia"/>
        </w:rPr>
        <w:t xml:space="preserve"> </w:t>
      </w:r>
      <w:r>
        <w:rPr>
          <w:rFonts w:hint="eastAsia"/>
        </w:rPr>
      </w:r>
      <w:r/>
    </w:p>
    <w:p>
      <w:pPr>
        <w:pStyle w:val="1098"/>
        <w:ind w:firstLine="420"/>
        <w:spacing w:line="420" w:lineRule="exact"/>
        <w:rPr>
          <w:rFonts w:hint="eastAsia" w:ascii="微软雅黑" w:hAnsi="微软雅黑" w:cs="微软雅黑"/>
          <w:bCs/>
          <w:szCs w:val="21"/>
        </w:rPr>
      </w:pPr>
      <w:r/>
      <w:bookmarkStart w:id="37" w:name="_Toc28359096"/>
      <w:r/>
      <w:bookmarkStart w:id="38" w:name="_Toc35393637"/>
      <w:r/>
      <w:bookmarkStart w:id="39" w:name="_Toc35393806"/>
      <w:r/>
      <w:bookmarkStart w:id="40" w:name="_Toc28359019"/>
      <w:r>
        <w:rPr>
          <w:rFonts w:hint="eastAsia" w:ascii="微软雅黑" w:hAnsi="微软雅黑" w:cs="微软雅黑"/>
          <w:bCs/>
          <w:szCs w:val="21"/>
        </w:rPr>
        <w:t xml:space="preserve">1.采购人信息</w:t>
      </w:r>
      <w:bookmarkEnd w:id="37"/>
      <w:r/>
      <w:bookmarkEnd w:id="38"/>
      <w:r/>
      <w:bookmarkEnd w:id="39"/>
      <w:r/>
      <w:bookmarkEnd w:id="40"/>
      <w:r>
        <w:rPr>
          <w:rFonts w:hint="eastAsia" w:ascii="微软雅黑" w:hAnsi="微软雅黑" w:cs="微软雅黑"/>
          <w:bCs/>
          <w:szCs w:val="21"/>
        </w:rPr>
      </w:r>
      <w:r/>
    </w:p>
    <w:p>
      <w:pPr>
        <w:pStyle w:val="109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lang w:eastAsia="zh-CN"/>
        </w:rPr>
        <w:t xml:space="preserve">徐州医科大学附属医院</w:t>
      </w:r>
      <w:r>
        <w:rPr>
          <w:rFonts w:hint="eastAsia" w:ascii="微软雅黑" w:hAnsi="微软雅黑" w:cs="微软雅黑"/>
          <w:bCs/>
          <w:szCs w:val="21"/>
        </w:rPr>
        <w:t xml:space="preserve">　　　　</w:t>
      </w:r>
      <w:r>
        <w:rPr>
          <w:rFonts w:hint="eastAsia" w:ascii="微软雅黑" w:hAnsi="微软雅黑" w:cs="微软雅黑"/>
          <w:bCs/>
          <w:szCs w:val="21"/>
        </w:rPr>
      </w:r>
      <w:r/>
    </w:p>
    <w:p>
      <w:pPr>
        <w:pStyle w:val="109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址：江苏省徐州市泉山区淮海西路99号 　　　</w:t>
      </w:r>
      <w:r>
        <w:rPr>
          <w:rFonts w:hint="eastAsia" w:ascii="微软雅黑" w:hAnsi="微软雅黑" w:cs="微软雅黑"/>
          <w:bCs/>
          <w:szCs w:val="21"/>
        </w:rPr>
      </w:r>
      <w:r/>
    </w:p>
    <w:p>
      <w:pPr>
        <w:pStyle w:val="109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bCs/>
          <w:szCs w:val="21"/>
          <w:lang w:val="en-US" w:eastAsia="zh-CN"/>
        </w:rPr>
        <w:t xml:space="preserve">0516-85806721</w:t>
      </w:r>
      <w:r>
        <w:rPr>
          <w:rFonts w:hint="eastAsia" w:ascii="微软雅黑" w:hAnsi="微软雅黑" w:cs="微软雅黑"/>
          <w:bCs/>
          <w:szCs w:val="21"/>
        </w:rPr>
        <w:t xml:space="preserve">　 　　   　 </w:t>
      </w:r>
      <w:r>
        <w:rPr>
          <w:rFonts w:hint="eastAsia" w:ascii="微软雅黑" w:hAnsi="微软雅黑" w:cs="微软雅黑"/>
          <w:bCs/>
          <w:szCs w:val="21"/>
        </w:rPr>
      </w:r>
      <w:r/>
    </w:p>
    <w:p>
      <w:pPr>
        <w:pStyle w:val="1098"/>
        <w:ind w:firstLine="420"/>
        <w:spacing w:line="420" w:lineRule="exact"/>
        <w:rPr>
          <w:rFonts w:hint="eastAsia" w:ascii="微软雅黑" w:hAnsi="微软雅黑" w:cs="微软雅黑"/>
          <w:bCs/>
          <w:szCs w:val="21"/>
        </w:rPr>
      </w:pPr>
      <w:r/>
      <w:bookmarkStart w:id="41" w:name="_Toc28359097"/>
      <w:r/>
      <w:bookmarkStart w:id="42" w:name="_Toc35393638"/>
      <w:r/>
      <w:bookmarkStart w:id="43" w:name="_Toc35393807"/>
      <w:r/>
      <w:bookmarkStart w:id="44" w:name="_Toc28359020"/>
      <w:r>
        <w:rPr>
          <w:rFonts w:hint="eastAsia" w:ascii="微软雅黑" w:hAnsi="微软雅黑" w:cs="微软雅黑"/>
          <w:bCs/>
          <w:szCs w:val="21"/>
        </w:rPr>
        <w:t xml:space="preserve">2.采购代理机构信息</w:t>
      </w:r>
      <w:bookmarkEnd w:id="41"/>
      <w:r/>
      <w:bookmarkEnd w:id="42"/>
      <w:r/>
      <w:bookmarkEnd w:id="43"/>
      <w:r/>
      <w:bookmarkEnd w:id="44"/>
      <w:r>
        <w:rPr>
          <w:rFonts w:hint="eastAsia" w:ascii="微软雅黑" w:hAnsi="微软雅黑" w:cs="微软雅黑"/>
          <w:bCs/>
          <w:szCs w:val="21"/>
        </w:rPr>
      </w:r>
      <w:r/>
    </w:p>
    <w:p>
      <w:pPr>
        <w:pStyle w:val="1098"/>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1098"/>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1098"/>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　　　　　　　  　　　</w:t>
      </w:r>
      <w:r>
        <w:rPr>
          <w:rFonts w:hint="eastAsia" w:ascii="微软雅黑" w:hAnsi="微软雅黑" w:cs="微软雅黑"/>
          <w:bCs/>
          <w:szCs w:val="21"/>
        </w:rPr>
      </w:r>
      <w:r/>
    </w:p>
    <w:p>
      <w:pPr>
        <w:pStyle w:val="1098"/>
        <w:ind w:firstLine="420"/>
        <w:spacing w:line="420" w:lineRule="exact"/>
        <w:rPr>
          <w:rFonts w:hint="eastAsia" w:ascii="微软雅黑" w:hAnsi="微软雅黑" w:cs="微软雅黑"/>
          <w:bCs/>
          <w:szCs w:val="21"/>
        </w:rPr>
      </w:pPr>
      <w:r/>
      <w:bookmarkStart w:id="45" w:name="_Toc28359098"/>
      <w:r/>
      <w:bookmarkStart w:id="46" w:name="_Toc35393808"/>
      <w:r/>
      <w:bookmarkStart w:id="47" w:name="_Toc35393639"/>
      <w:r/>
      <w:bookmarkStart w:id="48" w:name="_Toc28359021"/>
      <w:r>
        <w:rPr>
          <w:rFonts w:hint="eastAsia" w:ascii="微软雅黑" w:hAnsi="微软雅黑" w:cs="微软雅黑"/>
          <w:bCs/>
          <w:szCs w:val="21"/>
        </w:rPr>
        <w:t xml:space="preserve">3.项目联系方式</w:t>
      </w:r>
      <w:bookmarkEnd w:id="45"/>
      <w:r/>
      <w:bookmarkEnd w:id="46"/>
      <w:r/>
      <w:bookmarkEnd w:id="47"/>
      <w:r/>
      <w:bookmarkEnd w:id="48"/>
      <w:r>
        <w:rPr>
          <w:rFonts w:hint="eastAsia" w:ascii="微软雅黑" w:hAnsi="微软雅黑" w:cs="微软雅黑"/>
          <w:bCs/>
          <w:szCs w:val="21"/>
        </w:rPr>
      </w:r>
      <w:r/>
    </w:p>
    <w:p>
      <w:pPr>
        <w:pStyle w:val="1128"/>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bCs/>
          <w:sz w:val="21"/>
          <w:szCs w:val="21"/>
          <w:lang w:eastAsia="zh-CN"/>
        </w:rPr>
        <w:t xml:space="preserve">刘洁、曹佳文</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1098"/>
        <w:ind w:firstLine="735"/>
        <w:spacing w:line="440" w:lineRule="exact"/>
        <w:rPr>
          <w:rFonts w:ascii="微软雅黑" w:hAnsi="微软雅黑" w:cs="微软雅黑"/>
        </w:rPr>
      </w:pPr>
      <w:r>
        <w:rPr>
          <w:rFonts w:hint="eastAsia" w:ascii="微软雅黑" w:hAnsi="微软雅黑" w:cs="微软雅黑"/>
          <w:szCs w:val="21"/>
        </w:rPr>
        <w:t xml:space="preserve">电　　 话：025-8360336</w:t>
      </w:r>
      <w:r>
        <w:rPr>
          <w:rFonts w:ascii="微软雅黑" w:hAnsi="微软雅黑" w:cs="微软雅黑"/>
          <w:szCs w:val="21"/>
        </w:rPr>
        <w:t xml:space="preserve">8</w:t>
      </w:r>
      <w:r>
        <w:rPr>
          <w:rFonts w:ascii="微软雅黑" w:hAnsi="微软雅黑" w:cs="微软雅黑"/>
        </w:rPr>
      </w:r>
      <w:r/>
    </w:p>
    <w:p>
      <w:pPr>
        <w:pStyle w:val="1112"/>
        <w:rPr>
          <w:rFonts w:ascii="微软雅黑" w:hAnsi="微软雅黑" w:eastAsia="微软雅黑" w:cs="微软雅黑"/>
        </w:rPr>
      </w:pPr>
      <w:r>
        <w:rPr>
          <w:rFonts w:ascii="微软雅黑" w:hAnsi="微软雅黑" w:eastAsia="微软雅黑" w:cs="微软雅黑"/>
        </w:rPr>
      </w:r>
      <w:r/>
    </w:p>
    <w:p>
      <w:pPr>
        <w:pStyle w:val="1098"/>
        <w:ind w:firstLine="735"/>
        <w:jc w:val="right"/>
        <w:spacing w:line="440" w:lineRule="exact"/>
        <w:rPr>
          <w:rFonts w:ascii="微软雅黑" w:hAnsi="微软雅黑" w:cs="微软雅黑"/>
        </w:rPr>
      </w:pPr>
      <w:r>
        <w:rPr>
          <w:rFonts w:ascii="微软雅黑" w:hAnsi="微软雅黑" w:cs="微软雅黑"/>
        </w:rPr>
      </w:r>
      <w:r/>
    </w:p>
    <w:p>
      <w:pPr>
        <w:pStyle w:val="1098"/>
        <w:ind w:firstLine="735"/>
        <w:jc w:val="right"/>
        <w:spacing w:line="440" w:lineRule="exact"/>
        <w:rPr>
          <w:rFonts w:ascii="微软雅黑" w:hAnsi="微软雅黑" w:cs="微软雅黑"/>
        </w:rPr>
      </w:pPr>
      <w:r>
        <w:rPr>
          <w:rFonts w:hint="eastAsia" w:ascii="微软雅黑" w:hAnsi="微软雅黑" w:cs="微软雅黑"/>
        </w:rPr>
        <w:t xml:space="preserve">                                                </w:t>
      </w:r>
      <w:r>
        <w:rPr>
          <w:rFonts w:ascii="微软雅黑" w:hAnsi="微软雅黑" w:cs="微软雅黑"/>
        </w:rPr>
      </w:r>
      <w:r/>
    </w:p>
    <w:p>
      <w:pPr>
        <w:pStyle w:val="1099"/>
        <w:jc w:val="center"/>
        <w:rPr>
          <w:rFonts w:hint="eastAsia" w:ascii="微软雅黑" w:hAnsi="微软雅黑" w:cs="微软雅黑"/>
        </w:rPr>
      </w:pPr>
      <w:r/>
      <w:bookmarkEnd w:id="2"/>
      <w:r>
        <w:rPr>
          <w:rFonts w:hint="eastAsia" w:ascii="微软雅黑" w:hAnsi="微软雅黑" w:cs="微软雅黑"/>
          <w:lang w:eastAsia="zh-CN"/>
        </w:rPr>
        <w:br w:type="page" w:clear="all"/>
      </w:r>
      <w:bookmarkStart w:id="49" w:name="_Toc586"/>
      <w:r>
        <w:rPr>
          <w:rFonts w:hint="eastAsia" w:ascii="微软雅黑" w:hAnsi="微软雅黑" w:cs="微软雅黑"/>
          <w:lang w:eastAsia="zh-CN"/>
        </w:rPr>
        <w:t xml:space="preserve">第二章</w:t>
      </w:r>
      <w:r>
        <w:rPr>
          <w:rFonts w:hint="eastAsia" w:ascii="微软雅黑" w:hAnsi="微软雅黑" w:cs="微软雅黑"/>
        </w:rPr>
        <w:t xml:space="preserve"> </w:t>
      </w:r>
      <w:bookmarkStart w:id="50" w:name="_Toc28947"/>
      <w:r>
        <w:rPr>
          <w:rFonts w:hint="eastAsia" w:ascii="微软雅黑" w:hAnsi="微软雅黑" w:cs="微软雅黑"/>
        </w:rPr>
        <w:t xml:space="preserve">供应商须知</w:t>
      </w:r>
      <w:bookmarkEnd w:id="49"/>
      <w:r/>
      <w:bookmarkEnd w:id="50"/>
      <w:r>
        <w:rPr>
          <w:rFonts w:hint="eastAsia" w:ascii="微软雅黑" w:hAnsi="微软雅黑" w:cs="微软雅黑"/>
        </w:rPr>
      </w:r>
      <w:r/>
    </w:p>
    <w:p>
      <w:pPr>
        <w:pStyle w:val="1098"/>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trHeight w:val="734"/>
        </w:trPr>
        <w:tc>
          <w:tcPr>
            <w:tcW w:w="650" w:type="dxa"/>
            <w:vAlign w:val="center"/>
            <w:textDirection w:val="lrTb"/>
            <w:noWrap w:val="false"/>
          </w:tcPr>
          <w:p>
            <w:pPr>
              <w:pStyle w:val="109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583" w:type="dxa"/>
            <w:vAlign w:val="center"/>
            <w:textDirection w:val="lrTb"/>
            <w:noWrap w:val="false"/>
          </w:tcPr>
          <w:p>
            <w:pPr>
              <w:pStyle w:val="109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583" w:type="dxa"/>
            <w:vAlign w:val="center"/>
            <w:textDirection w:val="lrTb"/>
            <w:noWrap w:val="false"/>
          </w:tcPr>
          <w:p>
            <w:pPr>
              <w:pStyle w:val="1098"/>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1098"/>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8"/>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rPr>
                <w:rFonts w:hint="eastAsia" w:ascii="微软雅黑" w:hAnsi="微软雅黑" w:cs="微软雅黑"/>
                <w:szCs w:val="21"/>
              </w:rPr>
            </w:r>
            <w:r/>
          </w:p>
        </w:tc>
      </w:tr>
      <w:tr>
        <w:trPr>
          <w:trHeight w:val="589"/>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rPr>
                <w:rFonts w:hint="eastAsia" w:ascii="微软雅黑" w:hAnsi="微软雅黑" w:cs="微软雅黑"/>
                <w:szCs w:val="21"/>
                <w:highlight w:val="none"/>
              </w:rPr>
            </w:r>
            <w:r/>
          </w:p>
        </w:tc>
        <w:tc>
          <w:tcPr>
            <w:tcW w:w="6583" w:type="dxa"/>
            <w:vAlign w:val="center"/>
            <w:textDirection w:val="lrTb"/>
            <w:noWrap w:val="false"/>
          </w:tcPr>
          <w:p>
            <w:pPr>
              <w:pStyle w:val="1098"/>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人民币贰佰零陆万伍仟元整/年（￥206.5万元/年）</w:t>
            </w:r>
            <w:r>
              <w:rPr>
                <w:rFonts w:hint="eastAsia" w:ascii="微软雅黑" w:hAnsi="微软雅黑" w:eastAsia="微软雅黑" w:cs="微软雅黑"/>
                <w:highlight w:val="none"/>
                <w:lang w:eastAsia="zh-CN"/>
              </w:rPr>
            </w:r>
            <w:r/>
          </w:p>
          <w:p>
            <w:pPr>
              <w:pStyle w:val="1098"/>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分包一（淮海路院区）：人民币壹佰叁拾万元整/年（￥130万元/年）；</w:t>
            </w:r>
            <w:r>
              <w:rPr>
                <w:rFonts w:hint="eastAsia" w:ascii="微软雅黑" w:hAnsi="微软雅黑" w:eastAsia="微软雅黑" w:cs="微软雅黑"/>
                <w:highlight w:val="none"/>
                <w:lang w:eastAsia="zh-CN"/>
              </w:rPr>
            </w:r>
            <w:r/>
          </w:p>
          <w:p>
            <w:pPr>
              <w:pStyle w:val="1098"/>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分包二（鲲鹏路院区）：人民币柒拾陆万伍仟元整/年（￥76.5万元/年）</w:t>
            </w:r>
            <w:r>
              <w:rPr>
                <w:rFonts w:hint="eastAsia" w:ascii="微软雅黑" w:hAnsi="微软雅黑" w:eastAsia="微软雅黑" w:cs="微软雅黑"/>
                <w:highlight w:val="none"/>
                <w:lang w:eastAsia="zh-CN"/>
              </w:rPr>
            </w:r>
            <w:r/>
          </w:p>
        </w:tc>
      </w:tr>
      <w:tr>
        <w:trPr>
          <w:trHeight w:val="589"/>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tc>
        <w:tc>
          <w:tcPr>
            <w:tcW w:w="6583" w:type="dxa"/>
            <w:vAlign w:val="center"/>
            <w:textDirection w:val="lrTb"/>
            <w:noWrap w:val="false"/>
          </w:tcPr>
          <w:p>
            <w:pPr>
              <w:pStyle w:val="1098"/>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分包一（淮海路院区）：人民币壹佰叁拾万元整/年（￥130万元/年）；</w:t>
            </w:r>
            <w:r>
              <w:rPr>
                <w:rFonts w:hint="eastAsia" w:ascii="微软雅黑" w:hAnsi="微软雅黑" w:cs="微软雅黑"/>
                <w:szCs w:val="21"/>
                <w:highlight w:val="none"/>
              </w:rPr>
            </w:r>
            <w:r/>
          </w:p>
          <w:p>
            <w:pPr>
              <w:pStyle w:val="1098"/>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分包二（鲲鹏路院区）：人民币柒拾陆万伍仟元整/年（￥76.5万元/年）</w:t>
            </w:r>
            <w:r>
              <w:rPr>
                <w:rFonts w:hint="eastAsia" w:ascii="微软雅黑" w:hAnsi="微软雅黑" w:cs="微软雅黑"/>
                <w:szCs w:val="21"/>
                <w:highlight w:val="none"/>
              </w:rPr>
            </w:r>
            <w:r/>
          </w:p>
          <w:p>
            <w:pPr>
              <w:pStyle w:val="1098"/>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报价超过最高限价的投标文件按无效标处理</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583" w:type="dxa"/>
            <w:vAlign w:val="center"/>
            <w:textDirection w:val="lrTb"/>
            <w:noWrap w:val="false"/>
          </w:tcPr>
          <w:p>
            <w:pPr>
              <w:pStyle w:val="1098"/>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分包一：徐州医科大学附属医院淮海路院区（淮海西路99号）及相应租赁区域，即徐州医科大学附属医院整形美容中心、科创中心、巨龙楼、院外药库、院外病案室等的消防维保</w:t>
            </w:r>
            <w:r>
              <w:rPr>
                <w:rFonts w:hint="eastAsia" w:ascii="微软雅黑" w:hAnsi="微软雅黑" w:eastAsia="微软雅黑" w:cs="微软雅黑"/>
                <w:szCs w:val="21"/>
                <w:lang w:eastAsia="zh-CN"/>
              </w:rPr>
            </w:r>
            <w:r/>
          </w:p>
          <w:p>
            <w:pPr>
              <w:pStyle w:val="1098"/>
              <w:spacing w:line="420" w:lineRule="exact"/>
              <w:rPr>
                <w:rFonts w:hint="eastAsia" w:ascii="微软雅黑" w:hAnsi="微软雅黑" w:cs="微软雅黑"/>
                <w:szCs w:val="21"/>
              </w:rPr>
            </w:pPr>
            <w:r>
              <w:rPr>
                <w:rFonts w:hint="eastAsia" w:ascii="微软雅黑" w:hAnsi="微软雅黑" w:eastAsia="微软雅黑" w:cs="微软雅黑"/>
                <w:szCs w:val="21"/>
                <w:lang w:eastAsia="zh-CN"/>
              </w:rPr>
              <w:t xml:space="preserve">分包二：徐州医科大学附属医院鲲鹏路院区及相应租赁区域（院外物流园国资库房）的消防维保</w:t>
            </w:r>
            <w:r>
              <w:rPr>
                <w:rFonts w:hint="eastAsia" w:ascii="微软雅黑" w:hAnsi="微软雅黑" w:cs="微软雅黑"/>
                <w:szCs w:val="21"/>
              </w:rPr>
            </w:r>
            <w:r/>
          </w:p>
        </w:tc>
      </w:tr>
      <w:tr>
        <w:trPr>
          <w:trHeight w:val="1269"/>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lang w:eastAsia="zh-CN"/>
              </w:rPr>
              <w:t xml:space="preserve">徐州医科大学附属医院</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联系人：</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rPr>
              <w:t xml:space="preserve">   </w:t>
            </w:r>
            <w:r>
              <w:rPr>
                <w:rFonts w:hint="eastAsia" w:ascii="微软雅黑" w:hAnsi="微软雅黑" w:cs="微软雅黑"/>
                <w:szCs w:val="21"/>
              </w:rPr>
              <w:t xml:space="preserve">                  </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lang w:val="en-US" w:eastAsia="zh-CN"/>
              </w:rPr>
              <w:t xml:space="preserve">0516-85806721</w:t>
            </w:r>
            <w:r>
              <w:rPr>
                <w:rFonts w:hint="eastAsia" w:ascii="微软雅黑" w:hAnsi="微软雅黑" w:cs="微软雅黑"/>
                <w:szCs w:val="21"/>
              </w:rPr>
            </w:r>
            <w:r/>
          </w:p>
        </w:tc>
      </w:tr>
      <w:tr>
        <w:trPr>
          <w:trHeight w:val="1303"/>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项目负责人：</w:t>
            </w:r>
            <w:r>
              <w:rPr>
                <w:rFonts w:hint="eastAsia" w:ascii="微软雅黑" w:hAnsi="微软雅黑" w:eastAsia="微软雅黑" w:cs="微软雅黑"/>
                <w:bCs/>
                <w:sz w:val="21"/>
                <w:szCs w:val="21"/>
                <w:lang w:eastAsia="zh-CN"/>
              </w:rPr>
              <w:t xml:space="preserve">刘洁、曹佳文</w:t>
            </w:r>
            <w:r>
              <w:rPr>
                <w:rFonts w:hint="eastAsia" w:ascii="微软雅黑" w:hAnsi="微软雅黑" w:cs="微软雅黑"/>
                <w:szCs w:val="21"/>
              </w:rPr>
              <w:t xml:space="preserve">      </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72"/>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rPr>
                <w:rFonts w:hint="eastAsia" w:ascii="微软雅黑" w:hAnsi="微软雅黑" w:cs="微软雅黑"/>
                <w:szCs w:val="21"/>
                <w:highlight w:val="none"/>
              </w:rPr>
            </w:r>
            <w:r/>
          </w:p>
        </w:tc>
        <w:tc>
          <w:tcPr>
            <w:tcW w:w="6583" w:type="dxa"/>
            <w:vAlign w:val="center"/>
            <w:textDirection w:val="lrTb"/>
            <w:noWrap w:val="false"/>
          </w:tcPr>
          <w:p>
            <w:pPr>
              <w:pStyle w:val="1098"/>
              <w:spacing w:line="400" w:lineRule="exact"/>
              <w:rPr>
                <w:rFonts w:hint="eastAsia" w:ascii="微软雅黑" w:hAnsi="微软雅黑" w:eastAsia="微软雅黑" w:cs="微软雅黑"/>
                <w:szCs w:val="21"/>
                <w:highlight w:val="none"/>
                <w:lang w:eastAsia="zh-CN"/>
              </w:rPr>
            </w:pPr>
            <w:r>
              <w:rPr>
                <w:rFonts w:hint="eastAsia" w:ascii="宋体" w:hAnsi="宋体" w:cs="宋体"/>
                <w:color w:val="000000"/>
                <w:szCs w:val="21"/>
                <w:highlight w:val="none"/>
                <w:lang w:bidi="ar"/>
              </w:rPr>
              <w:t xml:space="preserve">供应商应当在获取招标文件后自行对项目现场和周围环境进行实地踏勘，以了解现场的环境、范围</w:t>
            </w:r>
            <w:r>
              <w:rPr>
                <w:rFonts w:hint="eastAsia" w:ascii="宋体" w:hAnsi="宋体" w:cs="宋体"/>
                <w:color w:val="000000"/>
                <w:szCs w:val="21"/>
                <w:highlight w:val="none"/>
                <w:lang w:eastAsia="zh-CN" w:bidi="ar"/>
              </w:rPr>
              <w:t xml:space="preserve">等</w:t>
            </w:r>
            <w:r>
              <w:rPr>
                <w:rFonts w:hint="eastAsia" w:ascii="宋体" w:hAnsi="宋体" w:cs="宋体"/>
                <w:color w:val="000000"/>
                <w:szCs w:val="21"/>
                <w:highlight w:val="none"/>
                <w:lang w:bidi="ar"/>
              </w:rPr>
              <w:t xml:space="preserve">。供应商应承担现场踏勘的责任和风险，费用由供应商自己承担。中标后不得以未踏勘现场或不了解现场为由提出任何增加费用的要求</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89" w:type="dxa"/>
            <w:vAlign w:val="center"/>
            <w:textDirection w:val="lrTb"/>
            <w:noWrap w:val="false"/>
          </w:tcPr>
          <w:p>
            <w:pPr>
              <w:pStyle w:val="1098"/>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583" w:type="dxa"/>
            <w:vAlign w:val="center"/>
            <w:textDirection w:val="lrTb"/>
            <w:noWrap w:val="false"/>
          </w:tcPr>
          <w:p>
            <w:pPr>
              <w:pStyle w:val="1098"/>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rPr>
                <w:rFonts w:hint="eastAsia" w:ascii="微软雅黑" w:hAnsi="微软雅黑" w:cs="微软雅黑"/>
                <w:szCs w:val="21"/>
                <w:highlight w:val="none"/>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583" w:type="dxa"/>
            <w:vAlign w:val="center"/>
            <w:textDirection w:val="lrTb"/>
            <w:noWrap w:val="false"/>
          </w:tcPr>
          <w:p>
            <w:pPr>
              <w:pStyle w:val="1098"/>
              <w:spacing w:line="400" w:lineRule="exact"/>
              <w:rPr>
                <w:rFonts w:hint="eastAsia" w:ascii="微软雅黑" w:hAnsi="微软雅黑" w:cs="微软雅黑"/>
                <w:sz w:val="22"/>
                <w:highlight w:val="none"/>
              </w:rPr>
            </w:pPr>
            <w:r>
              <w:rPr>
                <w:rFonts w:hint="eastAsia" w:ascii="微软雅黑" w:hAnsi="微软雅黑" w:cs="微软雅黑"/>
                <w:color w:val="000000"/>
                <w:szCs w:val="21"/>
                <w:highlight w:val="none"/>
                <w:lang w:eastAsia="zh-CN"/>
              </w:rPr>
              <w:t xml:space="preserve">电子投标文件上传“苏采云”政府采购交易系统。</w:t>
            </w:r>
            <w:r>
              <w:rPr>
                <w:rFonts w:hint="eastAsia" w:ascii="微软雅黑" w:hAnsi="微软雅黑" w:cs="微软雅黑"/>
                <w:sz w:val="22"/>
                <w:highlight w:val="none"/>
              </w:rPr>
            </w:r>
            <w:r/>
          </w:p>
        </w:tc>
      </w:tr>
      <w:tr>
        <w:trPr/>
        <w:tc>
          <w:tcPr>
            <w:tcW w:w="650"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rPr>
                <w:rFonts w:hint="eastAsia" w:ascii="微软雅黑" w:hAnsi="微软雅黑" w:cs="微软雅黑"/>
                <w:szCs w:val="21"/>
                <w:highlight w:val="none"/>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szCs w:val="21"/>
                <w:highlight w:val="none"/>
              </w:rPr>
            </w:r>
            <w:r/>
          </w:p>
        </w:tc>
        <w:tc>
          <w:tcPr>
            <w:tcW w:w="6583" w:type="dxa"/>
            <w:vAlign w:val="center"/>
            <w:textDirection w:val="lrTb"/>
            <w:noWrap w:val="false"/>
          </w:tcPr>
          <w:p>
            <w:pPr>
              <w:pStyle w:val="1098"/>
              <w:spacing w:line="400" w:lineRule="exact"/>
              <w:rPr>
                <w:rFonts w:hint="eastAsia" w:ascii="微软雅黑" w:hAnsi="微软雅黑" w:cs="微软雅黑"/>
                <w:bCs/>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电子投标文件上传“苏采云”政府采购交易系统，并准时参加线上开标会。</w:t>
            </w:r>
            <w:r>
              <w:rPr>
                <w:rFonts w:hint="eastAsia" w:ascii="微软雅黑" w:hAnsi="微软雅黑" w:cs="微软雅黑"/>
                <w:bCs/>
                <w:szCs w:val="21"/>
                <w:highlight w:val="none"/>
              </w:rPr>
            </w:r>
            <w:r/>
          </w:p>
        </w:tc>
      </w:tr>
      <w:tr>
        <w:trPr/>
        <w:tc>
          <w:tcPr>
            <w:tcW w:w="650"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87"/>
        </w:trPr>
        <w:tc>
          <w:tcPr>
            <w:tcW w:w="650" w:type="dxa"/>
            <w:vAlign w:val="center"/>
            <w:textDirection w:val="lrTb"/>
            <w:noWrap w:val="false"/>
          </w:tcPr>
          <w:p>
            <w:pPr>
              <w:pStyle w:val="1098"/>
              <w:jc w:val="center"/>
              <w:spacing w:line="440" w:lineRule="exact"/>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lang w:val="en-US" w:eastAsia="zh-CN"/>
              </w:rPr>
            </w:r>
            <w:r/>
          </w:p>
        </w:tc>
        <w:tc>
          <w:tcPr>
            <w:tcW w:w="1289" w:type="dxa"/>
            <w:vAlign w:val="center"/>
            <w:textDirection w:val="lrTb"/>
            <w:noWrap w:val="false"/>
          </w:tcPr>
          <w:p>
            <w:pPr>
              <w:pStyle w:val="1098"/>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583" w:type="dxa"/>
            <w:vAlign w:val="center"/>
            <w:textDirection w:val="lrTb"/>
            <w:noWrap w:val="false"/>
          </w:tcPr>
          <w:p>
            <w:pPr>
              <w:pStyle w:val="1098"/>
              <w:jc w:val="left"/>
              <w:spacing w:line="440" w:lineRule="exact"/>
              <w:rPr>
                <w:rFonts w:ascii="微软雅黑" w:hAnsi="微软雅黑" w:eastAsia="微软雅黑" w:cs="微软雅黑"/>
                <w:szCs w:val="21"/>
                <w:highlight w:val="none"/>
                <w:lang w:val="en-US" w:eastAsia="zh-CN"/>
              </w:rPr>
            </w:pPr>
            <w:r>
              <w:rPr>
                <w:rFonts w:ascii="微软雅黑" w:hAnsi="微软雅黑" w:eastAsia="微软雅黑" w:cs="微软雅黑"/>
                <w:szCs w:val="21"/>
                <w:highlight w:val="none"/>
                <w:lang w:val="en-US" w:eastAsia="zh-CN"/>
              </w:rPr>
              <w:t xml:space="preserve">其他未列明行业</w:t>
            </w:r>
            <w:r>
              <w:rPr>
                <w:rFonts w:ascii="微软雅黑" w:hAnsi="微软雅黑" w:eastAsia="微软雅黑" w:cs="微软雅黑"/>
                <w:szCs w:val="21"/>
                <w:highlight w:val="none"/>
                <w:lang w:val="en-US" w:eastAsia="zh-CN"/>
              </w:rPr>
            </w:r>
            <w:r/>
          </w:p>
        </w:tc>
      </w:tr>
      <w:tr>
        <w:trPr/>
        <w:tc>
          <w:tcPr>
            <w:tcW w:w="650" w:type="dxa"/>
            <w:vAlign w:val="center"/>
            <w:textDirection w:val="lrTb"/>
            <w:noWrap w:val="false"/>
          </w:tcPr>
          <w:p>
            <w:pPr>
              <w:pStyle w:val="1098"/>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18</w:t>
            </w:r>
            <w:r>
              <w:rPr>
                <w:rFonts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w:t>
            </w:r>
            <w:r>
              <w:rPr>
                <w:rFonts w:hint="eastAsia" w:ascii="微软雅黑" w:hAnsi="微软雅黑" w:cs="微软雅黑"/>
                <w:szCs w:val="21"/>
                <w:lang w:eastAsia="zh-CN"/>
              </w:rPr>
              <w:t xml:space="preserve">服务的人员工资、</w:t>
            </w:r>
            <w:r>
              <w:rPr>
                <w:rFonts w:hint="eastAsia" w:ascii="微软雅黑" w:hAnsi="微软雅黑" w:cs="微软雅黑"/>
                <w:szCs w:val="21"/>
                <w:highlight w:val="none"/>
              </w:rPr>
              <w:t xml:space="preserve">综合意外保险、社会保险</w:t>
            </w:r>
            <w:r>
              <w:rPr>
                <w:rFonts w:hint="eastAsia" w:ascii="微软雅黑" w:hAnsi="微软雅黑" w:cs="微软雅黑"/>
                <w:szCs w:val="21"/>
              </w:rPr>
              <w:t xml:space="preserve">、</w:t>
            </w:r>
            <w:r>
              <w:rPr>
                <w:rFonts w:hint="eastAsia" w:ascii="微软雅黑" w:hAnsi="微软雅黑" w:cs="微软雅黑"/>
                <w:szCs w:val="21"/>
                <w:lang w:eastAsia="zh-CN"/>
              </w:rPr>
              <w:t xml:space="preserve">代理服务费</w:t>
            </w:r>
            <w:r>
              <w:rPr>
                <w:rFonts w:hint="eastAsia" w:ascii="微软雅黑" w:hAnsi="微软雅黑" w:cs="微软雅黑"/>
                <w:szCs w:val="21"/>
              </w:rPr>
              <w:t xml:space="preserve">等其他有关的所有费用。</w:t>
            </w:r>
            <w:r>
              <w:rPr>
                <w:rFonts w:hint="eastAsia"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9</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583" w:type="dxa"/>
            <w:vAlign w:val="center"/>
            <w:textDirection w:val="lrTb"/>
            <w:noWrap w:val="false"/>
          </w:tcPr>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1098"/>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20</w:t>
            </w:r>
            <w:r>
              <w:rPr>
                <w:rFonts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1098"/>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1</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highlight w:val="none"/>
              </w:rPr>
            </w:pPr>
            <w:r>
              <w:rPr>
                <w:rFonts w:hint="eastAsia" w:ascii="微软雅黑" w:hAnsi="微软雅黑" w:cs="微软雅黑"/>
              </w:rPr>
              <w:t xml:space="preserve">1、本次采购活动招标代理服务费：</w:t>
            </w:r>
            <w:r>
              <w:rPr>
                <w:rFonts w:hint="eastAsia" w:ascii="微软雅黑" w:hAnsi="微软雅黑" w:cs="微软雅黑"/>
                <w:lang w:eastAsia="zh-CN"/>
              </w:rPr>
              <w:t xml:space="preserve">参照苏财规〔2026〕1号规定，本项目采购人不支付代理服务费，代理服务费</w:t>
            </w:r>
            <w:r>
              <w:rPr>
                <w:rFonts w:hint="eastAsia" w:ascii="微软雅黑" w:hAnsi="微软雅黑" w:cs="微软雅黑"/>
                <w:lang w:val="en-US" w:eastAsia="zh-CN"/>
              </w:rPr>
              <w:t xml:space="preserve">由</w:t>
            </w:r>
            <w:r>
              <w:rPr>
                <w:rFonts w:hint="eastAsia" w:ascii="微软雅黑" w:hAnsi="微软雅黑" w:cs="微软雅黑"/>
                <w:lang w:eastAsia="zh-CN"/>
              </w:rPr>
              <w:t xml:space="preserve">中标供应商支付，供应商报价应包含代理服务费，中标供应商</w:t>
            </w:r>
            <w:r>
              <w:rPr>
                <w:rFonts w:hint="eastAsia" w:ascii="微软雅黑" w:hAnsi="微软雅黑" w:cs="微软雅黑"/>
              </w:rPr>
              <w:t xml:space="preserve">按《江苏省政府采购代理服务收费指导意见》（苏政采协【2024】20 号文）费率中规定的收费标准的</w:t>
            </w:r>
            <w:r>
              <w:rPr>
                <w:rFonts w:hint="eastAsia" w:ascii="微软雅黑" w:hAnsi="微软雅黑" w:cs="微软雅黑"/>
                <w:highlight w:val="none"/>
                <w:lang w:val="en-US" w:eastAsia="zh-CN"/>
              </w:rPr>
              <w:t xml:space="preserve">80</w:t>
            </w:r>
            <w:r>
              <w:rPr>
                <w:rFonts w:hint="eastAsia" w:ascii="微软雅黑" w:hAnsi="微软雅黑" w:cs="微软雅黑"/>
                <w:highlight w:val="none"/>
              </w:rPr>
              <w:t xml:space="preserve">%</w:t>
            </w:r>
            <w:r>
              <w:rPr>
                <w:rFonts w:hint="eastAsia" w:ascii="微软雅黑" w:hAnsi="微软雅黑" w:cs="微软雅黑"/>
                <w:highlight w:val="none"/>
                <w:lang w:eastAsia="zh-CN"/>
              </w:rPr>
              <w:t xml:space="preserve">向每个分包的</w:t>
            </w:r>
            <w:r>
              <w:rPr>
                <w:rFonts w:hint="eastAsia" w:ascii="微软雅黑" w:hAnsi="微软雅黑" w:cs="微软雅黑"/>
                <w:highlight w:val="none"/>
              </w:rPr>
              <w:t xml:space="preserve">中标供应商</w:t>
            </w:r>
            <w:r>
              <w:rPr>
                <w:rFonts w:hint="eastAsia" w:ascii="微软雅黑" w:hAnsi="微软雅黑" w:cs="微软雅黑"/>
                <w:highlight w:val="none"/>
                <w:lang w:eastAsia="zh-CN"/>
              </w:rPr>
              <w:t xml:space="preserve">收取（以</w:t>
            </w:r>
            <w:r>
              <w:rPr>
                <w:rFonts w:hint="eastAsia" w:ascii="微软雅黑" w:hAnsi="微软雅黑" w:cs="微软雅黑"/>
                <w:highlight w:val="none"/>
                <w:lang w:val="en-US" w:eastAsia="zh-CN"/>
              </w:rPr>
              <w:t xml:space="preserve">每个分包的中标金额为计算基数</w:t>
            </w:r>
            <w:r>
              <w:rPr>
                <w:rFonts w:hint="eastAsia" w:ascii="微软雅黑" w:hAnsi="微软雅黑" w:cs="微软雅黑"/>
                <w:highlight w:val="none"/>
                <w:lang w:eastAsia="zh-CN"/>
              </w:rPr>
              <w:t xml:space="preserve">）</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098"/>
              <w:spacing w:line="400" w:lineRule="exact"/>
              <w:rPr>
                <w:rFonts w:hint="eastAsia" w:ascii="微软雅黑" w:hAnsi="微软雅黑" w:cs="微软雅黑"/>
              </w:rPr>
            </w:pPr>
            <w:r>
              <w:rPr>
                <w:rFonts w:hint="eastAsia" w:ascii="微软雅黑" w:hAnsi="微软雅黑" w:cs="微软雅黑"/>
                <w:highlight w:val="none"/>
              </w:rPr>
              <w:t xml:space="preserve">2、本次采购活动招</w:t>
            </w:r>
            <w:r>
              <w:rPr>
                <w:rFonts w:hint="eastAsia" w:ascii="微软雅黑" w:hAnsi="微软雅黑" w:cs="微软雅黑"/>
              </w:rPr>
              <w:t xml:space="preserve">标代理服务费由中标供应商支付，中标供应商领取《中标通知书》时一次性向采购代理机构缴纳。</w:t>
            </w:r>
            <w:r>
              <w:rPr>
                <w:rFonts w:hint="eastAsia" w:ascii="微软雅黑" w:hAnsi="微软雅黑" w:cs="微软雅黑"/>
              </w:rPr>
            </w:r>
            <w:r/>
          </w:p>
          <w:p>
            <w:pPr>
              <w:pStyle w:val="1098"/>
              <w:spacing w:line="400" w:lineRule="exact"/>
              <w:rPr>
                <w:rFonts w:hint="eastAsia" w:ascii="微软雅黑" w:hAnsi="微软雅黑" w:cs="微软雅黑"/>
              </w:rPr>
            </w:pPr>
            <w:r>
              <w:rPr>
                <w:rFonts w:hint="eastAsia" w:ascii="微软雅黑" w:hAnsi="微软雅黑" w:cs="微软雅黑"/>
              </w:rPr>
              <w:t xml:space="preserve">3、本次招标代理服务费不包括有可能产生的专家复议费等，如有产生此项费用由中标供应商额外按实支付。</w:t>
            </w:r>
            <w:r>
              <w:rPr>
                <w:rFonts w:hint="eastAsia" w:ascii="微软雅黑" w:hAnsi="微软雅黑" w:cs="微软雅黑"/>
              </w:rPr>
            </w:r>
            <w:r/>
          </w:p>
          <w:p>
            <w:pPr>
              <w:pStyle w:val="1125"/>
              <w:ind w:left="0"/>
              <w:spacing w:line="400" w:lineRule="exact"/>
              <w:rPr>
                <w:rFonts w:hint="eastAsia" w:ascii="微软雅黑" w:hAnsi="微软雅黑" w:cs="微软雅黑"/>
              </w:rPr>
            </w:pPr>
            <w:r>
              <w:rPr>
                <w:rFonts w:hint="eastAsia" w:ascii="微软雅黑" w:hAnsi="微软雅黑" w:cs="微软雅黑"/>
              </w:rPr>
              <w:t xml:space="preserve">4、收款信息：</w:t>
            </w:r>
            <w:r>
              <w:rPr>
                <w:rFonts w:hint="eastAsia" w:ascii="微软雅黑" w:hAnsi="微软雅黑" w:cs="微软雅黑"/>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1098"/>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rPr>
                <w:rFonts w:hint="eastAsia" w:ascii="微软雅黑" w:hAnsi="微软雅黑" w:cs="微软雅黑"/>
                <w:szCs w:val="21"/>
              </w:rPr>
            </w:r>
            <w:r/>
          </w:p>
          <w:p>
            <w:pPr>
              <w:pStyle w:val="1125"/>
              <w:ind w:left="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rPr>
                <w:rFonts w:hint="eastAsia" w:ascii="微软雅黑" w:hAnsi="微软雅黑" w:cs="微软雅黑"/>
                <w:szCs w:val="21"/>
              </w:rPr>
            </w:r>
            <w:r/>
          </w:p>
          <w:p>
            <w:pPr>
              <w:pStyle w:val="1125"/>
              <w:ind w:left="0"/>
              <w:spacing w:line="400" w:lineRule="exact"/>
              <w:rPr>
                <w:rFonts w:hint="eastAsia" w:ascii="微软雅黑" w:hAnsi="微软雅黑" w:cs="微软雅黑"/>
              </w:rPr>
            </w:pPr>
            <w:r>
              <w:rPr>
                <w:rFonts w:hint="eastAsia" w:ascii="微软雅黑" w:hAnsi="微软雅黑" w:cs="微软雅黑"/>
                <w:szCs w:val="21"/>
              </w:rPr>
              <w:t xml:space="preserve">备注</w:t>
            </w:r>
            <w:r>
              <w:rPr>
                <w:rFonts w:hint="eastAsia" w:ascii="微软雅黑" w:hAnsi="微软雅黑" w:cs="微软雅黑"/>
                <w:szCs w:val="21"/>
                <w:lang w:eastAsia="zh-CN"/>
              </w:rPr>
              <w:t xml:space="preserve">403B3</w:t>
            </w:r>
            <w:r>
              <w:rPr>
                <w:rFonts w:hint="eastAsia" w:ascii="微软雅黑" w:hAnsi="微软雅黑" w:cs="微软雅黑"/>
                <w:szCs w:val="21"/>
              </w:rPr>
              <w:t xml:space="preserve">代理服务费。</w:t>
            </w:r>
            <w:r>
              <w:rPr>
                <w:rFonts w:hint="eastAsia" w:ascii="微软雅黑" w:hAnsi="微软雅黑" w:cs="微软雅黑"/>
              </w:rPr>
            </w:r>
            <w:r/>
          </w:p>
        </w:tc>
      </w:tr>
      <w:tr>
        <w:trPr>
          <w:trHeight w:val="90"/>
        </w:trPr>
        <w:tc>
          <w:tcPr>
            <w:tcW w:w="650" w:type="dxa"/>
            <w:vAlign w:val="center"/>
            <w:textDirection w:val="lrTb"/>
            <w:noWrap w:val="false"/>
          </w:tcPr>
          <w:p>
            <w:pPr>
              <w:pStyle w:val="1098"/>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2</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098"/>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583" w:type="dxa"/>
            <w:vAlign w:val="center"/>
            <w:textDirection w:val="lrTb"/>
            <w:noWrap w:val="false"/>
          </w:tcPr>
          <w:p>
            <w:pPr>
              <w:pStyle w:val="1098"/>
              <w:spacing w:line="400" w:lineRule="exact"/>
              <w:rPr>
                <w:rFonts w:hint="eastAsia" w:ascii="微软雅黑" w:hAnsi="微软雅黑" w:cs="微软雅黑"/>
              </w:rPr>
            </w:pPr>
            <w:r>
              <w:rPr>
                <w:rFonts w:hint="eastAsia" w:ascii="微软雅黑" w:hAnsi="微软雅黑" w:cs="微软雅黑"/>
              </w:rPr>
              <w:t xml:space="preserve">1、有关本项目的相关公告敬请关注</w:t>
            </w:r>
            <w:r>
              <w:rPr>
                <w:rFonts w:hint="eastAsia" w:ascii="微软雅黑" w:hAnsi="微软雅黑" w:cs="微软雅黑"/>
                <w:lang w:eastAsia="zh-CN"/>
              </w:rPr>
              <w:t xml:space="preserve">江苏政府采购网http://www.ccgp-jiangsu.gov.cn/</w:t>
            </w:r>
            <w:r>
              <w:rPr>
                <w:rFonts w:hint="eastAsia" w:ascii="微软雅黑" w:hAnsi="微软雅黑" w:cs="微软雅黑"/>
              </w:rPr>
              <w:t xml:space="preserve">，也可以与我公司项目部联系，联系人及电话：曹佳文 025-83603368。</w:t>
            </w:r>
            <w:r>
              <w:rPr>
                <w:rFonts w:hint="eastAsia" w:ascii="微软雅黑" w:hAnsi="微软雅黑" w:cs="微软雅黑"/>
              </w:rPr>
            </w:r>
            <w:r/>
          </w:p>
          <w:p>
            <w:pPr>
              <w:pStyle w:val="1125"/>
              <w:ind w:left="0"/>
              <w:spacing w:line="400" w:lineRule="exact"/>
              <w:rPr>
                <w:rFonts w:hint="eastAsia" w:ascii="微软雅黑" w:hAnsi="微软雅黑" w:cs="微软雅黑"/>
              </w:rPr>
            </w:pPr>
            <w:r>
              <w:rPr>
                <w:rFonts w:hint="eastAsia" w:ascii="微软雅黑" w:hAnsi="微软雅黑" w:cs="微软雅黑"/>
                <w:szCs w:val="21"/>
              </w:rPr>
              <w:t xml:space="preserve">2、有关发票开具事项：请将开票信息</w:t>
            </w:r>
            <w:r>
              <w:rPr>
                <w:rFonts w:hint="eastAsia" w:ascii="微软雅黑" w:hAnsi="微软雅黑" w:cs="微软雅黑"/>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rPr>
            </w:r>
            <w:r/>
          </w:p>
        </w:tc>
      </w:tr>
    </w:tbl>
    <w:p>
      <w:pPr>
        <w:pStyle w:val="1098"/>
      </w:pPr>
      <w:r/>
      <w:r/>
    </w:p>
    <w:p>
      <w:pPr>
        <w:pStyle w:val="1100"/>
        <w:spacing w:before="0" w:after="0"/>
        <w:rPr>
          <w:rFonts w:hint="eastAsia" w:ascii="微软雅黑" w:hAnsi="微软雅黑" w:cs="微软雅黑"/>
          <w:highlight w:val="none"/>
        </w:rPr>
      </w:pPr>
      <w:r/>
      <w:bookmarkStart w:id="51" w:name="_Toc15919"/>
      <w:r>
        <w:rPr>
          <w:rFonts w:hint="eastAsia" w:ascii="微软雅黑" w:hAnsi="微软雅黑" w:cs="微软雅黑"/>
        </w:rPr>
        <w:br w:type="page" w:clear="all"/>
      </w:r>
      <w:bookmarkStart w:id="52" w:name="_Toc20073"/>
      <w:r>
        <w:rPr>
          <w:rFonts w:hint="eastAsia" w:ascii="微软雅黑" w:hAnsi="微软雅黑" w:cs="微软雅黑"/>
          <w:highlight w:val="none"/>
        </w:rPr>
        <w:t xml:space="preserve">一、总则</w:t>
      </w:r>
      <w:bookmarkEnd w:id="51"/>
      <w:r/>
      <w:bookmarkEnd w:id="52"/>
      <w:r>
        <w:rPr>
          <w:rFonts w:hint="eastAsia" w:ascii="微软雅黑" w:hAnsi="微软雅黑" w:cs="微软雅黑"/>
          <w:highlight w:val="none"/>
        </w:rPr>
      </w:r>
      <w:r/>
    </w:p>
    <w:p>
      <w:pPr>
        <w:pStyle w:val="1101"/>
        <w:jc w:val="left"/>
        <w:spacing w:before="0" w:after="0" w:line="420" w:lineRule="exact"/>
        <w:rPr>
          <w:rFonts w:hint="eastAsia" w:ascii="微软雅黑" w:hAnsi="微软雅黑" w:cs="微软雅黑"/>
          <w:b/>
          <w:bCs w:val="0"/>
          <w:sz w:val="21"/>
          <w:szCs w:val="21"/>
          <w:highlight w:val="none"/>
        </w:rPr>
      </w:pPr>
      <w:r/>
      <w:bookmarkStart w:id="53" w:name="_Toc19359"/>
      <w:r/>
      <w:bookmarkStart w:id="54" w:name="_Toc452384171"/>
      <w:r/>
      <w:bookmarkStart w:id="55" w:name="_Toc4471"/>
      <w:r/>
      <w:bookmarkStart w:id="56" w:name="_Toc9348"/>
      <w:r/>
      <w:bookmarkStart w:id="57" w:name="_Toc6969"/>
      <w:r>
        <w:rPr>
          <w:rFonts w:hint="eastAsia" w:ascii="微软雅黑" w:hAnsi="微软雅黑" w:cs="微软雅黑"/>
          <w:b/>
          <w:bCs w:val="0"/>
          <w:sz w:val="21"/>
          <w:szCs w:val="21"/>
          <w:highlight w:val="none"/>
        </w:rPr>
        <w:t xml:space="preserve">1.1 适用范围</w:t>
      </w:r>
      <w:bookmarkEnd w:id="53"/>
      <w:r/>
      <w:bookmarkEnd w:id="54"/>
      <w:r/>
      <w:bookmarkEnd w:id="55"/>
      <w:r/>
      <w:bookmarkEnd w:id="56"/>
      <w:r/>
      <w:bookmarkEnd w:id="57"/>
      <w:r>
        <w:rPr>
          <w:rFonts w:hint="eastAsia" w:ascii="微软雅黑" w:hAnsi="微软雅黑" w:cs="微软雅黑"/>
          <w:b/>
          <w:bCs w:val="0"/>
          <w:sz w:val="21"/>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 本采购文件仅适用于江苏省华采招标有限公司（以下简称采购代理机构）组织的采购活动。</w:t>
      </w:r>
      <w:r>
        <w:rPr>
          <w:rFonts w:hint="eastAsia"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1.1.2 采购人指</w:t>
      </w:r>
      <w:r>
        <w:rPr>
          <w:rFonts w:hint="eastAsia" w:ascii="微软雅黑" w:hAnsi="微软雅黑" w:cs="微软雅黑"/>
          <w:b/>
          <w:bCs/>
          <w:szCs w:val="21"/>
          <w:highlight w:val="none"/>
          <w:lang w:eastAsia="zh-CN"/>
        </w:rPr>
        <w:t xml:space="preserve">徐州医科大学附属医院</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58" w:name="_Toc452384172"/>
      <w:r/>
      <w:bookmarkStart w:id="59" w:name="_Toc5050"/>
      <w:r/>
      <w:bookmarkStart w:id="60" w:name="_Toc6316"/>
      <w:r/>
      <w:bookmarkStart w:id="61" w:name="_Toc2639"/>
      <w:r/>
      <w:bookmarkStart w:id="62" w:name="_Toc23224"/>
      <w:r>
        <w:rPr>
          <w:rFonts w:hint="eastAsia" w:ascii="微软雅黑" w:hAnsi="微软雅黑" w:eastAsia="微软雅黑" w:cs="微软雅黑"/>
          <w:b/>
          <w:bCs w:val="0"/>
          <w:sz w:val="21"/>
          <w:szCs w:val="21"/>
          <w:highlight w:val="none"/>
        </w:rPr>
        <w:t xml:space="preserve">1.2 合格的</w:t>
      </w:r>
      <w:bookmarkEnd w:id="58"/>
      <w:r>
        <w:rPr>
          <w:rFonts w:hint="eastAsia" w:ascii="微软雅黑" w:hAnsi="微软雅黑" w:eastAsia="微软雅黑" w:cs="微软雅黑"/>
          <w:b/>
          <w:bCs w:val="0"/>
          <w:sz w:val="21"/>
          <w:szCs w:val="21"/>
          <w:highlight w:val="none"/>
        </w:rPr>
        <w:t xml:space="preserve">供应商</w:t>
      </w:r>
      <w:bookmarkEnd w:id="59"/>
      <w:r/>
      <w:bookmarkEnd w:id="60"/>
      <w:r/>
      <w:bookmarkEnd w:id="61"/>
      <w:r/>
      <w:bookmarkEnd w:id="62"/>
      <w:r>
        <w:rPr>
          <w:rFonts w:hint="eastAsia" w:ascii="微软雅黑" w:hAnsi="微软雅黑" w:eastAsia="微软雅黑" w:cs="微软雅黑"/>
          <w:b/>
          <w:bCs w:val="0"/>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 凡有能力按照本采购文件规定的要求提供</w:t>
      </w:r>
      <w:r>
        <w:rPr>
          <w:rFonts w:hint="eastAsia" w:ascii="微软雅黑" w:hAnsi="微软雅黑" w:cs="微软雅黑"/>
          <w:sz w:val="21"/>
          <w:szCs w:val="21"/>
          <w:lang w:eastAsia="zh-CN"/>
        </w:rPr>
        <w:t xml:space="preserve">货物、</w:t>
      </w:r>
      <w:r>
        <w:rPr>
          <w:rFonts w:hint="eastAsia" w:ascii="微软雅黑" w:hAnsi="微软雅黑" w:eastAsia="微软雅黑" w:cs="微软雅黑"/>
          <w:sz w:val="21"/>
          <w:szCs w:val="21"/>
        </w:rPr>
        <w:t xml:space="preserve">服务，并符合采购文件第一章 “申请人的资格要求”的投标单位均可成为合格的供应商。</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 供应商参加本次采购活动应当符合本采购文件的规定。</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1.2.3 供应商应遵守《中华人民共和国政府采购法》、《中华人民共和国政府采购法实施条例》</w:t>
      </w:r>
      <w:r>
        <w:rPr>
          <w:rFonts w:hint="eastAsia" w:ascii="微软雅黑" w:hAnsi="微软雅黑" w:eastAsia="微软雅黑" w:cs="微软雅黑"/>
          <w:sz w:val="21"/>
          <w:szCs w:val="21"/>
          <w:highlight w:val="none"/>
        </w:rPr>
        <w:t xml:space="preserve">、《政府采购货物和服务招标投标管理办法》、《中华人民共</w:t>
      </w:r>
      <w:r>
        <w:rPr>
          <w:rFonts w:hint="eastAsia" w:ascii="微软雅黑" w:hAnsi="微软雅黑" w:eastAsia="微软雅黑" w:cs="微软雅黑"/>
          <w:sz w:val="21"/>
          <w:szCs w:val="21"/>
        </w:rPr>
        <w:t xml:space="preserve">和国民法典》和《反不正当竞争法》等有关法律、法规，如有违反将视为不合格供应商，其投标文件无效。</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1.2.4 无论采购文件是否提及，投标供应商所递交的投标文件中所有内容均应是真实有效的；</w:t>
      </w:r>
      <w:r>
        <w:rPr>
          <w:rFonts w:hint="eastAsia" w:ascii="微软雅黑" w:hAnsi="微软雅黑" w:eastAsia="微软雅黑" w:cs="微软雅黑"/>
          <w:b/>
          <w:i/>
          <w:sz w:val="21"/>
          <w:szCs w:val="21"/>
          <w:u w:val="single"/>
        </w:rPr>
        <w:t xml:space="preserve">供应商所提供的产品或者服务，必须满足国家相关强制性规定要求，否则，将视为不合格供应商，其投标文件无效。</w:t>
      </w:r>
      <w:r>
        <w:rPr>
          <w:rFonts w:hint="eastAsia" w:ascii="微软雅黑" w:hAnsi="微软雅黑" w:eastAsia="微软雅黑" w:cs="微软雅黑"/>
          <w:b/>
          <w:i/>
          <w:sz w:val="21"/>
          <w:szCs w:val="21"/>
          <w:u w:val="singl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3" w:name="_Toc403671109"/>
      <w:r/>
      <w:bookmarkStart w:id="64" w:name="_Toc25639"/>
      <w:r/>
      <w:bookmarkStart w:id="65" w:name="_Toc28084"/>
      <w:r/>
      <w:bookmarkStart w:id="66" w:name="_Toc5824"/>
      <w:r/>
      <w:bookmarkStart w:id="67" w:name="_Toc10476"/>
      <w:r/>
      <w:bookmarkStart w:id="68" w:name="_Toc452384173"/>
      <w:r>
        <w:rPr>
          <w:rFonts w:hint="eastAsia" w:ascii="微软雅黑" w:hAnsi="微软雅黑" w:eastAsia="微软雅黑" w:cs="微软雅黑"/>
          <w:b/>
          <w:bCs w:val="0"/>
          <w:sz w:val="21"/>
          <w:szCs w:val="21"/>
        </w:rPr>
        <w:t xml:space="preserve">1.3 </w:t>
      </w:r>
      <w:bookmarkEnd w:id="63"/>
      <w:r>
        <w:rPr>
          <w:rFonts w:hint="eastAsia" w:ascii="微软雅黑" w:hAnsi="微软雅黑" w:eastAsia="微软雅黑" w:cs="微软雅黑"/>
          <w:b/>
          <w:bCs w:val="0"/>
          <w:sz w:val="21"/>
          <w:szCs w:val="21"/>
        </w:rPr>
        <w:t xml:space="preserve">参加采购活动费用</w:t>
      </w:r>
      <w:bookmarkEnd w:id="64"/>
      <w:r/>
      <w:bookmarkEnd w:id="65"/>
      <w:r/>
      <w:bookmarkEnd w:id="66"/>
      <w:r/>
      <w:bookmarkEnd w:id="67"/>
      <w:r/>
      <w:bookmarkEnd w:id="68"/>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1.3.1 无论采购活动过程中的做法和结果如何，供应商自行承担与参加采购活动有关的全部费用。</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1.3.2 有关费用的收取标准，详见供应商须知前附表。</w:t>
      </w:r>
      <w:r>
        <w:rPr>
          <w:rFonts w:hint="eastAsia" w:ascii="微软雅黑" w:hAnsi="微软雅黑" w:eastAsia="微软雅黑" w:cs="微软雅黑"/>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9" w:name="_Toc6551"/>
      <w:r/>
      <w:bookmarkStart w:id="70" w:name="_Toc452384174"/>
      <w:r/>
      <w:bookmarkStart w:id="71" w:name="_Toc30030"/>
      <w:r/>
      <w:bookmarkStart w:id="72" w:name="_Toc22926"/>
      <w:r/>
      <w:bookmarkStart w:id="73" w:name="_Toc28207"/>
      <w:r>
        <w:rPr>
          <w:rFonts w:hint="eastAsia" w:ascii="微软雅黑" w:hAnsi="微软雅黑" w:eastAsia="微软雅黑" w:cs="微软雅黑"/>
          <w:b/>
          <w:bCs w:val="0"/>
          <w:sz w:val="21"/>
          <w:szCs w:val="21"/>
        </w:rPr>
        <w:t xml:space="preserve">1.4 法律适用</w:t>
      </w:r>
      <w:bookmarkEnd w:id="69"/>
      <w:r/>
      <w:bookmarkEnd w:id="70"/>
      <w:r/>
      <w:bookmarkEnd w:id="71"/>
      <w:r/>
      <w:bookmarkEnd w:id="72"/>
      <w:r/>
      <w:bookmarkEnd w:id="73"/>
      <w:r>
        <w:rPr>
          <w:rFonts w:hint="eastAsia" w:ascii="微软雅黑" w:hAnsi="微软雅黑" w:eastAsia="微软雅黑" w:cs="微软雅黑"/>
          <w:b/>
          <w:bCs w:val="0"/>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本次采购活动及其产生的合同适用中华人民共和国法律。</w:t>
      </w:r>
      <w:r>
        <w:rPr>
          <w:rFonts w:hint="eastAsia" w:ascii="微软雅黑" w:hAnsi="微软雅黑" w:eastAsia="微软雅黑" w:cs="微软雅黑"/>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74" w:name="_Toc3839"/>
      <w:r/>
      <w:bookmarkStart w:id="75" w:name="_Toc24537"/>
      <w:r/>
      <w:bookmarkStart w:id="76" w:name="_Toc21815"/>
      <w:r/>
      <w:bookmarkStart w:id="77" w:name="_Toc22927"/>
      <w:r/>
      <w:bookmarkStart w:id="78" w:name="_Toc452384175"/>
      <w:r>
        <w:rPr>
          <w:rFonts w:hint="eastAsia" w:ascii="微软雅黑" w:hAnsi="微软雅黑" w:eastAsia="微软雅黑" w:cs="微软雅黑"/>
          <w:b/>
          <w:bCs w:val="0"/>
          <w:sz w:val="21"/>
          <w:szCs w:val="21"/>
        </w:rPr>
        <w:t xml:space="preserve">1.5 采购文件的约束力</w:t>
      </w:r>
      <w:bookmarkEnd w:id="74"/>
      <w:r/>
      <w:bookmarkEnd w:id="75"/>
      <w:r/>
      <w:bookmarkEnd w:id="76"/>
      <w:r/>
      <w:bookmarkEnd w:id="77"/>
      <w:r/>
      <w:bookmarkEnd w:id="78"/>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1.5.1 供应商一旦参加本次采购活动，即被认为接受了本采购文件中的所有条款和规定。</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1.5.2 本采购文件由采购代理机构负责解释。</w:t>
      </w:r>
      <w:r>
        <w:rPr>
          <w:rFonts w:hint="eastAsia" w:ascii="微软雅黑" w:hAnsi="微软雅黑" w:eastAsia="微软雅黑" w:cs="微软雅黑"/>
          <w:sz w:val="21"/>
          <w:szCs w:val="21"/>
        </w:rPr>
      </w:r>
      <w:r/>
    </w:p>
    <w:p>
      <w:pPr>
        <w:pStyle w:val="1100"/>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79" w:name="_Toc452384176"/>
      <w:r/>
      <w:bookmarkStart w:id="80" w:name="_Toc6699"/>
      <w:r/>
      <w:bookmarkStart w:id="81" w:name="_Toc25730"/>
      <w:r/>
      <w:bookmarkStart w:id="82" w:name="_Toc15682"/>
      <w:r>
        <w:rPr>
          <w:rFonts w:hint="eastAsia" w:ascii="微软雅黑" w:hAnsi="微软雅黑" w:eastAsia="微软雅黑" w:cs="微软雅黑"/>
          <w:b/>
          <w:bCs/>
          <w:sz w:val="28"/>
          <w:szCs w:val="32"/>
          <w:lang w:val="en-US" w:eastAsia="zh-CN" w:bidi="ar-SA"/>
        </w:rPr>
        <w:t xml:space="preserve">二、采购文件</w:t>
      </w:r>
      <w:bookmarkEnd w:id="79"/>
      <w:r/>
      <w:bookmarkEnd w:id="80"/>
      <w:r/>
      <w:bookmarkEnd w:id="81"/>
      <w:r/>
      <w:bookmarkEnd w:id="82"/>
      <w:r>
        <w:rPr>
          <w:rFonts w:hint="eastAsia" w:ascii="微软雅黑" w:hAnsi="微软雅黑" w:eastAsia="微软雅黑" w:cs="微软雅黑"/>
          <w:b/>
          <w:bCs/>
          <w:sz w:val="28"/>
          <w:szCs w:val="32"/>
          <w:lang w:val="en-US" w:eastAsia="zh-CN" w:bidi="ar-SA"/>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3" w:name="_Toc18177"/>
      <w:r/>
      <w:bookmarkStart w:id="84" w:name="_Toc452384177"/>
      <w:r/>
      <w:bookmarkStart w:id="85" w:name="_Toc6658"/>
      <w:r/>
      <w:bookmarkStart w:id="86" w:name="_Toc25037"/>
      <w:r/>
      <w:bookmarkStart w:id="87" w:name="_Toc28414"/>
      <w:r>
        <w:rPr>
          <w:rFonts w:hint="eastAsia" w:ascii="微软雅黑" w:hAnsi="微软雅黑" w:eastAsia="微软雅黑" w:cs="微软雅黑"/>
          <w:b/>
          <w:bCs w:val="0"/>
          <w:sz w:val="21"/>
          <w:szCs w:val="21"/>
        </w:rPr>
        <w:t xml:space="preserve">2.1 采购文件的组成</w:t>
      </w:r>
      <w:bookmarkEnd w:id="83"/>
      <w:r/>
      <w:bookmarkEnd w:id="84"/>
      <w:r/>
      <w:bookmarkEnd w:id="85"/>
      <w:r/>
      <w:bookmarkEnd w:id="86"/>
      <w:r/>
      <w:bookmarkEnd w:id="87"/>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2.1.1 采购文件由以下部分组成：</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第一章  投标邀请（采购公告）</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第二章  供应商须知</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第三章  评分标准和定标原则</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第四章  项目采购需求</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第五章  采购合同</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第六章  投标文件格式及附件</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请仔细检查采购文件是否齐全，如有缺漏，请立即与采购代理机构联系解决。</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eastAsia="微软雅黑" w:cs="微软雅黑"/>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8" w:name="_Toc32308"/>
      <w:r/>
      <w:bookmarkStart w:id="89" w:name="_Toc21544"/>
      <w:r/>
      <w:bookmarkStart w:id="90" w:name="_Toc10465"/>
      <w:r/>
      <w:bookmarkStart w:id="91" w:name="_Toc20445"/>
      <w:r/>
      <w:bookmarkStart w:id="92" w:name="_Toc452384179"/>
      <w:r>
        <w:rPr>
          <w:rFonts w:hint="eastAsia" w:ascii="微软雅黑" w:hAnsi="微软雅黑" w:eastAsia="微软雅黑" w:cs="微软雅黑"/>
          <w:b/>
          <w:bCs w:val="0"/>
          <w:sz w:val="21"/>
          <w:szCs w:val="21"/>
        </w:rPr>
        <w:t xml:space="preserve">2.2 采购文件的更正或补充</w:t>
      </w:r>
      <w:bookmarkEnd w:id="88"/>
      <w:r/>
      <w:bookmarkEnd w:id="89"/>
      <w:r/>
      <w:bookmarkEnd w:id="90"/>
      <w:r/>
      <w:bookmarkEnd w:id="91"/>
      <w:r/>
      <w:bookmarkEnd w:id="92"/>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2.2.1 在投标截止时间前，采购代理机构可根据有关规定对采购文件用更正公告的方式进行修正。</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2.2.3 当采购文件与更正公告的内容不一致时，以采购代理机构最后发出的更正公告为准。</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rPr>
        <w:t xml:space="preserve">2.2.4 为使供应商有足够的时间按采购文件的更正要求修正投标文件，采购代理机构有权决定推迟投标截</w:t>
      </w:r>
      <w:r>
        <w:rPr>
          <w:rFonts w:hint="eastAsia" w:ascii="微软雅黑" w:hAnsi="微软雅黑" w:eastAsia="微软雅黑" w:cs="微软雅黑"/>
          <w:sz w:val="21"/>
          <w:szCs w:val="21"/>
          <w:highlight w:val="none"/>
        </w:rPr>
        <w:t xml:space="preserve">止时间，并按2.2.2条规定的方式将具体变更情况通知供应商。</w:t>
      </w:r>
      <w:r>
        <w:rPr>
          <w:rFonts w:hint="eastAsia" w:ascii="微软雅黑" w:hAnsi="微软雅黑" w:eastAsia="微软雅黑" w:cs="微软雅黑"/>
          <w:sz w:val="21"/>
          <w:szCs w:val="21"/>
          <w:highlight w:val="none"/>
        </w:rPr>
      </w:r>
      <w:r/>
    </w:p>
    <w:p>
      <w:pPr>
        <w:pStyle w:val="1098"/>
        <w:ind w:firstLine="420"/>
        <w:jc w:val="left"/>
        <w:pageBreakBefore w:val="0"/>
        <w:spacing w:line="440" w:lineRule="exact"/>
        <w:widowControl w:val="off"/>
        <w:rPr>
          <w:rFonts w:hint="eastAsia" w:ascii="微软雅黑" w:hAnsi="微软雅黑" w:eastAsia="微软雅黑" w:cs="微软雅黑"/>
          <w:b/>
          <w:bCs/>
          <w:i/>
          <w:iCs/>
          <w:sz w:val="21"/>
          <w:szCs w:val="21"/>
          <w:highlight w:val="none"/>
          <w:u w:val="single"/>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eastAsia="微软雅黑" w:cs="微软雅黑"/>
          <w:b/>
          <w:bCs/>
          <w:i/>
          <w:iCs/>
          <w:sz w:val="21"/>
          <w:szCs w:val="21"/>
          <w:highlight w:val="none"/>
          <w:u w:val="single"/>
        </w:rPr>
      </w:r>
      <w:r/>
    </w:p>
    <w:p>
      <w:pPr>
        <w:pStyle w:val="1100"/>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93" w:name="_Toc452384180"/>
      <w:r/>
      <w:bookmarkStart w:id="94" w:name="_Toc22499"/>
      <w:r/>
      <w:bookmarkStart w:id="95" w:name="_Toc15544"/>
      <w:r/>
      <w:bookmarkStart w:id="96" w:name="_Toc2521"/>
      <w:r/>
      <w:bookmarkStart w:id="97" w:name="_Toc10212"/>
      <w:r>
        <w:rPr>
          <w:rFonts w:hint="eastAsia" w:ascii="微软雅黑" w:hAnsi="微软雅黑" w:eastAsia="微软雅黑" w:cs="微软雅黑"/>
          <w:b/>
          <w:bCs/>
          <w:sz w:val="28"/>
          <w:szCs w:val="32"/>
          <w:lang w:val="en-US" w:eastAsia="zh-CN" w:bidi="ar-SA"/>
        </w:rPr>
        <w:t xml:space="preserve">三、投标文件</w:t>
      </w:r>
      <w:bookmarkEnd w:id="93"/>
      <w:r/>
      <w:bookmarkEnd w:id="94"/>
      <w:r/>
      <w:bookmarkEnd w:id="95"/>
      <w:r/>
      <w:bookmarkEnd w:id="96"/>
      <w:r/>
      <w:bookmarkEnd w:id="97"/>
      <w:r>
        <w:rPr>
          <w:rFonts w:hint="eastAsia" w:ascii="微软雅黑" w:hAnsi="微软雅黑" w:eastAsia="微软雅黑" w:cs="微软雅黑"/>
          <w:b/>
          <w:bCs/>
          <w:sz w:val="28"/>
          <w:szCs w:val="32"/>
          <w:lang w:val="en-US" w:eastAsia="zh-CN" w:bidi="ar-SA"/>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98" w:name="_Toc452384181"/>
      <w:r/>
      <w:bookmarkStart w:id="99" w:name="_Toc9712"/>
      <w:r/>
      <w:bookmarkStart w:id="100" w:name="_Toc25966"/>
      <w:r/>
      <w:bookmarkStart w:id="101" w:name="_Toc15046"/>
      <w:r/>
      <w:bookmarkStart w:id="102" w:name="_Toc28047"/>
      <w:r>
        <w:rPr>
          <w:rFonts w:hint="eastAsia" w:ascii="微软雅黑" w:hAnsi="微软雅黑" w:eastAsia="微软雅黑" w:cs="微软雅黑"/>
          <w:b/>
          <w:bCs w:val="0"/>
          <w:sz w:val="21"/>
          <w:szCs w:val="21"/>
        </w:rPr>
        <w:t xml:space="preserve">3.1 投标文件的语言及度量衡</w:t>
      </w:r>
      <w:bookmarkEnd w:id="98"/>
      <w:r/>
      <w:bookmarkEnd w:id="99"/>
      <w:r/>
      <w:bookmarkEnd w:id="100"/>
      <w:r/>
      <w:bookmarkEnd w:id="101"/>
      <w:r/>
      <w:bookmarkEnd w:id="102"/>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3.1.1 投标文件以及供应商与采购代理机构之间的所有书面往来都应用简体中文书写。</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3.1.3 除在采购文件第六章中另有规定外，度量衡单位应使用国际单位制。</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3.1.4 本采购文件所表述的时间均为北京时间。</w:t>
      </w:r>
      <w:r>
        <w:rPr>
          <w:rFonts w:hint="eastAsia" w:ascii="微软雅黑" w:hAnsi="微软雅黑" w:eastAsia="微软雅黑" w:cs="微软雅黑"/>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3" w:name="_Toc24476"/>
      <w:r/>
      <w:bookmarkStart w:id="104" w:name="_Toc29417"/>
      <w:r/>
      <w:bookmarkStart w:id="105" w:name="_Toc20626"/>
      <w:r/>
      <w:bookmarkStart w:id="106" w:name="_Toc452384182"/>
      <w:r/>
      <w:bookmarkStart w:id="107" w:name="_Toc3528"/>
      <w:r>
        <w:rPr>
          <w:rFonts w:hint="eastAsia" w:ascii="微软雅黑" w:hAnsi="微软雅黑" w:eastAsia="微软雅黑" w:cs="微软雅黑"/>
          <w:b/>
          <w:bCs w:val="0"/>
          <w:sz w:val="21"/>
          <w:szCs w:val="21"/>
        </w:rPr>
        <w:t xml:space="preserve">3.2 投标文件的组成</w:t>
      </w:r>
      <w:bookmarkEnd w:id="103"/>
      <w:r/>
      <w:bookmarkEnd w:id="104"/>
      <w:r/>
      <w:bookmarkEnd w:id="105"/>
      <w:r/>
      <w:bookmarkEnd w:id="106"/>
      <w:r/>
      <w:bookmarkEnd w:id="107"/>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3.2.1 投标文件应包括下列部分（目录及有关格式按采购文件第六章“投标文件格式”要求）：</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（1）投标函和投标报价及相关证明文件。</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（2）供应商资格证明文件。</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（3）投标供应商有能力履行合同的证明文件，除必须具有的履行合同所需的提供货物</w:t>
      </w:r>
      <w:r>
        <w:rPr>
          <w:rFonts w:hint="eastAsia" w:ascii="微软雅黑" w:hAnsi="微软雅黑" w:cs="微软雅黑"/>
          <w:sz w:val="21"/>
          <w:szCs w:val="21"/>
          <w:lang w:eastAsia="zh-CN"/>
        </w:rPr>
        <w:t xml:space="preserve">、服务</w:t>
      </w:r>
      <w:r>
        <w:rPr>
          <w:rFonts w:hint="eastAsia" w:ascii="微软雅黑" w:hAnsi="微软雅黑" w:eastAsia="微软雅黑" w:cs="微软雅黑"/>
          <w:sz w:val="21"/>
          <w:szCs w:val="21"/>
        </w:rPr>
        <w:t xml:space="preserve">的能力外，还必须具备相应的财务、专业技术方面的能力；</w:t>
      </w:r>
      <w:r>
        <w:rPr>
          <w:rFonts w:hint="eastAsia" w:ascii="微软雅黑" w:hAnsi="微软雅黑" w:eastAsia="微软雅黑" w:cs="微软雅黑"/>
          <w:sz w:val="21"/>
          <w:szCs w:val="21"/>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（4）其他根据合同要求证明其产品质量合格以及符合采购文件规定的证明文件。</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3.2.2 采购文件第四章中指出的工艺、材料和设备的标准，以及商标、牌号或其目录编号，仅起说明作用并非进行限制。</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3.2.3 </w:t>
      </w:r>
      <w:r>
        <w:rPr>
          <w:rFonts w:hint="eastAsia" w:ascii="微软雅黑" w:hAnsi="微软雅黑" w:eastAsia="微软雅黑" w:cs="微软雅黑"/>
          <w:b/>
          <w:i/>
          <w:sz w:val="21"/>
          <w:szCs w:val="21"/>
          <w:u w:val="single"/>
        </w:rPr>
        <w:t xml:space="preserve">若供应商未按采购文件的要求提供资料，或未对采购文件做出实质性响应，将导致投标文件被视为无效。</w:t>
      </w:r>
      <w:r>
        <w:rPr>
          <w:rFonts w:hint="eastAsia" w:ascii="微软雅黑" w:hAnsi="微软雅黑" w:eastAsia="微软雅黑" w:cs="微软雅黑"/>
          <w:b/>
          <w:i/>
          <w:sz w:val="21"/>
          <w:szCs w:val="21"/>
          <w:u w:val="singl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8" w:name="_Toc1173"/>
      <w:r/>
      <w:bookmarkStart w:id="109" w:name="_Toc4151"/>
      <w:r/>
      <w:bookmarkStart w:id="110" w:name="_Toc26951"/>
      <w:r/>
      <w:bookmarkStart w:id="111" w:name="_Toc17428"/>
      <w:r/>
      <w:bookmarkStart w:id="112" w:name="_Toc452384183"/>
      <w:r>
        <w:rPr>
          <w:rFonts w:hint="eastAsia" w:ascii="微软雅黑" w:hAnsi="微软雅黑" w:eastAsia="微软雅黑" w:cs="微软雅黑"/>
          <w:b/>
          <w:bCs w:val="0"/>
          <w:sz w:val="21"/>
          <w:szCs w:val="21"/>
        </w:rPr>
        <w:t xml:space="preserve">3.3 投标报价</w:t>
      </w:r>
      <w:bookmarkEnd w:id="108"/>
      <w:r/>
      <w:bookmarkEnd w:id="109"/>
      <w:r/>
      <w:bookmarkEnd w:id="110"/>
      <w:r/>
      <w:bookmarkEnd w:id="111"/>
      <w:r/>
      <w:bookmarkEnd w:id="112"/>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3.3.2 除非采购文件有特别说明，采购代理机构不接受备选的投标方案或有选择的报价。</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b/>
          <w:i/>
          <w:sz w:val="21"/>
          <w:szCs w:val="21"/>
          <w:u w:val="single"/>
        </w:rPr>
        <w:t xml:space="preserve">3.3.3 投标报价不得超过</w:t>
      </w:r>
      <w:r>
        <w:rPr>
          <w:rFonts w:hint="eastAsia" w:ascii="微软雅黑" w:hAnsi="微软雅黑" w:cs="微软雅黑"/>
          <w:b/>
          <w:i/>
          <w:sz w:val="21"/>
          <w:szCs w:val="21"/>
          <w:u w:val="single"/>
          <w:lang w:eastAsia="zh-CN"/>
        </w:rPr>
        <w:t xml:space="preserve">每分包</w:t>
      </w:r>
      <w:r>
        <w:rPr>
          <w:rFonts w:hint="eastAsia" w:ascii="微软雅黑" w:hAnsi="微软雅黑" w:eastAsia="微软雅黑" w:cs="微软雅黑"/>
          <w:b/>
          <w:i/>
          <w:sz w:val="21"/>
          <w:szCs w:val="21"/>
          <w:u w:val="single"/>
        </w:rPr>
        <w:t xml:space="preserve">最高限价，否则投标文件被视为无效。</w:t>
      </w:r>
      <w:r>
        <w:rPr>
          <w:rFonts w:hint="eastAsia" w:ascii="微软雅黑" w:hAnsi="微软雅黑" w:eastAsia="微软雅黑" w:cs="微软雅黑"/>
          <w:b/>
          <w:i/>
          <w:sz w:val="21"/>
          <w:szCs w:val="21"/>
          <w:u w:val="singl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13" w:name="_Toc141"/>
      <w:r/>
      <w:bookmarkStart w:id="114" w:name="_Toc10078"/>
      <w:r/>
      <w:bookmarkStart w:id="115" w:name="_Toc452384184"/>
      <w:r/>
      <w:bookmarkStart w:id="116" w:name="_Toc11686"/>
      <w:r/>
      <w:bookmarkStart w:id="117" w:name="_Toc5336"/>
      <w:r>
        <w:rPr>
          <w:rFonts w:hint="eastAsia" w:ascii="微软雅黑" w:hAnsi="微软雅黑" w:eastAsia="微软雅黑" w:cs="微软雅黑"/>
          <w:b/>
          <w:bCs w:val="0"/>
          <w:sz w:val="21"/>
          <w:szCs w:val="21"/>
        </w:rPr>
        <w:t xml:space="preserve">3.4 投标报价中的货币</w:t>
      </w:r>
      <w:bookmarkEnd w:id="113"/>
      <w:r/>
      <w:bookmarkEnd w:id="114"/>
      <w:r/>
      <w:bookmarkEnd w:id="115"/>
      <w:r/>
      <w:bookmarkEnd w:id="116"/>
      <w:r/>
      <w:bookmarkEnd w:id="117"/>
      <w:r>
        <w:rPr>
          <w:rFonts w:hint="eastAsia" w:ascii="微软雅黑" w:hAnsi="微软雅黑" w:eastAsia="微软雅黑" w:cs="微软雅黑"/>
          <w:b/>
          <w:bCs w:val="0"/>
          <w:sz w:val="21"/>
          <w:szCs w:val="21"/>
        </w:rPr>
      </w:r>
      <w:r/>
    </w:p>
    <w:p>
      <w:pPr>
        <w:pStyle w:val="1098"/>
        <w:ind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投标报价均须以人民币为计算单位，采购文件另有规定的，从其规定。</w:t>
      </w:r>
      <w:r>
        <w:rPr>
          <w:rFonts w:hint="eastAsia" w:ascii="微软雅黑" w:hAnsi="微软雅黑" w:eastAsia="微软雅黑" w:cs="微软雅黑"/>
          <w:sz w:val="21"/>
          <w:szCs w:val="21"/>
        </w:rPr>
      </w:r>
      <w:r/>
    </w:p>
    <w:p>
      <w:pPr>
        <w:pStyle w:val="1098"/>
        <w:ind w:left="0"/>
        <w:jc w:val="left"/>
        <w:keepLines/>
        <w:keepNext/>
        <w:pageBreakBefore w:val="0"/>
        <w:spacing w:line="440" w:lineRule="exact"/>
        <w:widowControl w:val="off"/>
        <w:rPr>
          <w:rFonts w:hint="eastAsia" w:ascii="微软雅黑" w:hAnsi="微软雅黑" w:eastAsia="微软雅黑" w:cs="微软雅黑"/>
          <w:b/>
          <w:sz w:val="21"/>
          <w:szCs w:val="21"/>
        </w:rPr>
        <w:outlineLvl w:val="2"/>
      </w:pPr>
      <w:r/>
      <w:bookmarkStart w:id="118" w:name="_Toc23861"/>
      <w:r/>
      <w:bookmarkStart w:id="119" w:name="_Toc452384185"/>
      <w:r/>
      <w:bookmarkStart w:id="120" w:name="_Toc24048"/>
      <w:r/>
      <w:bookmarkStart w:id="121" w:name="_Toc24981"/>
      <w:r/>
      <w:bookmarkStart w:id="122" w:name="_Toc1909"/>
      <w:r>
        <w:rPr>
          <w:rFonts w:hint="eastAsia" w:ascii="微软雅黑" w:hAnsi="微软雅黑" w:eastAsia="微软雅黑" w:cs="微软雅黑"/>
          <w:b/>
          <w:sz w:val="21"/>
          <w:szCs w:val="21"/>
        </w:rPr>
        <w:t xml:space="preserve">3.5 投标保证金</w:t>
      </w:r>
      <w:bookmarkEnd w:id="118"/>
      <w:r/>
      <w:bookmarkEnd w:id="119"/>
      <w:r>
        <w:rPr>
          <w:rFonts w:hint="eastAsia" w:ascii="微软雅黑" w:hAnsi="微软雅黑" w:eastAsia="微软雅黑" w:cs="微软雅黑"/>
          <w:b/>
          <w:sz w:val="21"/>
          <w:szCs w:val="21"/>
        </w:rPr>
        <w:t xml:space="preserve">：无</w:t>
      </w:r>
      <w:bookmarkEnd w:id="120"/>
      <w:r/>
      <w:bookmarkEnd w:id="121"/>
      <w:r/>
      <w:bookmarkEnd w:id="122"/>
      <w:r>
        <w:rPr>
          <w:rFonts w:hint="eastAsia" w:ascii="微软雅黑" w:hAnsi="微软雅黑" w:eastAsia="微软雅黑" w:cs="微软雅黑"/>
          <w:b/>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23" w:name="_Toc452384186"/>
      <w:r/>
      <w:bookmarkStart w:id="124" w:name="_Toc29123"/>
      <w:r/>
      <w:bookmarkStart w:id="125" w:name="_Toc31169"/>
      <w:r/>
      <w:bookmarkStart w:id="126" w:name="_Toc13011"/>
      <w:r/>
      <w:bookmarkStart w:id="127" w:name="_Toc30704"/>
      <w:r>
        <w:rPr>
          <w:rFonts w:hint="eastAsia" w:ascii="微软雅黑" w:hAnsi="微软雅黑" w:eastAsia="微软雅黑" w:cs="微软雅黑"/>
          <w:b/>
          <w:bCs w:val="0"/>
          <w:sz w:val="21"/>
          <w:szCs w:val="21"/>
        </w:rPr>
        <w:t xml:space="preserve">3.6 投标有效期</w:t>
      </w:r>
      <w:bookmarkEnd w:id="123"/>
      <w:r/>
      <w:bookmarkEnd w:id="124"/>
      <w:r/>
      <w:bookmarkEnd w:id="125"/>
      <w:r/>
      <w:bookmarkEnd w:id="126"/>
      <w:r/>
      <w:bookmarkEnd w:id="127"/>
      <w:r>
        <w:rPr>
          <w:rFonts w:hint="eastAsia" w:ascii="微软雅黑" w:hAnsi="微软雅黑" w:eastAsia="微软雅黑" w:cs="微软雅黑"/>
          <w:b/>
          <w:bCs w:val="0"/>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3.6.1 投标有效期为从投标截止之日起计算的九十天，有效期短于此规定的投标文件将被视为无效。</w:t>
      </w:r>
      <w:r>
        <w:rPr>
          <w:rFonts w:hint="eastAsia" w:ascii="微软雅黑" w:hAnsi="微软雅黑" w:eastAsia="微软雅黑" w:cs="微软雅黑"/>
          <w:sz w:val="21"/>
          <w:szCs w:val="21"/>
        </w:rPr>
      </w:r>
      <w:r/>
    </w:p>
    <w:p>
      <w:pPr>
        <w:pStyle w:val="1098"/>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eastAsia="微软雅黑" w:cs="微软雅黑"/>
          <w:sz w:val="21"/>
          <w:szCs w:val="21"/>
        </w:rPr>
      </w:r>
      <w:r/>
    </w:p>
    <w:p>
      <w:pPr>
        <w:pStyle w:val="1101"/>
        <w:ind w:left="0"/>
        <w:jc w:val="left"/>
        <w:pageBreakBefore w:val="0"/>
        <w:spacing w:before="0" w:after="0" w:line="440" w:lineRule="exact"/>
        <w:widowControl w:val="off"/>
        <w:rPr>
          <w:rFonts w:hint="eastAsia" w:ascii="微软雅黑" w:hAnsi="微软雅黑" w:eastAsia="微软雅黑" w:cs="微软雅黑"/>
          <w:sz w:val="21"/>
          <w:szCs w:val="21"/>
        </w:rPr>
      </w:pPr>
      <w:r/>
      <w:bookmarkStart w:id="128" w:name="_Toc1603"/>
      <w:r/>
      <w:bookmarkStart w:id="129" w:name="_Toc31285"/>
      <w:r/>
      <w:bookmarkStart w:id="130" w:name="_Toc2873"/>
      <w:r>
        <w:rPr>
          <w:rFonts w:hint="eastAsia" w:ascii="微软雅黑" w:hAnsi="微软雅黑" w:eastAsia="微软雅黑" w:cs="微软雅黑"/>
          <w:b/>
          <w:bCs w:val="0"/>
          <w:sz w:val="21"/>
          <w:szCs w:val="21"/>
        </w:rPr>
        <w:t xml:space="preserve">3.7 投标文件的签署、形式</w:t>
      </w:r>
      <w:bookmarkEnd w:id="128"/>
      <w:r/>
      <w:bookmarkEnd w:id="129"/>
      <w:r/>
      <w:bookmarkEnd w:id="130"/>
      <w:r>
        <w:rPr>
          <w:rFonts w:hint="eastAsia" w:ascii="微软雅黑" w:hAnsi="微软雅黑" w:eastAsia="微软雅黑" w:cs="微软雅黑"/>
          <w:sz w:val="21"/>
          <w:szCs w:val="21"/>
        </w:rPr>
      </w:r>
      <w:r/>
    </w:p>
    <w:p>
      <w:pPr>
        <w:pStyle w:val="1098"/>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3.7.1</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投标文件规定盖章的地方，应盖单位公章</w:t>
      </w:r>
      <w:r>
        <w:rPr>
          <w:rFonts w:hint="eastAsia" w:ascii="微软雅黑" w:hAnsi="微软雅黑" w:eastAsia="微软雅黑" w:cs="微软雅黑"/>
          <w:bCs/>
          <w:sz w:val="21"/>
          <w:szCs w:val="21"/>
          <w:lang w:val="en-US" w:eastAsia="zh-CN"/>
        </w:rPr>
        <w:t xml:space="preserve">或电子公章</w:t>
      </w:r>
      <w:r>
        <w:rPr>
          <w:rFonts w:hint="eastAsia" w:ascii="微软雅黑" w:hAnsi="微软雅黑" w:eastAsia="微软雅黑" w:cs="微软雅黑"/>
          <w:bCs/>
          <w:sz w:val="21"/>
          <w:szCs w:val="21"/>
        </w:rPr>
        <w:t xml:space="preserve">（文件中的单位盖章、印章、公章等处均仅指与投标人名称全称相一致的标准公章，如投标人为自然人可不加盖公章，仅由本人签字）。</w:t>
      </w:r>
      <w:r>
        <w:rPr>
          <w:rFonts w:hint="eastAsia" w:ascii="微软雅黑" w:hAnsi="微软雅黑" w:eastAsia="微软雅黑" w:cs="微软雅黑"/>
          <w:bCs/>
          <w:sz w:val="21"/>
          <w:szCs w:val="21"/>
        </w:rPr>
      </w:r>
      <w:r/>
    </w:p>
    <w:p>
      <w:pPr>
        <w:pStyle w:val="1098"/>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3.7.2</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
          <w:sz w:val="21"/>
          <w:szCs w:val="21"/>
        </w:rPr>
        <w:t xml:space="preserve">本采购文件所表述（指定）的公章是指刻有供应商法定名称的印章，不包括投标、合同、财务、税务、发票等形式的业务专用章。</w:t>
      </w:r>
      <w:r>
        <w:rPr>
          <w:rFonts w:hint="eastAsia" w:ascii="微软雅黑" w:hAnsi="微软雅黑" w:eastAsia="微软雅黑" w:cs="微软雅黑"/>
          <w:bCs/>
          <w:sz w:val="21"/>
          <w:szCs w:val="21"/>
        </w:rPr>
      </w:r>
      <w:r/>
    </w:p>
    <w:p>
      <w:pPr>
        <w:pStyle w:val="1098"/>
        <w:jc w:val="left"/>
        <w:pageBreakBefore w:val="0"/>
        <w:spacing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Cs/>
          <w:sz w:val="21"/>
          <w:szCs w:val="21"/>
          <w:lang w:val="en-US" w:eastAsia="zh-CN"/>
        </w:rPr>
        <w:t xml:space="preserve">3.7.3</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除投标人对错处做必要修改外，投标文件不得行间插字、涂改或增删。如有修改错漏处，必须由法定代表人或其授权代表签字或盖章方有效。</w:t>
      </w:r>
      <w:r>
        <w:rPr>
          <w:rFonts w:hint="eastAsia" w:ascii="微软雅黑" w:hAnsi="微软雅黑" w:eastAsia="微软雅黑" w:cs="微软雅黑"/>
          <w:sz w:val="21"/>
          <w:szCs w:val="21"/>
        </w:rPr>
      </w:r>
      <w:r/>
    </w:p>
    <w:p>
      <w:pPr>
        <w:pStyle w:val="1098"/>
        <w:jc w:val="left"/>
        <w:pageBreakBefore w:val="0"/>
        <w:spacing w:afterAutospacing="0" w:line="440" w:lineRule="exact"/>
        <w:widowControl w:val="off"/>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 xml:space="preserve">3.7.4</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lang w:val="en-US" w:eastAsia="zh-CN"/>
        </w:rPr>
        <w:t xml:space="preserve">投标文件需包含评分索引表、目录及页码。</w:t>
      </w:r>
      <w:r>
        <w:rPr>
          <w:rFonts w:hint="eastAsia" w:ascii="微软雅黑" w:hAnsi="微软雅黑" w:eastAsia="微软雅黑" w:cs="微软雅黑"/>
          <w:bCs/>
          <w:sz w:val="21"/>
          <w:szCs w:val="21"/>
          <w:lang w:val="en-US" w:eastAsia="zh-CN"/>
        </w:rPr>
      </w:r>
      <w:r/>
    </w:p>
    <w:p>
      <w:pPr>
        <w:pStyle w:val="1100"/>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131" w:name="_Toc22333"/>
      <w:r/>
      <w:bookmarkStart w:id="132" w:name="_Toc26007"/>
      <w:r/>
      <w:bookmarkStart w:id="133" w:name="_Toc14088"/>
      <w:r/>
      <w:bookmarkStart w:id="134" w:name="_Toc452384188"/>
      <w:r/>
      <w:bookmarkStart w:id="135" w:name="_Toc3387"/>
      <w:r>
        <w:rPr>
          <w:rFonts w:hint="eastAsia" w:ascii="微软雅黑" w:hAnsi="微软雅黑" w:eastAsia="微软雅黑" w:cs="微软雅黑"/>
          <w:b/>
          <w:bCs/>
          <w:sz w:val="28"/>
          <w:szCs w:val="32"/>
          <w:lang w:val="en-US" w:eastAsia="zh-CN" w:bidi="ar-SA"/>
        </w:rPr>
        <w:t xml:space="preserve">四、投标文件的递交</w:t>
      </w:r>
      <w:bookmarkEnd w:id="131"/>
      <w:r/>
      <w:bookmarkEnd w:id="132"/>
      <w:r/>
      <w:bookmarkEnd w:id="133"/>
      <w:r/>
      <w:bookmarkEnd w:id="134"/>
      <w:r/>
      <w:bookmarkEnd w:id="135"/>
      <w:r>
        <w:rPr>
          <w:rFonts w:hint="eastAsia" w:ascii="微软雅黑" w:hAnsi="微软雅黑" w:eastAsia="微软雅黑" w:cs="微软雅黑"/>
          <w:b/>
          <w:bCs/>
          <w:sz w:val="28"/>
          <w:szCs w:val="32"/>
          <w:lang w:val="en-US" w:eastAsia="zh-CN" w:bidi="ar-SA"/>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4.1</w:t>
      </w:r>
      <w:r>
        <w:rPr>
          <w:rFonts w:hint="eastAsia" w:ascii="微软雅黑" w:hAnsi="微软雅黑" w:eastAsia="微软雅黑" w:cs="微软雅黑"/>
          <w:sz w:val="21"/>
          <w:szCs w:val="21"/>
          <w:highlight w:val="none"/>
        </w:rPr>
        <w:t xml:space="preserve">投标人应当按照《操作手册》规定，在</w:t>
      </w:r>
      <w:r>
        <w:rPr>
          <w:rFonts w:hint="eastAsia" w:ascii="微软雅黑" w:hAnsi="微软雅黑" w:eastAsia="微软雅黑" w:cs="微软雅黑"/>
          <w:sz w:val="21"/>
          <w:szCs w:val="21"/>
          <w:highlight w:val="none"/>
          <w:lang w:eastAsia="zh-CN"/>
        </w:rPr>
        <w:t xml:space="preserve">采购公告</w:t>
      </w:r>
      <w:r>
        <w:rPr>
          <w:rFonts w:hint="eastAsia" w:ascii="微软雅黑" w:hAnsi="微软雅黑" w:eastAsia="微软雅黑" w:cs="微软雅黑"/>
          <w:sz w:val="21"/>
          <w:szCs w:val="21"/>
          <w:highlight w:val="none"/>
        </w:rPr>
        <w:t xml:space="preserve">规定的投标截止时间</w:t>
      </w:r>
      <w:r>
        <w:rPr>
          <w:rFonts w:hint="eastAsia" w:ascii="微软雅黑" w:hAnsi="微软雅黑" w:eastAsia="微软雅黑" w:cs="微软雅黑"/>
          <w:sz w:val="21"/>
          <w:szCs w:val="21"/>
          <w:highlight w:val="none"/>
          <w:lang w:eastAsia="zh-CN"/>
        </w:rPr>
        <w:t xml:space="preserve">前制作并上传电子投标文件。</w:t>
      </w:r>
      <w:r>
        <w:rPr>
          <w:rFonts w:hint="eastAsia" w:ascii="微软雅黑" w:hAnsi="微软雅黑" w:eastAsia="微软雅黑" w:cs="微软雅黑"/>
          <w:sz w:val="21"/>
          <w:szCs w:val="21"/>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36" w:name="_Toc2168"/>
      <w:r/>
      <w:bookmarkStart w:id="137" w:name="_Toc11977"/>
      <w:r/>
      <w:bookmarkStart w:id="138" w:name="_Toc5456"/>
      <w:r/>
      <w:bookmarkStart w:id="139" w:name="_Toc452384192"/>
      <w:r/>
      <w:bookmarkStart w:id="140" w:name="_Toc11818"/>
      <w:r>
        <w:rPr>
          <w:rFonts w:hint="eastAsia" w:ascii="微软雅黑" w:hAnsi="微软雅黑" w:eastAsia="微软雅黑" w:cs="微软雅黑"/>
          <w:b/>
          <w:bCs w:val="0"/>
          <w:sz w:val="21"/>
          <w:szCs w:val="21"/>
          <w:lang w:val="en-US" w:eastAsia="zh-CN" w:bidi="ar-SA"/>
        </w:rPr>
        <w:t xml:space="preserve">4.2有下列情形的投标文件将被拒收</w:t>
      </w:r>
      <w:bookmarkEnd w:id="136"/>
      <w:r/>
      <w:bookmarkEnd w:id="137"/>
      <w:r/>
      <w:bookmarkEnd w:id="138"/>
      <w:r>
        <w:rPr>
          <w:rFonts w:hint="eastAsia" w:ascii="微软雅黑" w:hAnsi="微软雅黑" w:eastAsia="微软雅黑" w:cs="微软雅黑"/>
          <w:b/>
          <w:bCs w:val="0"/>
          <w:sz w:val="21"/>
          <w:szCs w:val="21"/>
          <w:lang w:val="en-US" w:eastAsia="zh-CN" w:bidi="ar-SA"/>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41" w:name="_Toc13038"/>
      <w:r/>
      <w:bookmarkStart w:id="142" w:name="_Toc7486"/>
      <w:r/>
      <w:bookmarkStart w:id="143" w:name="_Toc20355"/>
      <w:r>
        <w:rPr>
          <w:rFonts w:hint="eastAsia" w:ascii="微软雅黑" w:hAnsi="微软雅黑" w:eastAsia="微软雅黑" w:cs="微软雅黑"/>
          <w:b/>
          <w:bCs w:val="0"/>
          <w:sz w:val="21"/>
          <w:szCs w:val="21"/>
          <w:lang w:val="en-US" w:eastAsia="zh-CN" w:bidi="ar-SA"/>
        </w:rPr>
        <w:t xml:space="preserve">4.2.1投标人应当按照《操作手册》规定，在“苏采云”系统规定的时间内对投标文件进行解密。</w:t>
      </w:r>
      <w:bookmarkEnd w:id="141"/>
      <w:r/>
      <w:bookmarkEnd w:id="142"/>
      <w:r/>
      <w:bookmarkEnd w:id="143"/>
      <w:r>
        <w:rPr>
          <w:rFonts w:hint="eastAsia" w:ascii="微软雅黑" w:hAnsi="微软雅黑" w:eastAsia="微软雅黑" w:cs="微软雅黑"/>
          <w:b/>
          <w:bCs w:val="0"/>
          <w:sz w:val="21"/>
          <w:szCs w:val="21"/>
          <w:lang w:val="en-US" w:eastAsia="zh-CN" w:bidi="ar-SA"/>
        </w:rPr>
      </w:r>
      <w:r/>
    </w:p>
    <w:p>
      <w:pPr>
        <w:pStyle w:val="1101"/>
        <w:ind w:left="0"/>
        <w:jc w:val="left"/>
        <w:pageBreakBefore w:val="0"/>
        <w:spacing w:before="0" w:after="0" w:line="440" w:lineRule="exact"/>
        <w:widowControl w:val="off"/>
        <w:rPr>
          <w:rFonts w:hint="eastAsia"/>
          <w:highlight w:val="none"/>
        </w:rPr>
      </w:pPr>
      <w:r/>
      <w:bookmarkStart w:id="144" w:name="_Toc10199"/>
      <w:r/>
      <w:bookmarkStart w:id="145" w:name="_Toc27804"/>
      <w:r/>
      <w:bookmarkStart w:id="146" w:name="_Toc1919"/>
      <w:r>
        <w:rPr>
          <w:rFonts w:hint="eastAsia" w:ascii="微软雅黑" w:hAnsi="微软雅黑" w:eastAsia="微软雅黑" w:cs="微软雅黑"/>
          <w:b/>
          <w:bCs w:val="0"/>
          <w:sz w:val="21"/>
          <w:szCs w:val="21"/>
          <w:lang w:val="en-US" w:eastAsia="zh-CN" w:bidi="ar-SA"/>
        </w:rPr>
        <w:t xml:space="preserve">4.2.2投标人应充分考虑网络环境、网络带宽等因素可能对投标产生的影响，如因投标人自身原因造成的电子投标文件解密不成功的，做无效投标处理。</w:t>
      </w:r>
      <w:bookmarkEnd w:id="145"/>
      <w:r/>
      <w:bookmarkEnd w:id="146"/>
      <w:r>
        <w:rPr>
          <w:rFonts w:hint="eastAsia" w:ascii="微软雅黑" w:hAnsi="微软雅黑" w:eastAsia="微软雅黑" w:cs="微软雅黑"/>
          <w:b/>
          <w:bCs w:val="0"/>
          <w:sz w:val="21"/>
          <w:szCs w:val="21"/>
          <w:lang w:val="en-US" w:eastAsia="zh-CN" w:bidi="ar-SA"/>
        </w:rPr>
        <w:t xml:space="preserve">投标人未在“苏采云”系统规定的时间内完成解密的视为其放弃投标。但因系统故障导致投标人无法在“苏采云”系统规定的时间内完成签到或解密的情况除外。</w:t>
      </w:r>
      <w:bookmarkEnd w:id="144"/>
      <w:r>
        <w:rPr>
          <w:rFonts w:hint="eastAsia"/>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End w:id="139"/>
      <w:r/>
      <w:bookmarkEnd w:id="140"/>
      <w:r/>
      <w:bookmarkStart w:id="147" w:name="_Toc6818"/>
      <w:r/>
      <w:bookmarkStart w:id="148" w:name="_Toc1859"/>
      <w:r/>
      <w:bookmarkStart w:id="149" w:name="_Toc21630"/>
      <w:r/>
      <w:bookmarkStart w:id="150" w:name="_Toc7552"/>
      <w:r/>
      <w:bookmarkStart w:id="151" w:name="_Toc452384190"/>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3</w:t>
      </w:r>
      <w:r>
        <w:rPr>
          <w:rFonts w:hint="eastAsia" w:ascii="微软雅黑" w:hAnsi="微软雅黑" w:eastAsia="微软雅黑" w:cs="微软雅黑"/>
          <w:b/>
          <w:bCs w:val="0"/>
          <w:sz w:val="21"/>
          <w:szCs w:val="21"/>
          <w:highlight w:val="none"/>
        </w:rPr>
        <w:t xml:space="preserve"> 投标截止时间</w:t>
      </w:r>
      <w:bookmarkEnd w:id="147"/>
      <w:r/>
      <w:bookmarkEnd w:id="148"/>
      <w:r/>
      <w:bookmarkEnd w:id="149"/>
      <w:r/>
      <w:bookmarkEnd w:id="150"/>
      <w:r/>
      <w:bookmarkEnd w:id="151"/>
      <w:r>
        <w:rPr>
          <w:rFonts w:hint="eastAsia" w:ascii="微软雅黑" w:hAnsi="微软雅黑" w:eastAsia="微软雅黑" w:cs="微软雅黑"/>
          <w:b/>
          <w:bCs w:val="0"/>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.1 供应商须在采购文件第一章“投标邀请”规定的投标截止时间前</w:t>
      </w:r>
      <w:r>
        <w:rPr>
          <w:rFonts w:hint="eastAsia" w:ascii="微软雅黑" w:hAnsi="微软雅黑" w:eastAsia="微软雅黑" w:cs="微软雅黑"/>
          <w:sz w:val="21"/>
          <w:szCs w:val="21"/>
          <w:highlight w:val="none"/>
          <w:lang w:eastAsia="zh-CN"/>
        </w:rPr>
        <w:t xml:space="preserve">上传电子投标文件</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.2 若采购代理机构按3.6.2条规定推迟了投标截止时间，采购代理机构和供应商受投标截止时间制约的所有权利和义务均应以新的截止时间为准。</w:t>
      </w:r>
      <w:r>
        <w:rPr>
          <w:rFonts w:hint="eastAsia" w:ascii="微软雅黑" w:hAnsi="微软雅黑" w:eastAsia="微软雅黑" w:cs="微软雅黑"/>
          <w:sz w:val="21"/>
          <w:szCs w:val="21"/>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2" w:name="_Toc2903"/>
      <w:r/>
      <w:bookmarkStart w:id="153" w:name="_Toc4410"/>
      <w:r/>
      <w:bookmarkStart w:id="154" w:name="_Toc17988"/>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4</w:t>
      </w:r>
      <w:r>
        <w:rPr>
          <w:rFonts w:hint="eastAsia" w:ascii="微软雅黑" w:hAnsi="微软雅黑" w:eastAsia="微软雅黑" w:cs="微软雅黑"/>
          <w:b/>
          <w:bCs w:val="0"/>
          <w:sz w:val="21"/>
          <w:szCs w:val="21"/>
          <w:highlight w:val="none"/>
        </w:rPr>
        <w:t xml:space="preserve"> 投标文件的修改和撤回</w:t>
      </w:r>
      <w:bookmarkEnd w:id="152"/>
      <w:r/>
      <w:bookmarkEnd w:id="153"/>
      <w:r/>
      <w:bookmarkEnd w:id="154"/>
      <w:r>
        <w:rPr>
          <w:rFonts w:hint="eastAsia" w:ascii="微软雅黑" w:hAnsi="微软雅黑" w:eastAsia="微软雅黑" w:cs="微软雅黑"/>
          <w:b/>
          <w:bCs w:val="0"/>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 投标文件的撤回</w:t>
      </w:r>
      <w:r>
        <w:rPr>
          <w:rFonts w:hint="eastAsia" w:ascii="微软雅黑" w:hAnsi="微软雅黑" w:eastAsia="微软雅黑" w:cs="微软雅黑"/>
          <w:sz w:val="21"/>
          <w:szCs w:val="21"/>
          <w:highlight w:val="none"/>
        </w:rPr>
      </w:r>
      <w:r/>
    </w:p>
    <w:p>
      <w:pPr>
        <w:pStyle w:val="1098"/>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1098"/>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1098"/>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1098"/>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1098"/>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sz w:val="21"/>
          <w:szCs w:val="21"/>
          <w:highlight w:val="none"/>
          <w:lang w:val="en-US" w:eastAsia="zh-CN"/>
        </w:rPr>
      </w:r>
      <w:r/>
    </w:p>
    <w:p>
      <w:pPr>
        <w:pStyle w:val="1100"/>
        <w:ind w:left="0" w:right="0" w:firstLine="0"/>
        <w:jc w:val="center"/>
        <w:pageBreakBefore w:val="0"/>
        <w:spacing w:before="0" w:after="0" w:line="240" w:lineRule="auto"/>
        <w:widowControl w:val="off"/>
        <w:rPr>
          <w:rFonts w:hint="eastAsia" w:ascii="微软雅黑" w:hAnsi="微软雅黑" w:eastAsia="微软雅黑" w:cs="微软雅黑"/>
          <w:b/>
          <w:bCs/>
          <w:sz w:val="28"/>
          <w:szCs w:val="32"/>
          <w:highlight w:val="none"/>
          <w:lang w:val="en-US" w:eastAsia="zh-CN" w:bidi="ar-SA"/>
        </w:rPr>
      </w:pPr>
      <w:r/>
      <w:bookmarkStart w:id="155" w:name="_Toc24848"/>
      <w:r/>
      <w:bookmarkStart w:id="156" w:name="_Toc1965"/>
      <w:r/>
      <w:bookmarkStart w:id="157" w:name="_Toc23980"/>
      <w:r>
        <w:rPr>
          <w:rFonts w:hint="eastAsia" w:ascii="微软雅黑" w:hAnsi="微软雅黑" w:eastAsia="微软雅黑" w:cs="微软雅黑"/>
          <w:b/>
          <w:bCs/>
          <w:sz w:val="28"/>
          <w:szCs w:val="32"/>
          <w:highlight w:val="none"/>
          <w:lang w:val="en-US" w:eastAsia="zh-CN" w:bidi="ar-SA"/>
        </w:rPr>
        <w:t xml:space="preserve">五、开标与评标</w:t>
      </w:r>
      <w:bookmarkEnd w:id="155"/>
      <w:r/>
      <w:bookmarkEnd w:id="156"/>
      <w:r/>
      <w:bookmarkEnd w:id="157"/>
      <w:r>
        <w:rPr>
          <w:rFonts w:hint="eastAsia" w:ascii="微软雅黑" w:hAnsi="微软雅黑" w:eastAsia="微软雅黑" w:cs="微软雅黑"/>
          <w:b/>
          <w:bCs/>
          <w:sz w:val="28"/>
          <w:szCs w:val="32"/>
          <w:highlight w:val="none"/>
          <w:lang w:val="en-US" w:eastAsia="zh-CN" w:bidi="ar-SA"/>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8" w:name="_Toc7072"/>
      <w:r/>
      <w:bookmarkStart w:id="159" w:name="_Toc4421"/>
      <w:r/>
      <w:bookmarkStart w:id="160" w:name="_Toc5516"/>
      <w:r/>
      <w:bookmarkStart w:id="161" w:name="_Toc21670"/>
      <w:r/>
      <w:bookmarkStart w:id="162" w:name="_Toc452384194"/>
      <w:r>
        <w:rPr>
          <w:rFonts w:hint="eastAsia" w:ascii="微软雅黑" w:hAnsi="微软雅黑" w:eastAsia="微软雅黑" w:cs="微软雅黑"/>
          <w:b/>
          <w:bCs w:val="0"/>
          <w:sz w:val="21"/>
          <w:szCs w:val="21"/>
          <w:highlight w:val="none"/>
        </w:rPr>
        <w:t xml:space="preserve">5.1 投标文件启封</w:t>
      </w:r>
      <w:bookmarkEnd w:id="158"/>
      <w:r/>
      <w:bookmarkEnd w:id="159"/>
      <w:r/>
      <w:bookmarkEnd w:id="160"/>
      <w:r/>
      <w:bookmarkEnd w:id="161"/>
      <w:r/>
      <w:bookmarkEnd w:id="162"/>
      <w:r>
        <w:rPr>
          <w:rFonts w:hint="eastAsia" w:ascii="微软雅黑" w:hAnsi="微软雅黑" w:eastAsia="微软雅黑" w:cs="微软雅黑"/>
          <w:b/>
          <w:bCs w:val="0"/>
          <w:sz w:val="21"/>
          <w:szCs w:val="21"/>
          <w:highlight w:val="none"/>
        </w:rPr>
      </w:r>
      <w:r/>
    </w:p>
    <w:p>
      <w:pPr>
        <w:pStyle w:val="1098"/>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5.1.1</w:t>
      </w:r>
      <w:r>
        <w:rPr>
          <w:rFonts w:hint="eastAsia" w:ascii="微软雅黑" w:hAnsi="微软雅黑" w:eastAsia="微软雅黑" w:cs="微软雅黑"/>
          <w:bCs/>
          <w:sz w:val="21"/>
          <w:szCs w:val="21"/>
          <w:highlight w:val="none"/>
        </w:rPr>
        <w:t xml:space="preserve"> </w:t>
      </w:r>
      <w:r>
        <w:rPr>
          <w:rFonts w:hint="eastAsia" w:ascii="微软雅黑" w:hAnsi="微软雅黑" w:eastAsia="微软雅黑" w:cs="微软雅黑"/>
          <w:sz w:val="21"/>
          <w:szCs w:val="21"/>
          <w:highlight w:val="none"/>
        </w:rPr>
        <w:t xml:space="preserve">采购人、采购代理机构</w:t>
      </w:r>
      <w:r>
        <w:rPr>
          <w:rFonts w:hint="eastAsia" w:ascii="微软雅黑" w:hAnsi="微软雅黑" w:eastAsia="微软雅黑" w:cs="微软雅黑"/>
          <w:bCs/>
          <w:sz w:val="21"/>
          <w:szCs w:val="21"/>
          <w:highlight w:val="none"/>
        </w:rPr>
        <w:t xml:space="preserve">在</w:t>
      </w:r>
      <w:r>
        <w:rPr>
          <w:rFonts w:hint="eastAsia" w:ascii="微软雅黑" w:hAnsi="微软雅黑" w:eastAsia="微软雅黑" w:cs="微软雅黑"/>
          <w:bCs/>
          <w:sz w:val="21"/>
          <w:szCs w:val="21"/>
          <w:highlight w:val="none"/>
          <w:lang w:eastAsia="zh-CN"/>
        </w:rPr>
        <w:t xml:space="preserve">采购公告</w:t>
      </w:r>
      <w:r>
        <w:rPr>
          <w:rFonts w:hint="eastAsia" w:ascii="微软雅黑" w:hAnsi="微软雅黑" w:eastAsia="微软雅黑" w:cs="微软雅黑"/>
          <w:bCs/>
          <w:sz w:val="21"/>
          <w:szCs w:val="21"/>
          <w:highlight w:val="none"/>
        </w:rPr>
        <w:t xml:space="preserve">中规定的时间和地点组织公开开标。投标人按照《操作手册》规定参加开标活动，并在</w:t>
      </w:r>
      <w:bookmarkStart w:id="163" w:name="OLE_LINK3"/>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系统规定的时间内</w:t>
      </w:r>
      <w:bookmarkEnd w:id="163"/>
      <w:r>
        <w:rPr>
          <w:rFonts w:hint="eastAsia" w:ascii="微软雅黑" w:hAnsi="微软雅黑" w:eastAsia="微软雅黑" w:cs="微软雅黑"/>
          <w:bCs/>
          <w:sz w:val="21"/>
          <w:szCs w:val="21"/>
          <w:highlight w:val="none"/>
        </w:rPr>
        <w:t xml:space="preserve">对投标文件进行解密。</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系统公布各投标人名称和投标价格。</w:t>
      </w:r>
      <w:r>
        <w:rPr>
          <w:rFonts w:hint="eastAsia" w:ascii="微软雅黑" w:hAnsi="微软雅黑" w:eastAsia="微软雅黑" w:cs="微软雅黑"/>
          <w:bCs/>
          <w:sz w:val="21"/>
          <w:szCs w:val="21"/>
          <w:highlight w:val="none"/>
        </w:rPr>
      </w:r>
      <w:r/>
    </w:p>
    <w:p>
      <w:pPr>
        <w:pStyle w:val="1098"/>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.2 投标人在开标过程中涉及到的投标文件解密、开标结果确认等工作，应按照《操作手册》规定执行。</w:t>
      </w:r>
      <w:r>
        <w:rPr>
          <w:rFonts w:hint="eastAsia" w:ascii="微软雅黑" w:hAnsi="微软雅黑" w:eastAsia="微软雅黑" w:cs="微软雅黑"/>
          <w:bCs/>
          <w:sz w:val="21"/>
          <w:szCs w:val="21"/>
          <w:highlight w:val="none"/>
        </w:rPr>
      </w:r>
      <w:r/>
    </w:p>
    <w:p>
      <w:pPr>
        <w:pStyle w:val="1098"/>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.3 投标人不足3家的，不得开标。</w:t>
      </w:r>
      <w:r>
        <w:rPr>
          <w:rFonts w:hint="eastAsia" w:ascii="微软雅黑" w:hAnsi="微软雅黑" w:eastAsia="微软雅黑" w:cs="微软雅黑"/>
          <w:bCs/>
          <w:sz w:val="21"/>
          <w:szCs w:val="21"/>
          <w:highlight w:val="none"/>
        </w:rPr>
      </w:r>
      <w:r/>
    </w:p>
    <w:p>
      <w:pPr>
        <w:pStyle w:val="1098"/>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.4 投标人如果对开标过程和开标结果有疑义，应当根据《操作手册》规定提出，</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系统中《开标记录表》公布后5分钟内未提出的，视同认可开标结果。</w:t>
      </w:r>
      <w:r>
        <w:rPr>
          <w:rFonts w:hint="eastAsia" w:ascii="微软雅黑" w:hAnsi="微软雅黑" w:eastAsia="微软雅黑" w:cs="微软雅黑"/>
          <w:bCs/>
          <w:sz w:val="21"/>
          <w:szCs w:val="21"/>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4" w:name="_Toc32095"/>
      <w:r/>
      <w:bookmarkStart w:id="165" w:name="_Toc3406"/>
      <w:r/>
      <w:bookmarkStart w:id="166" w:name="_Toc452384195"/>
      <w:r/>
      <w:bookmarkStart w:id="167" w:name="_Toc15763"/>
      <w:r/>
      <w:bookmarkStart w:id="168" w:name="_Toc6678"/>
      <w:r>
        <w:rPr>
          <w:rFonts w:hint="eastAsia" w:ascii="微软雅黑" w:hAnsi="微软雅黑" w:eastAsia="微软雅黑" w:cs="微软雅黑"/>
          <w:b/>
          <w:bCs w:val="0"/>
          <w:sz w:val="21"/>
          <w:szCs w:val="21"/>
          <w:highlight w:val="none"/>
        </w:rPr>
        <w:t xml:space="preserve">5.2 评标委员会</w:t>
      </w:r>
      <w:bookmarkEnd w:id="164"/>
      <w:r/>
      <w:bookmarkEnd w:id="165"/>
      <w:r/>
      <w:bookmarkEnd w:id="166"/>
      <w:r/>
      <w:bookmarkEnd w:id="167"/>
      <w:r/>
      <w:bookmarkEnd w:id="168"/>
      <w:r>
        <w:rPr>
          <w:rFonts w:hint="eastAsia" w:ascii="微软雅黑" w:hAnsi="微软雅黑" w:eastAsia="微软雅黑" w:cs="微软雅黑"/>
          <w:b/>
          <w:bCs w:val="0"/>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eastAsia="微软雅黑" w:cs="微软雅黑"/>
          <w:sz w:val="21"/>
          <w:szCs w:val="21"/>
          <w:highlight w:val="none"/>
        </w:rPr>
      </w:r>
      <w:r/>
    </w:p>
    <w:p>
      <w:pPr>
        <w:pStyle w:val="1101"/>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9" w:name="_Toc13666"/>
      <w:r/>
      <w:bookmarkStart w:id="170" w:name="_Toc31905"/>
      <w:r/>
      <w:bookmarkStart w:id="171" w:name="_Toc452384196"/>
      <w:r/>
      <w:bookmarkStart w:id="172" w:name="_Toc4587"/>
      <w:r/>
      <w:bookmarkStart w:id="173" w:name="_Toc21669"/>
      <w:r>
        <w:rPr>
          <w:rFonts w:hint="eastAsia" w:ascii="微软雅黑" w:hAnsi="微软雅黑" w:eastAsia="微软雅黑" w:cs="微软雅黑"/>
          <w:b/>
          <w:bCs w:val="0"/>
          <w:sz w:val="21"/>
          <w:szCs w:val="21"/>
          <w:highlight w:val="none"/>
        </w:rPr>
        <w:t xml:space="preserve">5.3 对投标文件的资格性审查和符合性审查</w:t>
      </w:r>
      <w:bookmarkEnd w:id="169"/>
      <w:r/>
      <w:bookmarkEnd w:id="170"/>
      <w:r/>
      <w:bookmarkEnd w:id="171"/>
      <w:r/>
      <w:bookmarkEnd w:id="172"/>
      <w:r/>
      <w:bookmarkEnd w:id="173"/>
      <w:r>
        <w:rPr>
          <w:rFonts w:hint="eastAsia" w:ascii="微软雅黑" w:hAnsi="微软雅黑" w:eastAsia="微软雅黑" w:cs="微软雅黑"/>
          <w:b/>
          <w:bCs w:val="0"/>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5.3.1 资格性审查的内容包括：</w:t>
      </w:r>
      <w:r>
        <w:rPr>
          <w:rFonts w:hint="eastAsia" w:ascii="微软雅黑" w:hAnsi="微软雅黑" w:eastAsia="微软雅黑" w:cs="微软雅黑"/>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（1）供应商资质（采购文件第一章要求）；</w:t>
      </w:r>
      <w:r>
        <w:rPr>
          <w:rFonts w:hint="eastAsia" w:ascii="微软雅黑" w:hAnsi="微软雅黑" w:eastAsia="微软雅黑" w:cs="微软雅黑"/>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（2）投标保证金交纳情况（采购文件第二章供应商须知前附表要求）；</w:t>
      </w:r>
      <w:r>
        <w:rPr>
          <w:rFonts w:hint="eastAsia" w:ascii="微软雅黑" w:hAnsi="微软雅黑" w:eastAsia="微软雅黑" w:cs="微软雅黑"/>
          <w:sz w:val="21"/>
          <w:szCs w:val="21"/>
          <w:highlight w:val="none"/>
        </w:rPr>
      </w:r>
      <w:r/>
    </w:p>
    <w:p>
      <w:pPr>
        <w:pStyle w:val="109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5.3.2 符合性审查的内容包括：</w:t>
      </w:r>
      <w:r>
        <w:rPr>
          <w:rFonts w:hint="eastAsia" w:ascii="微软雅黑" w:hAnsi="微软雅黑" w:eastAsia="微软雅黑" w:cs="微软雅黑"/>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投标文件的有效性(签署、盖章情况等)；</w:t>
      </w:r>
      <w:r>
        <w:rPr>
          <w:rFonts w:hint="eastAsia" w:ascii="微软雅黑" w:hAnsi="微软雅黑" w:eastAsia="微软雅黑" w:cs="微软雅黑"/>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）投标报价是否超过</w:t>
      </w:r>
      <w:r>
        <w:rPr>
          <w:rFonts w:hint="eastAsia" w:ascii="微软雅黑" w:hAnsi="微软雅黑" w:cs="微软雅黑"/>
          <w:sz w:val="21"/>
          <w:szCs w:val="21"/>
          <w:highlight w:val="none"/>
          <w:lang w:eastAsia="zh-CN"/>
        </w:rPr>
        <w:t xml:space="preserve">每分包</w:t>
      </w:r>
      <w:r>
        <w:rPr>
          <w:rFonts w:hint="eastAsia" w:ascii="微软雅黑" w:hAnsi="微软雅黑" w:eastAsia="微软雅黑" w:cs="微软雅黑"/>
          <w:sz w:val="21"/>
          <w:szCs w:val="21"/>
          <w:highlight w:val="none"/>
        </w:rPr>
        <w:t xml:space="preserve">最高限价；</w:t>
      </w:r>
      <w:r>
        <w:rPr>
          <w:rFonts w:hint="eastAsia" w:ascii="微软雅黑" w:hAnsi="微软雅黑" w:eastAsia="微软雅黑" w:cs="微软雅黑"/>
          <w:sz w:val="21"/>
          <w:szCs w:val="21"/>
          <w:highlight w:val="none"/>
        </w:rPr>
      </w:r>
      <w:r/>
    </w:p>
    <w:p>
      <w:pPr>
        <w:pStyle w:val="1098"/>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）对采购文件的响应程度（</w:t>
      </w:r>
      <w:r>
        <w:rPr>
          <w:rFonts w:hint="eastAsia"/>
          <w:lang w:val="en-US" w:eastAsia="zh-CN"/>
        </w:rPr>
        <w:t xml:space="preserve">是否有实质性响应偏离</w:t>
      </w:r>
      <w:r>
        <w:rPr>
          <w:rFonts w:hint="eastAsia" w:ascii="微软雅黑" w:hAnsi="微软雅黑" w:eastAsia="微软雅黑" w:cs="微软雅黑"/>
          <w:sz w:val="21"/>
          <w:szCs w:val="21"/>
          <w:highlight w:val="none"/>
        </w:rPr>
        <w:t xml:space="preserve">等）。</w:t>
      </w:r>
      <w:r>
        <w:rPr>
          <w:rFonts w:hint="eastAsia" w:ascii="微软雅黑" w:hAnsi="微软雅黑" w:eastAsia="微软雅黑" w:cs="微软雅黑"/>
          <w:sz w:val="21"/>
          <w:szCs w:val="21"/>
          <w:highlight w:val="none"/>
        </w:rPr>
      </w:r>
      <w:r/>
    </w:p>
    <w:p>
      <w:pPr>
        <w:pStyle w:val="1098"/>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highlight w:val="none"/>
          <w:u w:val="single"/>
        </w:rPr>
      </w:r>
      <w:r/>
    </w:p>
    <w:p>
      <w:pPr>
        <w:pStyle w:val="1098"/>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1098"/>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5.3.4评标委员会在初审中，对算术错误的修正原则如下:</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（1）开标一览表内容与投标文件中明细表内容不一致的，以开标一览表为准；</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（2）投标文件的大写金额和小写金额不一致的，以大写金额为准；</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（3）总价金额与按单价汇总金额不一致的，以单价金额计算结果为准；</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（4）单价金额小数点有明显错位的，以总价为准并修改单价；</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（5）若供应商不同意以上修正，该投标文件将视为无效。</w:t>
      </w:r>
      <w:r>
        <w:rPr>
          <w:rFonts w:hint="eastAsia" w:ascii="微软雅黑" w:hAnsi="微软雅黑" w:cs="微软雅黑"/>
          <w:highlight w:val="none"/>
        </w:rPr>
      </w:r>
      <w:r/>
    </w:p>
    <w:p>
      <w:pPr>
        <w:pStyle w:val="1280"/>
        <w:spacing w:line="420" w:lineRule="exact"/>
        <w:rPr>
          <w:rFonts w:hint="eastAsia" w:ascii="微软雅黑" w:hAnsi="微软雅黑" w:cs="微软雅黑"/>
          <w:bCs w:val="0"/>
          <w:sz w:val="24"/>
          <w:szCs w:val="24"/>
          <w:highlight w:val="none"/>
        </w:rPr>
      </w:pPr>
      <w:r/>
      <w:bookmarkStart w:id="174" w:name="_Toc23900"/>
      <w:r/>
      <w:bookmarkStart w:id="175" w:name="_Toc5896"/>
      <w:r/>
      <w:bookmarkStart w:id="176" w:name="_Toc9824"/>
      <w:r/>
      <w:bookmarkStart w:id="177" w:name="_Toc3913"/>
      <w:r/>
      <w:bookmarkStart w:id="178" w:name="_Toc452384197"/>
      <w:r>
        <w:rPr>
          <w:rFonts w:hint="eastAsia" w:ascii="微软雅黑" w:hAnsi="微软雅黑" w:cs="微软雅黑"/>
          <w:bCs w:val="0"/>
          <w:sz w:val="24"/>
          <w:szCs w:val="24"/>
          <w:highlight w:val="none"/>
        </w:rPr>
        <w:t xml:space="preserve">5.4投标文件的澄清</w:t>
      </w:r>
      <w:bookmarkEnd w:id="174"/>
      <w:r/>
      <w:bookmarkEnd w:id="175"/>
      <w:r/>
      <w:bookmarkEnd w:id="176"/>
      <w:r/>
      <w:bookmarkEnd w:id="177"/>
      <w:r/>
      <w:bookmarkEnd w:id="178"/>
      <w:r>
        <w:rPr>
          <w:rFonts w:hint="eastAsia" w:ascii="微软雅黑" w:hAnsi="微软雅黑" w:cs="微软雅黑"/>
          <w:bCs w:val="0"/>
          <w:sz w:val="24"/>
          <w:szCs w:val="24"/>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5.4.3供应商不按评标委员会规定的时间和地点作书面澄清，将视为放弃该权利。</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5.4.4并非每个供应商都将被要求澄清。</w:t>
      </w:r>
      <w:r>
        <w:rPr>
          <w:rFonts w:hint="eastAsia" w:ascii="微软雅黑" w:hAnsi="微软雅黑" w:cs="微软雅黑"/>
          <w:highlight w:val="none"/>
        </w:rPr>
      </w:r>
      <w:r/>
    </w:p>
    <w:p>
      <w:pPr>
        <w:pStyle w:val="1280"/>
        <w:spacing w:line="420" w:lineRule="exact"/>
        <w:rPr>
          <w:rFonts w:hint="eastAsia" w:ascii="微软雅黑" w:hAnsi="微软雅黑" w:cs="微软雅黑"/>
          <w:bCs w:val="0"/>
          <w:sz w:val="24"/>
          <w:szCs w:val="24"/>
          <w:highlight w:val="none"/>
        </w:rPr>
      </w:pPr>
      <w:r/>
      <w:bookmarkStart w:id="179" w:name="_Toc2242"/>
      <w:r/>
      <w:bookmarkStart w:id="180" w:name="_Toc6372"/>
      <w:r/>
      <w:bookmarkStart w:id="181" w:name="_Toc24363"/>
      <w:r/>
      <w:bookmarkStart w:id="182" w:name="_Toc452384198"/>
      <w:r/>
      <w:bookmarkStart w:id="183" w:name="_Toc27862"/>
      <w:r>
        <w:rPr>
          <w:rFonts w:hint="eastAsia" w:ascii="微软雅黑" w:hAnsi="微软雅黑" w:cs="微软雅黑"/>
          <w:bCs w:val="0"/>
          <w:sz w:val="24"/>
          <w:szCs w:val="24"/>
          <w:highlight w:val="none"/>
        </w:rPr>
        <w:t xml:space="preserve">5.5评标及中标</w:t>
      </w:r>
      <w:bookmarkEnd w:id="179"/>
      <w:r/>
      <w:bookmarkEnd w:id="180"/>
      <w:r/>
      <w:bookmarkEnd w:id="181"/>
      <w:r/>
      <w:bookmarkEnd w:id="182"/>
      <w:r/>
      <w:bookmarkEnd w:id="183"/>
      <w:r>
        <w:rPr>
          <w:rFonts w:hint="eastAsia" w:ascii="微软雅黑" w:hAnsi="微软雅黑" w:cs="微软雅黑"/>
          <w:bCs w:val="0"/>
          <w:sz w:val="24"/>
          <w:szCs w:val="24"/>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5.5.1评标委员会将对通过资格性审查和符合性审查的投标文件进行评价和比较。</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280"/>
        <w:spacing w:line="420" w:lineRule="exact"/>
        <w:rPr>
          <w:rFonts w:hint="eastAsia" w:ascii="微软雅黑" w:hAnsi="微软雅黑" w:cs="微软雅黑"/>
          <w:bCs w:val="0"/>
          <w:sz w:val="24"/>
          <w:szCs w:val="24"/>
          <w:highlight w:val="none"/>
        </w:rPr>
      </w:pPr>
      <w:r/>
      <w:bookmarkStart w:id="184" w:name="_Toc11345"/>
      <w:r/>
      <w:bookmarkStart w:id="185" w:name="_Toc21574"/>
      <w:r/>
      <w:bookmarkStart w:id="186" w:name="_Toc25985"/>
      <w:r/>
      <w:bookmarkStart w:id="187" w:name="_Toc452384199"/>
      <w:r/>
      <w:bookmarkStart w:id="188" w:name="_Toc26358"/>
      <w:r>
        <w:rPr>
          <w:rFonts w:hint="eastAsia" w:ascii="微软雅黑" w:hAnsi="微软雅黑" w:cs="微软雅黑"/>
          <w:bCs w:val="0"/>
          <w:sz w:val="24"/>
          <w:szCs w:val="24"/>
          <w:highlight w:val="none"/>
        </w:rPr>
        <w:t xml:space="preserve">5.6评标过程保密</w:t>
      </w:r>
      <w:bookmarkEnd w:id="184"/>
      <w:r/>
      <w:bookmarkEnd w:id="185"/>
      <w:r/>
      <w:bookmarkEnd w:id="186"/>
      <w:r/>
      <w:bookmarkEnd w:id="187"/>
      <w:r/>
      <w:bookmarkEnd w:id="188"/>
      <w:r>
        <w:rPr>
          <w:rFonts w:hint="eastAsia" w:ascii="微软雅黑" w:hAnsi="微软雅黑" w:cs="微软雅黑"/>
          <w:bCs w:val="0"/>
          <w:sz w:val="24"/>
          <w:szCs w:val="24"/>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5.6.2供应商不得探听上述信息，不得以任何行为影响评标过程，否则其投标文件将被作无效处理。</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5.6.3在评标期间，采购代理机构将有专门人员与供应商进行联络。</w:t>
      </w:r>
      <w:r>
        <w:rPr>
          <w:rFonts w:hint="eastAsia" w:ascii="微软雅黑" w:hAnsi="微软雅黑" w:cs="微软雅黑"/>
          <w:highlight w:val="none"/>
        </w:rPr>
      </w:r>
      <w:r/>
    </w:p>
    <w:p>
      <w:pPr>
        <w:pStyle w:val="1280"/>
        <w:spacing w:line="420" w:lineRule="exact"/>
        <w:rPr>
          <w:rFonts w:hint="eastAsia" w:ascii="微软雅黑" w:hAnsi="微软雅黑" w:cs="微软雅黑"/>
          <w:bCs w:val="0"/>
          <w:sz w:val="24"/>
          <w:szCs w:val="24"/>
          <w:highlight w:val="none"/>
        </w:rPr>
      </w:pPr>
      <w:r/>
      <w:bookmarkStart w:id="189" w:name="_Toc13403"/>
      <w:r/>
      <w:bookmarkStart w:id="190" w:name="_Toc23087"/>
      <w:r/>
      <w:bookmarkStart w:id="191" w:name="_Toc452384200"/>
      <w:r/>
      <w:bookmarkStart w:id="192" w:name="_Toc11696"/>
      <w:r/>
      <w:bookmarkStart w:id="193" w:name="_Toc6161"/>
      <w:r>
        <w:rPr>
          <w:rFonts w:hint="eastAsia" w:ascii="微软雅黑" w:hAnsi="微软雅黑" w:cs="微软雅黑"/>
          <w:bCs w:val="0"/>
          <w:sz w:val="24"/>
          <w:szCs w:val="24"/>
          <w:highlight w:val="none"/>
        </w:rPr>
        <w:t xml:space="preserve">5.7投标截止时间结束后参加供应商不足三家情况的处理</w:t>
      </w:r>
      <w:bookmarkEnd w:id="189"/>
      <w:r/>
      <w:bookmarkEnd w:id="190"/>
      <w:r/>
      <w:bookmarkEnd w:id="191"/>
      <w:r/>
      <w:bookmarkEnd w:id="192"/>
      <w:r/>
      <w:bookmarkEnd w:id="193"/>
      <w:r>
        <w:rPr>
          <w:rFonts w:hint="eastAsia" w:ascii="微软雅黑" w:hAnsi="微软雅黑" w:cs="微软雅黑"/>
          <w:bCs w:val="0"/>
          <w:sz w:val="24"/>
          <w:szCs w:val="24"/>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1098"/>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280"/>
        <w:spacing w:line="420" w:lineRule="exact"/>
        <w:rPr>
          <w:rFonts w:hint="eastAsia" w:ascii="微软雅黑" w:hAnsi="微软雅黑" w:cs="微软雅黑"/>
          <w:bCs w:val="0"/>
          <w:sz w:val="24"/>
          <w:szCs w:val="24"/>
          <w:highlight w:val="none"/>
        </w:rPr>
      </w:pPr>
      <w:r/>
      <w:bookmarkStart w:id="194" w:name="_Toc452384201"/>
      <w:r/>
      <w:bookmarkStart w:id="195" w:name="_Toc12833"/>
      <w:r/>
      <w:bookmarkStart w:id="196" w:name="_Toc31001"/>
      <w:r/>
      <w:bookmarkStart w:id="197" w:name="_Toc3515"/>
      <w:r/>
      <w:bookmarkStart w:id="198" w:name="_Toc14481"/>
      <w:r>
        <w:rPr>
          <w:rFonts w:hint="eastAsia" w:ascii="微软雅黑" w:hAnsi="微软雅黑" w:cs="微软雅黑"/>
          <w:bCs w:val="0"/>
          <w:sz w:val="24"/>
          <w:szCs w:val="24"/>
          <w:highlight w:val="none"/>
        </w:rPr>
        <w:t xml:space="preserve">5.8废标（终止采购活动）</w:t>
      </w:r>
      <w:bookmarkEnd w:id="194"/>
      <w:r/>
      <w:bookmarkEnd w:id="195"/>
      <w:r/>
      <w:bookmarkEnd w:id="196"/>
      <w:r/>
      <w:bookmarkEnd w:id="197"/>
      <w:r/>
      <w:bookmarkEnd w:id="198"/>
      <w:r>
        <w:rPr>
          <w:rFonts w:hint="eastAsia" w:ascii="微软雅黑" w:hAnsi="微软雅黑" w:cs="微软雅黑"/>
          <w:bCs w:val="0"/>
          <w:sz w:val="24"/>
          <w:szCs w:val="24"/>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5.8.1需要审批的项目符合专业条件的供应商或者对采购文件作实质响应的供应商不足三家的；</w:t>
      </w:r>
      <w:r>
        <w:rPr>
          <w:rFonts w:hint="eastAsia" w:ascii="微软雅黑" w:hAnsi="微软雅黑" w:cs="微软雅黑"/>
          <w:highlight w:val="none"/>
        </w:rPr>
      </w:r>
      <w:r/>
    </w:p>
    <w:p>
      <w:pPr>
        <w:pStyle w:val="1098"/>
        <w:spacing w:line="420" w:lineRule="exact"/>
        <w:rPr>
          <w:rFonts w:hint="eastAsia" w:ascii="微软雅黑" w:hAnsi="微软雅黑" w:cs="微软雅黑"/>
          <w:highlight w:val="none"/>
        </w:rPr>
      </w:pPr>
      <w:r>
        <w:rPr>
          <w:rFonts w:hint="eastAsia" w:ascii="微软雅黑" w:hAnsi="微软雅黑" w:cs="微软雅黑"/>
          <w:highlight w:val="none"/>
        </w:rPr>
        <w:t xml:space="preserve">5.8.2出现影响采购公正的违法、违规行为的；</w:t>
      </w:r>
      <w:r>
        <w:rPr>
          <w:rFonts w:hint="eastAsia" w:ascii="微软雅黑" w:hAnsi="微软雅黑" w:cs="微软雅黑"/>
          <w:highlight w:val="none"/>
        </w:rPr>
      </w:r>
      <w:r/>
    </w:p>
    <w:p>
      <w:pPr>
        <w:pStyle w:val="1098"/>
        <w:spacing w:line="420" w:lineRule="exact"/>
        <w:rPr>
          <w:rFonts w:hint="eastAsia" w:ascii="微软雅黑" w:hAnsi="微软雅黑" w:cs="微软雅黑"/>
        </w:rPr>
      </w:pPr>
      <w:r>
        <w:rPr>
          <w:rFonts w:hint="eastAsia" w:ascii="微软雅黑" w:hAnsi="微软雅黑" w:cs="微软雅黑"/>
        </w:rPr>
        <w:t xml:space="preserve">5.8.3供应商的报价均超过了采购</w:t>
      </w:r>
      <w:r>
        <w:rPr>
          <w:rFonts w:hint="eastAsia" w:ascii="微软雅黑" w:hAnsi="微软雅黑" w:cs="微软雅黑"/>
          <w:lang w:eastAsia="zh-CN"/>
        </w:rPr>
        <w:t xml:space="preserve">每分包限价</w:t>
      </w:r>
      <w:r>
        <w:rPr>
          <w:rFonts w:hint="eastAsia" w:ascii="微软雅黑" w:hAnsi="微软雅黑" w:cs="微软雅黑"/>
        </w:rPr>
        <w:t xml:space="preserve">，采购人不能支付的；</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rPr>
          <w:rFonts w:hint="eastAsia" w:ascii="微软雅黑" w:hAnsi="微软雅黑" w:cs="微软雅黑"/>
        </w:rPr>
      </w:r>
      <w:r/>
    </w:p>
    <w:p>
      <w:pPr>
        <w:pStyle w:val="1280"/>
        <w:spacing w:line="420" w:lineRule="exact"/>
        <w:rPr>
          <w:rFonts w:hint="eastAsia" w:ascii="微软雅黑" w:hAnsi="微软雅黑" w:cs="微软雅黑"/>
          <w:bCs w:val="0"/>
          <w:sz w:val="24"/>
          <w:szCs w:val="24"/>
        </w:rPr>
      </w:pPr>
      <w:r/>
      <w:bookmarkStart w:id="199" w:name="_Toc26119"/>
      <w:r/>
      <w:bookmarkStart w:id="200" w:name="_Toc1138"/>
      <w:r/>
      <w:bookmarkStart w:id="201" w:name="_Toc18356"/>
      <w:r/>
      <w:bookmarkStart w:id="202" w:name="_Toc25877"/>
      <w:r>
        <w:rPr>
          <w:rFonts w:hint="eastAsia" w:ascii="微软雅黑" w:hAnsi="微软雅黑" w:cs="微软雅黑"/>
          <w:bCs w:val="0"/>
          <w:sz w:val="24"/>
          <w:szCs w:val="24"/>
        </w:rPr>
        <w:t xml:space="preserve">5.9有下列情形之一的，视为投标供应商串通投标，其投标无效：</w:t>
      </w:r>
      <w:bookmarkEnd w:id="199"/>
      <w:r/>
      <w:bookmarkEnd w:id="200"/>
      <w:r/>
      <w:bookmarkEnd w:id="201"/>
      <w:r/>
      <w:bookmarkEnd w:id="202"/>
      <w:r>
        <w:rPr>
          <w:rFonts w:hint="eastAsia" w:ascii="微软雅黑" w:hAnsi="微软雅黑" w:cs="微软雅黑"/>
          <w:bCs w:val="0"/>
          <w:sz w:val="24"/>
          <w:szCs w:val="24"/>
        </w:rPr>
      </w:r>
      <w:r/>
    </w:p>
    <w:p>
      <w:pPr>
        <w:pStyle w:val="1098"/>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hint="eastAsia" w:ascii="微软雅黑" w:hAnsi="微软雅黑" w:cs="微软雅黑"/>
        </w:rPr>
      </w:r>
      <w:r/>
    </w:p>
    <w:p>
      <w:pPr>
        <w:pStyle w:val="1282"/>
        <w:spacing w:line="420" w:lineRule="exact"/>
        <w:rPr>
          <w:rFonts w:hint="eastAsia" w:ascii="微软雅黑" w:hAnsi="微软雅黑" w:cs="微软雅黑"/>
        </w:rPr>
      </w:pPr>
      <w:r/>
      <w:bookmarkStart w:id="203" w:name="_Toc15764"/>
      <w:r/>
      <w:bookmarkStart w:id="204" w:name="_Toc16539"/>
      <w:r/>
      <w:bookmarkStart w:id="205" w:name="_Toc2217"/>
      <w:r/>
      <w:bookmarkStart w:id="206" w:name="_Toc25642"/>
      <w:r/>
      <w:bookmarkStart w:id="207" w:name="_Toc452384202"/>
      <w:r>
        <w:rPr>
          <w:rFonts w:hint="eastAsia" w:ascii="微软雅黑" w:hAnsi="微软雅黑" w:cs="微软雅黑"/>
        </w:rPr>
        <w:t xml:space="preserve">六、合同授予及签订</w:t>
      </w:r>
      <w:bookmarkEnd w:id="203"/>
      <w:r/>
      <w:bookmarkEnd w:id="204"/>
      <w:r/>
      <w:bookmarkEnd w:id="205"/>
      <w:r/>
      <w:bookmarkEnd w:id="206"/>
      <w:r/>
      <w:bookmarkEnd w:id="207"/>
      <w:r>
        <w:rPr>
          <w:rFonts w:hint="eastAsia" w:ascii="微软雅黑" w:hAnsi="微软雅黑" w:cs="微软雅黑"/>
        </w:rPr>
      </w:r>
      <w:r/>
    </w:p>
    <w:p>
      <w:pPr>
        <w:pStyle w:val="1280"/>
        <w:spacing w:line="420" w:lineRule="exact"/>
        <w:rPr>
          <w:rFonts w:hint="eastAsia" w:ascii="微软雅黑" w:hAnsi="微软雅黑" w:cs="微软雅黑"/>
          <w:bCs w:val="0"/>
          <w:sz w:val="24"/>
          <w:szCs w:val="24"/>
        </w:rPr>
      </w:pPr>
      <w:r/>
      <w:bookmarkStart w:id="208" w:name="_Toc6552"/>
      <w:r/>
      <w:bookmarkStart w:id="209" w:name="_Toc2419"/>
      <w:r/>
      <w:bookmarkStart w:id="210" w:name="_Toc452384203"/>
      <w:r/>
      <w:bookmarkStart w:id="211" w:name="_Toc11683"/>
      <w:r/>
      <w:bookmarkStart w:id="212" w:name="_Toc6259"/>
      <w:r>
        <w:rPr>
          <w:rFonts w:hint="eastAsia" w:ascii="微软雅黑" w:hAnsi="微软雅黑" w:cs="微软雅黑"/>
          <w:bCs w:val="0"/>
          <w:sz w:val="24"/>
          <w:szCs w:val="24"/>
        </w:rPr>
        <w:t xml:space="preserve">6.1确定中标、成交供应商</w:t>
      </w:r>
      <w:bookmarkEnd w:id="208"/>
      <w:r/>
      <w:bookmarkEnd w:id="209"/>
      <w:r/>
      <w:bookmarkEnd w:id="210"/>
      <w:r/>
      <w:bookmarkEnd w:id="211"/>
      <w:r/>
      <w:bookmarkEnd w:id="212"/>
      <w:r>
        <w:rPr>
          <w:rFonts w:hint="eastAsia" w:ascii="微软雅黑" w:hAnsi="微软雅黑" w:cs="微软雅黑"/>
          <w:bCs w:val="0"/>
          <w:sz w:val="24"/>
          <w:szCs w:val="24"/>
        </w:rPr>
      </w:r>
      <w:r/>
    </w:p>
    <w:p>
      <w:pPr>
        <w:pStyle w:val="1098"/>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280"/>
        <w:spacing w:line="420" w:lineRule="exact"/>
        <w:rPr>
          <w:rFonts w:hint="eastAsia" w:ascii="微软雅黑" w:hAnsi="微软雅黑" w:cs="微软雅黑"/>
          <w:bCs w:val="0"/>
          <w:sz w:val="24"/>
          <w:szCs w:val="24"/>
        </w:rPr>
      </w:pPr>
      <w:r/>
      <w:bookmarkStart w:id="213" w:name="_Toc14115"/>
      <w:r/>
      <w:bookmarkStart w:id="214" w:name="_Toc26991"/>
      <w:r/>
      <w:bookmarkStart w:id="215" w:name="_Toc452384204"/>
      <w:r/>
      <w:bookmarkStart w:id="216" w:name="_Toc24458"/>
      <w:r/>
      <w:bookmarkStart w:id="217" w:name="_Toc10695"/>
      <w:r>
        <w:rPr>
          <w:rFonts w:hint="eastAsia" w:ascii="微软雅黑" w:hAnsi="微软雅黑" w:cs="微软雅黑"/>
          <w:bCs w:val="0"/>
          <w:sz w:val="24"/>
          <w:szCs w:val="24"/>
        </w:rPr>
        <w:t xml:space="preserve">6.2质疑处理</w:t>
      </w:r>
      <w:bookmarkEnd w:id="213"/>
      <w:r/>
      <w:bookmarkEnd w:id="214"/>
      <w:r/>
      <w:bookmarkEnd w:id="215"/>
      <w:r/>
      <w:bookmarkEnd w:id="216"/>
      <w:r/>
      <w:bookmarkEnd w:id="217"/>
      <w:r>
        <w:rPr>
          <w:rFonts w:hint="eastAsia" w:ascii="微软雅黑" w:hAnsi="微软雅黑" w:cs="微软雅黑"/>
          <w:bCs w:val="0"/>
          <w:sz w:val="24"/>
          <w:szCs w:val="24"/>
        </w:rPr>
      </w:r>
      <w:r/>
    </w:p>
    <w:p>
      <w:pPr>
        <w:pStyle w:val="1098"/>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280"/>
        <w:spacing w:line="420" w:lineRule="exact"/>
        <w:rPr>
          <w:rFonts w:hint="eastAsia" w:ascii="微软雅黑" w:hAnsi="微软雅黑" w:cs="微软雅黑"/>
          <w:bCs w:val="0"/>
          <w:sz w:val="24"/>
          <w:szCs w:val="24"/>
        </w:rPr>
      </w:pPr>
      <w:r/>
      <w:bookmarkStart w:id="218" w:name="_Toc29601"/>
      <w:r/>
      <w:bookmarkStart w:id="219" w:name="_Toc13396"/>
      <w:r/>
      <w:bookmarkStart w:id="220" w:name="_Toc4506"/>
      <w:r/>
      <w:bookmarkStart w:id="221" w:name="_Toc452384205"/>
      <w:r/>
      <w:bookmarkStart w:id="222" w:name="_Toc1781"/>
      <w:r>
        <w:rPr>
          <w:rFonts w:hint="eastAsia" w:ascii="微软雅黑" w:hAnsi="微软雅黑" w:cs="微软雅黑"/>
          <w:bCs w:val="0"/>
          <w:sz w:val="24"/>
          <w:szCs w:val="24"/>
        </w:rPr>
        <w:t xml:space="preserve">6.3中标通知书</w:t>
      </w:r>
      <w:bookmarkEnd w:id="218"/>
      <w:r/>
      <w:bookmarkEnd w:id="219"/>
      <w:r/>
      <w:bookmarkEnd w:id="220"/>
      <w:r/>
      <w:bookmarkEnd w:id="221"/>
      <w:r/>
      <w:bookmarkEnd w:id="222"/>
      <w:r>
        <w:rPr>
          <w:rFonts w:hint="eastAsia" w:ascii="微软雅黑" w:hAnsi="微软雅黑" w:cs="微软雅黑"/>
          <w:bCs w:val="0"/>
          <w:sz w:val="24"/>
          <w:szCs w:val="24"/>
        </w:rPr>
      </w:r>
      <w:r/>
    </w:p>
    <w:p>
      <w:pPr>
        <w:pStyle w:val="1098"/>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280"/>
        <w:spacing w:line="420" w:lineRule="exact"/>
        <w:rPr>
          <w:rFonts w:hint="eastAsia" w:ascii="微软雅黑" w:hAnsi="微软雅黑" w:cs="微软雅黑"/>
          <w:bCs w:val="0"/>
          <w:sz w:val="24"/>
          <w:szCs w:val="24"/>
        </w:rPr>
      </w:pPr>
      <w:r/>
      <w:bookmarkStart w:id="223" w:name="_Toc14281"/>
      <w:r/>
      <w:bookmarkStart w:id="224" w:name="_Toc8978"/>
      <w:r/>
      <w:bookmarkStart w:id="225" w:name="_Toc24863"/>
      <w:r/>
      <w:bookmarkStart w:id="226" w:name="_Toc5936"/>
      <w:r/>
      <w:bookmarkStart w:id="227" w:name="_Toc452384206"/>
      <w:r>
        <w:rPr>
          <w:rFonts w:hint="eastAsia" w:ascii="微软雅黑" w:hAnsi="微软雅黑" w:cs="微软雅黑"/>
          <w:bCs w:val="0"/>
          <w:sz w:val="24"/>
          <w:szCs w:val="24"/>
        </w:rPr>
        <w:t xml:space="preserve">6.4签订合同</w:t>
      </w:r>
      <w:bookmarkEnd w:id="223"/>
      <w:r/>
      <w:bookmarkEnd w:id="224"/>
      <w:r/>
      <w:bookmarkEnd w:id="225"/>
      <w:r/>
      <w:bookmarkEnd w:id="226"/>
      <w:r/>
      <w:bookmarkEnd w:id="227"/>
      <w:r>
        <w:rPr>
          <w:rFonts w:hint="eastAsia" w:ascii="微软雅黑" w:hAnsi="微软雅黑" w:cs="微软雅黑"/>
          <w:bCs w:val="0"/>
          <w:sz w:val="24"/>
          <w:szCs w:val="24"/>
        </w:rPr>
      </w:r>
      <w:r/>
    </w:p>
    <w:p>
      <w:pPr>
        <w:pStyle w:val="1098"/>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1098"/>
        <w:ind w:firstLine="525"/>
        <w:spacing w:line="44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rPr>
        <w:t xml:space="preserve">。</w:t>
      </w:r>
      <w:r>
        <w:rPr>
          <w:rFonts w:ascii="微软雅黑" w:hAnsi="微软雅黑" w:cs="微软雅黑"/>
        </w:rPr>
      </w:r>
      <w:r/>
    </w:p>
    <w:p>
      <w:pPr>
        <w:pStyle w:val="1099"/>
        <w:rPr>
          <w:rFonts w:hint="eastAsia" w:ascii="微软雅黑" w:hAnsi="微软雅黑" w:cs="微软雅黑"/>
        </w:rPr>
      </w:pPr>
      <w:r>
        <w:rPr>
          <w:rFonts w:hint="eastAsia" w:ascii="微软雅黑" w:hAnsi="微软雅黑" w:cs="微软雅黑"/>
        </w:rPr>
        <w:br w:type="page" w:clear="all"/>
      </w:r>
      <w:bookmarkStart w:id="228" w:name="_Toc10431"/>
      <w:r>
        <w:rPr>
          <w:rFonts w:hint="eastAsia" w:ascii="微软雅黑" w:hAnsi="微软雅黑" w:cs="微软雅黑"/>
        </w:rPr>
        <w:t xml:space="preserve">第三章 评标办法和定标原则</w:t>
      </w:r>
      <w:bookmarkEnd w:id="228"/>
      <w:r>
        <w:rPr>
          <w:rFonts w:hint="eastAsia" w:ascii="微软雅黑" w:hAnsi="微软雅黑" w:cs="微软雅黑"/>
        </w:rPr>
      </w:r>
      <w:r/>
    </w:p>
    <w:p>
      <w:pPr>
        <w:pStyle w:val="1098"/>
        <w:ind w:firstLine="420"/>
        <w:spacing w:line="420" w:lineRule="exact"/>
        <w:rPr>
          <w:rFonts w:hint="eastAsia" w:ascii="微软雅黑" w:hAnsi="微软雅黑" w:eastAsia="微软雅黑" w:cs="微软雅黑"/>
        </w:rPr>
      </w:pPr>
      <w:r>
        <w:rPr>
          <w:rFonts w:hint="eastAsia" w:ascii="微软雅黑" w:hAnsi="微软雅黑" w:eastAsia="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eastAsia="微软雅黑" w:cs="微软雅黑"/>
        </w:rPr>
      </w:r>
      <w:r/>
    </w:p>
    <w:p>
      <w:pPr>
        <w:pStyle w:val="1098"/>
        <w:numPr>
          <w:ilvl w:val="0"/>
          <w:numId w:val="0"/>
        </w:numPr>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评审过程中出现下列情形之一的，评审委员会应当启动异常低价投标（响应）审查程序：</w:t>
      </w:r>
      <w:r>
        <w:rPr>
          <w:rFonts w:hint="eastAsia" w:ascii="微软雅黑" w:hAnsi="微软雅黑" w:eastAsia="微软雅黑" w:cs="微软雅黑"/>
        </w:rPr>
      </w:r>
      <w:r/>
    </w:p>
    <w:p>
      <w:pPr>
        <w:pStyle w:val="1098"/>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（1）投标（响应）报价低于采购项目预算50%的；</w:t>
      </w:r>
      <w:r>
        <w:rPr>
          <w:rFonts w:hint="eastAsia" w:ascii="微软雅黑" w:hAnsi="微软雅黑" w:eastAsia="微软雅黑" w:cs="微软雅黑"/>
        </w:rPr>
      </w:r>
      <w:r/>
    </w:p>
    <w:p>
      <w:pPr>
        <w:pStyle w:val="1098"/>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（2）投标（响应）报价低于采购项目最高限价45%的；</w:t>
      </w:r>
      <w:r>
        <w:rPr>
          <w:rFonts w:hint="eastAsia" w:ascii="微软雅黑" w:hAnsi="微软雅黑" w:eastAsia="微软雅黑" w:cs="微软雅黑"/>
        </w:rPr>
      </w:r>
      <w:r/>
    </w:p>
    <w:p>
      <w:pPr>
        <w:pStyle w:val="1098"/>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（3）评审委员会认定的供应商报价过低、有可能影响产品质量或者不能诚信履约的其他情形。</w:t>
      </w:r>
      <w:r>
        <w:rPr>
          <w:rFonts w:hint="eastAsia" w:ascii="微软雅黑" w:hAnsi="微软雅黑" w:eastAsia="微软雅黑" w:cs="微软雅黑"/>
        </w:rPr>
      </w:r>
      <w:r/>
    </w:p>
    <w:p>
      <w:pPr>
        <w:pStyle w:val="1098"/>
        <w:ind w:firstLine="420"/>
        <w:spacing w:line="440" w:lineRule="exact"/>
        <w:rPr>
          <w:rFonts w:hint="eastAsia" w:ascii="微软雅黑" w:hAnsi="微软雅黑" w:cs="微软雅黑"/>
          <w:b/>
          <w:bCs/>
          <w:highlight w:val="none"/>
        </w:rPr>
      </w:pPr>
      <w:r>
        <w:rPr>
          <w:rFonts w:hint="eastAsia" w:ascii="微软雅黑" w:hAnsi="微软雅黑" w:eastAsia="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highlight w:val="none"/>
        </w:rPr>
        <w:t xml:space="preserve">。</w:t>
      </w:r>
      <w:r>
        <w:rPr>
          <w:rFonts w:hint="eastAsia" w:ascii="微软雅黑" w:hAnsi="微软雅黑" w:cs="微软雅黑"/>
          <w:b/>
          <w:bCs/>
          <w:highlight w:val="none"/>
        </w:rPr>
      </w:r>
      <w:r/>
    </w:p>
    <w:p>
      <w:pPr>
        <w:pStyle w:val="1098"/>
        <w:ind w:firstLine="420"/>
        <w:spacing w:line="440" w:lineRule="exact"/>
        <w:rPr>
          <w:rFonts w:hint="eastAsia" w:ascii="微软雅黑" w:hAnsi="微软雅黑" w:cs="微软雅黑"/>
        </w:rPr>
      </w:pPr>
      <w:r>
        <w:rPr>
          <w:rFonts w:hint="eastAsia" w:ascii="微软雅黑" w:hAnsi="微软雅黑" w:cs="微软雅黑"/>
        </w:rPr>
      </w:r>
      <w:r/>
    </w:p>
    <w:p>
      <w:pPr>
        <w:pStyle w:val="1098"/>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098"/>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法定代表人授权书盖章原件（法定代表人直接参与磋商的可不提供授权书）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投标报价不得超过每分包最高限价</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98"/>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98"/>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98"/>
              <w:spacing w:line="440" w:lineRule="exact"/>
              <w:rPr>
                <w:rFonts w:hint="eastAsia" w:ascii="微软雅黑" w:hAnsi="微软雅黑" w:cs="微软雅黑"/>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098"/>
              <w:spacing w:line="440" w:lineRule="exact"/>
              <w:rPr>
                <w:rFonts w:hint="eastAsia" w:ascii="微软雅黑" w:hAnsi="微软雅黑" w:cs="微软雅黑"/>
                <w:lang w:val="zh-CN"/>
              </w:rPr>
            </w:pPr>
            <w:r>
              <w:rPr>
                <w:rFonts w:hint="eastAsia"/>
                <w:lang w:val="en-US" w:eastAsia="zh-CN"/>
              </w:rPr>
              <w:t xml:space="preserve">无实质性响应偏离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98"/>
        <w:rPr>
          <w:rFonts w:hint="eastAsia"/>
        </w:rPr>
      </w:pPr>
      <w:r/>
      <w:bookmarkStart w:id="229" w:name="_Hlk72848049"/>
      <w:r>
        <w:rPr>
          <w:rFonts w:hint="eastAsia"/>
          <w:lang w:val="en-US" w:eastAsia="zh-CN"/>
        </w:rPr>
        <w:t xml:space="preserve">（三）</w:t>
      </w:r>
      <w:r>
        <w:rPr>
          <w:rFonts w:hint="eastAsia"/>
        </w:rPr>
        <w:t xml:space="preserve">评分因素及分值（分包一</w:t>
      </w:r>
      <w:r>
        <w:rPr>
          <w:rFonts w:hint="eastAsia"/>
          <w:lang w:eastAsia="zh-CN"/>
        </w:rPr>
        <w:t xml:space="preserve">至分包二</w:t>
      </w:r>
      <w:r>
        <w:rPr>
          <w:rFonts w:hint="eastAsia"/>
        </w:rPr>
        <w:t xml:space="preserve">）</w:t>
      </w:r>
      <w:r>
        <w:rPr>
          <w:rFonts w:hint="eastAsi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tc>
          <w:tcPr>
            <w:tcW w:w="681" w:type="dxa"/>
            <w:vAlign w:val="center"/>
            <w:textDirection w:val="lrTb"/>
            <w:noWrap w:val="false"/>
          </w:tcPr>
          <w:p>
            <w:pPr>
              <w:pStyle w:val="1098"/>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rPr>
                <w:rFonts w:hint="eastAsia" w:ascii="微软雅黑" w:hAnsi="微软雅黑" w:cs="微软雅黑"/>
                <w:b/>
                <w:szCs w:val="21"/>
                <w:highlight w:val="none"/>
              </w:rPr>
            </w:r>
            <w:r/>
          </w:p>
        </w:tc>
        <w:tc>
          <w:tcPr>
            <w:tcW w:w="1104" w:type="dxa"/>
            <w:vAlign w:val="center"/>
            <w:textDirection w:val="lrTb"/>
            <w:noWrap w:val="false"/>
          </w:tcPr>
          <w:p>
            <w:pPr>
              <w:pStyle w:val="1098"/>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评分因素</w:t>
            </w:r>
            <w:r>
              <w:rPr>
                <w:rFonts w:hint="eastAsia" w:ascii="微软雅黑" w:hAnsi="微软雅黑" w:cs="微软雅黑"/>
                <w:b/>
                <w:szCs w:val="21"/>
                <w:highlight w:val="none"/>
              </w:rPr>
            </w:r>
            <w:r/>
          </w:p>
        </w:tc>
        <w:tc>
          <w:tcPr>
            <w:tcW w:w="6510" w:type="dxa"/>
            <w:vAlign w:val="center"/>
            <w:textDirection w:val="lrTb"/>
            <w:noWrap w:val="false"/>
          </w:tcPr>
          <w:p>
            <w:pPr>
              <w:pStyle w:val="1098"/>
              <w:ind w:firstLine="420"/>
              <w:jc w:val="center"/>
              <w:spacing w:line="440" w:lineRule="exact"/>
              <w:rPr>
                <w:rFonts w:hint="eastAsia" w:ascii="微软雅黑" w:hAnsi="微软雅黑" w:cs="微软雅黑"/>
                <w:b/>
                <w:szCs w:val="21"/>
                <w:highlight w:val="none"/>
              </w:rPr>
            </w:pPr>
            <w:r>
              <w:rPr>
                <w:rFonts w:hint="eastAsia" w:ascii="微软雅黑" w:hAnsi="微软雅黑" w:cs="微软雅黑"/>
                <w:b/>
                <w:color w:val="000000"/>
                <w:szCs w:val="21"/>
                <w:highlight w:val="none"/>
              </w:rPr>
              <w:t xml:space="preserve">评审标准</w:t>
            </w:r>
            <w:r>
              <w:rPr>
                <w:rFonts w:hint="eastAsia" w:ascii="微软雅黑" w:hAnsi="微软雅黑" w:cs="微软雅黑"/>
                <w:b/>
                <w:szCs w:val="21"/>
                <w:highlight w:val="none"/>
              </w:rPr>
            </w:r>
            <w:r/>
          </w:p>
        </w:tc>
        <w:tc>
          <w:tcPr>
            <w:tcW w:w="776" w:type="dxa"/>
            <w:vAlign w:val="center"/>
            <w:textDirection w:val="lrTb"/>
            <w:noWrap w:val="false"/>
          </w:tcPr>
          <w:p>
            <w:pPr>
              <w:pStyle w:val="1098"/>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分值</w:t>
            </w:r>
            <w:r>
              <w:rPr>
                <w:rFonts w:hint="eastAsia" w:ascii="微软雅黑" w:hAnsi="微软雅黑" w:cs="微软雅黑"/>
                <w:b/>
                <w:szCs w:val="21"/>
                <w:highlight w:val="none"/>
              </w:rPr>
            </w:r>
            <w:r/>
          </w:p>
        </w:tc>
      </w:tr>
      <w:tr>
        <w:trPr>
          <w:trHeight w:val="90"/>
        </w:trPr>
        <w:tc>
          <w:tcPr>
            <w:tcW w:w="681"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104" w:type="dxa"/>
            <w:vAlign w:val="center"/>
            <w:textDirection w:val="lrTb"/>
            <w:noWrap w:val="false"/>
          </w:tcPr>
          <w:p>
            <w:pPr>
              <w:pStyle w:val="1098"/>
              <w:jc w:val="center"/>
              <w:spacing w:line="440" w:lineRule="exact"/>
              <w:rPr>
                <w:rFonts w:hint="eastAsia" w:ascii="微软雅黑" w:hAnsi="微软雅黑" w:cs="微软雅黑"/>
                <w:szCs w:val="21"/>
                <w:highlight w:val="yellow"/>
              </w:rPr>
            </w:pPr>
            <w:r>
              <w:rPr>
                <w:rFonts w:hint="eastAsia" w:ascii="微软雅黑" w:hAnsi="微软雅黑" w:cs="微软雅黑"/>
                <w:szCs w:val="21"/>
                <w:highlight w:val="none"/>
              </w:rPr>
              <w:t xml:space="preserve">价格</w:t>
            </w:r>
            <w:r>
              <w:rPr>
                <w:rFonts w:hint="eastAsia" w:ascii="微软雅黑" w:hAnsi="微软雅黑" w:cs="微软雅黑"/>
                <w:szCs w:val="21"/>
                <w:highlight w:val="yellow"/>
              </w:rPr>
            </w:r>
            <w:r/>
          </w:p>
        </w:tc>
        <w:tc>
          <w:tcPr>
            <w:tcW w:w="6510" w:type="dxa"/>
            <w:vAlign w:val="center"/>
            <w:textDirection w:val="lrTb"/>
            <w:noWrap w:val="false"/>
          </w:tcPr>
          <w:p>
            <w:pPr>
              <w:pStyle w:val="1098"/>
              <w:jc w:val="left"/>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采用低价优先法计算，满足招标文件要求且价格最低的报价（</w:t>
            </w:r>
            <w:r>
              <w:rPr>
                <w:rFonts w:hint="eastAsia" w:ascii="微软雅黑" w:hAnsi="微软雅黑" w:cs="微软雅黑"/>
                <w:szCs w:val="21"/>
                <w:highlight w:val="none"/>
                <w:lang w:val="en-US" w:eastAsia="zh-CN"/>
              </w:rPr>
              <w:t xml:space="preserve">单</w:t>
            </w:r>
            <w:r>
              <w:rPr>
                <w:rFonts w:hint="eastAsia" w:ascii="微软雅黑" w:hAnsi="微软雅黑" w:cs="微软雅黑"/>
                <w:szCs w:val="21"/>
                <w:highlight w:val="none"/>
                <w:lang w:val="zh-CN"/>
              </w:rPr>
              <w:t xml:space="preserve">年报价）为评标基准价，其价格分为满分。其他供应商的价格分统一按照下列公式计算（小数点保留两位）： </w:t>
            </w:r>
            <w:r>
              <w:rPr>
                <w:rFonts w:hint="eastAsia" w:ascii="微软雅黑" w:hAnsi="微软雅黑" w:cs="微软雅黑"/>
                <w:szCs w:val="21"/>
                <w:highlight w:val="none"/>
                <w:lang w:val="zh-CN"/>
              </w:rPr>
            </w:r>
            <w:r/>
          </w:p>
          <w:p>
            <w:pPr>
              <w:pStyle w:val="1098"/>
              <w:jc w:val="left"/>
              <w:spacing w:line="440" w:lineRule="exact"/>
              <w:tabs>
                <w:tab w:val="left" w:pos="3600" w:leader="none"/>
              </w:tabs>
              <w:rPr>
                <w:rFonts w:ascii="微软雅黑" w:hAnsi="微软雅黑" w:eastAsia="微软雅黑" w:cs="微软雅黑"/>
                <w:szCs w:val="21"/>
                <w:highlight w:val="yellow"/>
                <w:lang w:val="en-US" w:eastAsia="zh-CN"/>
              </w:rPr>
            </w:pPr>
            <w:r>
              <w:rPr>
                <w:rFonts w:hint="eastAsia" w:ascii="微软雅黑" w:hAnsi="微软雅黑" w:cs="微软雅黑"/>
                <w:szCs w:val="21"/>
                <w:highlight w:val="none"/>
                <w:lang w:val="zh-CN"/>
              </w:rPr>
              <w:t xml:space="preserve">报价得分=（评标基准价／报价）×</w:t>
            </w: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yellow"/>
                <w:lang w:val="en-US" w:eastAsia="zh-CN"/>
              </w:rPr>
            </w:r>
            <w:r/>
          </w:p>
        </w:tc>
        <w:tc>
          <w:tcPr>
            <w:tcW w:w="776" w:type="dxa"/>
            <w:vAlign w:val="center"/>
            <w:textDirection w:val="lrTb"/>
            <w:noWrap w:val="false"/>
          </w:tcPr>
          <w:p>
            <w:pPr>
              <w:pStyle w:val="1098"/>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2</w:t>
            </w:r>
            <w:r>
              <w:rPr>
                <w:rFonts w:hint="eastAsia" w:ascii="微软雅黑" w:hAnsi="微软雅黑" w:eastAsia="微软雅黑" w:cs="微软雅黑"/>
                <w:szCs w:val="21"/>
                <w:highlight w:val="none"/>
                <w:lang w:eastAsia="zh-CN"/>
              </w:rPr>
            </w:r>
            <w:r/>
          </w:p>
        </w:tc>
        <w:tc>
          <w:tcPr>
            <w:tcW w:w="1104" w:type="dxa"/>
            <w:vAlign w:val="center"/>
            <w:textDirection w:val="lrTb"/>
            <w:noWrap w:val="false"/>
          </w:tcPr>
          <w:p>
            <w:pPr>
              <w:pStyle w:val="1098"/>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服务响应</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1098"/>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供应商应对照采购文件中规定的服务要求进行逐项应答响应。全部满足招标要求的得满分</w:t>
            </w:r>
            <w:r>
              <w:rPr>
                <w:rFonts w:hint="eastAsia" w:ascii="微软雅黑" w:hAnsi="微软雅黑" w:cs="微软雅黑"/>
                <w:szCs w:val="21"/>
                <w:lang w:val="en-US" w:eastAsia="zh-CN"/>
              </w:rPr>
              <w:t xml:space="preserve">25</w:t>
            </w:r>
            <w:r>
              <w:rPr>
                <w:rFonts w:hint="eastAsia" w:ascii="微软雅黑" w:hAnsi="微软雅黑" w:cs="微软雅黑"/>
                <w:szCs w:val="21"/>
              </w:rPr>
              <w:t xml:space="preserve">分；在此基础上，招标文件中标注“★”的内容为实质性要求，有一项不符合的，作无效投标处理；</w:t>
            </w:r>
            <w:r>
              <w:rPr>
                <w:rFonts w:hint="eastAsia" w:ascii="微软雅黑" w:hAnsi="微软雅黑" w:cs="微软雅黑"/>
                <w:szCs w:val="21"/>
              </w:rPr>
            </w:r>
            <w:r/>
          </w:p>
          <w:p>
            <w:pPr>
              <w:pStyle w:val="1098"/>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其他非★参数负偏离的，每项扣</w:t>
            </w:r>
            <w:r>
              <w:rPr>
                <w:rFonts w:hint="eastAsia" w:ascii="微软雅黑" w:hAnsi="微软雅黑" w:cs="微软雅黑"/>
                <w:szCs w:val="21"/>
                <w:lang w:val="en-US" w:eastAsia="zh-CN"/>
              </w:rPr>
              <w:t xml:space="preserve">0.5</w:t>
            </w:r>
            <w:r>
              <w:rPr>
                <w:rFonts w:hint="eastAsia" w:ascii="微软雅黑" w:hAnsi="微软雅黑" w:cs="微软雅黑"/>
                <w:szCs w:val="21"/>
              </w:rPr>
              <w:t xml:space="preserve">分，扣完为止。</w:t>
            </w:r>
            <w:r>
              <w:rPr>
                <w:rFonts w:hint="eastAsia" w:ascii="微软雅黑" w:hAnsi="微软雅黑" w:cs="微软雅黑"/>
                <w:szCs w:val="21"/>
              </w:rPr>
            </w:r>
            <w:r/>
          </w:p>
          <w:p>
            <w:pPr>
              <w:pStyle w:val="1098"/>
              <w:jc w:val="left"/>
              <w:spacing w:line="440" w:lineRule="exact"/>
              <w:widowControl/>
              <w:rPr>
                <w:rFonts w:hint="eastAsia" w:ascii="微软雅黑" w:hAnsi="微软雅黑" w:eastAsia="微软雅黑" w:cs="微软雅黑"/>
                <w:sz w:val="21"/>
                <w:szCs w:val="21"/>
                <w:lang w:val="en-US" w:eastAsia="zh-CN" w:bidi="ar-SA"/>
              </w:rPr>
            </w:pPr>
            <w:r>
              <w:rPr>
                <w:rFonts w:hint="eastAsia" w:ascii="微软雅黑" w:hAnsi="微软雅黑" w:cs="微软雅黑"/>
                <w:szCs w:val="21"/>
              </w:rPr>
              <w:t xml:space="preserve">（以供应商提供的服务要求响应表为准，各供应商均应如实填写偏离情况。服务要求中如要求提供证明材料的，须按要求提供证明材料，否则视为负偏离。）</w:t>
            </w:r>
            <w:r>
              <w:rPr>
                <w:rFonts w:hint="eastAsia" w:ascii="微软雅黑" w:hAnsi="微软雅黑" w:eastAsia="微软雅黑" w:cs="微软雅黑"/>
                <w:sz w:val="21"/>
                <w:szCs w:val="21"/>
                <w:lang w:val="en-US" w:eastAsia="zh-CN" w:bidi="ar-SA"/>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25</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c>
          <w:tcPr>
            <w:tcW w:w="1104" w:type="dxa"/>
            <w:vAlign w:val="center"/>
            <w:textDirection w:val="lrTb"/>
            <w:noWrap w:val="false"/>
          </w:tcPr>
          <w:p>
            <w:pPr>
              <w:pStyle w:val="1098"/>
              <w:jc w:val="center"/>
              <w:spacing w:line="440" w:lineRule="exact"/>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维保方案</w:t>
            </w:r>
            <w:r>
              <w:rPr>
                <w:rFonts w:hint="eastAsia" w:ascii="微软雅黑" w:hAnsi="微软雅黑" w:eastAsia="微软雅黑" w:cs="微软雅黑"/>
                <w:sz w:val="21"/>
                <w:szCs w:val="21"/>
                <w:highlight w:val="none"/>
                <w:lang w:val="en-US" w:eastAsia="zh-CN" w:bidi="ar-SA"/>
              </w:rPr>
            </w:r>
            <w:r/>
          </w:p>
        </w:tc>
        <w:tc>
          <w:tcPr>
            <w:tcW w:w="6510" w:type="dxa"/>
            <w:vAlign w:val="center"/>
            <w:textDirection w:val="lrTb"/>
            <w:noWrap w:val="false"/>
          </w:tcPr>
          <w:p>
            <w:pPr>
              <w:pStyle w:val="1098"/>
              <w:jc w:val="left"/>
              <w:spacing w:line="440" w:lineRule="exact"/>
              <w:tabs>
                <w:tab w:val="left" w:pos="3600" w:leader="none"/>
              </w:tabs>
              <w:rPr>
                <w:rFonts w:ascii="微软雅黑" w:hAnsi="微软雅黑" w:cs="微软雅黑"/>
                <w:szCs w:val="21"/>
                <w:highlight w:val="none"/>
                <w:lang w:val="en-US" w:eastAsia="zh-CN"/>
              </w:rPr>
            </w:pPr>
            <w:r>
              <w:rPr>
                <w:rFonts w:hint="eastAsia" w:ascii="微软雅黑" w:hAnsi="微软雅黑" w:cs="微软雅黑"/>
                <w:szCs w:val="21"/>
                <w:highlight w:val="none"/>
                <w:lang w:eastAsia="zh-CN"/>
              </w:rPr>
              <w:t xml:space="preserve">评标委员会对依据投标人提供的维保方案，对维保运营组织、维保维护的保证措施、维保质量保证措施、维保安全保护措施内容等进行</w:t>
            </w:r>
            <w:r>
              <w:rPr>
                <w:rFonts w:hint="eastAsia" w:ascii="微软雅黑" w:hAnsi="微软雅黑" w:cs="微软雅黑"/>
                <w:szCs w:val="21"/>
                <w:highlight w:val="none"/>
                <w:lang w:val="en-US" w:eastAsia="zh-CN"/>
              </w:rPr>
              <w:t xml:space="preserve">评分：</w:t>
            </w:r>
            <w:r>
              <w:rPr>
                <w:rFonts w:ascii="微软雅黑" w:hAnsi="微软雅黑" w:cs="微软雅黑"/>
                <w:szCs w:val="21"/>
                <w:highlight w:val="none"/>
                <w:lang w:val="en-US"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w:t>
            </w:r>
            <w:r>
              <w:rPr>
                <w:rFonts w:ascii="微软雅黑" w:hAnsi="微软雅黑" w:cs="微软雅黑"/>
                <w:szCs w:val="21"/>
                <w:highlight w:val="none"/>
                <w:lang w:val="en-US" w:eastAsia="zh-CN"/>
              </w:rPr>
            </w:r>
            <w:r/>
          </w:p>
        </w:tc>
        <w:tc>
          <w:tcPr>
            <w:tcW w:w="1104" w:type="dxa"/>
            <w:vAlign w:val="center"/>
            <w:textDirection w:val="lrTb"/>
            <w:noWrap w:val="false"/>
          </w:tcPr>
          <w:p>
            <w:pPr>
              <w:pStyle w:val="1098"/>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维保体系及内部管理制度</w:t>
            </w:r>
            <w:r>
              <w:rPr>
                <w:rFonts w:hint="eastAsia" w:ascii="微软雅黑" w:hAnsi="微软雅黑" w:cs="微软雅黑"/>
                <w:szCs w:val="21"/>
                <w:highlight w:val="none"/>
              </w:rPr>
            </w:r>
            <w:r/>
          </w:p>
        </w:tc>
        <w:tc>
          <w:tcPr>
            <w:tcW w:w="6510" w:type="dxa"/>
            <w:vAlign w:val="center"/>
            <w:textDirection w:val="lrTb"/>
            <w:noWrap w:val="false"/>
          </w:tcPr>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评标委员会对依据投标人提供的维保体系及内部管理制度内容等进行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cs="微软雅黑"/>
                <w:szCs w:val="21"/>
                <w:highlight w:val="none"/>
                <w:lang w:val="en-US" w:eastAsia="zh-CN"/>
              </w:rPr>
            </w:r>
            <w:r/>
          </w:p>
        </w:tc>
        <w:tc>
          <w:tcPr>
            <w:tcW w:w="1104" w:type="dxa"/>
            <w:vAlign w:val="center"/>
            <w:textDirection w:val="lrTb"/>
            <w:noWrap w:val="false"/>
          </w:tcPr>
          <w:p>
            <w:pPr>
              <w:pStyle w:val="1098"/>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人员配备</w:t>
            </w:r>
            <w:r>
              <w:rPr>
                <w:rFonts w:hint="eastAsia" w:ascii="微软雅黑" w:hAnsi="微软雅黑" w:cs="微软雅黑"/>
                <w:szCs w:val="21"/>
                <w:highlight w:val="none"/>
                <w:lang w:eastAsia="zh-CN"/>
              </w:rPr>
              <w:t xml:space="preserve">方案</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评标委员会对依据投标人根据本项目配备的人员团队等进行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未提供的不得分。</w:t>
            </w:r>
            <w:r>
              <w:rPr>
                <w:rFonts w:hint="eastAsia" w:ascii="微软雅黑" w:hAnsi="微软雅黑" w:eastAsia="微软雅黑" w:cs="微软雅黑"/>
                <w:sz w:val="21"/>
                <w:szCs w:val="21"/>
                <w:highlight w:val="none"/>
                <w:lang w:val="en-US" w:eastAsia="zh-CN" w:bidi="ar-SA"/>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c>
          <w:tcPr>
            <w:tcW w:w="1104" w:type="dxa"/>
            <w:vAlign w:val="center"/>
            <w:textDirection w:val="lrTb"/>
            <w:noWrap w:val="false"/>
          </w:tcPr>
          <w:p>
            <w:pPr>
              <w:pStyle w:val="1098"/>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应急处理预案</w:t>
            </w:r>
            <w:r>
              <w:rPr>
                <w:rFonts w:hint="eastAsia" w:hAnsi="宋体"/>
                <w:b w:val="0"/>
                <w:bCs/>
                <w:szCs w:val="24"/>
                <w:highlight w:val="none"/>
                <w:lang w:val="en-US" w:eastAsia="zh-CN"/>
              </w:rPr>
            </w:r>
            <w:r/>
          </w:p>
        </w:tc>
        <w:tc>
          <w:tcPr>
            <w:tcW w:w="6510" w:type="dxa"/>
            <w:vAlign w:val="center"/>
            <w:textDirection w:val="lrTb"/>
            <w:noWrap w:val="false"/>
          </w:tcPr>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评标委员会对依据投标人提供的应急处理预案，对应急处置预案，处理手段、日常演练等进行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方案内容详实、措施具体、满足本次维保需求、针对性强的得</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lang w:eastAsia="zh-CN"/>
              </w:rPr>
              <w:t xml:space="preserve"> 分；</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方案内容较详实、措施较具体、满足本次维保需求、针对性较强的得</w:t>
            </w: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方案内容不详细、措施不具体、基本满足本次维保需求、针对性不强的得</w:t>
            </w: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w:t>
            </w:r>
            <w:r>
              <w:rPr>
                <w:rFonts w:ascii="微软雅黑" w:hAnsi="微软雅黑" w:cs="微软雅黑"/>
                <w:szCs w:val="21"/>
                <w:highlight w:val="none"/>
                <w:lang w:val="en-US" w:eastAsia="zh-CN"/>
              </w:rPr>
            </w:r>
            <w:r/>
          </w:p>
        </w:tc>
        <w:tc>
          <w:tcPr>
            <w:tcW w:w="1104" w:type="dxa"/>
            <w:vAlign w:val="center"/>
            <w:textDirection w:val="lrTb"/>
            <w:noWrap w:val="false"/>
          </w:tcPr>
          <w:p>
            <w:pPr>
              <w:pStyle w:val="1098"/>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增值服务</w:t>
            </w:r>
            <w:r>
              <w:rPr>
                <w:rFonts w:hint="eastAsia" w:hAnsi="宋体"/>
                <w:b w:val="0"/>
                <w:bCs/>
                <w:szCs w:val="24"/>
                <w:highlight w:val="none"/>
                <w:lang w:val="en-US" w:eastAsia="zh-CN"/>
              </w:rPr>
            </w:r>
            <w:r/>
          </w:p>
        </w:tc>
        <w:tc>
          <w:tcPr>
            <w:tcW w:w="6510" w:type="dxa"/>
            <w:vAlign w:val="center"/>
            <w:textDirection w:val="lrTb"/>
            <w:noWrap w:val="false"/>
          </w:tcPr>
          <w:p>
            <w:pPr>
              <w:pStyle w:val="1098"/>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针对本项目以及采购人实际情况，提供具有实质性意义的特色服务进行打分，根据特色服务合理性、适用性、可行性进行评价，每提供一条经评标委员会认定合理适用可行的特色服务得1分，最多得3分，不提供或不适用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098"/>
              <w:jc w:val="center"/>
              <w:spacing w:line="44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8</w:t>
            </w:r>
            <w:r>
              <w:rPr>
                <w:rFonts w:ascii="微软雅黑" w:hAnsi="微软雅黑" w:cs="微软雅黑"/>
                <w:color w:val="000000"/>
                <w:szCs w:val="21"/>
                <w:highlight w:val="none"/>
                <w:lang w:val="en-US" w:eastAsia="zh-CN"/>
              </w:rPr>
            </w:r>
            <w:r/>
          </w:p>
        </w:tc>
        <w:tc>
          <w:tcPr>
            <w:tcW w:w="1104" w:type="dxa"/>
            <w:vAlign w:val="center"/>
            <w:textDirection w:val="lrTb"/>
            <w:noWrap w:val="false"/>
          </w:tcPr>
          <w:p>
            <w:pPr>
              <w:pStyle w:val="1098"/>
              <w:ind w:left="0" w:right="0" w:firstLine="0"/>
              <w:jc w:val="center"/>
              <w:spacing w:line="440" w:lineRule="exact"/>
              <w:tabs>
                <w:tab w:val="left" w:pos="3600" w:leader="none"/>
              </w:tabs>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业绩</w:t>
            </w:r>
            <w:r>
              <w:rPr>
                <w:rFonts w:hint="eastAsia" w:ascii="微软雅黑" w:hAnsi="微软雅黑" w:eastAsia="微软雅黑" w:cs="微软雅黑"/>
                <w:szCs w:val="21"/>
                <w:highlight w:val="none"/>
                <w:lang w:val="en-US" w:eastAsia="zh-CN"/>
              </w:rPr>
            </w:r>
            <w:r/>
          </w:p>
        </w:tc>
        <w:tc>
          <w:tcPr>
            <w:tcW w:w="6510" w:type="dxa"/>
            <w:vAlign w:val="center"/>
            <w:textDirection w:val="lrTb"/>
            <w:noWrap w:val="false"/>
          </w:tcPr>
          <w:p>
            <w:pPr>
              <w:pStyle w:val="1098"/>
              <w:jc w:val="left"/>
              <w:spacing w:line="440" w:lineRule="exact"/>
              <w:tabs>
                <w:tab w:val="left" w:pos="3600" w:leader="none"/>
              </w:tabs>
              <w:rPr>
                <w:rFonts w:hint="eastAsia"/>
                <w:highlight w:val="none"/>
                <w:lang w:val="en-US" w:eastAsia="zh-CN"/>
              </w:rPr>
            </w:pPr>
            <w:r>
              <w:rPr>
                <w:rFonts w:hint="eastAsia" w:ascii="微软雅黑" w:hAnsi="微软雅黑" w:cs="微软雅黑"/>
                <w:szCs w:val="21"/>
                <w:highlight w:val="none"/>
                <w:lang w:val="en-US" w:eastAsia="zh-CN"/>
              </w:rPr>
              <w:t xml:space="preserve">供应商</w:t>
            </w:r>
            <w:r>
              <w:rPr>
                <w:rFonts w:hint="eastAsia" w:ascii="微软雅黑" w:hAnsi="微软雅黑" w:cs="微软雅黑"/>
                <w:color w:val="000000"/>
                <w:szCs w:val="21"/>
                <w:highlight w:val="none"/>
                <w:lang w:val="en-US" w:eastAsia="zh-CN"/>
              </w:rPr>
              <w:t xml:space="preserve">自2023年1月1日以来</w:t>
            </w:r>
            <w:r>
              <w:rPr>
                <w:rFonts w:hint="eastAsia" w:ascii="微软雅黑" w:hAnsi="微软雅黑" w:cs="微软雅黑"/>
                <w:szCs w:val="21"/>
                <w:highlight w:val="none"/>
                <w:lang w:val="en-US" w:eastAsia="zh-CN"/>
              </w:rPr>
              <w:t xml:space="preserve">（以合同签订时间为准），供应商承担过类似</w:t>
            </w:r>
            <w:r>
              <w:rPr>
                <w:rFonts w:hint="eastAsia" w:ascii="微软雅黑" w:hAnsi="微软雅黑" w:eastAsia="微软雅黑" w:cs="微软雅黑"/>
                <w:color w:val="000000"/>
                <w:sz w:val="21"/>
                <w:szCs w:val="21"/>
                <w:highlight w:val="none"/>
                <w:lang w:eastAsia="zh-CN" w:bidi="ar"/>
              </w:rPr>
              <w:t xml:space="preserve">消防维保</w:t>
            </w:r>
            <w:r>
              <w:rPr>
                <w:rFonts w:hint="eastAsia" w:ascii="微软雅黑" w:hAnsi="微软雅黑" w:cs="微软雅黑"/>
                <w:color w:val="000000"/>
                <w:sz w:val="21"/>
                <w:szCs w:val="21"/>
                <w:highlight w:val="none"/>
                <w:lang w:eastAsia="zh-CN" w:bidi="ar"/>
              </w:rPr>
              <w:t xml:space="preserve">维护</w:t>
            </w:r>
            <w:r>
              <w:rPr>
                <w:rFonts w:hint="eastAsia" w:ascii="微软雅黑" w:hAnsi="微软雅黑" w:cs="微软雅黑"/>
                <w:szCs w:val="21"/>
                <w:highlight w:val="none"/>
                <w:lang w:val="en-US" w:eastAsia="zh-CN"/>
              </w:rPr>
              <w:t xml:space="preserve">服务项目，每个项目（同一单位不重复计分）得3分，本项最多得12分（提供合同复印件，无合同签订时间或模糊不清不得分）。</w:t>
            </w:r>
            <w:r>
              <w:rPr>
                <w:rFonts w:hint="eastAsia"/>
                <w:highlight w:val="none"/>
                <w:lang w:val="en-US" w:eastAsia="zh-CN"/>
              </w:rPr>
            </w:r>
            <w:r/>
          </w:p>
        </w:tc>
        <w:tc>
          <w:tcPr>
            <w:tcW w:w="776" w:type="dxa"/>
            <w:vAlign w:val="center"/>
            <w:textDirection w:val="lrTb"/>
            <w:noWrap w:val="false"/>
          </w:tcPr>
          <w:p>
            <w:pPr>
              <w:pStyle w:val="1098"/>
              <w:jc w:val="center"/>
              <w:spacing w:line="440" w:lineRule="exact"/>
              <w:rPr>
                <w:rFonts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 w:val="21"/>
                <w:szCs w:val="21"/>
                <w:highlight w:val="none"/>
                <w:lang w:val="en-US" w:eastAsia="zh-CN" w:bidi="ar-SA"/>
              </w:rPr>
              <w:t xml:space="preserve">12</w:t>
            </w:r>
            <w:r>
              <w:rPr>
                <w:rFonts w:ascii="微软雅黑" w:hAnsi="微软雅黑" w:eastAsia="微软雅黑" w:cs="微软雅黑"/>
                <w:color w:val="000000"/>
                <w:sz w:val="21"/>
                <w:szCs w:val="21"/>
                <w:highlight w:val="none"/>
                <w:lang w:val="en-US" w:eastAsia="zh-CN" w:bidi="ar-SA"/>
              </w:rPr>
            </w:r>
            <w:r/>
          </w:p>
        </w:tc>
      </w:tr>
      <w:tr>
        <w:trPr/>
        <w:tc>
          <w:tcPr>
            <w:gridSpan w:val="3"/>
            <w:tcW w:w="8295" w:type="dxa"/>
            <w:vAlign w:val="center"/>
            <w:textDirection w:val="lrTb"/>
            <w:noWrap w:val="false"/>
          </w:tcPr>
          <w:p>
            <w:pPr>
              <w:pStyle w:val="1098"/>
              <w:ind w:firstLine="420"/>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合计</w:t>
            </w:r>
            <w:r>
              <w:rPr>
                <w:rFonts w:hint="eastAsia" w:ascii="微软雅黑" w:hAnsi="微软雅黑" w:cs="微软雅黑"/>
                <w:szCs w:val="21"/>
                <w:highlight w:val="none"/>
              </w:rPr>
            </w:r>
            <w:r/>
          </w:p>
        </w:tc>
        <w:tc>
          <w:tcPr>
            <w:tcW w:w="776" w:type="dxa"/>
            <w:vAlign w:val="center"/>
            <w:textDirection w:val="lrTb"/>
            <w:noWrap w:val="false"/>
          </w:tcPr>
          <w:p>
            <w:pPr>
              <w:pStyle w:val="1098"/>
              <w:jc w:val="center"/>
              <w:spacing w:line="440" w:lineRule="exact"/>
              <w:rPr>
                <w:rFonts w:ascii="微软雅黑" w:hAnsi="微软雅黑" w:cs="微软雅黑"/>
                <w:szCs w:val="21"/>
                <w:highlight w:val="none"/>
              </w:rPr>
            </w:pPr>
            <w:r>
              <w:rPr>
                <w:rFonts w:ascii="微软雅黑" w:hAnsi="微软雅黑" w:cs="微软雅黑"/>
                <w:szCs w:val="21"/>
                <w:highlight w:val="none"/>
              </w:rPr>
              <w:fldChar w:fldCharType="begin"/>
            </w:r>
            <w:r>
              <w:rPr>
                <w:rFonts w:ascii="微软雅黑" w:hAnsi="微软雅黑" w:cs="微软雅黑"/>
                <w:szCs w:val="21"/>
                <w:highlight w:val="none"/>
              </w:rPr>
              <w:instrText xml:space="preserve"> =SUM(ABOVE) \* MERGEFORMAT </w:instrText>
            </w:r>
            <w:r>
              <w:rPr>
                <w:rFonts w:ascii="微软雅黑" w:hAnsi="微软雅黑" w:cs="微软雅黑"/>
                <w:szCs w:val="21"/>
                <w:highlight w:val="none"/>
              </w:rPr>
              <w:fldChar w:fldCharType="separate"/>
            </w:r>
            <w:r>
              <w:rPr>
                <w:rFonts w:ascii="微软雅黑" w:hAnsi="微软雅黑" w:cs="微软雅黑"/>
                <w:szCs w:val="21"/>
                <w:highlight w:val="none"/>
              </w:rPr>
              <w:t xml:space="preserve">100</w:t>
            </w:r>
            <w:r>
              <w:rPr>
                <w:rFonts w:ascii="微软雅黑" w:hAnsi="微软雅黑" w:cs="微软雅黑"/>
                <w:szCs w:val="21"/>
                <w:highlight w:val="none"/>
              </w:rPr>
              <w:fldChar w:fldCharType="end"/>
            </w:r>
            <w:r>
              <w:rPr>
                <w:rFonts w:ascii="微软雅黑" w:hAnsi="微软雅黑" w:cs="微软雅黑"/>
                <w:szCs w:val="21"/>
                <w:highlight w:val="none"/>
              </w:rPr>
            </w:r>
            <w:r/>
          </w:p>
        </w:tc>
      </w:tr>
    </w:tbl>
    <w:p>
      <w:pPr>
        <w:pStyle w:val="1098"/>
        <w:rPr>
          <w:rFonts w:hint="eastAsia" w:ascii="微软雅黑" w:hAnsi="微软雅黑" w:cs="微软雅黑"/>
          <w:b/>
          <w:sz w:val="24"/>
          <w:szCs w:val="24"/>
        </w:rPr>
      </w:pPr>
      <w:r/>
      <w:bookmarkEnd w:id="229"/>
      <w:r>
        <w:rPr>
          <w:rFonts w:hint="eastAsia" w:ascii="微软雅黑" w:hAnsi="微软雅黑" w:cs="微软雅黑"/>
          <w:b/>
          <w:sz w:val="24"/>
          <w:szCs w:val="24"/>
        </w:rPr>
      </w:r>
      <w:r/>
    </w:p>
    <w:p>
      <w:pPr>
        <w:pStyle w:val="1098"/>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1098"/>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1098"/>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1098"/>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hint="eastAsia" w:ascii="微软雅黑" w:hAnsi="微软雅黑" w:cs="微软雅黑"/>
          <w:szCs w:val="21"/>
        </w:rPr>
      </w:r>
      <w:r/>
    </w:p>
    <w:p>
      <w:pPr>
        <w:pStyle w:val="1098"/>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1098"/>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1098"/>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1098"/>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hint="eastAsia" w:ascii="微软雅黑" w:hAnsi="微软雅黑" w:cs="微软雅黑"/>
          <w:szCs w:val="21"/>
        </w:rPr>
      </w:r>
      <w:r/>
    </w:p>
    <w:p>
      <w:pPr>
        <w:pStyle w:val="1098"/>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1098"/>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1098"/>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1098"/>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hint="eastAsia" w:ascii="微软雅黑" w:hAnsi="微软雅黑" w:cs="微软雅黑"/>
          <w:szCs w:val="21"/>
        </w:rPr>
      </w:r>
      <w:r/>
    </w:p>
    <w:p>
      <w:pPr>
        <w:pStyle w:val="1098"/>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1098"/>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1098"/>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rPr>
          <w:rFonts w:hint="eastAsia" w:ascii="微软雅黑" w:hAnsi="微软雅黑" w:cs="微软雅黑"/>
          <w:szCs w:val="21"/>
        </w:rPr>
      </w:r>
      <w:r/>
    </w:p>
    <w:p>
      <w:pPr>
        <w:pStyle w:val="1099"/>
        <w:spacing w:line="420" w:lineRule="exact"/>
        <w:rPr>
          <w:rFonts w:hint="eastAsia" w:ascii="微软雅黑" w:hAnsi="微软雅黑" w:cs="微软雅黑"/>
          <w:szCs w:val="32"/>
        </w:rPr>
      </w:pPr>
      <w:r>
        <w:rPr>
          <w:rFonts w:hint="eastAsia" w:ascii="微软雅黑" w:hAnsi="微软雅黑" w:cs="微软雅黑"/>
        </w:rPr>
        <w:br w:type="page" w:clear="all"/>
      </w:r>
      <w:bookmarkStart w:id="230" w:name="_Toc29101"/>
      <w:r/>
      <w:bookmarkStart w:id="231" w:name="_Toc16541"/>
      <w:r/>
      <w:bookmarkStart w:id="232" w:name="_Toc21811"/>
      <w:r>
        <w:rPr>
          <w:rFonts w:hint="eastAsia" w:ascii="微软雅黑" w:hAnsi="微软雅黑" w:cs="微软雅黑"/>
          <w:szCs w:val="32"/>
        </w:rPr>
        <w:t xml:space="preserve">第四章 项目采购需求</w:t>
      </w:r>
      <w:bookmarkEnd w:id="230"/>
      <w:r/>
      <w:bookmarkEnd w:id="231"/>
      <w:r/>
      <w:bookmarkEnd w:id="232"/>
      <w:r/>
      <w:bookmarkStart w:id="233" w:name="_Toc25617"/>
      <w:r/>
      <w:bookmarkStart w:id="234" w:name="_Toc13284"/>
      <w:r/>
      <w:bookmarkStart w:id="235" w:name="_Toc22289"/>
      <w:r/>
      <w:bookmarkStart w:id="236" w:name="_Toc522790135"/>
      <w:r/>
      <w:bookmarkStart w:id="237" w:name="_Toc533671560"/>
      <w:r/>
      <w:bookmarkStart w:id="238" w:name="_Toc13204"/>
      <w:r>
        <w:rPr>
          <w:rFonts w:hint="eastAsia" w:ascii="微软雅黑" w:hAnsi="微软雅黑" w:cs="微软雅黑"/>
          <w:szCs w:val="32"/>
        </w:rPr>
      </w:r>
      <w:r/>
    </w:p>
    <w:p>
      <w:pPr>
        <w:pStyle w:val="1098"/>
        <w:jc w:val="center"/>
        <w:keepLines w:val="0"/>
        <w:keepNext w:val="0"/>
        <w:pageBreakBefore w:val="0"/>
        <w:spacing w:line="360" w:lineRule="auto"/>
        <w:widowControl w:val="off"/>
        <w:rPr>
          <w:rFonts w:hint="eastAsia" w:eastAsia="微软雅黑"/>
          <w:lang w:eastAsia="zh-CN"/>
        </w:rPr>
      </w:pPr>
      <w:r>
        <w:rPr>
          <w:rFonts w:hint="eastAsia" w:ascii="微软雅黑" w:hAnsi="微软雅黑" w:cs="微软雅黑"/>
          <w:b/>
          <w:bCs/>
          <w:color w:val="000000"/>
          <w:spacing w:val="-6"/>
          <w:szCs w:val="21"/>
          <w:highlight w:val="none"/>
        </w:rPr>
        <w:t xml:space="preserve">采购文件中标注“</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”的内容为实质性要求，</w:t>
      </w:r>
      <w:r>
        <w:rPr>
          <w:rFonts w:hint="eastAsia" w:ascii="微软雅黑" w:hAnsi="微软雅黑" w:cs="微软雅黑"/>
          <w:b/>
          <w:bCs/>
          <w:color w:val="000000"/>
          <w:spacing w:val="-6"/>
          <w:szCs w:val="21"/>
          <w:highlight w:val="none"/>
          <w:lang w:val="en-US" w:eastAsia="zh-CN"/>
        </w:rPr>
        <w:t xml:space="preserve">若</w:t>
      </w:r>
      <w:r>
        <w:rPr>
          <w:rFonts w:hint="eastAsia" w:ascii="微软雅黑" w:hAnsi="微软雅黑" w:cs="微软雅黑"/>
          <w:b/>
          <w:bCs/>
          <w:color w:val="000000"/>
          <w:spacing w:val="-6"/>
          <w:szCs w:val="21"/>
          <w:highlight w:val="none"/>
        </w:rPr>
        <w:t xml:space="preserve">“</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w:t>
      </w:r>
      <w:r>
        <w:rPr>
          <w:rFonts w:hint="eastAsia" w:ascii="微软雅黑" w:hAnsi="微软雅黑" w:cs="微软雅黑"/>
          <w:b/>
          <w:bCs/>
          <w:color w:val="000000"/>
          <w:spacing w:val="-6"/>
          <w:szCs w:val="21"/>
          <w:highlight w:val="none"/>
          <w:lang w:val="en-US" w:eastAsia="zh-CN"/>
        </w:rPr>
        <w:t xml:space="preserve">内容</w:t>
      </w:r>
      <w:r>
        <w:rPr>
          <w:rFonts w:hint="eastAsia" w:ascii="微软雅黑" w:hAnsi="微软雅黑" w:cs="微软雅黑"/>
          <w:b/>
          <w:szCs w:val="21"/>
        </w:rPr>
        <w:t xml:space="preserve">要求</w:t>
      </w:r>
      <w:r>
        <w:rPr>
          <w:rFonts w:hint="eastAsia" w:ascii="微软雅黑" w:hAnsi="微软雅黑" w:cs="微软雅黑"/>
          <w:b/>
          <w:szCs w:val="21"/>
          <w:lang w:val="en-US" w:eastAsia="zh-CN"/>
        </w:rPr>
        <w:t xml:space="preserve">证明材料</w:t>
      </w:r>
      <w:r>
        <w:rPr>
          <w:rFonts w:hint="eastAsia" w:ascii="微软雅黑" w:hAnsi="微软雅黑" w:cs="微软雅黑"/>
          <w:b/>
          <w:szCs w:val="21"/>
        </w:rPr>
        <w:t xml:space="preserve">的，</w:t>
      </w:r>
      <w:r>
        <w:rPr>
          <w:rFonts w:hint="eastAsia" w:ascii="微软雅黑" w:hAnsi="微软雅黑" w:cs="微软雅黑"/>
          <w:b/>
          <w:szCs w:val="21"/>
          <w:lang w:val="en-US" w:eastAsia="zh-CN"/>
        </w:rPr>
        <w:t xml:space="preserve">则必须按要求提供证明材料</w:t>
      </w:r>
      <w:r>
        <w:rPr>
          <w:rFonts w:hint="eastAsia" w:ascii="微软雅黑" w:hAnsi="微软雅黑" w:cs="微软雅黑"/>
          <w:b/>
          <w:szCs w:val="21"/>
          <w:lang w:eastAsia="zh-CN"/>
        </w:rPr>
        <w:t xml:space="preserve">，</w:t>
      </w:r>
      <w:r>
        <w:rPr>
          <w:rFonts w:hint="eastAsia" w:ascii="微软雅黑" w:hAnsi="微软雅黑" w:cs="微软雅黑"/>
          <w:b/>
          <w:bCs/>
          <w:color w:val="000000"/>
          <w:spacing w:val="-6"/>
          <w:szCs w:val="21"/>
          <w:highlight w:val="none"/>
        </w:rPr>
        <w:t xml:space="preserve">有一项负偏离的，作无效投标处理</w:t>
      </w:r>
      <w:r>
        <w:rPr>
          <w:rFonts w:hint="eastAsia" w:ascii="微软雅黑" w:hAnsi="微软雅黑" w:cs="微软雅黑"/>
          <w:b/>
          <w:bCs/>
          <w:color w:val="000000"/>
          <w:spacing w:val="-6"/>
          <w:szCs w:val="21"/>
          <w:highlight w:val="none"/>
          <w:lang w:eastAsia="zh-CN"/>
        </w:rPr>
        <w:t xml:space="preserve">。</w:t>
      </w:r>
      <w:r>
        <w:rPr>
          <w:rFonts w:hint="eastAsia" w:eastAsia="微软雅黑"/>
          <w:lang w:eastAsia="zh-CN"/>
        </w:rPr>
      </w:r>
      <w:r/>
    </w:p>
    <w:p>
      <w:pPr>
        <w:pStyle w:val="1100"/>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bookmarkStart w:id="239" w:name="_Toc25236"/>
      <w:r>
        <w:rPr>
          <w:rFonts w:hint="eastAsia" w:ascii="微软雅黑" w:hAnsi="微软雅黑" w:eastAsia="微软雅黑" w:cs="微软雅黑"/>
          <w:b/>
          <w:bCs/>
          <w:color w:val="000000"/>
          <w:sz w:val="24"/>
          <w:szCs w:val="24"/>
          <w:highlight w:val="none"/>
          <w:lang w:eastAsia="zh-CN" w:bidi="ar"/>
        </w:rPr>
        <w:t xml:space="preserve">包一：</w:t>
      </w:r>
      <w:r>
        <w:rPr>
          <w:rFonts w:hint="eastAsia" w:ascii="微软雅黑" w:hAnsi="微软雅黑" w:eastAsia="微软雅黑" w:cs="微软雅黑"/>
          <w:szCs w:val="21"/>
          <w:lang w:eastAsia="zh-CN"/>
        </w:rPr>
        <w:t xml:space="preserve">徐州医科大学附属医院淮海路院区（淮海西路99号）及相应租赁区域</w:t>
      </w:r>
      <w:r>
        <w:rPr>
          <w:rFonts w:hint="eastAsia" w:ascii="微软雅黑" w:hAnsi="微软雅黑" w:cs="微软雅黑"/>
          <w:szCs w:val="21"/>
          <w:lang w:eastAsia="zh-CN"/>
        </w:rPr>
        <w:t xml:space="preserve">消防维保</w:t>
      </w:r>
      <w:bookmarkEnd w:id="239"/>
      <w:r>
        <w:rPr>
          <w:rFonts w:hint="eastAsia" w:ascii="微软雅黑" w:hAnsi="微软雅黑" w:eastAsia="微软雅黑" w:cs="微软雅黑"/>
          <w:b/>
          <w:bCs/>
          <w:color w:val="000000"/>
          <w:sz w:val="24"/>
          <w:szCs w:val="24"/>
          <w:highlight w:val="none"/>
          <w:lang w:eastAsia="zh-CN" w:bidi="ar"/>
        </w:rPr>
      </w:r>
      <w:r/>
    </w:p>
    <w:p>
      <w:pPr>
        <w:pStyle w:val="1101"/>
        <w:jc w:val="left"/>
        <w:rPr>
          <w:b/>
          <w:bCs/>
          <w:color w:val="000000"/>
          <w:sz w:val="21"/>
          <w:szCs w:val="22"/>
          <w:lang w:eastAsia="zh-CN" w:bidi="ar"/>
        </w:rPr>
      </w:pPr>
      <w:r/>
      <w:bookmarkStart w:id="240" w:name="_Toc4712"/>
      <w:r/>
      <w:bookmarkStart w:id="241" w:name="_Toc27769"/>
      <w:r>
        <w:rPr>
          <w:b/>
          <w:bCs/>
          <w:color w:val="000000"/>
          <w:sz w:val="21"/>
          <w:szCs w:val="22"/>
          <w:lang w:eastAsia="zh-CN" w:bidi="ar"/>
        </w:rPr>
        <w:t xml:space="preserve">一、项目基本情况</w:t>
      </w:r>
      <w:bookmarkEnd w:id="240"/>
      <w:r/>
      <w:bookmarkEnd w:id="241"/>
      <w:r>
        <w:rPr>
          <w:b/>
          <w:bCs/>
          <w:color w:val="000000"/>
          <w:sz w:val="21"/>
          <w:szCs w:val="22"/>
          <w:lang w:eastAsia="zh-CN" w:bidi="ar"/>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本次消防维保及值班项目范围为徐州医科大学附属医院淮海路院区（淮海西路99号）及相应租赁区域，即徐州医科大学附属医院整形美容中心、科创中心、巨龙楼、院外药库、院外病案室等。</w:t>
      </w:r>
      <w:r>
        <w:rPr>
          <w:rFonts w:hint="eastAsia" w:ascii="微软雅黑" w:hAnsi="微软雅黑" w:eastAsia="微软雅黑" w:cs="微软雅黑"/>
          <w:color w:val="000000"/>
          <w:sz w:val="21"/>
          <w:szCs w:val="21"/>
          <w:highlight w:val="none"/>
          <w:lang w:eastAsia="zh-CN" w:bidi="ar"/>
        </w:rPr>
      </w:r>
      <w:r/>
    </w:p>
    <w:p>
      <w:pPr>
        <w:pStyle w:val="1101"/>
        <w:jc w:val="both"/>
        <w:rPr>
          <w:rFonts w:ascii="Calibri" w:hAnsi="Calibri" w:eastAsia="微软雅黑" w:cs="Times New Roman"/>
          <w:b/>
          <w:bCs/>
          <w:color w:val="000000"/>
          <w:sz w:val="21"/>
          <w:szCs w:val="22"/>
          <w:highlight w:val="none"/>
          <w:lang w:bidi="ar"/>
        </w:rPr>
      </w:pPr>
      <w:r/>
      <w:bookmarkStart w:id="242" w:name="_Toc2669"/>
      <w:r/>
      <w:bookmarkStart w:id="243" w:name="_Toc22083"/>
      <w:r>
        <w:rPr>
          <w:rFonts w:ascii="Calibri" w:hAnsi="Calibri" w:cs="Times New Roman"/>
          <w:b/>
          <w:bCs/>
          <w:color w:val="000000"/>
          <w:sz w:val="21"/>
          <w:szCs w:val="22"/>
          <w:highlight w:val="none"/>
          <w:lang w:eastAsia="zh-CN" w:bidi="ar"/>
        </w:rPr>
        <w:t xml:space="preserve">二、</w:t>
      </w:r>
      <w:bookmarkEnd w:id="243"/>
      <w:r>
        <w:rPr>
          <w:rFonts w:ascii="Calibri" w:hAnsi="Calibri" w:cs="Times New Roman"/>
          <w:b/>
          <w:bCs/>
          <w:color w:val="000000"/>
          <w:sz w:val="21"/>
          <w:szCs w:val="22"/>
          <w:highlight w:val="none"/>
          <w:lang w:eastAsia="zh-CN" w:bidi="ar"/>
        </w:rPr>
        <w:t xml:space="preserve">服务要求</w:t>
      </w:r>
      <w:bookmarkEnd w:id="242"/>
      <w:r>
        <w:rPr>
          <w:rFonts w:ascii="Calibri" w:hAnsi="Calibri" w:eastAsia="微软雅黑" w:cs="Times New Roman"/>
          <w:b/>
          <w:bCs/>
          <w:color w:val="000000"/>
          <w:sz w:val="21"/>
          <w:szCs w:val="22"/>
          <w:highlight w:val="none"/>
          <w:lang w:bidi="ar"/>
        </w:rPr>
      </w:r>
      <w:r/>
    </w:p>
    <w:p>
      <w:pPr>
        <w:pStyle w:val="1102"/>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25"/>
        <w:gridCol w:w="2129"/>
        <w:gridCol w:w="5966"/>
      </w:tblGrid>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维保范围包含院本部既有验收通过、交付使用的消防设施设备维护保养，包括但不限于：</w:t>
            </w:r>
            <w:r>
              <w:rPr>
                <w:rFonts w:hint="eastAsia" w:ascii="微软雅黑" w:hAnsi="微软雅黑" w:cs="微软雅黑"/>
                <w:color w:val="000000"/>
                <w:sz w:val="21"/>
                <w:szCs w:val="21"/>
                <w:vertAlign w:val="baseline"/>
                <w:lang w:val="en-US" w:eastAsia="zh-CN"/>
              </w:rPr>
            </w:r>
            <w:r/>
          </w:p>
          <w:p>
            <w:pPr>
              <w:pStyle w:val="1098"/>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消防供配电设施；</w:t>
            </w:r>
            <w:r>
              <w:rPr>
                <w:rFonts w:hint="eastAsia" w:ascii="微软雅黑" w:hAnsi="微软雅黑" w:cs="微软雅黑"/>
                <w:color w:val="000000"/>
                <w:sz w:val="21"/>
                <w:szCs w:val="21"/>
                <w:vertAlign w:val="baseline"/>
                <w:lang w:val="en-US" w:eastAsia="zh-CN"/>
              </w:rPr>
            </w:r>
            <w:r/>
          </w:p>
          <w:p>
            <w:pPr>
              <w:pStyle w:val="1098"/>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火灾自动报警系统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3、电气火灾监控系统；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4、可燃气体探测报警系统；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5、消防供水设施；</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6、消火栓（消防炮）灭火系统；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7、自动喷水灭火系统；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8、灭火器；</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9、气体灭火系统；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10、防烟、排烟系统联动；</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11、应急照明和疏散指示标志；</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12、应急广播系统；</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13、消防专用电话；</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14、防火分隔设施联动；</w:t>
            </w:r>
            <w:r>
              <w:rPr>
                <w:rFonts w:hint="eastAsia" w:ascii="微软雅黑" w:hAnsi="微软雅黑" w:cs="微软雅黑"/>
                <w:color w:val="000000"/>
                <w:sz w:val="21"/>
                <w:szCs w:val="21"/>
                <w:vertAlign w:val="baseline"/>
                <w:lang w:val="en-US" w:eastAsia="zh-CN"/>
              </w:rPr>
            </w:r>
            <w:r/>
          </w:p>
          <w:p>
            <w:pPr>
              <w:pStyle w:val="1098"/>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15、消防电梯联动。</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1、持证上岗；</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2、设备操作能力：熟练操作消防控制室的火灾报警控制器、自动灭火系统、防排烟系统等消防设施，能准确处理设备故障和报警信号；</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3、应急处置能力：熟悉火灾事故应急处理流程，如发现火情时能迅速启动应急预案、拨打119、组织初期灭火和疏散等；</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4、法规与制度了解：掌握消防法律法规、单位消防安全管理制度，能按规范记录值班情况（如设备运行日志、报警处理记录等）；</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5、24小时值班，每班不低于2人，配</w:t>
            </w:r>
            <w:r>
              <w:rPr>
                <w:rFonts w:hint="eastAsia" w:ascii="微软雅黑" w:hAnsi="微软雅黑" w:cs="微软雅黑"/>
                <w:color w:val="000000"/>
                <w:sz w:val="21"/>
                <w:szCs w:val="21"/>
                <w:highlight w:val="none"/>
                <w:vertAlign w:val="baseline"/>
                <w:lang w:val="en-US" w:eastAsia="zh-CN"/>
              </w:rPr>
              <w:t xml:space="preserve">置消防设施操作员1</w:t>
            </w:r>
            <w:r>
              <w:rPr>
                <w:rFonts w:hint="eastAsia" w:ascii="微软雅黑" w:hAnsi="微软雅黑" w:cs="微软雅黑"/>
                <w:color w:val="000000"/>
                <w:sz w:val="21"/>
                <w:szCs w:val="21"/>
                <w:vertAlign w:val="baseline"/>
                <w:lang w:val="en-US" w:eastAsia="zh-CN"/>
              </w:rPr>
              <w:t xml:space="preserve">2名（不含</w:t>
            </w:r>
            <w:r>
              <w:rPr>
                <w:rFonts w:hint="eastAsia"/>
                <w:lang w:val="en-US" w:eastAsia="zh-CN"/>
              </w:rPr>
              <w:t xml:space="preserve">除消防设施操作员外的人员</w:t>
            </w:r>
            <w:r>
              <w:rPr>
                <w:rFonts w:hint="eastAsia" w:ascii="微软雅黑" w:hAnsi="微软雅黑" w:cs="微软雅黑"/>
                <w:color w:val="000000"/>
                <w:sz w:val="21"/>
                <w:szCs w:val="21"/>
                <w:vertAlign w:val="baseline"/>
                <w:lang w:val="en-US" w:eastAsia="zh-CN"/>
              </w:rPr>
              <w:t xml:space="preserve">）；</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6、若消防设施出现故障，需立即上报并联</w:t>
            </w:r>
            <w:r>
              <w:rPr>
                <w:rFonts w:hint="eastAsia" w:ascii="微软雅黑" w:hAnsi="微软雅黑" w:cs="微软雅黑"/>
                <w:color w:val="000000"/>
                <w:sz w:val="21"/>
                <w:szCs w:val="21"/>
                <w:highlight w:val="none"/>
                <w:vertAlign w:val="baseline"/>
                <w:lang w:val="en-US" w:eastAsia="zh-CN"/>
              </w:rPr>
              <w:t xml:space="preserve">系维修人员，确</w:t>
            </w:r>
            <w:r>
              <w:rPr>
                <w:rFonts w:hint="eastAsia" w:ascii="微软雅黑" w:hAnsi="微软雅黑" w:cs="微软雅黑"/>
                <w:color w:val="000000"/>
                <w:sz w:val="21"/>
                <w:szCs w:val="21"/>
                <w:vertAlign w:val="baseline"/>
                <w:lang w:val="en-US" w:eastAsia="zh-CN"/>
              </w:rPr>
              <w:t xml:space="preserve">保设备正常运行。</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vertAlign w:val="baseline"/>
                <w:lang w:val="en-US" w:eastAsia="zh-CN"/>
              </w:rPr>
              <w:t xml:space="preserve">1、派驻现场技术人员不低于4</w:t>
            </w:r>
            <w:r>
              <w:rPr>
                <w:rFonts w:hint="eastAsia" w:ascii="微软雅黑" w:hAnsi="微软雅黑" w:cs="微软雅黑"/>
                <w:color w:val="000000"/>
                <w:sz w:val="21"/>
                <w:szCs w:val="21"/>
                <w:highlight w:val="none"/>
                <w:vertAlign w:val="baseline"/>
                <w:lang w:val="en-US" w:eastAsia="zh-CN"/>
              </w:rPr>
              <w:t xml:space="preserve">人，持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rPr>
                <w:rFonts w:hint="eastAsia" w:ascii="微软雅黑" w:hAnsi="微软雅黑" w:cs="微软雅黑"/>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2、熟练掌握消防设施（如消防泵、报警控制器、防排烟</w:t>
            </w:r>
            <w:r>
              <w:rPr>
                <w:rFonts w:hint="eastAsia" w:ascii="微软雅黑" w:hAnsi="微软雅黑" w:cs="微软雅黑"/>
                <w:color w:val="000000"/>
                <w:sz w:val="21"/>
                <w:szCs w:val="21"/>
                <w:vertAlign w:val="baseline"/>
                <w:lang w:val="en-US" w:eastAsia="zh-CN"/>
              </w:rPr>
              <w:t xml:space="preserve">风机等）的检测及故障维修，能</w:t>
            </w:r>
            <w:r>
              <w:rPr>
                <w:rFonts w:hint="eastAsia" w:ascii="微软雅黑" w:hAnsi="微软雅黑" w:cs="微软雅黑"/>
                <w:color w:val="000000"/>
                <w:sz w:val="21"/>
                <w:szCs w:val="21"/>
                <w:highlight w:val="none"/>
                <w:vertAlign w:val="baseline"/>
                <w:lang w:val="en-US" w:eastAsia="zh-CN"/>
              </w:rPr>
              <w:t xml:space="preserve">独立完成设备定期保养（</w:t>
            </w:r>
            <w:r>
              <w:rPr>
                <w:rFonts w:hint="eastAsia" w:ascii="微软雅黑" w:hAnsi="微软雅黑" w:cs="微软雅黑"/>
                <w:color w:val="000000"/>
                <w:sz w:val="21"/>
                <w:szCs w:val="21"/>
                <w:vertAlign w:val="baseline"/>
                <w:lang w:val="en-US" w:eastAsia="zh-CN"/>
              </w:rPr>
              <w:t xml:space="preserve">如清洁、润滑、功能测试）等；</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3、按计划使用专业工具（如烟感测试仪、万用表）对消防系统进行周期性检查（如月检、季检、年检），准确判断设备故障原因（如线路短路、模块损坏等）并提出解决方案；</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4、熟悉《建筑消防设施的维护管理》、《消防设施通用规范》等国家标准，确保维保工作符合规范要求；</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1、每年提供至少12次管道应急抢修服务；维保人员应保持24小时电话畅通，随时接听紧急电话，确保立即赶到现场；</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2、为确保发生紧急故障时能及时更换损坏部件，应购买相对应的备品备件以作应对；</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一般故障应该立即排除，严重故障应该在24小时内修复。当超过2天尚无法修复时，需通知采购人工作人员增加日常管理人员与维保单位工作人员一同做好维保期间的安全防范，同时维保单位增加技术力量，尽快修复故障；</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t xml:space="preserve">其他</w:t>
            </w:r>
            <w:r>
              <w:rPr>
                <w:rFonts w:hint="eastAsia"/>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lang w:val="en-US" w:eastAsia="zh-CN"/>
              </w:rPr>
              <w:t xml:space="preserve">（宣传人员）</w:t>
            </w:r>
            <w:r>
              <w:rPr>
                <w:rFonts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派驻现场技术人员中不少于一名人员，具有本科及以上学历，熟练使用PPT，熟悉消防法规及政策贯宣，每月组织院内各科室开展消防安全知识培训，确保培训覆盖率达100%，并留存完整记录（包括签到表、培训内容、影像资料等）；</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技术服务能力</w:t>
            </w: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w:t>
            </w:r>
            <w:r>
              <w:t xml:space="preserve">注册消防工程师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1、具备一级注册消防工程师资格。负责实施该维保工程的项目管理、消防技术指导和服务质量保障等,对出具的维护保养记录、书面结论等文件负责；</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1、维保测试过程必要的仪器及设备（仪器设备在计量校准有效周期内）；</w:t>
            </w:r>
            <w:r>
              <w:rPr>
                <w:rFonts w:hint="eastAsia" w:ascii="微软雅黑" w:hAnsi="微软雅黑" w:cs="微软雅黑"/>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1102"/>
        <w:rPr>
          <w:rFonts w:hint="eastAsia" w:ascii="微软雅黑" w:hAnsi="微软雅黑" w:cs="微软雅黑"/>
          <w:color w:val="000000"/>
          <w:szCs w:val="21"/>
          <w:lang w:eastAsia="zh-CN"/>
        </w:rPr>
      </w:pPr>
      <w:r>
        <w:rPr>
          <w:rFonts w:hint="eastAsia"/>
          <w:lang w:val="en-US" w:eastAsia="zh-CN"/>
        </w:rPr>
        <w:t xml:space="preserve">2、维保服务具体要求（响应评分项）</w:t>
      </w:r>
      <w:r>
        <w:rPr>
          <w:rFonts w:hint="eastAsia" w:ascii="微软雅黑" w:hAnsi="微软雅黑" w:cs="微软雅黑"/>
          <w:color w:val="000000"/>
          <w:szCs w:val="21"/>
          <w:lang w:eastAsia="zh-CN"/>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室内消防栓系统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1.3检查各阀门是否处于正常工作状态，是否完好不渗漏；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1.4检查保养消防栓系统的水泵接合器，确保完整、不渗漏；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1.5定期试验消防栓，检查其喷水充实水柱是否达到规范或设计要求；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1.7检查消防栓管网的减压阀及其过滤器是否正常，定期清洗过滤器；</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1.9检查止回阀启闭是否灵活、有效；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1.10定期对消防栓系统管网进行全面检查，对腐蚀严重的管道予与更换，对油漆脱落的管道及时除锈刷防锈漆和标志漆。　　</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2.1消防栓箱内配置齐全，各项配件完好，消防栓口静压符合设计或规范要求；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2.2试验消防栓破玻按钮，消防栓水泵启动，各项联动设施动作，消防中心有报警信号和消防水泵状态显示；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2.3各阀门处于正常的开或关状态，且有明显标志，阀体完好、不漏水；</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2.4消防栓系统水泵接合器外观完好，配置齐全，无变形、无渗漏、无缺损；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2.5消防栓喷射时，其充实水柱达到设计或规范要求；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2.7减压阀和过滤器外观完好，减压阀工作稳定、可靠，且减压比例准确，过滤器内无杂物，水流畅通；</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2.8阀门开关灵活、有效，无锈蚀、渗漏；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2.9止回阀启闭灵活、有效，无水回流，外观完好；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2.10消防栓系统管网外观完好，无变形、无锈蚀、脱漆和渗漏。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3.3每月检查各阀门是否处于正常工作状态，是否完好不渗漏；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3.4每月检查保养消防栓系统的水泵接合器，确保完整、不渗漏；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3.5每季度至少一次试验消防栓，检查其喷水充实水栓是否达到规范或设计要求；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3.7每月检查消防栓管网的减压阀及其过滤器是否正常，每季度定期清洗过滤器；</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3.9每月检查止回阀启闭是否灵活、有效；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1.1检查试验楼层喷淋管网末端试验装置是否正常（水压、流量是否达到要求）；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1.3检查喷淋头、管道是否完好，有无爆裂隐患；</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1.5检查保养喷淋系统的水泵接合器，确保完整、不渗漏；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1.7检查喷淋立管的自动排气阀的工作状态是否正常；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1.8检查试验湿式报警阀、水力警铃动作是否灵敏，喷淋泵是否启动，消防中心显示是否准确；　　</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1.10检查止回阀启闭是否灵活、有效；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1.11定期对喷淋系统管网进行全面检查，对腐蚀严重的管道予与更换，对油漆脱落的管道及时除锈刷防锈漆和标志漆。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2.1楼层喷淋管网末端试验压力（动、静压力）流量符合设计或规范要求；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2.2水流指示器动作灵敏、报警准确、及时，复位正常，消防中心显示报警地址正确；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2.3喷淋头外观完好，无滴漏或爆破隐患；</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2.4阀门处于正常开、关状态，有明显标志，信号阀门开、关灵活、有效，消防中心有关闭信号显示，报警地址准确；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2.5喷淋系统水泵接合器外观完好，配置齐全，无变形、无渗漏、无缺损；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2.7喷淋立管的自动排气阀无堵塞或漏水，工作正常；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2.8湿式报警阀外观完好，无渗漏，放水试验时动作灵敏，其压力开关联动喷淋泵启动，消防中心报警显示准确；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2.9阀门开关灵活、有效，无锈蚀、渗漏；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2.10止回阀启闭灵活、有效，无水回流，外观完好；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2.11喷淋管网外观完好，无变形、无锈蚀、脱漆和渗漏。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3.3每月检查喷淋头、管道是否完好，有无破裂隐患；</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3.5每月检查保养喷淋系统的水泵接合器，确保完整、不渗漏；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3.7每月检查喷淋立管的自动排气阀的工作状态是否正常；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3.8每月检查试验湿式报警阀、水力警铃动作是否灵敏，喷淋泵是否启动，消防中心显示是否准确；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3.10每月检查止回阀启闭是否灵活、有效；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3.11每季度定期对喷淋系统管网进行全面检查，对腐蚀严重的管道予与更换，对油漆脱落的管道及时除锈刷防锈漆和标志漆。</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1142"/>
              <w:rPr>
                <w:lang w:val="en-US" w:eastAsia="zh-CN"/>
              </w:rPr>
            </w:pPr>
            <w:r>
              <w:rPr>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1.1用专用测试仪器分期分批次全面测试探测器的动作及确认灯的显示，试验烟、温感探测器动作是否灵敏；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1.3试验手报按钮报警，本层及其上、下各一层警铃是否动作鸣响，消防中心显示报警区域是否准确；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1.4检查主控屏和联动控制屏的各项输入、输出显示功能是否正常，并全面清洁、保养；</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1.5检查各个界面（模块）和主机系统外围设备的通信、控制信号是否正常，检查界面（模块）输出电压是否正常，确保正常运行；</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1.7检查系统设备所有接线端子是否松动、破损和脱落；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1.11定期测试报警主机系统的接地电阻是否满足要求，并做好记录。</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2.1探测器动作灵敏，报警准确；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2.2主控屏工作正常，正常显示报警区域和输出联动信号；</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2.3手报按钮动作灵敏，报警准确，联动功能正常；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2.4主控屏和联动控制屏外观完好、清洁，各项输入、输出显示功能正常；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2.5界面（模块）各项参数正常，与外围设备的通信、控制信号正常；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2.6电池组的电压及其他参数正常，供电稳定、可靠；</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2.7系统设备所有接线牢固，无松动、破损或脱落；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2.8主、备电源自动切换功能正常；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2.9探测器外观完好，内外部清洁，功能正常；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2.10报警主机控制程序正确，各项功能正常；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2.11系统接地电阻符合规范或设计要求。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3.1每月用专用检测仪器分期分批全面测试探测器的动作及确认灯的显示，试验烟、温感探测器动作是否灵敏；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3.3每月试验手报按钮报警，本层及其上、下各一层警铃是否动作鸣响；</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3.4每月检查主控屏和联动控制屏的各个显示功能是否正常，并全面清洁、保养；</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3.7每季度检查系统设备所有接线端子是否松动、破损和脱落。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3.11每月定期测试报警主机系统的接地电阻是否满足要求，并做好记录。</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1.1排烟口、阀：外观检查无变形、损伤、阀叶无锈蚀变形；手动电磁启动灵敏到位，中控反馈信号准确无误；</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1.2正压送风口/阀：外观检查无变形、损伤、阀叶无锈蚀变形；手动电磁启动灵敏到位，回答信号准确无误；</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2.1排烟口、阀的外观检查完好、阀叶完好；手动动作灵敏，反馈信号准确；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2.2正压送风口、阀的外观检查完好、阀叶完好；手动动作灵敏，回答信号准确；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2.3风机的外观完好，叶轮完好，铭牌标识清楚；金属风道完好，风道完好；风机控制箱启、停风机正常；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2.4排烟口、阀的外观完好、阀叶完好；手动动作灵敏，反馈信号准确；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3.1排烟口、阀的外观检查完好、阀叶完好；手动动作灵敏，反馈信号准确；每月检查保养数量不少于 50%。</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3.2正压送风口、阀的外观检查完好、阀叶完好；手动动作灵敏，回答信号准确；每月检查保养数量不少于 50%。</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3.3风机的外观完好，叶轮完好，铭牌标识清楚；金属风道完好，风道完好；风机控制箱启、停风机正常；每月检查保养。</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3.4排烟口、阀的外观完好、阀叶完好；手动动作灵敏，反馈信号准确；每月检查一次。</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防火卷帘、档烟垂壁和排烟天窗系统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1.1试验感烟、感温探测器的联动卷帘降落的功能是否正常；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1.3试验防火卷帘控制器的功能是否正常；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1.4检查试验卷帘导轨和转动机构（含链条）运转是否正常，检查卷帘叶片有无变形；</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1.6档烟垂壁和排烟天窗：外观检查，是否破损，排烟天窗执行机构检查是否完好；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2.1烟、温感动作，联动卷帘降落功能正常；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2.2现场和远程控制卷帘起、降功能正常；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2.3防火卷帘控制器功能正常；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2.4防火卷帘导轨和转动机构运转灵活，卷帘叶片无变形、脱落；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2.5防火卷帘联动功能正常，降落时消防中心有显示。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2.6档烟垂壁和排烟天窗：外观检查完好，排烟天窗执行机构完好，动作灵敏；</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3.1每月试验感烟、感温探测器的联动卷帘降落的功能是否正常；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3.3每月试验防火卷帘控制器的功能是否正常；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3.4每月检查试验卷帘导轨和转动机构运转是否正常，检查卷帘叶片有无变形；</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3.6档烟垂壁和排烟天窗年度对执行机构进行清洁紧固和润滑。</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1.1检查消防专用电话或插孔是否完好；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1.2定期试验每个消防专用电话或插孔的通讯是否畅通，语音是否清晰、响亮，消防中心电话主机显示通话部位是否正确。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2.1消防专用电话或插孔外观完好、清洁；</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2.2消防专用电话通讯畅通，语音清晰、响亮，消防中心电话主机显示通话部位正确。</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3.1每月检查消防专用电话或插孔是否完好；</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3.2每季度定期试验每个电话或插孔的通讯是否畅通，语音是否清晰、响亮，消防中心电话主机显示部位是否正确。</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1.2检查保养消防扬声器，测试楼层扬声器的效果，声响是否响亮清晰；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1.3定期对消防广播主机进行一次检测维护保养；</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1.4试验消防广播的选层广播功能是否正常。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2.1消防广播系统强制切换功能正常，且音响响亮、清晰；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2.2扬声器外观完好，声响效果响亮、清晰；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2.3广播主机运转灵活、可靠，控制功能正常；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2.4消防广播系统选层准确、可靠，功能正常。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3.2每月分批次检查保养楼层消防扬声器并测试其声响是否响亮、清晰；</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3.3每季度定期对消防广播主机进行一次检测维护保养；</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3.4每月试验消防广播的选层广播功能是否正常。</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气体灭火系统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1.1检查保养各台气体灭火控制器，测试其功能是否正常；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1.2检查启动瓶药剂贮瓶的压力是否符合出厂充装压力和设计要求（压力表指针是否在绿区），有无泄漏现象；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1.3检查试验手动、自动紧急启、停放气装置功能是否正常；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1.4定期对电磁阀、瓶头阀解体清洗，加硅油润滑；</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1.8检查气体保护区域（防护区）内的围护结构、开口等是否符合要求。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2.1气体灭火控制器完好，控制功能正常；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2.2启动瓶和药剂贮瓶压力符合出厂标准和设计要求；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2.3手动、自动、紧急启、停放气装置灵敏、有效；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2.4电磁阀、瓶头阀动作灵活、有效；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2.5模拟试验时，通风空调停止，防火阀关闭，电磁阀延时动作，各项联动功能正常；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2.6启动瓶、药剂贮瓶完好，无变形、无腐蚀、脱漆；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2.7控制气管无变形、松脱，连接牢固、可靠，高压软管无变形、生锈或老化，连接稳固；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2.8防护区围护结构、开口符合规范要求。</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3.1每月检查保养各套气体灭火控制器，测试其功能是否正常；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3.2每月检查启动瓶和药剂贮瓶的压力是否符合出厂充装压力和设计要求（压力表指针是否在绿区），有无泄漏现象；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3.3每月检查试验手动、自动紧急启、停放气装置功能是否正常；</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3.4每年至少一次对电磁阀、瓶头阀解体清洗，加硅油润滑；</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3.6每月检查气体灭火系统启动瓶、药剂瓶有无变形，有无腐蚀、脱漆；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3.8每月检查气体保护区域（防护区）内的围护结构、开口等是否符合要求。</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移动式/手动灭火器系统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1.1检查移动式灭火器（手提式、推车式）压力指针是否在绿区；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1.3检查移动式灭火器药剂贮瓶有无过期失效。</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w:t>
            </w:r>
            <w:r>
              <w:rPr>
                <w:rFonts w:hint="eastAsia" w:ascii="微软雅黑" w:hAnsi="微软雅黑" w:cs="微软雅黑"/>
                <w:color w:val="000000"/>
                <w:sz w:val="21"/>
                <w:szCs w:val="21"/>
                <w:vertAlign w:val="baseline"/>
                <w:lang w:eastAsia="zh-CN"/>
              </w:rPr>
              <w:t xml:space="preserve">准</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2.1移动式灭火器压力指针在绿区内；</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2.2移动式灭火器外观完好，无变形、脱漆或配件缺损；</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2.3移动式灭火器贮瓶和药剂未过期。</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3.1每年检查移动式灭火器（手提式、推车式）压力指针是否在绿区；</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3.2每年检查移动式灭火器外观是否完好，有无变形、脱漆或配件缺失；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3.3每年检查移动式灭火器药剂贮瓶有无过期失效。</w:t>
            </w:r>
            <w:r>
              <w:rPr>
                <w:rFonts w:hint="eastAsia" w:ascii="微软雅黑" w:hAnsi="微软雅黑" w:cs="微软雅黑"/>
                <w:color w:val="000000"/>
                <w:sz w:val="21"/>
                <w:szCs w:val="21"/>
                <w:vertAlign w:val="baseline"/>
                <w:lang w:val="en-US" w:eastAsia="zh-CN"/>
              </w:rPr>
            </w:r>
            <w:r/>
          </w:p>
        </w:tc>
      </w:tr>
      <w:tr>
        <w:trPr/>
        <w:tc>
          <w:tcPr>
            <w:tcW w:w="822"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val="en-US" w:eastAsia="zh-CN"/>
              </w:rPr>
              <w:t xml:space="preserve">10</w:t>
            </w:r>
            <w:r>
              <w:rPr>
                <w:rFonts w:hint="eastAsia" w:ascii="微软雅黑" w:hAnsi="微软雅黑" w:eastAsia="微软雅黑" w:cs="微软雅黑"/>
                <w:color w:val="000000"/>
                <w:sz w:val="21"/>
                <w:szCs w:val="21"/>
                <w:vertAlign w:val="baseline"/>
                <w:lang w:val="en-US" w:eastAsia="zh-CN" w:bidi="ar-SA"/>
              </w:rPr>
            </w:r>
            <w:r/>
          </w:p>
        </w:tc>
        <w:tc>
          <w:tcPr>
            <w:tcW w:w="2460"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GB" w:eastAsia="zh-CN" w:bidi="ar-SA"/>
              </w:rPr>
            </w:pPr>
            <w:r>
              <w:t xml:space="preserve">维保设备及机具</w:t>
            </w:r>
            <w:r>
              <w:rPr>
                <w:rFonts w:hint="eastAsia" w:ascii="微软雅黑" w:hAnsi="微软雅黑" w:eastAsia="微软雅黑" w:cs="微软雅黑"/>
                <w:b w:val="0"/>
                <w:bCs w:val="0"/>
                <w:color w:val="000000"/>
                <w:sz w:val="21"/>
                <w:szCs w:val="21"/>
                <w:vertAlign w:val="baseline"/>
                <w:lang w:val="en-GB" w:eastAsia="zh-CN" w:bidi="ar-SA"/>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US" w:eastAsia="zh-CN" w:bidi="ar-SA"/>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eastAsia="微软雅黑" w:cs="微软雅黑"/>
                <w:b w:val="0"/>
                <w:bCs w:val="0"/>
                <w:color w:val="000000"/>
                <w:sz w:val="21"/>
                <w:szCs w:val="21"/>
                <w:vertAlign w:val="baseline"/>
                <w:lang w:val="en-US" w:eastAsia="zh-CN" w:bidi="ar-SA"/>
              </w:rPr>
            </w:r>
            <w:r/>
          </w:p>
        </w:tc>
      </w:tr>
    </w:tbl>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b/>
          <w:bCs/>
          <w:color w:val="000000"/>
          <w:sz w:val="21"/>
          <w:szCs w:val="21"/>
          <w:lang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ascii="微软雅黑" w:hAnsi="微软雅黑" w:cs="微软雅黑"/>
          <w:color w:val="000000"/>
          <w:sz w:val="21"/>
          <w:szCs w:val="21"/>
          <w:lang w:eastAsia="zh-CN"/>
        </w:rPr>
      </w:r>
      <w:r/>
    </w:p>
    <w:p>
      <w:pPr>
        <w:pStyle w:val="1102"/>
        <w:rPr>
          <w:rFonts w:hint="eastAsia" w:ascii="微软雅黑" w:hAnsi="微软雅黑" w:cs="微软雅黑"/>
          <w:color w:val="000000"/>
          <w:szCs w:val="21"/>
          <w:lang w:eastAsia="zh-CN"/>
        </w:rPr>
      </w:pPr>
      <w:r>
        <w:rPr>
          <w:rFonts w:hint="eastAsia"/>
          <w:lang w:val="en-US" w:eastAsia="zh-CN"/>
        </w:rPr>
        <w:t xml:space="preserve">3、其他服务要求（响应扣分项）</w:t>
      </w:r>
      <w:r>
        <w:rPr>
          <w:rFonts w:hint="eastAsia" w:ascii="微软雅黑" w:hAnsi="微软雅黑" w:cs="微软雅黑"/>
          <w:color w:val="000000"/>
          <w:szCs w:val="21"/>
          <w:lang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定期检测：对相关消防设施的重点功能按专业要求进行测试和检查，并提交相应的检测报告。同时，对消防设施进行专业保养。</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日常巡检：每个月对维保范围内的消防设施进行巡检（每月至少2次）。</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3.6从业人员管理：维保单位保证为本项目配置的全部人员均为乙方全职在岗人员，不存在同时在两家及以上消防技术服务机构执业的情形。投标人项目负责人、技术负责人及操作人员的变更须经招标人书面同意。</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3.7服务响应：投标人接到问题反馈后，应落实首问负责制。对于能解决的问题，应在约定时限内完成维修；对于不能解决的问题，应在24小时内向招标人出具书面解决方案，经招标人确认后负责协调落实，直至问题彻底解决。投标人不得以任何理由推诿、拖延或隐瞒问题。</w:t>
      </w:r>
      <w:r>
        <w:rPr>
          <w:rFonts w:hint="eastAsia" w:ascii="微软雅黑" w:hAnsi="微软雅黑" w:cs="微软雅黑"/>
          <w:color w:val="000000"/>
          <w:sz w:val="21"/>
          <w:szCs w:val="21"/>
          <w:lang w:val="en-US" w:eastAsia="zh-CN"/>
        </w:rPr>
      </w:r>
      <w:r/>
    </w:p>
    <w:p>
      <w:pPr>
        <w:pStyle w:val="1102"/>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sz w:val="21"/>
          <w:szCs w:val="21"/>
        </w:rPr>
        <w:t xml:space="preserve">根据国家有关的设计施工规范和建筑质量检验评定标准</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《建筑设计防火规范》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《自动喷水灭火系统设计规范》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《电气装置安装工程施工及验收规范》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《火灾自动报警系统设计规范》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《汽车库、修车库、停车场设计防火规范》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《建筑电气工程施工质量验收规范》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《中华人民共和国消防法》</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《江苏省消防条例》</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现行的国家相关技术规范、标准</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设计院提供的设计图及消防审核意见书</w:t>
      </w:r>
      <w:r>
        <w:rPr>
          <w:rFonts w:hint="eastAsia" w:ascii="微软雅黑" w:hAnsi="微软雅黑" w:eastAsia="微软雅黑" w:cs="微软雅黑"/>
          <w:color w:val="000000"/>
          <w:sz w:val="21"/>
          <w:szCs w:val="21"/>
        </w:rPr>
      </w:r>
      <w:r/>
    </w:p>
    <w:p>
      <w:pPr>
        <w:pStyle w:val="1102"/>
        <w:rPr>
          <w:rFonts w:ascii="微软雅黑" w:hAnsi="微软雅黑" w:eastAsia="宋体" w:cs="微软雅黑"/>
          <w:color w:val="000000"/>
          <w:szCs w:val="21"/>
          <w:lang w:val="en-US" w:eastAsia="zh-CN"/>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ascii="微软雅黑" w:hAnsi="微软雅黑" w:eastAsia="宋体" w:cs="微软雅黑"/>
          <w:color w:val="000000"/>
          <w:szCs w:val="21"/>
          <w:lang w:val="en-US" w:eastAsia="zh-CN"/>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ascii="微软雅黑" w:hAnsi="微软雅黑" w:eastAsia="微软雅黑" w:cs="微软雅黑"/>
                <w:color w:val="000000"/>
                <w:sz w:val="21"/>
                <w:szCs w:val="21"/>
                <w:vertAlign w:val="baseline"/>
                <w:lang w:val="en-US"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2、具备过硬的管理和协调能力</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rPr>
              <w:t xml:space="preserve">、需具备中级消防维保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2、驻场（上班时间与本院长白班人员一致），节假日及周末须安排人员值班；</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3、其中具有本科及以上学历1名以上，熟练使用PPT等办公软件，具有较强学习能力和语言表达能力，熟悉消防法规及政策贯宣，每月组织院内各科室开展消防安全知识培训。</w:t>
            </w:r>
            <w:r>
              <w:rPr>
                <w:rFonts w:hint="eastAsia" w:ascii="微软雅黑" w:hAnsi="微软雅黑" w:eastAsia="微软雅黑" w:cs="微软雅黑"/>
                <w:color w:val="000000"/>
                <w:sz w:val="21"/>
                <w:szCs w:val="21"/>
                <w:vertAlign w:val="baseline"/>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12</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eastAsia="微软雅黑"/>
                <w:lang w:val="en-US" w:eastAsia="zh-CN"/>
              </w:rPr>
            </w:pPr>
            <w:r>
              <w:rPr>
                <w:rFonts w:hint="eastAsia"/>
                <w:lang w:val="en-US" w:eastAsia="zh-CN"/>
              </w:rPr>
              <w:t xml:space="preserve">宣传人员</w:t>
            </w:r>
            <w:r>
              <w:rPr>
                <w:rFonts w:eastAsia="微软雅黑"/>
                <w:lang w:val="en-US" w:eastAsia="zh-CN"/>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cs="微软雅黑"/>
                <w:color w:val="000000"/>
                <w:sz w:val="21"/>
                <w:szCs w:val="21"/>
                <w:vertAlign w:val="baseline"/>
                <w:lang w:val="en-US" w:eastAsia="zh-CN"/>
              </w:rPr>
            </w:r>
            <w:r/>
          </w:p>
        </w:tc>
        <w:tc>
          <w:tcPr>
            <w:tcW w:w="4466" w:type="dxa"/>
            <w:vAlign w:val="top"/>
            <w:textDirection w:val="lrTb"/>
            <w:noWrap w:val="false"/>
          </w:tcPr>
          <w:p>
            <w:pPr>
              <w:pStyle w:val="1098"/>
              <w:numPr>
                <w:ilvl w:val="0"/>
                <w:numId w:val="0"/>
              </w:numPr>
              <w:jc w:val="left"/>
              <w:keepLines w:val="0"/>
              <w:keepNext w:val="0"/>
              <w:pageBreakBefore w:val="0"/>
              <w:spacing w:line="440" w:lineRule="exact"/>
              <w:widowControl w:val="off"/>
              <w:rPr>
                <w:rFonts w:hint="eastAsia" w:eastAsia="微软雅黑"/>
                <w:lang w:eastAsia="zh-CN"/>
              </w:rPr>
            </w:pPr>
            <w:r>
              <w:rPr>
                <w:rFonts w:eastAsia="微软雅黑"/>
                <w:sz w:val="21"/>
                <w:szCs w:val="22"/>
                <w:lang w:val="en-US" w:eastAsia="zh-CN" w:bidi="ar-SA"/>
              </w:rPr>
              <w:t xml:space="preserve">1、</w:t>
            </w:r>
            <w:r>
              <w:t xml:space="preserve">具有本科及以上学历，熟练使用PPT，熟悉消防法规及政策贯宣，每月组织院内各科室开展消防安全知识培训，确保培训覆盖率达100%，并留存完整记录（包括签到表、培训内容、影像资料等）</w:t>
            </w:r>
            <w:r>
              <w:rPr>
                <w:rFonts w:hint="eastAsia"/>
                <w:lang w:eastAsia="zh-CN"/>
              </w:rPr>
              <w:t xml:space="preserve">。</w:t>
            </w:r>
            <w:r>
              <w:rPr>
                <w:rFonts w:hint="eastAsia" w:eastAsia="微软雅黑"/>
                <w:lang w:eastAsia="zh-CN"/>
              </w:rPr>
            </w:r>
            <w:r/>
          </w:p>
          <w:p>
            <w:pPr>
              <w:pStyle w:val="1098"/>
              <w:numPr>
                <w:ilvl w:val="0"/>
                <w:numId w:val="0"/>
              </w:numPr>
              <w:jc w:val="left"/>
              <w:keepLines w:val="0"/>
              <w:keepNext w:val="0"/>
              <w:pageBreakBefore w:val="0"/>
              <w:spacing w:line="440" w:lineRule="exact"/>
              <w:widowControl w:val="off"/>
              <w:rPr>
                <w:rFonts w:hint="eastAsia" w:eastAsia="微软雅黑"/>
                <w:lang w:val="en-US" w:eastAsia="zh-CN"/>
              </w:rPr>
            </w:pPr>
            <w:r>
              <w:rPr>
                <w:rFonts w:hint="eastAsia"/>
                <w:lang w:val="en-US" w:eastAsia="zh-CN"/>
              </w:rPr>
              <w:t xml:space="preserve">2、</w:t>
            </w:r>
            <w:r>
              <w:t xml:space="preserve">配合采购人安全保卫科制作及更新消防宣传资料（如手册、海报、视频等），确保内容准确、通俗易懂</w:t>
            </w:r>
            <w:r>
              <w:rPr>
                <w:rFonts w:hint="eastAsia"/>
                <w:lang w:eastAsia="zh-CN"/>
              </w:rPr>
              <w:t xml:space="preserve">。</w:t>
            </w:r>
            <w:r>
              <w:rPr>
                <w:rFonts w:hint="eastAsia" w:eastAsia="微软雅黑"/>
                <w:lang w:val="en-US" w:eastAsia="zh-CN"/>
              </w:rPr>
            </w:r>
            <w:r/>
          </w:p>
        </w:tc>
      </w:tr>
    </w:tbl>
    <w:p>
      <w:pPr>
        <w:pStyle w:val="1101"/>
        <w:jc w:val="both"/>
        <w:rPr>
          <w:rFonts w:hint="eastAsia" w:ascii="微软雅黑" w:hAnsi="微软雅黑" w:eastAsia="微软雅黑" w:cs="微软雅黑"/>
          <w:color w:val="000000"/>
          <w:sz w:val="21"/>
          <w:szCs w:val="21"/>
        </w:rPr>
      </w:pPr>
      <w:r/>
      <w:bookmarkStart w:id="244" w:name="_Toc29133"/>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4"/>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w:t>
      </w:r>
      <w:r>
        <w:rPr>
          <w:rFonts w:hint="eastAsia" w:ascii="微软雅黑" w:hAnsi="微软雅黑" w:eastAsia="微软雅黑" w:cs="微软雅黑"/>
          <w:color w:val="000000"/>
          <w:sz w:val="21"/>
          <w:szCs w:val="21"/>
        </w:rPr>
        <w:t xml:space="preserve">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w:t>
      </w:r>
      <w:r>
        <w:rPr>
          <w:rFonts w:hint="eastAsia" w:ascii="微软雅黑" w:hAnsi="微软雅黑" w:eastAsia="微软雅黑" w:cs="微软雅黑"/>
          <w:color w:val="000000"/>
          <w:sz w:val="21"/>
          <w:szCs w:val="21"/>
        </w:rPr>
        <w:t xml:space="preserve">投标人保证提供员工的合法身份及无犯罪记录，其派驻人员应遵守国家政策和法令，遵守劳动纪律，讲究职业道德；并遵守院内的各项规章制度。</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1.3 </w:t>
      </w:r>
      <w:r>
        <w:rPr>
          <w:rFonts w:hint="eastAsia" w:ascii="微软雅黑" w:hAnsi="微软雅黑" w:eastAsia="微软雅黑" w:cs="微软雅黑"/>
          <w:color w:val="000000"/>
          <w:sz w:val="21"/>
          <w:szCs w:val="21"/>
        </w:rPr>
        <w:t xml:space="preserve">每次维护结束时，维护人员应负责清理相关工作场所。中标人在整个维保过程中，保持维保设备摆放整齐，现场清洁，维保完成后应及时清运垃圾杂物，做好物尽场清。</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w:t>
      </w:r>
      <w:r>
        <w:rPr>
          <w:rFonts w:hint="eastAsia" w:ascii="微软雅黑" w:hAnsi="微软雅黑" w:eastAsia="微软雅黑" w:cs="微软雅黑"/>
          <w:color w:val="000000"/>
          <w:sz w:val="21"/>
          <w:szCs w:val="21"/>
        </w:rPr>
        <w:t xml:space="preserve">投标人中标后有义务按照招标人要求如实填制服务内容及服务质量相关记录、维护记录（需由</w:t>
      </w:r>
      <w:r>
        <w:rPr>
          <w:rFonts w:hint="eastAsia" w:ascii="微软雅黑" w:hAnsi="微软雅黑" w:cs="微软雅黑"/>
          <w:color w:val="000000"/>
          <w:sz w:val="21"/>
          <w:szCs w:val="21"/>
          <w:lang w:eastAsia="zh-CN"/>
        </w:rPr>
        <w:t xml:space="preserve">采购人</w:t>
      </w:r>
      <w:r>
        <w:rPr>
          <w:rFonts w:hint="eastAsia" w:ascii="微软雅黑" w:hAnsi="微软雅黑" w:eastAsia="微软雅黑" w:cs="微软雅黑"/>
          <w:color w:val="000000"/>
          <w:sz w:val="21"/>
          <w:szCs w:val="21"/>
        </w:rPr>
        <w:t xml:space="preserve">保卫科和维护人员双方签字确认）和提供合理化改进建议。</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1.5 </w:t>
      </w:r>
      <w:r>
        <w:rPr>
          <w:rFonts w:hint="eastAsia" w:ascii="微软雅黑" w:hAnsi="微软雅黑" w:eastAsia="微软雅黑" w:cs="微软雅黑"/>
          <w:color w:val="000000"/>
          <w:sz w:val="21"/>
          <w:szCs w:val="21"/>
        </w:rPr>
        <w:t xml:space="preserve">维护服务过程中，由于服务人员工作不当而造成的人员意外伤害及给医院带来财产损失，由中标人承担全部人身伤害责任，并负责赔偿招标人的财产损失。</w:t>
      </w:r>
      <w:r>
        <w:rPr>
          <w:rFonts w:hint="eastAsia" w:ascii="微软雅黑" w:hAnsi="微软雅黑" w:eastAsia="微软雅黑" w:cs="微软雅黑"/>
          <w:b/>
          <w:bCs/>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2.1 </w:t>
      </w:r>
      <w:r>
        <w:rPr>
          <w:rFonts w:hint="eastAsia" w:ascii="微软雅黑" w:hAnsi="微软雅黑" w:eastAsia="微软雅黑" w:cs="微软雅黑"/>
          <w:color w:val="000000"/>
          <w:sz w:val="21"/>
          <w:szCs w:val="21"/>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2.2 </w:t>
      </w:r>
      <w:r>
        <w:rPr>
          <w:rFonts w:hint="eastAsia" w:ascii="微软雅黑" w:hAnsi="微软雅黑" w:eastAsia="微软雅黑" w:cs="微软雅黑"/>
          <w:color w:val="000000"/>
          <w:sz w:val="21"/>
          <w:szCs w:val="21"/>
        </w:rPr>
        <w:t xml:space="preserve">投标人应承担对自己员工的安全保障责任，加强安全教育并根据国家相关规定为投标人在招标人从事服务的工作人员缴纳各类保险。</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2.3 </w:t>
      </w:r>
      <w:r>
        <w:rPr>
          <w:rFonts w:hint="eastAsia" w:ascii="微软雅黑" w:hAnsi="微软雅黑" w:eastAsia="微软雅黑" w:cs="微软雅黑"/>
          <w:color w:val="000000"/>
          <w:sz w:val="21"/>
          <w:szCs w:val="21"/>
        </w:rPr>
        <w:t xml:space="preserve">投标人需要配备相关的安全生产器材和安全防护用品。</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微软雅黑" w:hAnsi="微软雅黑" w:eastAsia="微软雅黑" w:cs="微软雅黑"/>
          <w:color w:val="000000"/>
          <w:sz w:val="21"/>
          <w:szCs w:val="21"/>
        </w:rPr>
        <w:t xml:space="preserve">投标人应建立并执行安全生产奖惩制度。根据各级签订的安全生产责任状中的有关条款和安全生产奖惩制度的有关规定，使安全生产管理工作与各级安全责任人的经济挂钩，以便更好地提高各级安全管理人员的安全意识和责任心，最终实现安全生产的目标。</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微软雅黑" w:hAnsi="微软雅黑" w:eastAsia="微软雅黑" w:cs="微软雅黑"/>
          <w:color w:val="000000"/>
          <w:sz w:val="21"/>
          <w:szCs w:val="21"/>
        </w:rPr>
        <w:t xml:space="preserve">如果施工过程中需要进行任何会产生火花、有明火的作业，如打磨、切割、烧焊等操作，需要提前进行动火作业施工申请，需施工负责人协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2.6 </w:t>
      </w:r>
      <w:r>
        <w:rPr>
          <w:rFonts w:hint="eastAsia" w:ascii="微软雅黑" w:hAnsi="微软雅黑" w:eastAsia="微软雅黑" w:cs="微软雅黑"/>
          <w:color w:val="000000"/>
          <w:sz w:val="21"/>
          <w:szCs w:val="21"/>
        </w:rPr>
        <w:t xml:space="preserve">在维保过程中，如果出现任何经由政府权威机构认定的由于投标人所造成的对其他人员的人身损伤或伤害等意外事故，所造成的所有损失及责任应由投标人负责，招标人不负有任何经济或法律等连带责任。</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2.7 </w:t>
      </w:r>
      <w:r>
        <w:rPr>
          <w:rFonts w:hint="eastAsia" w:ascii="微软雅黑" w:hAnsi="微软雅黑" w:eastAsia="微软雅黑" w:cs="微软雅黑"/>
          <w:color w:val="000000"/>
          <w:sz w:val="21"/>
          <w:szCs w:val="21"/>
        </w:rPr>
        <w:t xml:space="preserve">未经招标人许可，投标人不得进行任何服务范围以外的维保作业。</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w:t>
      </w:r>
      <w:r>
        <w:rPr>
          <w:rFonts w:hint="eastAsia" w:ascii="微软雅黑" w:hAnsi="微软雅黑" w:eastAsia="微软雅黑" w:cs="微软雅黑"/>
          <w:color w:val="000000"/>
          <w:sz w:val="21"/>
          <w:szCs w:val="21"/>
        </w:rPr>
        <w:t xml:space="preserve">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微软雅黑" w:hAnsi="微软雅黑" w:eastAsia="微软雅黑" w:cs="微软雅黑"/>
          <w:color w:val="000000"/>
          <w:sz w:val="21"/>
          <w:szCs w:val="21"/>
        </w:rPr>
        <w:t xml:space="preserve">维保作业期间现场设置警戒围挡护栏或标志，必要时应做封闭式隔离，以保证招标人员工和病患人员的安全。</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微软雅黑" w:hAnsi="微软雅黑" w:eastAsia="微软雅黑" w:cs="微软雅黑"/>
          <w:color w:val="000000"/>
          <w:sz w:val="21"/>
          <w:szCs w:val="21"/>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1101"/>
        <w:jc w:val="both"/>
        <w:rPr>
          <w:rFonts w:hint="eastAsia" w:ascii="微软雅黑" w:hAnsi="微软雅黑" w:eastAsia="微软雅黑" w:cs="微软雅黑"/>
          <w:color w:val="000000"/>
          <w:sz w:val="21"/>
          <w:szCs w:val="21"/>
          <w:highlight w:val="none"/>
          <w:lang w:eastAsia="zh-CN"/>
        </w:rPr>
      </w:pPr>
      <w:r/>
      <w:bookmarkStart w:id="245" w:name="_Toc23443"/>
      <w:r>
        <w:rPr>
          <w:rFonts w:hint="eastAsia" w:ascii="Calibri" w:hAnsi="Calibri" w:cs="Times New Roman"/>
          <w:b/>
          <w:bCs/>
          <w:color w:val="000000"/>
          <w:sz w:val="21"/>
          <w:szCs w:val="22"/>
          <w:highlight w:val="none"/>
          <w:lang w:val="en-US" w:eastAsia="zh-CN" w:bidi="ar"/>
        </w:rPr>
        <w:t xml:space="preserve">四、商务要求</w:t>
      </w:r>
      <w:bookmarkEnd w:id="245"/>
      <w:r>
        <w:rPr>
          <w:rFonts w:hint="eastAsia" w:ascii="微软雅黑" w:hAnsi="微软雅黑" w:eastAsia="微软雅黑" w:cs="微软雅黑"/>
          <w:color w:val="000000"/>
          <w:sz w:val="21"/>
          <w:szCs w:val="21"/>
          <w:highlight w:val="none"/>
          <w:lang w:eastAsia="zh-CN"/>
        </w:rPr>
      </w:r>
      <w:r/>
    </w:p>
    <w:p>
      <w:pPr>
        <w:pStyle w:val="1098"/>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none"/>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cs="微软雅黑"/>
          <w:szCs w:val="21"/>
          <w:highlight w:val="none"/>
          <w:lang w:eastAsia="zh-CN"/>
        </w:rPr>
        <w:t xml:space="preserve">。</w:t>
      </w:r>
      <w:r>
        <w:rPr>
          <w:rFonts w:hint="eastAsia" w:ascii="微软雅黑" w:hAnsi="微软雅黑" w:eastAsia="微软雅黑" w:cs="微软雅黑"/>
          <w:b/>
          <w:bCs/>
          <w:color w:val="000000"/>
          <w:sz w:val="21"/>
          <w:szCs w:val="21"/>
          <w:highlight w:val="none"/>
          <w:lang w:eastAsia="zh-CN"/>
        </w:rPr>
      </w:r>
      <w:r/>
    </w:p>
    <w:p>
      <w:pPr>
        <w:pStyle w:val="1098"/>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2、付款方式：每月25日前采购人向投标供应商支付上个月的服务费用，即合同金额的1/12。</w:t>
      </w:r>
      <w:r>
        <w:rPr>
          <w:rFonts w:hint="eastAsia" w:ascii="微软雅黑" w:hAnsi="微软雅黑" w:cs="微软雅黑"/>
          <w:color w:val="000000"/>
          <w:sz w:val="21"/>
          <w:szCs w:val="21"/>
          <w:highlight w:val="none"/>
          <w:lang w:val="en-US" w:eastAsia="zh-CN"/>
        </w:rPr>
      </w:r>
      <w:r/>
    </w:p>
    <w:p>
      <w:pPr>
        <w:pStyle w:val="1098"/>
        <w:ind w:firstLine="420"/>
        <w:jc w:val="left"/>
        <w:keepLines w:val="0"/>
        <w:keepNext w:val="0"/>
        <w:pageBreakBefore w:val="0"/>
        <w:spacing w:line="440" w:lineRule="exact"/>
        <w:widowControl w:val="off"/>
        <w:rPr>
          <w:rFonts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每次支付前，由乙方向甲方提供合法、有效的增值税专用发票，甲方将相应款项汇至本合同中约定的乙方账户。</w:t>
      </w:r>
      <w:r>
        <w:rPr>
          <w:rFonts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w:t>
      </w:r>
      <w:r>
        <w:rPr>
          <w:rFonts w:hint="eastAsia" w:ascii="宋体" w:hAnsi="宋体" w:cs="宋体"/>
          <w:color w:val="000000"/>
        </w:rPr>
        <w:t xml:space="preserve">投标人必须保证全部投标资料的真实性，如有虚假或对招标文件所要求说明的情况故意隐瞒或虚报，视为不实质性响应招标文件，为无效投标。已中标的将取消中标资格</w:t>
      </w:r>
      <w:r>
        <w:rPr>
          <w:rFonts w:hint="eastAsia" w:ascii="宋体" w:hAnsi="宋体" w:cs="宋体"/>
          <w:color w:val="000000"/>
          <w:lang w:eastAsia="zh-CN"/>
        </w:rPr>
        <w:t xml:space="preserve">。</w:t>
      </w:r>
      <w:r>
        <w:rPr>
          <w:rFonts w:hint="eastAsia" w:ascii="微软雅黑" w:hAnsi="微软雅黑" w:eastAsia="微软雅黑" w:cs="微软雅黑"/>
          <w:color w:val="000000"/>
          <w:sz w:val="21"/>
          <w:szCs w:val="21"/>
          <w:lang w:val="en-US" w:eastAsia="zh-CN"/>
        </w:rPr>
      </w:r>
      <w:r/>
    </w:p>
    <w:p>
      <w:pPr>
        <w:pStyle w:val="1098"/>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4、服务期内所有上门服务产生的一切费用（包括但不限于交通、食宿等）均包含在投标报价内。</w:t>
      </w:r>
      <w:r>
        <w:rPr>
          <w:rFonts w:hint="eastAsia" w:ascii="微软雅黑" w:hAnsi="微软雅黑" w:cs="微软雅黑"/>
          <w:szCs w:val="21"/>
          <w:lang w:val="en-US" w:eastAsia="zh-CN"/>
        </w:rPr>
      </w:r>
      <w:r/>
    </w:p>
    <w:p>
      <w:pPr>
        <w:pStyle w:val="1142"/>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cs="微软雅黑"/>
          <w:szCs w:val="21"/>
          <w:lang w:val="en-US" w:eastAsia="zh-CN"/>
        </w:rPr>
        <w:t xml:space="preserve">   </w:t>
      </w:r>
      <w:r>
        <w:rPr>
          <w:rFonts w:hint="eastAsia" w:ascii="微软雅黑" w:hAnsi="微软雅黑" w:eastAsia="微软雅黑" w:cs="微软雅黑"/>
          <w:color w:val="000000"/>
          <w:sz w:val="21"/>
          <w:szCs w:val="21"/>
          <w:lang w:val="en-US" w:eastAsia="zh-CN" w:bidi="ar-SA"/>
        </w:rPr>
        <w:t xml:space="preserve"> 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hint="eastAsia" w:ascii="微软雅黑" w:hAnsi="微软雅黑" w:eastAsia="微软雅黑" w:cs="微软雅黑"/>
          <w:color w:val="000000"/>
          <w:sz w:val="21"/>
          <w:szCs w:val="21"/>
          <w:lang w:val="en-US" w:eastAsia="zh-CN" w:bidi="ar-SA"/>
        </w:rPr>
      </w:r>
      <w:r/>
    </w:p>
    <w:p>
      <w:pPr>
        <w:pStyle w:val="1100"/>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rPr>
          <w:rFonts w:hint="eastAsia" w:ascii="微软雅黑" w:hAnsi="微软雅黑" w:eastAsia="微软雅黑" w:cs="微软雅黑"/>
          <w:color w:val="000000"/>
          <w:sz w:val="21"/>
          <w:szCs w:val="21"/>
          <w:lang w:val="en-US" w:eastAsia="zh-CN" w:bidi="ar-SA"/>
        </w:rPr>
        <w:br w:type="page" w:clear="all"/>
      </w:r>
      <w:bookmarkStart w:id="246" w:name="_Toc21501"/>
      <w:r>
        <w:rPr>
          <w:rFonts w:hint="eastAsia" w:ascii="微软雅黑" w:hAnsi="微软雅黑" w:eastAsia="微软雅黑" w:cs="微软雅黑"/>
          <w:b/>
          <w:bCs/>
          <w:color w:val="000000"/>
          <w:sz w:val="24"/>
          <w:szCs w:val="24"/>
          <w:highlight w:val="none"/>
          <w:lang w:eastAsia="zh-CN" w:bidi="ar"/>
        </w:rPr>
        <w:t xml:space="preserve">包</w:t>
      </w:r>
      <w:r>
        <w:rPr>
          <w:rFonts w:hint="eastAsia" w:ascii="微软雅黑" w:hAnsi="微软雅黑" w:cs="微软雅黑"/>
          <w:b/>
          <w:bCs/>
          <w:color w:val="000000"/>
          <w:sz w:val="24"/>
          <w:szCs w:val="24"/>
          <w:highlight w:val="none"/>
          <w:lang w:eastAsia="zh-CN" w:bidi="ar"/>
        </w:rPr>
        <w:t xml:space="preserve">二</w:t>
      </w:r>
      <w:r>
        <w:rPr>
          <w:rFonts w:hint="eastAsia" w:ascii="微软雅黑" w:hAnsi="微软雅黑" w:eastAsia="微软雅黑" w:cs="微软雅黑"/>
          <w:b/>
          <w:bCs/>
          <w:color w:val="000000"/>
          <w:sz w:val="24"/>
          <w:szCs w:val="24"/>
          <w:highlight w:val="none"/>
          <w:lang w:eastAsia="zh-CN" w:bidi="ar"/>
        </w:rPr>
        <w:t xml:space="preserve">：</w:t>
      </w:r>
      <w:r>
        <w:rPr>
          <w:rFonts w:hint="eastAsia" w:ascii="微软雅黑" w:hAnsi="微软雅黑" w:eastAsia="微软雅黑" w:cs="微软雅黑"/>
          <w:szCs w:val="21"/>
          <w:lang w:eastAsia="zh-CN"/>
        </w:rPr>
        <w:t xml:space="preserve">徐州医科大学附属医院鲲鹏路院区及相应租赁区域（院外物流园国资库房）消防维保</w:t>
      </w:r>
      <w:bookmarkEnd w:id="246"/>
      <w:r>
        <w:rPr>
          <w:rFonts w:hint="eastAsia" w:ascii="微软雅黑" w:hAnsi="微软雅黑" w:eastAsia="微软雅黑" w:cs="微软雅黑"/>
          <w:b/>
          <w:bCs/>
          <w:color w:val="000000"/>
          <w:sz w:val="24"/>
          <w:szCs w:val="24"/>
          <w:highlight w:val="none"/>
          <w:lang w:eastAsia="zh-CN" w:bidi="ar"/>
        </w:rPr>
      </w:r>
      <w:r/>
    </w:p>
    <w:p>
      <w:pPr>
        <w:pStyle w:val="1101"/>
        <w:jc w:val="left"/>
        <w:rPr>
          <w:b/>
          <w:bCs/>
          <w:color w:val="000000"/>
          <w:sz w:val="21"/>
          <w:szCs w:val="22"/>
          <w:lang w:eastAsia="zh-CN" w:bidi="ar"/>
        </w:rPr>
      </w:pPr>
      <w:r/>
      <w:bookmarkStart w:id="247" w:name="_Toc18747"/>
      <w:r>
        <w:rPr>
          <w:b/>
          <w:bCs/>
          <w:color w:val="000000"/>
          <w:sz w:val="21"/>
          <w:szCs w:val="22"/>
          <w:lang w:eastAsia="zh-CN" w:bidi="ar"/>
        </w:rPr>
        <w:t xml:space="preserve">一、项目基本情况</w:t>
      </w:r>
      <w:bookmarkEnd w:id="247"/>
      <w:r>
        <w:rPr>
          <w:b/>
          <w:bCs/>
          <w:color w:val="000000"/>
          <w:sz w:val="21"/>
          <w:szCs w:val="22"/>
          <w:lang w:eastAsia="zh-CN" w:bidi="ar"/>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本次消防维保及值班项目范围为徐州医科大学附属医院鲲鹏路院区及相应租赁区域（院外物流园国资库房）。</w:t>
      </w:r>
      <w:r>
        <w:rPr>
          <w:rFonts w:hint="eastAsia" w:ascii="微软雅黑" w:hAnsi="微软雅黑" w:eastAsia="微软雅黑" w:cs="微软雅黑"/>
          <w:color w:val="000000"/>
          <w:sz w:val="21"/>
          <w:szCs w:val="21"/>
          <w:highlight w:val="none"/>
          <w:lang w:eastAsia="zh-CN" w:bidi="ar"/>
        </w:rPr>
      </w:r>
      <w:r/>
    </w:p>
    <w:p>
      <w:pPr>
        <w:pStyle w:val="1101"/>
        <w:jc w:val="both"/>
        <w:rPr>
          <w:rFonts w:ascii="Calibri" w:hAnsi="Calibri" w:eastAsia="微软雅黑" w:cs="Times New Roman"/>
          <w:b/>
          <w:bCs/>
          <w:color w:val="000000"/>
          <w:sz w:val="21"/>
          <w:szCs w:val="22"/>
          <w:highlight w:val="none"/>
          <w:lang w:bidi="ar"/>
        </w:rPr>
      </w:pPr>
      <w:r/>
      <w:bookmarkStart w:id="248" w:name="_Toc3840"/>
      <w:r>
        <w:rPr>
          <w:rFonts w:ascii="Calibri" w:hAnsi="Calibri" w:cs="Times New Roman"/>
          <w:b/>
          <w:bCs/>
          <w:color w:val="000000"/>
          <w:sz w:val="21"/>
          <w:szCs w:val="22"/>
          <w:highlight w:val="none"/>
          <w:lang w:eastAsia="zh-CN" w:bidi="ar"/>
        </w:rPr>
        <w:t xml:space="preserve">二、服务要求</w:t>
      </w:r>
      <w:bookmarkEnd w:id="248"/>
      <w:r>
        <w:rPr>
          <w:rFonts w:ascii="Calibri" w:hAnsi="Calibri" w:eastAsia="微软雅黑" w:cs="Times New Roman"/>
          <w:b/>
          <w:bCs/>
          <w:color w:val="000000"/>
          <w:sz w:val="21"/>
          <w:szCs w:val="22"/>
          <w:highlight w:val="none"/>
          <w:lang w:bidi="ar"/>
        </w:rPr>
      </w:r>
      <w:r/>
    </w:p>
    <w:p>
      <w:pPr>
        <w:pStyle w:val="1102"/>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44"/>
        <w:gridCol w:w="5966"/>
      </w:tblGrid>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pPr>
            <w:r>
              <w:t xml:space="preserve">维保范围包含院本部既有验收通过、交付使用的消防设施设备维护保养，包括但不限于：</w:t>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消防供配电设施；2、火灾自动报警系统；3、电气火灾监控系统；4、可燃气体探测报警系统；5、消防供水设施；6、消火栓（消防炮）灭火系统；7、自动喷水灭火系统；8、灭火器；9、气体灭火系统；10、防烟、排烟系统联动；11、应急照明和疏散指示标志；12、应急广播系统；13、消防专用电话；14、防火分隔设施联动；15、消防电梯联动。</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1、持证上岗；</w:t>
            </w:r>
            <w:r>
              <w:br w:type="textWrapping" w:clear="all"/>
            </w:r>
            <w:r>
              <w:t xml:space="preserve">2、设备操作能力：熟练操作消防控制室的火灾报警控制器、自动灭火系统、防排烟系统等消防设施，能准确处理设备故障和报警信号。</w:t>
            </w:r>
            <w:r>
              <w:br w:type="textWrapping" w:clear="all"/>
            </w:r>
            <w:r>
              <w:t xml:space="preserve">3、应急处置能力：熟悉火灾事故应急处理流程，如发现火情时能迅速启动应急预案、拨打119、组织初期灭火和疏散等。</w:t>
            </w:r>
            <w:r>
              <w:br w:type="textWrapping" w:clear="all"/>
            </w:r>
            <w:r>
              <w:t xml:space="preserve">4、法规与制度了解：掌握消防法律法规、单位消防安全管理制度，能按规范记录值班情况（如设备运行日志、报警处理记录等）。</w:t>
            </w:r>
            <w:r>
              <w:br w:type="textWrapping" w:clear="all"/>
            </w:r>
            <w:r>
              <w:t xml:space="preserve">5、24小时值班，每班不低于2人，配置消防设施操作员12名</w:t>
            </w:r>
            <w:r>
              <w:rPr>
                <w:rFonts w:hint="eastAsia" w:ascii="微软雅黑" w:hAnsi="微软雅黑" w:cs="微软雅黑"/>
                <w:color w:val="000000"/>
                <w:sz w:val="21"/>
                <w:szCs w:val="21"/>
                <w:vertAlign w:val="baseline"/>
                <w:lang w:val="en-US" w:eastAsia="zh-CN"/>
              </w:rPr>
              <w:t xml:space="preserve">（不含</w:t>
            </w:r>
            <w:r>
              <w:rPr>
                <w:rFonts w:hint="eastAsia"/>
                <w:lang w:val="en-US" w:eastAsia="zh-CN"/>
              </w:rPr>
              <w:t xml:space="preserve">除消防设施操作员外的人员</w:t>
            </w:r>
            <w:r>
              <w:rPr>
                <w:rFonts w:hint="eastAsia" w:ascii="微软雅黑" w:hAnsi="微软雅黑" w:cs="微软雅黑"/>
                <w:color w:val="000000"/>
                <w:sz w:val="21"/>
                <w:szCs w:val="21"/>
                <w:vertAlign w:val="baseline"/>
                <w:lang w:val="en-US" w:eastAsia="zh-CN"/>
              </w:rPr>
              <w:t xml:space="preserve">）</w:t>
            </w:r>
            <w:r>
              <w:br w:type="textWrapping" w:clear="all"/>
            </w:r>
            <w:r>
              <w:t xml:space="preserve">6、若消防设施出现故障，需立即上报并联系维修人员，确保设备正常运行。</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1、派驻现场技术人员不低于4人，</w:t>
            </w:r>
            <w:r>
              <w:rPr>
                <w:rFonts w:hint="eastAsia" w:ascii="微软雅黑" w:hAnsi="微软雅黑" w:cs="微软雅黑"/>
                <w:color w:val="000000"/>
                <w:sz w:val="21"/>
                <w:szCs w:val="21"/>
                <w:highlight w:val="none"/>
                <w:vertAlign w:val="baseline"/>
                <w:lang w:val="en-US" w:eastAsia="zh-CN"/>
              </w:rPr>
              <w:t xml:space="preserve">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t xml:space="preserve">；</w:t>
            </w:r>
            <w:r>
              <w:br w:type="textWrapping" w:clear="all"/>
            </w:r>
            <w:r>
              <w:t xml:space="preserve">2、熟练掌握消防设施（如消防泵、报警控制器、防排烟风机等）的检测及故障维修，能独立完成设备定期保养（如清洁、润滑、功能测试）等。</w:t>
            </w:r>
            <w:r>
              <w:br w:type="textWrapping" w:clear="all"/>
            </w:r>
            <w:r>
              <w:t xml:space="preserve">3、按计划使用专业工具（如烟感测试仪、万用表）对消防系统进行周期性检查（如月检、季检、年检），准确判断设备故障原因（如线路短路、模块损坏等）并提出解决方案。</w:t>
            </w:r>
            <w:r>
              <w:br w:type="textWrapping" w:clear="all"/>
            </w:r>
            <w:r>
              <w:t xml:space="preserve">4、熟悉《建筑消防设施的维护管理》、《消防设施通用规范》等国家标准，确保维保工作符合规范要求。</w:t>
            </w:r>
            <w:r>
              <w:br w:type="textWrapping" w:clear="all"/>
            </w:r>
            <w: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1、每年提供12次管道应急抢修服务；维保人员应保持24小时电话畅通，随时接听紧急电话，确保立即赶到现场；</w:t>
            </w:r>
            <w:r>
              <w:br w:type="textWrapping" w:clear="all"/>
            </w:r>
            <w:r>
              <w:t xml:space="preserve">2、为确保发生紧急故障时能及时更换损坏部件，应购买相对应的备品备件以作应对；</w:t>
            </w:r>
            <w:r>
              <w:br w:type="textWrapping" w:clear="all"/>
            </w:r>
            <w:r>
              <w:t xml:space="preserve">3、一般故障应该立即排除，严重故障应该在24小时内修复。当需要超过2天尚无法修复时，需通知甲方工作人员增加日常管理人员与维保单位工作人员一同做好维保期间的安全防范，同时维保单位增加技术力量，尽快修复故障；</w:t>
            </w:r>
            <w:r>
              <w:br w:type="textWrapping" w:clear="all"/>
            </w:r>
            <w: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1944" w:type="dxa"/>
            <w:vAlign w:val="center"/>
            <w:textDirection w:val="lrTb"/>
            <w:noWrap w:val="false"/>
          </w:tcPr>
          <w:p>
            <w:pPr>
              <w:pStyle w:val="1098"/>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pPr>
            <w:r>
              <w:t xml:space="preserve">宣传能力</w:t>
            </w:r>
            <w:r/>
          </w:p>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lang w:val="en-US" w:eastAsia="zh-CN"/>
              </w:rPr>
              <w:t xml:space="preserve">(宣传人员）</w:t>
            </w:r>
            <w:r>
              <w:rPr>
                <w:rFonts w:ascii="微软雅黑" w:hAnsi="微软雅黑" w:eastAsia="微软雅黑" w:cs="微软雅黑"/>
                <w:color w:val="000000"/>
                <w:sz w:val="21"/>
                <w:szCs w:val="21"/>
                <w:vertAlign w:val="baseline"/>
                <w:lang w:val="en-US" w:eastAsia="zh-CN"/>
              </w:rPr>
            </w:r>
            <w:r/>
          </w:p>
        </w:tc>
        <w:tc>
          <w:tcPr>
            <w:tcW w:w="5966" w:type="dxa"/>
            <w:vAlign w:val="center"/>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派驻现场技术人员中不少于一名人员，具有本科及以上学历，熟练使用PPT，熟悉消防法规及政策贯宣，每月组织院内各科室开展消防安全知识培训，确保培训覆盖率达100%，并留存完整记录（包括签到表、培训内容、影像资料等）；</w:t>
            </w:r>
            <w:r>
              <w:br w:type="textWrapping" w:clear="all"/>
            </w:r>
            <w: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1098"/>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pPr>
            <w:r>
              <w:t xml:space="preserve">技术服务能力</w:t>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lang w:eastAsia="zh-CN"/>
              </w:rPr>
              <w:t xml:space="preserve">（</w:t>
            </w:r>
            <w:r>
              <w:t xml:space="preserve">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1、具备一级注册消防工程师资格。负责实施该维保工程的项目管理、消防技术指导和服务质量保障等,对出具的维护保养记录、书面结论等文件负责；</w:t>
            </w:r>
            <w:r>
              <w:br w:type="textWrapping" w:clear="all"/>
            </w:r>
            <w: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1102"/>
        <w:rPr>
          <w:rFonts w:hint="eastAsia" w:ascii="微软雅黑" w:hAnsi="微软雅黑" w:cs="微软雅黑"/>
          <w:color w:val="000000"/>
          <w:szCs w:val="21"/>
          <w:highlight w:val="none"/>
          <w:lang w:eastAsia="zh-CN"/>
        </w:rPr>
      </w:pPr>
      <w:r>
        <w:rPr>
          <w:rFonts w:hint="eastAsia"/>
          <w:highlight w:val="none"/>
          <w:lang w:val="en-US" w:eastAsia="zh-CN"/>
        </w:rPr>
        <w:t xml:space="preserve">2、维保服务具体要求</w:t>
      </w:r>
      <w:r>
        <w:rPr>
          <w:rFonts w:hint="eastAsia" w:ascii="微软雅黑" w:hAnsi="微软雅黑" w:cs="微软雅黑"/>
          <w:color w:val="000000"/>
          <w:szCs w:val="21"/>
          <w:highlight w:val="none"/>
          <w:lang w:eastAsia="zh-CN"/>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1</w:t>
            </w:r>
            <w:r>
              <w:rPr>
                <w:rFonts w:ascii="微软雅黑" w:hAnsi="微软雅黑" w:cs="微软雅黑"/>
                <w:color w:val="000000"/>
                <w:sz w:val="21"/>
                <w:szCs w:val="21"/>
                <w:highlight w:val="none"/>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bCs/>
                <w:color w:val="000000"/>
                <w:sz w:val="22"/>
                <w:szCs w:val="22"/>
                <w:highlight w:val="none"/>
              </w:rPr>
              <w:t xml:space="preserve">室内消防栓系统</w:t>
            </w:r>
            <w:r>
              <w:rPr>
                <w:rFonts w:hint="eastAsia" w:ascii="微软雅黑" w:hAnsi="微软雅黑" w:cs="微软雅黑"/>
                <w:color w:val="000000"/>
                <w:sz w:val="21"/>
                <w:szCs w:val="21"/>
                <w:highlight w:val="none"/>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1维修保养工作内容</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1.3检查各阀门是否处于正常工作状态，是否完好不渗漏；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1.4检查保养消防栓系统的水泵接合器，确保完整、不渗漏；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1.5定期试验消防栓，检查其喷水充实水柱是否达到规范或设计要求；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1.7检查消防栓管网的减压阀及其过滤器是否正常，定期清洗过滤器；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1.9检查止回阀启闭是否灵活、有效；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1.10定期对消防栓系统管网进行全面检查，对腐蚀严重的管道予与更换，对油漆脱落的管道及时除锈刷防锈漆和标志漆。　　</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2维修保养工作标准</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2.1消防栓箱内配置齐全，各项配件完好，消防栓口静压符合设计或规范要求；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2.2试验消防栓破玻按钮，消防栓水泵启动，各项联动设施动作，消防中心有报警信号和消防水泵状态显示；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2.3各阀门处于正常的开或关状态，且有明显标志，阀体完好、不漏水；</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2.4消防栓系统水泵接合器外观完好，配置齐全，无变形、无渗漏、无缺损；</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2.5消防栓喷射时，其充实水柱达到设计或规范要求；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2.7减压阀和过滤器外观完好，减压阀工作稳定、可靠，且减压比例准确，过滤器内无杂物，水流畅通；</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2.8阀门开关灵活、有效，无锈蚀、渗漏；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2.9止回阀启闭灵活、有效，无水回流，外观完好；</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2.10消防栓系统管网外观完好，无变形、无锈蚀、脱漆和渗漏。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3维修保养工作计划</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3.3每月检查各阀门是否处于正常工作状态，是否完好不渗漏；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3.4每月检查保养消防栓系统的水泵接合器，确保完整、不渗漏；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3.5每季度至少一次试验消防栓，检查其喷水充实水栓是否达到规范或设计要求；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3.7每月检查消防栓管网的减压阀及其过滤器是否正常，每季度定期清洗过滤器；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3.9每月检查止回阀启闭是否灵活、有效；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b w:val="0"/>
                <w:bCs w:val="0"/>
                <w:color w:val="000000"/>
                <w:sz w:val="21"/>
                <w:szCs w:val="21"/>
                <w:highlight w:val="none"/>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1.1检查试验楼层喷淋管网末端试验装置是否正常（水压、流量是否达到要求）；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1.3检查喷淋头、管道是否完好，有无爆裂隐患；</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1.8检查试验湿式报警阀、水力警铃动作是否灵敏，喷淋泵是否启动，消防中心显示是否准确；　　</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1.10检查止回阀启闭是否灵活、有效；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2.1楼层喷淋管网末端试验压力（动、静压力）流量符合设计或规范要求；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2.2水流指示器动作灵敏、报警准确、及时，复位正常，消防中心显示报警地址正确；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2.3喷淋头外观完好，无滴漏或爆破隐患；</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2.4阀门处于正常开、关状态，有明显标志，信号阀门开、关灵活、有效，消防中心有关闭信号显示，报警地址准确；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2.5喷淋系统水泵接合器外观完好，配置齐全，无变形、无渗漏、无缺损；</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2.7喷淋立管的自动排气阀无堵塞或漏水，工作正常；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2.8湿式报警阀外观完好，无渗漏，放水试验时动作灵敏，其压力开关联动喷淋泵启动，消防中心报警显示准确；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2.9阀门开关灵活、有效，无锈蚀、渗漏；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2.10止回阀启闭灵活、有效，无水回流，外观完好；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2.11喷淋管网外观完好，无变形、无锈蚀、脱漆和渗漏。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bCs/>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3.3每月检查喷淋头、管道是否完好，有无破裂隐患；</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3.8每月检查试验湿式报警阀、水力警铃动作是否灵敏，喷淋泵是否启动，消防中心显示是否准确；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3.10每月检查止回阀启闭是否灵活、有效；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3.11每季度定期对喷淋系统管网进行全面检查，对腐蚀严重的管道予与更换，对油漆脱落的管道及时除锈刷防锈漆和标志漆。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1142"/>
              <w:rPr>
                <w:lang w:val="en-US" w:eastAsia="zh-CN"/>
              </w:rPr>
            </w:pPr>
            <w:r>
              <w:rPr>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1.1用专用测试仪器分期分批次全面测试探测器的动作及确认灯的显示，试验烟、温感探测器动作是否灵敏；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1.3试验手报按钮报警，本层及其上、下各一层警铃是否动作鸣响，消防中心显示报警区域是否准确；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1.4检查主控屏和联动控制屏的各项输入、输出显示功能是否正常，并全面清洁、保养；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1.5检查各个界面（模块）和主机系统外围设备的通信、控制信号是否正常，检查界面（模块）输出电压是否正常，确保正常运行；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2.1探测器动作灵敏，报警准确；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2.2主控屏工作正常，正常显示报警区域和输出联动信号；</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2.3手报按钮动作灵敏，报警准确，联动功能正常；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2.4主控屏和联动控制屏外观完好、清洁，各项输入、输出显示功能正常；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2.5界面（模块）各项参数正常，与外围设备的通信、控制信号正常；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2.6电池组的电压及其他参数正常，供电稳定、可靠；</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2.7系统设备所有接线牢固，无松动、破损或脱落；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2.8主、备电源自动切换功能正常；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2.9探测器外观完好，内外部清洁，功能正常；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2.10报警主机控制程序正确，各项功能正常；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2.11系统接地电阻符合规范或设计要求。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3.1每月用专用检测仪器分期分批全面测试探测器的动作及确认灯的显示，试验烟、温感探测器动作是否灵敏；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3.3每月试验手报按钮报警，本层及其上、下各一层警铃是否动作鸣响；</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3.4每月检查主控屏和联动控制屏的各个显示功能是否正常，并全面清洁、保养；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3.7每季度检查系统设备所有接线端子是否松动、破损和脱落。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3.8每季度定期对备用电源进行1～2次充放电试验；1～3次主和备用电源自动切换试验。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3.11每月定期测试报警主机系统的接地电阻是否满足要求，并做好记录。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color w:val="000000"/>
                <w:sz w:val="22"/>
                <w:szCs w:val="22"/>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1.1排烟口、阀：外观检查无变形、损伤、阀叶无锈蚀变形；手动电磁启动灵敏到位，中控反馈信号准确无误；</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1.2正压送风口/阀：外观检查无变形、损伤、阀叶无锈蚀变形；手动电磁启动灵敏到位，回答信号准确无误；</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2.1排烟口、阀的外观检查完好、阀叶完好；手动动作灵敏，反馈信号准确；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2.2正压送风口、阀的外观检查完好、阀叶完好；手动动作灵敏，回答信号准确；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2.3风机的外观完好，叶轮完好，铭牌标识清楚；金属风道完好，风道完好；风机控制箱启、停风机正常；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2.4排烟口、阀的外观完好、阀叶完好；手动动作灵敏，反馈信号准确；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3.1排烟口、阀的外观检查完好、阀叶完好；手动动作灵敏，反馈信号准确；每月检查保养数量不少于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3.2正压送风口、阀的外观检查完好、阀叶完好；手动动作灵敏，回答信号准确；每月检查保养数量不少于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3.3风机的外观完好，叶轮完好，铭牌标识清楚；金属风道完好，风道完好；风机控制箱启、停风机正常；每月检查保养。</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3.4排烟口、阀的外观完好、阀叶完好；手动动作灵敏，反馈信号准确；每月检查一次。</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防火卷帘、</w:t>
            </w:r>
            <w:r>
              <w:rPr>
                <w:rFonts w:hint="eastAsia" w:ascii="宋体" w:hAnsi="宋体" w:cs="宋体"/>
                <w:color w:val="000000"/>
                <w:sz w:val="22"/>
                <w:szCs w:val="22"/>
              </w:rPr>
              <w:t xml:space="preserve">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1.4检查试验卷帘导轨和转动机构（含链条）运转是否正常，检查卷帘叶片有无变形；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1.6档烟垂壁和排烟天窗：外观检查，是否破损，排烟天窗执行机构检查是否完好；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2.1烟、温感动作，联动卷帘降落功能正常；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2.2现场和远程控制卷帘起、降功能正常；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2.3防火卷帘控制器功能正常；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2.4防火卷帘导轨和转动机构运转灵活，卷帘叶片无变形、脱落；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2.5防火卷帘联动功能正常，降落时消防中心有显示。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2.6档烟垂壁和排烟天窗：外观检查完好，排烟天窗执行机构完好，动作灵敏；</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3.4每月检查试验卷帘导轨和转动机构运转是否正常，检查卷帘叶片有无变形；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3.6档烟垂壁和排烟天窗年度对执行机构进行清洁紧固和润滑。</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1.2定期试验每个消防专用电话或插孔的通讯是否畅通，语音是否清晰、响亮，消防中心电话主机显示通话部位是否正确。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2.1消防专用电话或插孔外观完好、清洁；</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2.2消防专用电话通讯畅通，语音清晰、响亮，消防中心电话主机显示通话部位正确。</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3.2每季度定期试验每个电话或插孔的通讯是否畅通，语音是否清晰、响亮，消防中心电话主机显示部位是否正确。</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1098"/>
              <w:jc w:val="center"/>
              <w:spacing w:line="360" w:lineRule="auto"/>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1.2检查保养消防扬声器，测试楼层扬声器的效果，声响是否响亮清晰；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1.4试验消防广播的选层广播功能是否正常。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2.1消防广播系统强制切换功能正常，且音响响亮、清晰；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2.2扬声器外观完好，声响效果响亮、清晰；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2.3广播主机运转灵活、可靠，控制功能正常；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2.4消防广播系统选层准确、可靠，功能正常。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3.2每月分批次检查保养楼层消防扬声器并测试其声响是否响亮、清晰；</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3.3每季度定期对消防广播主机进行一次检测维护保养；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3.4每月试验消防广播的选层广播功能是否正常。</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气体灭火系统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1.1检查保养各台气体灭火控制器，测试其功能是否正常；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1.2检查启动瓶药剂贮瓶的压力是否符合出厂充装压力和设计要求（压力表指针是否在绿区），有无泄漏现象；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1.4定期对电磁阀、瓶头阀解体清洗，加硅油润滑；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2.1气体灭火控制器完好，控制功能正常；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2.2启动瓶和药剂贮瓶压力符合出厂标准和设计要求；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2.3手动、自动、紧急启、停放气装置灵敏、有效；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2.4电磁阀、瓶头阀动作灵活、有效；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2.5模拟试验时，通风空调停止，防火阀关闭，电磁阀延时动作，各项联动功能正常；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2.6启动瓶、药剂贮瓶完好，无变形、无腐蚀、脱漆；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2.7控制气管无变形、松脱，连接牢固、可靠，高压软管无变形、生锈或老化，连接稳固；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2.8防护区围护结构、开口符合规范要求。</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3.1每月检查保养各套气体灭火控制器，测试其功能是否正常；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3.2每月检查启动瓶和药剂贮瓶的压力是否符合出厂充装压力和设计要求（压力表指针是否在绿区），有无泄漏现象；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3.4每年至少一次对电磁阀、瓶头阀解体清洗，加硅油润滑；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3.6每月检查气体灭火系统启动瓶、药剂瓶有无变形，有无腐蚀、脱漆；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GB" w:eastAsia="zh-CN"/>
              </w:rPr>
              <w:t xml:space="preserve">移动式/手动灭火器系统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1.3检查移动式灭火器药剂贮瓶有无过期失效。</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2.1移动式灭火器压力指针在绿区内；</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2.2移动式灭火器外观完好，无变形、脱漆或配件缺损；</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2.3移动式灭火器贮瓶和药剂未过期。</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3.1每年检查移动式灭火器（手提式、推车式）压力指针是否在绿区；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3.2每年检查移动式灭火器外观是否完好，有无变形、脱漆或配件缺失；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3.3每年检查移动式灭火器药剂贮瓶有无过期失效。</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1098"/>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GB" w:eastAsia="zh-CN"/>
              </w:rPr>
            </w:pPr>
            <w:r>
              <w:t xml:space="preserve">维保设备及机具</w:t>
            </w:r>
            <w:r>
              <w:rPr>
                <w:rFonts w:hint="eastAsia" w:ascii="微软雅黑" w:hAnsi="微软雅黑" w:cs="微软雅黑"/>
                <w:b w:val="0"/>
                <w:bCs w:val="0"/>
                <w:color w:val="000000"/>
                <w:sz w:val="21"/>
                <w:szCs w:val="21"/>
                <w:vertAlign w:val="baseline"/>
                <w:lang w:val="en-GB" w:eastAsia="zh-CN"/>
              </w:rPr>
            </w:r>
            <w:r/>
          </w:p>
        </w:tc>
        <w:tc>
          <w:tcPr>
            <w:tcW w:w="5438"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b w:val="0"/>
                <w:bCs w:val="0"/>
                <w:color w:val="000000"/>
                <w:sz w:val="21"/>
                <w:szCs w:val="21"/>
                <w:vertAlign w:val="baseline"/>
                <w:lang w:val="en-US" w:eastAsia="zh-CN"/>
              </w:rPr>
            </w:r>
            <w:r/>
          </w:p>
        </w:tc>
      </w:tr>
    </w:tbl>
    <w:p>
      <w:pPr>
        <w:pStyle w:val="1098"/>
        <w:ind w:firstLine="630"/>
        <w:rPr>
          <w:rFonts w:hint="eastAsia"/>
          <w:b/>
          <w:bCs/>
          <w:lang w:val="en-US" w:eastAsia="zh-CN"/>
        </w:rPr>
      </w:pPr>
      <w:r>
        <w:rPr>
          <w:rFonts w:hint="eastAsia"/>
          <w:b/>
          <w:bCs/>
          <w:lang w:val="en-US"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b/>
          <w:bCs/>
          <w:lang w:val="en-US" w:eastAsia="zh-CN"/>
        </w:rPr>
      </w:r>
      <w:r/>
    </w:p>
    <w:p>
      <w:pPr>
        <w:pStyle w:val="1102"/>
        <w:rPr>
          <w:rFonts w:ascii="微软雅黑" w:hAnsi="微软雅黑" w:cs="微软雅黑"/>
          <w:color w:val="000000"/>
          <w:szCs w:val="21"/>
          <w:lang w:val="en-US" w:eastAsia="zh-CN"/>
        </w:rPr>
      </w:pPr>
      <w:r>
        <w:rPr>
          <w:rFonts w:hint="eastAsia"/>
          <w:lang w:val="en-US" w:eastAsia="zh-CN"/>
        </w:rPr>
        <w:t xml:space="preserve">3、其他服务要求（响应扣分项）</w:t>
      </w:r>
      <w:r>
        <w:rPr>
          <w:rFonts w:ascii="微软雅黑" w:hAnsi="微软雅黑" w:cs="微软雅黑"/>
          <w:color w:val="000000"/>
          <w:szCs w:val="21"/>
          <w:lang w:val="en-US" w:eastAsia="zh-CN"/>
        </w:rPr>
      </w:r>
      <w:r/>
    </w:p>
    <w:p>
      <w:pPr>
        <w:pStyle w:val="1098"/>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w:t>
      </w:r>
      <w:r>
        <w:rPr>
          <w:rFonts w:hint="eastAsia" w:ascii="宋体" w:hAnsi="宋体" w:cs="宋体"/>
          <w:bCs/>
          <w:color w:val="000000"/>
          <w:szCs w:val="22"/>
          <w:lang w:val="en-GB"/>
        </w:rPr>
        <w:t xml:space="preserve">对相关消防设施的重点功能按专业要求进行测试和检查，并提交相应的检测报告。同时，对消防设施进行专业保养</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日常巡检：每个月对维保范围内的消防设施进行巡检（每月2次）。</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ascii="微软雅黑" w:hAnsi="微软雅黑" w:eastAsia="微软雅黑" w:cs="微软雅黑"/>
          <w:color w:val="000000"/>
          <w:sz w:val="21"/>
          <w:szCs w:val="21"/>
          <w:lang w:val="en-US" w:eastAsia="zh-CN"/>
        </w:rPr>
      </w:r>
      <w:r/>
    </w:p>
    <w:p>
      <w:pPr>
        <w:pStyle w:val="1102"/>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color w:val="000000"/>
          <w:sz w:val="21"/>
          <w:szCs w:val="21"/>
          <w:lang w:eastAsia="zh-CN"/>
        </w:rPr>
        <w:t xml:space="preserve">根据国家有关的设计施工规范和建筑质量检验评定标准：</w:t>
      </w:r>
      <w:r>
        <w:rPr>
          <w:rFonts w:hint="eastAsia" w:ascii="微软雅黑" w:hAnsi="微软雅黑" w:cs="微软雅黑"/>
          <w:color w:val="000000"/>
          <w:sz w:val="21"/>
          <w:szCs w:val="21"/>
          <w:lang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《建筑设计防火规范》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《自动喷水灭火系统设计规范》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《电气装置安装工程施工及验收规范》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《火灾自动报警系统设计规范》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《火灾自动报警系统施工及验收规范》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《汽车库、修车库、停车场设计防火规范》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《建筑电气工程施工质量验收规范》</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《中华人民共和国消防法》</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《江苏省消防条例》</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现行的国家相关技术规范、标准</w:t>
      </w:r>
      <w:r>
        <w:rPr>
          <w:rFonts w:hint="eastAsia" w:ascii="微软雅黑" w:hAnsi="微软雅黑" w:eastAsia="微软雅黑" w:cs="微软雅黑"/>
          <w:color w:val="000000"/>
          <w:sz w:val="21"/>
          <w:szCs w:val="21"/>
        </w:rPr>
      </w:r>
      <w:r/>
    </w:p>
    <w:p>
      <w:pPr>
        <w:pStyle w:val="1098"/>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设计院提供的设计图及消防审核意见书</w:t>
      </w:r>
      <w:r>
        <w:rPr>
          <w:rFonts w:hint="eastAsia" w:ascii="微软雅黑" w:hAnsi="微软雅黑" w:eastAsia="微软雅黑" w:cs="微软雅黑"/>
          <w:color w:val="000000"/>
          <w:sz w:val="21"/>
          <w:szCs w:val="21"/>
        </w:rPr>
      </w:r>
      <w:r/>
    </w:p>
    <w:p>
      <w:pPr>
        <w:pStyle w:val="1102"/>
        <w:rPr>
          <w:rFonts w:hint="eastAsia" w:ascii="微软雅黑" w:hAnsi="微软雅黑" w:eastAsia="微软雅黑" w:cs="微软雅黑"/>
          <w:color w:val="000000"/>
          <w:szCs w:val="21"/>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hint="eastAsia" w:ascii="微软雅黑" w:hAnsi="微软雅黑" w:eastAsia="微软雅黑" w:cs="微软雅黑"/>
          <w:color w:val="000000"/>
          <w:szCs w:val="21"/>
        </w:rPr>
      </w:r>
      <w:r/>
    </w:p>
    <w:tbl>
      <w:tblPr>
        <w:tblStyle w:val="11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hint="eastAsia" w:ascii="微软雅黑" w:hAnsi="微软雅黑" w:eastAsia="微软雅黑" w:cs="微软雅黑"/>
                <w:color w:val="000000"/>
                <w:sz w:val="21"/>
                <w:szCs w:val="21"/>
                <w:vertAlign w:val="baseline"/>
                <w:lang w:eastAsia="zh-CN"/>
              </w:rPr>
            </w:r>
            <w:r/>
          </w:p>
        </w:tc>
      </w:tr>
      <w:tr>
        <w:trPr>
          <w:trHeight w:val="368"/>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2、具备过硬的管理和协调能力</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1098"/>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ind w:firstLine="210"/>
              <w:jc w:val="both"/>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rPr>
              <w:t xml:space="preserve">、需具备中级消防维保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2、驻场（上班时间与本院长白班人员一致），节假日及周末须安排人员值班；</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3、其中具有本科及以上学历1名以上，熟练使用PPT等办公软件，具有较强学习能力和语言表达能力，熟悉消防法规及政策贯宣，每月组织院内各科室开展消防安全知识培训。</w:t>
            </w:r>
            <w:r>
              <w:rPr>
                <w:rFonts w:hint="eastAsia" w:ascii="微软雅黑" w:hAnsi="微软雅黑" w:cs="微软雅黑"/>
                <w:color w:val="000000"/>
                <w:sz w:val="21"/>
                <w:szCs w:val="21"/>
                <w:vertAlign w:val="baseline"/>
                <w:lang w:val="en-US" w:eastAsia="zh-CN"/>
              </w:rPr>
            </w:r>
            <w:r/>
          </w:p>
        </w:tc>
      </w:tr>
      <w:tr>
        <w:trPr/>
        <w:tc>
          <w:tcPr>
            <w:tcW w:w="690"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center"/>
            <w:textDirection w:val="lrTb"/>
            <w:noWrap w:val="false"/>
          </w:tcPr>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center"/>
            <w:textDirection w:val="lrTb"/>
            <w:noWrap w:val="false"/>
          </w:tcPr>
          <w:p>
            <w:pPr>
              <w:pStyle w:val="1098"/>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6</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p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1098"/>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val="en-US" w:eastAsia="zh-CN"/>
              </w:rPr>
              <w:t xml:space="preserve">5</w:t>
            </w:r>
            <w:r>
              <w:rPr>
                <w:rFonts w:hint="eastAsia" w:ascii="微软雅黑" w:hAnsi="微软雅黑" w:eastAsia="微软雅黑" w:cs="微软雅黑"/>
                <w:color w:val="000000"/>
                <w:sz w:val="21"/>
                <w:szCs w:val="21"/>
                <w:vertAlign w:val="baseline"/>
                <w:lang w:val="en-US" w:eastAsia="zh-CN" w:bidi="ar-SA"/>
              </w:rPr>
            </w:r>
            <w:r/>
          </w:p>
        </w:tc>
        <w:tc>
          <w:tcPr>
            <w:tcW w:w="2388" w:type="dxa"/>
            <w:vAlign w:val="top"/>
            <w:textDirection w:val="lrTb"/>
            <w:noWrap w:val="false"/>
          </w:tcPr>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1098"/>
              <w:jc w:val="center"/>
              <w:keepLines w:val="0"/>
              <w:keepNext w:val="0"/>
              <w:pageBreakBefore w:val="0"/>
              <w:spacing w:line="440" w:lineRule="exact"/>
              <w:widowControl w:val="off"/>
              <w:rPr>
                <w:rFonts w:eastAsia="微软雅黑"/>
                <w:sz w:val="21"/>
                <w:szCs w:val="22"/>
                <w:lang w:val="en-US" w:eastAsia="zh-CN" w:bidi="ar-SA"/>
              </w:rPr>
            </w:pPr>
            <w:r>
              <w:rPr>
                <w:rFonts w:hint="eastAsia"/>
                <w:lang w:val="en-US" w:eastAsia="zh-CN"/>
              </w:rPr>
              <w:t xml:space="preserve">宣传人员</w:t>
            </w:r>
            <w:r>
              <w:rPr>
                <w:rFonts w:eastAsia="微软雅黑"/>
                <w:sz w:val="21"/>
                <w:szCs w:val="22"/>
                <w:lang w:val="en-US" w:eastAsia="zh-CN" w:bidi="ar-SA"/>
              </w:rPr>
            </w:r>
            <w:r/>
          </w:p>
        </w:tc>
        <w:tc>
          <w:tcPr>
            <w:tcW w:w="1176" w:type="dxa"/>
            <w:vAlign w:val="top"/>
            <w:textDirection w:val="lrTb"/>
            <w:noWrap w:val="false"/>
          </w:tcPr>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1098"/>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bidi="ar-SA"/>
              </w:rPr>
            </w:r>
            <w:r/>
          </w:p>
        </w:tc>
        <w:tc>
          <w:tcPr>
            <w:tcW w:w="4466" w:type="dxa"/>
            <w:vAlign w:val="top"/>
            <w:textDirection w:val="lrTb"/>
            <w:noWrap w:val="false"/>
          </w:tcPr>
          <w:p>
            <w:pPr>
              <w:pStyle w:val="1098"/>
              <w:numPr>
                <w:ilvl w:val="0"/>
                <w:numId w:val="0"/>
              </w:numPr>
              <w:jc w:val="left"/>
              <w:keepLines w:val="0"/>
              <w:keepNext w:val="0"/>
              <w:pageBreakBefore w:val="0"/>
              <w:spacing w:line="440" w:lineRule="exact"/>
              <w:widowControl w:val="off"/>
              <w:rPr>
                <w:rFonts w:hint="eastAsia" w:eastAsia="微软雅黑"/>
                <w:lang w:eastAsia="zh-CN"/>
              </w:rPr>
            </w:pPr>
            <w:r>
              <w:rPr>
                <w:rFonts w:eastAsia="微软雅黑"/>
                <w:sz w:val="21"/>
                <w:szCs w:val="22"/>
                <w:lang w:val="en-US" w:eastAsia="zh-CN" w:bidi="ar-SA"/>
              </w:rPr>
              <w:t xml:space="preserve">1、</w:t>
            </w:r>
            <w:r>
              <w:t xml:space="preserve">具有本科及以上学历，熟练使用PPT，熟悉消防法规及政策贯宣，每月组织院内各科室开展消防安全知识培训，确保培训覆盖率达100%，并留存完整记录（包括签到表、培训内容、影像资料等）</w:t>
            </w:r>
            <w:r>
              <w:rPr>
                <w:rFonts w:hint="eastAsia"/>
                <w:lang w:eastAsia="zh-CN"/>
              </w:rPr>
              <w:t xml:space="preserve">。</w:t>
            </w:r>
            <w:r>
              <w:rPr>
                <w:rFonts w:hint="eastAsia" w:eastAsia="微软雅黑"/>
                <w:lang w:eastAsia="zh-CN"/>
              </w:rPr>
            </w:r>
            <w:r/>
          </w:p>
          <w:p>
            <w:pPr>
              <w:pStyle w:val="1098"/>
              <w:numPr>
                <w:ilvl w:val="0"/>
                <w:numId w:val="0"/>
              </w:numPr>
              <w:ind w:left="0" w:firstLine="0"/>
              <w:jc w:val="left"/>
              <w:keepLines w:val="0"/>
              <w:keepNext w:val="0"/>
              <w:pageBreakBefore w:val="0"/>
              <w:spacing w:line="440" w:lineRule="exact"/>
              <w:widowControl w:val="off"/>
              <w:rPr>
                <w:rFonts w:hint="eastAsia" w:eastAsia="微软雅黑"/>
                <w:sz w:val="21"/>
                <w:szCs w:val="22"/>
                <w:lang w:val="en-US" w:eastAsia="zh-CN" w:bidi="ar-SA"/>
              </w:rPr>
            </w:pPr>
            <w:r>
              <w:rPr>
                <w:rFonts w:hint="eastAsia"/>
                <w:lang w:val="en-US" w:eastAsia="zh-CN"/>
              </w:rPr>
              <w:t xml:space="preserve">2、</w:t>
            </w:r>
            <w:r>
              <w:t xml:space="preserve">配合采购人安全保卫科制作及更新消防宣传资料（如手册、海报、视频等），确保内容准确、通俗易懂</w:t>
            </w:r>
            <w:r>
              <w:rPr>
                <w:rFonts w:hint="eastAsia"/>
                <w:lang w:eastAsia="zh-CN"/>
              </w:rPr>
              <w:t xml:space="preserve">。</w:t>
            </w:r>
            <w:r>
              <w:rPr>
                <w:rFonts w:hint="eastAsia" w:eastAsia="微软雅黑"/>
                <w:sz w:val="21"/>
                <w:szCs w:val="22"/>
                <w:lang w:val="en-US" w:eastAsia="zh-CN" w:bidi="ar-SA"/>
              </w:rPr>
            </w:r>
            <w:r/>
          </w:p>
        </w:tc>
      </w:tr>
    </w:tbl>
    <w:p>
      <w:pPr>
        <w:pStyle w:val="1101"/>
        <w:jc w:val="both"/>
        <w:rPr>
          <w:rFonts w:hint="eastAsia" w:ascii="微软雅黑" w:hAnsi="微软雅黑" w:eastAsia="微软雅黑" w:cs="微软雅黑"/>
          <w:color w:val="000000"/>
          <w:sz w:val="21"/>
          <w:szCs w:val="21"/>
        </w:rPr>
      </w:pPr>
      <w:r/>
      <w:bookmarkStart w:id="249" w:name="_Toc19047"/>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9"/>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投标人保证提供员工的合法身份及无犯罪记录，其派驻人员应遵守国家政策法令，遵守劳动纪律，讲究职业道德；并遵守院内的各项规章制度。</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1.3 每次维护结束时，维护人员应负责清理相关工作场所。中标人在整个维保过程中，保持维保设备摆放整齐，现场清洁，维保完成后应及时清运垃圾杂物，做好物尽场清。</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投标人中标后有义务按照招标人要求如实填制服务内容及服务质量相关记录、维护记录（需由招标人保卫科和维护人员双方签字确认）和提供合理化改进建议。</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1.5 </w:t>
      </w:r>
      <w:r>
        <w:rPr>
          <w:rFonts w:hint="eastAsia" w:ascii="宋体" w:hAnsi="宋体" w:cs="宋体"/>
          <w:color w:val="000000"/>
          <w:szCs w:val="24"/>
        </w:rPr>
        <w:t xml:space="preserve">维护服务过程中，由于服务人员工作不当而造成的人员意外伤害及给医院带来财产损失，由中标人承担全部人身伤害责任，并负责赔偿招标人的财产损失。</w:t>
      </w:r>
      <w:r>
        <w:rPr>
          <w:rFonts w:hint="eastAsia" w:ascii="宋体" w:hAnsi="宋体" w:cs="宋体"/>
          <w:color w:val="000000"/>
          <w:szCs w:val="24"/>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2.1 </w:t>
      </w:r>
      <w:r>
        <w:rPr>
          <w:rFonts w:hint="eastAsia" w:ascii="宋体" w:hAnsi="宋体" w:cs="宋体"/>
          <w:color w:val="000000"/>
          <w:szCs w:val="24"/>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宋体" w:hAnsi="宋体" w:cs="宋体"/>
          <w:color w:val="000000"/>
          <w:szCs w:val="24"/>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2.2 投标人应承担对自己员工的安全保障责任，加强安全教育并根据国家相关规定为投标人在招标人从事服务的工作人员交纳各类保险。</w:t>
      </w:r>
      <w:r>
        <w:rPr>
          <w:rFonts w:hint="eastAsia" w:ascii="微软雅黑" w:hAnsi="微软雅黑" w:cs="微软雅黑"/>
          <w:color w:val="000000"/>
          <w:sz w:val="21"/>
          <w:szCs w:val="21"/>
          <w:lang w:val="en-US" w:eastAsia="zh-CN"/>
        </w:rPr>
      </w:r>
      <w:r/>
    </w:p>
    <w:p>
      <w:pPr>
        <w:pStyle w:val="1098"/>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2.3 </w:t>
      </w:r>
      <w:r>
        <w:rPr>
          <w:rFonts w:hint="eastAsia" w:ascii="宋体" w:hAnsi="宋体" w:cs="宋体"/>
          <w:color w:val="000000"/>
          <w:szCs w:val="24"/>
        </w:rPr>
        <w:t xml:space="preserve">投标人需要配备相关的安全生产器材和安全防护用品。</w:t>
      </w:r>
      <w:r>
        <w:rPr>
          <w:rFonts w:hint="eastAsia" w:ascii="宋体" w:hAnsi="宋体" w:cs="宋体"/>
          <w:color w:val="000000"/>
          <w:szCs w:val="24"/>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宋体" w:hAnsi="宋体" w:cs="宋体"/>
          <w:color w:val="000000"/>
          <w:szCs w:val="24"/>
        </w:rPr>
        <w:t xml:space="preserve">投标人应建立并执行安全生产奖惩制度。根据各级签订的安全生产责任状中的有关条款和安全生产奖惩制度的有关规定，使安全生产管理工作与各级安全责任人的经济挂钩，以便更好提高各级安全管理人员的安全意识和责任心，最终实现安全生产的目标。</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宋体" w:hAnsi="宋体" w:cs="宋体"/>
          <w:color w:val="000000"/>
          <w:szCs w:val="24"/>
        </w:rPr>
        <w:t xml:space="preserve">如果施工过程中需要进行任何会产生火花、有明火的作业，如打磨、切割、烧焊等操作，需要提前进行动火作业施工申请，需施工负责人偕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2.6 </w:t>
      </w:r>
      <w:r>
        <w:rPr>
          <w:rFonts w:hint="eastAsia" w:ascii="宋体" w:hAnsi="宋体" w:cs="宋体"/>
          <w:color w:val="000000"/>
          <w:szCs w:val="24"/>
        </w:rPr>
        <w:t xml:space="preserve">在维保过程中，如果出现任何经由政府权威机构认定的由于投标人所造成的对其他人员的人身损伤或伤害等意外事故，所造成的所有损失及责任应由投标人负责，招标人不负有任何经济或法律等联带责任。</w:t>
      </w:r>
      <w:r>
        <w:rPr>
          <w:rFonts w:hint="eastAsia" w:ascii="宋体" w:hAnsi="宋体" w:cs="宋体"/>
          <w:color w:val="000000"/>
          <w:szCs w:val="24"/>
        </w:rPr>
      </w:r>
      <w:r/>
    </w:p>
    <w:p>
      <w:pPr>
        <w:pStyle w:val="1098"/>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2.7 </w:t>
      </w:r>
      <w:r>
        <w:rPr>
          <w:rFonts w:hint="eastAsia" w:ascii="宋体" w:hAnsi="宋体" w:cs="宋体"/>
          <w:color w:val="000000"/>
          <w:szCs w:val="24"/>
        </w:rPr>
        <w:t xml:space="preserve">未经招标人许可，投标人不得进行任何服务范围以外的维保作业。</w:t>
      </w:r>
      <w:r>
        <w:rPr>
          <w:rFonts w:hint="eastAsia" w:ascii="宋体" w:hAnsi="宋体" w:cs="宋体"/>
          <w:color w:val="000000"/>
          <w:szCs w:val="24"/>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宋体" w:hAnsi="宋体" w:cs="宋体"/>
          <w:color w:val="000000"/>
          <w:szCs w:val="24"/>
        </w:rPr>
        <w:t xml:space="preserve">维保作业期间现场设置警戒围挡护栏或标志，必要时应作封闭式隔离，以保证招标人员工和病患人员的安全。</w:t>
      </w:r>
      <w:r>
        <w:rPr>
          <w:rFonts w:hint="eastAsia" w:ascii="微软雅黑" w:hAnsi="微软雅黑" w:eastAsia="微软雅黑" w:cs="微软雅黑"/>
          <w:color w:val="000000"/>
          <w:sz w:val="21"/>
          <w:szCs w:val="21"/>
        </w:rPr>
      </w:r>
      <w:r/>
    </w:p>
    <w:p>
      <w:pPr>
        <w:pStyle w:val="1098"/>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宋体" w:hAnsi="宋体" w:cs="宋体"/>
          <w:color w:val="000000"/>
          <w:szCs w:val="24"/>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1101"/>
        <w:jc w:val="both"/>
        <w:rPr>
          <w:rFonts w:hint="eastAsia" w:ascii="微软雅黑" w:hAnsi="微软雅黑" w:eastAsia="微软雅黑" w:cs="微软雅黑"/>
          <w:color w:val="000000"/>
          <w:sz w:val="21"/>
          <w:szCs w:val="21"/>
          <w:lang w:eastAsia="zh-CN"/>
        </w:rPr>
      </w:pPr>
      <w:r/>
      <w:bookmarkStart w:id="250" w:name="_Toc14974"/>
      <w:r>
        <w:rPr>
          <w:rFonts w:hint="eastAsia" w:ascii="Calibri" w:hAnsi="Calibri" w:cs="Times New Roman"/>
          <w:b/>
          <w:bCs/>
          <w:color w:val="000000"/>
          <w:sz w:val="21"/>
          <w:szCs w:val="22"/>
          <w:highlight w:val="none"/>
          <w:lang w:val="en-US" w:eastAsia="zh-CN" w:bidi="ar"/>
        </w:rPr>
        <w:t xml:space="preserve">四、商务要求</w:t>
      </w:r>
      <w:bookmarkEnd w:id="250"/>
      <w:r>
        <w:rPr>
          <w:rFonts w:hint="eastAsia" w:ascii="微软雅黑" w:hAnsi="微软雅黑" w:eastAsia="微软雅黑" w:cs="微软雅黑"/>
          <w:color w:val="000000"/>
          <w:sz w:val="21"/>
          <w:szCs w:val="21"/>
          <w:lang w:eastAsia="zh-CN"/>
        </w:rPr>
      </w:r>
      <w:r/>
    </w:p>
    <w:p>
      <w:pPr>
        <w:pStyle w:val="1098"/>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yellow"/>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eastAsia="微软雅黑" w:cs="微软雅黑"/>
          <w:b/>
          <w:bCs/>
          <w:color w:val="000000"/>
          <w:sz w:val="21"/>
          <w:szCs w:val="21"/>
          <w:highlight w:val="yellow"/>
          <w:lang w:eastAsia="zh-CN"/>
        </w:rPr>
      </w:r>
      <w:r/>
    </w:p>
    <w:p>
      <w:pPr>
        <w:pStyle w:val="1098"/>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w:t>
      </w:r>
      <w:r>
        <w:rPr>
          <w:rFonts w:hint="eastAsia" w:ascii="微软雅黑" w:hAnsi="微软雅黑" w:cs="微软雅黑"/>
          <w:color w:val="000000"/>
          <w:sz w:val="21"/>
          <w:szCs w:val="21"/>
          <w:highlight w:val="none"/>
          <w:lang w:val="en-US" w:eastAsia="zh-CN"/>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每月25日前甲方向乙方支付上个月的服务费用，即合同金额的1/12。</w:t>
      </w:r>
      <w:r>
        <w:rPr>
          <w:rFonts w:hint="eastAsia" w:ascii="微软雅黑" w:hAnsi="微软雅黑" w:cs="微软雅黑"/>
          <w:color w:val="000000"/>
          <w:sz w:val="21"/>
          <w:szCs w:val="21"/>
          <w:highlight w:val="none"/>
          <w:lang w:val="en-US" w:eastAsia="zh-CN"/>
        </w:rPr>
      </w:r>
      <w:r/>
    </w:p>
    <w:p>
      <w:pPr>
        <w:pStyle w:val="1098"/>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每次支付前，由乙方向甲方提供合法、有效的增值税发票，甲方将相应款项汇至本合同中约定的乙方账户。</w:t>
      </w:r>
      <w:r>
        <w:rPr>
          <w:rFonts w:hint="eastAsia" w:ascii="微软雅黑" w:hAnsi="微软雅黑" w:cs="微软雅黑"/>
          <w:color w:val="000000"/>
          <w:sz w:val="21"/>
          <w:szCs w:val="21"/>
          <w:highlight w:val="none"/>
          <w:lang w:val="en-US" w:eastAsia="zh-CN"/>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3、投标人必须保证全部投标资料的真实性，如有虚假或对招标文件所要求说明的情况故意隐瞒或虚报，视为不实质性响应招标文件，为无效投标。已中标的将取消中标资格。</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4、服务期内所有上门服务产生的一切费用（包括但不限于交通、食宿等）均包含在投标报价内。</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1142"/>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ascii="微软雅黑" w:hAnsi="微软雅黑" w:eastAsia="微软雅黑" w:cs="微软雅黑"/>
          <w:color w:val="000000"/>
          <w:sz w:val="21"/>
          <w:szCs w:val="21"/>
          <w:lang w:val="en-US" w:eastAsia="zh-CN" w:bidi="ar-SA"/>
        </w:rPr>
      </w:r>
      <w:r/>
    </w:p>
    <w:p>
      <w:pPr>
        <w:pStyle w:val="1142"/>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1142"/>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1142"/>
        <w:rPr>
          <w:rFonts w:hint="eastAsia"/>
          <w:lang w:eastAsia="zh-CN"/>
        </w:rPr>
      </w:pPr>
      <w:r>
        <w:rPr>
          <w:rFonts w:hint="eastAsia"/>
          <w:lang w:eastAsia="zh-CN"/>
        </w:rPr>
      </w:r>
      <w:r/>
    </w:p>
    <w:p>
      <w:pPr>
        <w:pStyle w:val="1099"/>
        <w:rPr>
          <w:rStyle w:val="1106"/>
        </w:rPr>
      </w:pPr>
      <w:r>
        <w:rPr>
          <w:rFonts w:hint="eastAsia" w:ascii="微软雅黑" w:hAnsi="微软雅黑" w:cs="微软雅黑"/>
          <w:szCs w:val="21"/>
          <w:lang w:val="en-US" w:eastAsia="zh-CN"/>
        </w:rPr>
        <w:br w:type="page" w:clear="all"/>
      </w:r>
      <w:bookmarkStart w:id="251" w:name="_Toc27147"/>
      <w:r>
        <w:rPr>
          <w:rFonts w:hint="eastAsia"/>
        </w:rPr>
        <w:t xml:space="preserve">第五章 </w:t>
      </w:r>
      <w:bookmarkEnd w:id="234"/>
      <w:r/>
      <w:bookmarkEnd w:id="235"/>
      <w:r/>
      <w:bookmarkStart w:id="252" w:name="purchase_name_one"/>
      <w:r/>
      <w:bookmarkEnd w:id="252"/>
      <w:r/>
      <w:bookmarkStart w:id="253" w:name="purchase_one_start"/>
      <w:r/>
      <w:bookmarkEnd w:id="253"/>
      <w:r/>
      <w:bookmarkStart w:id="254" w:name="supplier_relation_name"/>
      <w:r/>
      <w:bookmarkEnd w:id="254"/>
      <w:r/>
      <w:bookmarkStart w:id="255" w:name="suppliers_name_one"/>
      <w:r/>
      <w:bookmarkEnd w:id="255"/>
      <w:r/>
      <w:bookmarkStart w:id="256" w:name="suppliers_name"/>
      <w:r/>
      <w:bookmarkEnd w:id="256"/>
      <w:r/>
      <w:bookmarkStart w:id="257" w:name="supplier_relation_tel"/>
      <w:r/>
      <w:bookmarkEnd w:id="257"/>
      <w:r/>
      <w:bookmarkStart w:id="258" w:name="purchase_relation_tel"/>
      <w:r/>
      <w:bookmarkEnd w:id="258"/>
      <w:r/>
      <w:bookmarkStart w:id="259" w:name="purchase_relation_name"/>
      <w:r/>
      <w:bookmarkEnd w:id="259"/>
      <w:r>
        <w:rPr>
          <w:rFonts w:hint="eastAsia"/>
        </w:rPr>
        <w:t xml:space="preserve">拟签订的</w:t>
      </w:r>
      <w:r>
        <w:t xml:space="preserve">合同主要条款</w:t>
      </w:r>
      <w:bookmarkEnd w:id="251"/>
      <w:r>
        <w:rPr>
          <w:rStyle w:val="1106"/>
        </w:rPr>
      </w:r>
      <w:r/>
    </w:p>
    <w:p>
      <w:pPr>
        <w:pStyle w:val="1098"/>
        <w:jc w:val="center"/>
        <w:spacing w:before="312" w:after="312" w:line="360" w:lineRule="auto"/>
        <w:rPr>
          <w:rFonts w:hint="eastAsia" w:ascii="???" w:hAnsi="???" w:cs="宋体"/>
          <w:b/>
          <w:sz w:val="36"/>
          <w:szCs w:val="36"/>
          <w:lang w:eastAsia="zh-CN"/>
        </w:rPr>
      </w:pPr>
      <w:r>
        <w:rPr>
          <w:rFonts w:hint="eastAsia" w:ascii="黑体" w:hAnsi="黑体" w:eastAsia="黑体"/>
          <w:b/>
          <w:bCs/>
          <w:sz w:val="28"/>
          <w:szCs w:val="28"/>
        </w:rPr>
        <w:t xml:space="preserve">（</w:t>
      </w:r>
      <w:r>
        <w:rPr>
          <w:rFonts w:hint="eastAsia" w:eastAsia="黑体"/>
          <w:b/>
          <w:sz w:val="28"/>
          <w:szCs w:val="28"/>
        </w:rPr>
        <w:t xml:space="preserve">下述内容为</w:t>
      </w:r>
      <w:r>
        <w:rPr>
          <w:rFonts w:hint="eastAsia" w:eastAsia="黑体"/>
          <w:b/>
          <w:sz w:val="28"/>
          <w:szCs w:val="28"/>
          <w:lang w:eastAsia="zh-CN"/>
        </w:rPr>
        <w:t xml:space="preserve">徐州医科大学附属医院</w:t>
      </w:r>
      <w:r>
        <w:rPr>
          <w:rFonts w:hint="eastAsia" w:eastAsia="黑体"/>
          <w:b/>
          <w:sz w:val="28"/>
          <w:szCs w:val="28"/>
        </w:rPr>
        <w:t xml:space="preserve">与成交人签署合同/协议的主要条款，最终合同/协议与本合同/协议主要条款有不完全一致之处的，以最终合同/协议为准。</w:t>
      </w:r>
      <w:r>
        <w:rPr>
          <w:rFonts w:hint="eastAsia" w:ascii="黑体" w:hAnsi="黑体" w:eastAsia="黑体"/>
          <w:b/>
          <w:bCs/>
          <w:sz w:val="28"/>
          <w:szCs w:val="28"/>
        </w:rPr>
        <w:t xml:space="preserve">）</w:t>
      </w:r>
      <w:r>
        <w:rPr>
          <w:rFonts w:hint="eastAsia" w:ascii="???" w:hAnsi="???" w:cs="宋体"/>
          <w:b/>
          <w:sz w:val="36"/>
          <w:szCs w:val="36"/>
          <w:lang w:eastAsia="zh-CN"/>
        </w:rPr>
      </w:r>
      <w:r/>
    </w:p>
    <w:p>
      <w:pPr>
        <w:pStyle w:val="1147"/>
        <w:jc w:val="center"/>
        <w:spacing w:before="0" w:beforeAutospacing="0" w:after="0" w:afterAutospacing="0"/>
        <w:rPr>
          <w:rFonts w:hint="eastAsia"/>
          <w:b/>
          <w:color w:val="000000"/>
          <w:sz w:val="44"/>
          <w:szCs w:val="44"/>
          <w:u w:val="single"/>
        </w:rPr>
      </w:pPr>
      <w:r/>
      <w:bookmarkEnd w:id="236"/>
      <w:r/>
      <w:bookmarkEnd w:id="237"/>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1147"/>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1147"/>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1147"/>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1147"/>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1147"/>
        <w:ind w:firstLine="482"/>
        <w:spacing w:before="0" w:beforeAutospacing="0" w:after="0" w:afterAutospacing="0" w:line="360" w:lineRule="auto"/>
        <w:rPr>
          <w:rFonts w:hint="eastAsia"/>
          <w:b/>
          <w:color w:val="000000"/>
        </w:rPr>
      </w:pPr>
      <w:r>
        <w:rPr>
          <w:rFonts w:hint="eastAsia"/>
          <w:b/>
          <w:color w:val="000000"/>
        </w:rPr>
      </w:r>
      <w:r/>
    </w:p>
    <w:p>
      <w:pPr>
        <w:pStyle w:val="1122"/>
        <w:ind w:firstLine="500"/>
        <w:rPr>
          <w:rFonts w:hint="eastAsia" w:ascii="宋体" w:hAnsi="宋体" w:cs="宋体"/>
          <w:color w:val="000000"/>
          <w:szCs w:val="24"/>
        </w:rPr>
      </w:pPr>
      <w:r>
        <w:rPr>
          <w:rFonts w:hint="eastAsia" w:ascii="宋体" w:hAnsi="宋体" w:cs="宋体"/>
          <w:color w:val="000000"/>
          <w:szCs w:val="24"/>
        </w:rPr>
        <w:t xml:space="preserve">经甲方公开招标，根据编号</w:t>
      </w:r>
      <w:r>
        <w:rPr>
          <w:rFonts w:hint="eastAsia" w:cs="宋体"/>
          <w:color w:val="000000"/>
          <w:szCs w:val="24"/>
          <w:lang w:val="en-US" w:eastAsia="zh-CN"/>
        </w:rPr>
        <w:t xml:space="preserve"> </w:t>
      </w:r>
      <w:r>
        <w:rPr>
          <w:rFonts w:hint="eastAsia" w:ascii="宋体" w:hAnsi="宋体" w:cs="宋体"/>
          <w:color w:val="000000"/>
          <w:szCs w:val="24"/>
        </w:rPr>
        <w:t xml:space="preserve">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1098"/>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1098"/>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1098"/>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1098"/>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1098"/>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1098"/>
        <w:spacing w:line="360" w:lineRule="auto"/>
        <w:rPr>
          <w:rFonts w:hint="eastAsia" w:ascii="宋体" w:hAnsi="宋体" w:cs="宋体"/>
          <w:color w:val="000000"/>
          <w:szCs w:val="24"/>
        </w:rPr>
      </w:pP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1098"/>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1098"/>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1098"/>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1098"/>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1098"/>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1098"/>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1098"/>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1098"/>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1098"/>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1098"/>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1098"/>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1098"/>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1098"/>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1098"/>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1098"/>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1098"/>
        <w:ind w:firstLine="480"/>
        <w:spacing w:line="360" w:lineRule="exact"/>
        <w:rPr>
          <w:rFonts w:hint="eastAsia" w:ascii="宋体" w:hAnsi="宋体" w:cs="宋体"/>
          <w:color w:val="000000"/>
        </w:rPr>
      </w:pPr>
      <w:r>
        <w:rPr>
          <w:rFonts w:hint="eastAsia" w:ascii="宋体" w:hAnsi="宋体" w:cs="宋体"/>
          <w:color w:val="000000"/>
        </w:rPr>
      </w:r>
      <w:r/>
    </w:p>
    <w:p>
      <w:pPr>
        <w:pStyle w:val="1098"/>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1098"/>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1098"/>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1098"/>
        <w:spacing w:line="360" w:lineRule="auto"/>
        <w:rPr>
          <w:rFonts w:hint="eastAsia" w:ascii="宋体" w:hAnsi="宋体" w:cs="宋体"/>
          <w:color w:val="000000"/>
          <w:szCs w:val="21"/>
        </w:rPr>
      </w:pPr>
      <w:r>
        <w:rPr>
          <w:rFonts w:hint="eastAsia" w:ascii="宋体" w:hAnsi="宋体" w:cs="宋体"/>
          <w:color w:val="000000"/>
          <w:szCs w:val="21"/>
        </w:rPr>
      </w:r>
      <w:r/>
    </w:p>
    <w:p>
      <w:pPr>
        <w:pStyle w:val="1098"/>
        <w:rPr>
          <w:rFonts w:hint="eastAsia"/>
          <w:szCs w:val="28"/>
        </w:rPr>
      </w:pPr>
      <w:r>
        <w:rPr>
          <w:rFonts w:hint="eastAsia"/>
          <w:szCs w:val="28"/>
        </w:rPr>
        <w:br w:type="page" w:clear="all"/>
      </w:r>
      <w:r>
        <w:rPr>
          <w:rFonts w:hint="eastAsia"/>
          <w:szCs w:val="28"/>
        </w:rPr>
        <w:t xml:space="preserve">附表一：</w:t>
      </w:r>
      <w:r>
        <w:rPr>
          <w:rFonts w:hint="eastAsia"/>
          <w:szCs w:val="28"/>
        </w:rPr>
      </w:r>
      <w:r/>
    </w:p>
    <w:p>
      <w:pPr>
        <w:pStyle w:val="1098"/>
        <w:ind w:left="1000" w:firstLine="720"/>
        <w:spacing w:line="580" w:lineRule="exact"/>
        <w:rPr>
          <w:rFonts w:ascii="宋体" w:hAnsi="宋体" w:cs="宋体"/>
          <w:sz w:val="36"/>
          <w:szCs w:val="36"/>
        </w:rPr>
      </w:pPr>
      <w:r>
        <w:rPr>
          <w:rFonts w:hint="eastAsia" w:ascii="宋体" w:hAnsi="宋体" w:cs="宋体"/>
          <w:sz w:val="36"/>
          <w:szCs w:val="36"/>
        </w:rPr>
        <w:t xml:space="preserve">徐医附院消防维保月度考核表</w:t>
      </w:r>
      <w:r>
        <w:rPr>
          <w:rFonts w:ascii="宋体" w:hAnsi="宋体" w:cs="宋体"/>
          <w:sz w:val="36"/>
          <w:szCs w:val="36"/>
        </w:rPr>
      </w:r>
      <w:r/>
    </w:p>
    <w:p>
      <w:pPr>
        <w:pStyle w:val="1098"/>
        <w:ind w:left="1000" w:firstLine="720"/>
        <w:spacing w:line="580" w:lineRule="exact"/>
        <w:rPr>
          <w:rFonts w:hint="eastAsia"/>
          <w:sz w:val="36"/>
          <w:szCs w:val="36"/>
        </w:rPr>
      </w:pPr>
      <w:r>
        <w:rPr>
          <w:rFonts w:hint="eastAsia"/>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1098"/>
              <w:rPr>
                <w:sz w:val="18"/>
                <w:szCs w:val="18"/>
              </w:rPr>
            </w:pPr>
            <w:r>
              <w:rPr>
                <w:rFonts w:hint="eastAsia" w:ascii="宋体" w:hAnsi="宋体" w:cs="宋体"/>
                <w:sz w:val="18"/>
                <w:szCs w:val="18"/>
              </w:rPr>
              <w:t xml:space="preserve">序号</w:t>
            </w:r>
            <w:r>
              <w:rPr>
                <w:sz w:val="18"/>
                <w:szCs w:val="18"/>
              </w:rPr>
            </w:r>
            <w:r/>
          </w:p>
        </w:tc>
        <w:tc>
          <w:tcPr>
            <w:tcW w:w="951" w:type="dxa"/>
            <w:vAlign w:val="center"/>
            <w:textDirection w:val="lrTb"/>
            <w:noWrap w:val="false"/>
          </w:tcPr>
          <w:p>
            <w:pPr>
              <w:pStyle w:val="1098"/>
              <w:rPr>
                <w:sz w:val="18"/>
                <w:szCs w:val="18"/>
              </w:rPr>
            </w:pPr>
            <w:r>
              <w:rPr>
                <w:rFonts w:hint="eastAsia" w:ascii="宋体" w:hAnsi="宋体" w:cs="宋体"/>
                <w:sz w:val="18"/>
                <w:szCs w:val="18"/>
              </w:rPr>
              <w:t xml:space="preserve">考核项目</w:t>
            </w:r>
            <w:r>
              <w:rPr>
                <w:sz w:val="18"/>
                <w:szCs w:val="18"/>
              </w:rPr>
            </w:r>
            <w:r/>
          </w:p>
        </w:tc>
        <w:tc>
          <w:tcPr>
            <w:tcW w:w="1120" w:type="dxa"/>
            <w:vAlign w:val="center"/>
            <w:textDirection w:val="lrTb"/>
            <w:noWrap w:val="false"/>
          </w:tcPr>
          <w:p>
            <w:pPr>
              <w:pStyle w:val="1098"/>
              <w:rPr>
                <w:sz w:val="18"/>
                <w:szCs w:val="18"/>
              </w:rPr>
            </w:pPr>
            <w:r>
              <w:rPr>
                <w:rFonts w:hint="eastAsia" w:ascii="宋体" w:hAnsi="宋体" w:cs="宋体"/>
                <w:sz w:val="18"/>
                <w:szCs w:val="18"/>
              </w:rPr>
              <w:t xml:space="preserve">考核标准</w:t>
            </w:r>
            <w:r>
              <w:rPr>
                <w:sz w:val="18"/>
                <w:szCs w:val="18"/>
              </w:rPr>
            </w:r>
            <w:r/>
          </w:p>
        </w:tc>
        <w:tc>
          <w:tcPr>
            <w:tcW w:w="5350" w:type="dxa"/>
            <w:vAlign w:val="center"/>
            <w:textDirection w:val="lrTb"/>
            <w:noWrap w:val="false"/>
          </w:tcPr>
          <w:p>
            <w:pPr>
              <w:pStyle w:val="1098"/>
              <w:jc w:val="center"/>
              <w:rPr>
                <w:sz w:val="18"/>
                <w:szCs w:val="18"/>
              </w:rPr>
            </w:pPr>
            <w:r>
              <w:rPr>
                <w:rFonts w:hint="eastAsia" w:ascii="宋体" w:hAnsi="宋体" w:cs="宋体"/>
                <w:sz w:val="18"/>
                <w:szCs w:val="18"/>
              </w:rPr>
              <w:t xml:space="preserve">考核内容</w:t>
            </w:r>
            <w:r>
              <w:rPr>
                <w:sz w:val="18"/>
                <w:szCs w:val="18"/>
              </w:rPr>
            </w:r>
            <w:r/>
          </w:p>
        </w:tc>
        <w:tc>
          <w:tcPr>
            <w:tcW w:w="727" w:type="dxa"/>
            <w:vAlign w:val="center"/>
            <w:textDirection w:val="lrTb"/>
            <w:noWrap w:val="false"/>
          </w:tcPr>
          <w:p>
            <w:pPr>
              <w:pStyle w:val="1098"/>
              <w:rPr>
                <w:sz w:val="18"/>
                <w:szCs w:val="18"/>
              </w:rPr>
            </w:pPr>
            <w:r>
              <w:rPr>
                <w:rFonts w:hint="eastAsia" w:ascii="宋体" w:hAnsi="宋体" w:cs="宋体"/>
                <w:sz w:val="18"/>
                <w:szCs w:val="18"/>
              </w:rPr>
              <w:t xml:space="preserve">扣分</w:t>
            </w: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951" w:type="dxa"/>
            <w:vAlign w:val="center"/>
            <w:vMerge w:val="restart"/>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工作纪律</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(10分)</w:t>
            </w:r>
            <w:r>
              <w:rPr>
                <w:rFonts w:ascii="宋体" w:hAnsi="宋体" w:cs="宋体"/>
                <w:sz w:val="18"/>
                <w:szCs w:val="18"/>
              </w:rPr>
            </w:r>
            <w:r/>
          </w:p>
        </w:tc>
        <w:tc>
          <w:tcPr>
            <w:tcW w:w="1120" w:type="dxa"/>
            <w:vAlign w:val="center"/>
            <w:vMerge w:val="restart"/>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各安全管理</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制度、法律</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法规及规划</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楼劳动纪律</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等</w:t>
            </w: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未遵守医院相关管理制度。(2分)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未遵守相关消防法律法规。(2分)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未遵守消防安全管理制度。(2分)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spacing w:before="40"/>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未遵守劳动纪律,存在缺勤、迟到、早退现象。(2分)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rFonts w:ascii="宋体" w:hAnsi="宋体" w:cs="宋体"/>
                <w:sz w:val="18"/>
                <w:szCs w:val="18"/>
              </w:rPr>
            </w:pPr>
            <w:r>
              <w:rPr>
                <w:rFonts w:hint="eastAsia" w:ascii="宋体" w:hAnsi="宋体" w:cs="宋体"/>
                <w:sz w:val="18"/>
                <w:szCs w:val="18"/>
              </w:rPr>
              <w:t xml:space="preserve">未按规定统一着装、未按需配备劳保用品。（2分）</w:t>
            </w:r>
            <w:r>
              <w:rPr>
                <w:rFonts w:ascii="宋体" w:hAnsi="宋体" w:cs="宋体"/>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951" w:type="dxa"/>
            <w:vAlign w:val="center"/>
            <w:vMerge w:val="restart"/>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工作内容</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(35分)</w:t>
            </w:r>
            <w:r>
              <w:rPr>
                <w:rFonts w:ascii="宋体" w:hAnsi="宋体" w:cs="宋体"/>
                <w:sz w:val="18"/>
                <w:szCs w:val="18"/>
              </w:rPr>
            </w:r>
            <w:r/>
          </w:p>
        </w:tc>
        <w:tc>
          <w:tcPr>
            <w:tcW w:w="1120" w:type="dxa"/>
            <w:vAlign w:val="center"/>
            <w:vMerge w:val="restart"/>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须认真、仔</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细完成各项</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工内容、履</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行双方协</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议,接受相</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关单位对</w:t>
            </w:r>
            <w:r>
              <w:rPr>
                <w:rFonts w:ascii="宋体" w:hAnsi="宋体" w:cs="宋体"/>
                <w:sz w:val="18"/>
                <w:szCs w:val="18"/>
              </w:rPr>
            </w:r>
            <w:r/>
          </w:p>
          <w:p>
            <w:pPr>
              <w:pStyle w:val="1098"/>
              <w:jc w:val="center"/>
              <w:rPr>
                <w:rFonts w:ascii="宋体" w:hAnsi="宋体" w:cs="宋体"/>
                <w:sz w:val="18"/>
                <w:szCs w:val="18"/>
              </w:rPr>
            </w:pPr>
            <w:r>
              <w:rPr>
                <w:rFonts w:hint="eastAsia" w:ascii="宋体" w:hAnsi="宋体" w:cs="宋体"/>
                <w:sz w:val="18"/>
                <w:szCs w:val="18"/>
              </w:rPr>
              <w:t xml:space="preserve">院区消防系统检测、考核。</w:t>
            </w: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未按要求提供国假日值班表,未更新可靠联系方式。(2分)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spacing w:before="40"/>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未按要求完成各项工作计划并上报。(1分)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未按要求对现场技术人员进行安全作业培训,并进行安全作业检</w:t>
            </w:r>
            <w:r>
              <w:rPr>
                <w:sz w:val="18"/>
                <w:szCs w:val="18"/>
              </w:rPr>
            </w:r>
            <w:r/>
          </w:p>
          <w:p>
            <w:pPr>
              <w:pStyle w:val="1098"/>
              <w:rPr>
                <w:sz w:val="18"/>
                <w:szCs w:val="18"/>
              </w:rPr>
            </w:pPr>
            <w:r>
              <w:rPr>
                <w:rFonts w:hint="eastAsia" w:ascii="宋体" w:hAnsi="宋体" w:cs="宋体"/>
                <w:sz w:val="18"/>
                <w:szCs w:val="18"/>
              </w:rPr>
              <w:t xml:space="preserve">查、防护和监督等工作。(2分)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未配合制定与消防安全相关的应急预案。(2分)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951"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1098"/>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1098"/>
              <w:rPr>
                <w:sz w:val="18"/>
                <w:szCs w:val="18"/>
              </w:rPr>
            </w:pPr>
            <w:r>
              <w:rPr>
                <w:rFonts w:hint="eastAsia" w:ascii="宋体" w:hAnsi="宋体" w:cs="宋体"/>
                <w:sz w:val="18"/>
                <w:szCs w:val="18"/>
              </w:rPr>
              <w:t xml:space="preserve">未按要求履行负责消防验审或检查等有关的协调工作。(2分)</w:t>
            </w:r>
            <w:r>
              <w:rPr>
                <w:sz w:val="18"/>
                <w:szCs w:val="18"/>
              </w:rPr>
            </w:r>
            <w:r/>
          </w:p>
        </w:tc>
        <w:tc>
          <w:tcPr>
            <w:tcW w:w="727" w:type="dxa"/>
            <w:vAlign w:val="top"/>
            <w:textDirection w:val="lrTb"/>
            <w:noWrap w:val="false"/>
          </w:tcPr>
          <w:p>
            <w:pPr>
              <w:pStyle w:val="1098"/>
              <w:rPr>
                <w:sz w:val="18"/>
                <w:szCs w:val="18"/>
              </w:rPr>
            </w:pPr>
            <w:r>
              <w:rPr>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1098"/>
              <w:rPr>
                <w:color w:val="000000"/>
                <w:sz w:val="18"/>
                <w:szCs w:val="18"/>
              </w:rPr>
            </w:pPr>
            <w:r>
              <w:rPr>
                <w:color w:val="000000"/>
                <w:sz w:val="18"/>
                <w:szCs w:val="18"/>
              </w:rPr>
            </w:r>
            <w:r/>
          </w:p>
        </w:tc>
        <w:tc>
          <w:tcPr>
            <w:tcW w:w="1120" w:type="dxa"/>
            <w:vAlign w:val="center"/>
            <w:vMerge w:val="continue"/>
            <w:textDirection w:val="lrTb"/>
            <w:noWrap w:val="false"/>
          </w:tcPr>
          <w:p>
            <w:pPr>
              <w:pStyle w:val="1098"/>
              <w:rPr>
                <w:color w:val="000000"/>
                <w:sz w:val="18"/>
                <w:szCs w:val="18"/>
              </w:rPr>
            </w:pPr>
            <w:r>
              <w:rPr>
                <w:color w:val="000000"/>
                <w:sz w:val="18"/>
                <w:szCs w:val="18"/>
              </w:rPr>
            </w:r>
            <w:r/>
          </w:p>
        </w:tc>
        <w:tc>
          <w:tcPr>
            <w:tcW w:w="5350" w:type="dxa"/>
            <w:vAlign w:val="center"/>
            <w:textDirection w:val="lrTb"/>
            <w:noWrap w:val="false"/>
          </w:tcPr>
          <w:p>
            <w:pPr>
              <w:pStyle w:val="1098"/>
              <w:rPr>
                <w:color w:val="000000"/>
                <w:sz w:val="18"/>
                <w:szCs w:val="18"/>
              </w:rPr>
            </w:pP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1098"/>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1098"/>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1098"/>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1098"/>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1098"/>
              <w:spacing w:before="40"/>
              <w:rPr>
                <w:color w:val="000000"/>
                <w:sz w:val="18"/>
                <w:szCs w:val="18"/>
              </w:rPr>
            </w:pPr>
            <w:r>
              <w:rPr>
                <w:color w:val="000000"/>
                <w:sz w:val="18"/>
                <w:szCs w:val="18"/>
              </w:rPr>
            </w:r>
            <w:r/>
          </w:p>
          <w:p>
            <w:pPr>
              <w:pStyle w:val="1098"/>
              <w:spacing w:before="40"/>
              <w:rPr>
                <w:color w:val="000000"/>
                <w:sz w:val="18"/>
                <w:szCs w:val="18"/>
              </w:rPr>
            </w:pPr>
            <w:r>
              <w:rPr>
                <w:color w:val="000000"/>
                <w:sz w:val="18"/>
                <w:szCs w:val="18"/>
              </w:rPr>
            </w:r>
            <w:r/>
          </w:p>
        </w:tc>
      </w:tr>
    </w:tbl>
    <w:p>
      <w:pPr>
        <w:pStyle w:val="1098"/>
        <w:ind w:firstLine="420"/>
        <w:spacing w:line="360" w:lineRule="auto"/>
        <w:rPr>
          <w:rFonts w:hint="eastAsia" w:ascii="微软雅黑" w:hAnsi="微软雅黑" w:cs="微软雅黑"/>
          <w:color w:val="000000"/>
          <w:szCs w:val="21"/>
          <w:lang w:eastAsia="zh-CN"/>
        </w:rPr>
      </w:pPr>
      <w:r>
        <w:rPr>
          <w:rFonts w:hint="eastAsia" w:ascii="微软雅黑" w:hAnsi="微软雅黑" w:cs="微软雅黑"/>
          <w:color w:val="000000"/>
          <w:szCs w:val="21"/>
          <w:lang w:eastAsia="zh-CN"/>
        </w:rPr>
      </w:r>
      <w:r/>
    </w:p>
    <w:p>
      <w:pPr>
        <w:pStyle w:val="1098"/>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147"/>
        <w:jc w:val="center"/>
        <w:spacing w:before="0" w:beforeAutospacing="0" w:after="0" w:afterAutospacing="0"/>
        <w:rPr>
          <w:rFonts w:hint="eastAsia"/>
          <w:b/>
          <w:color w:val="000000"/>
          <w:sz w:val="44"/>
          <w:szCs w:val="44"/>
          <w:u w:val="single"/>
        </w:rPr>
      </w:pPr>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1147"/>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1147"/>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1147"/>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1147"/>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1147"/>
        <w:ind w:firstLine="482"/>
        <w:spacing w:before="0" w:beforeAutospacing="0" w:after="0" w:afterAutospacing="0" w:line="360" w:lineRule="auto"/>
        <w:rPr>
          <w:rFonts w:hint="eastAsia"/>
          <w:b/>
          <w:color w:val="000000"/>
        </w:rPr>
      </w:pPr>
      <w:r>
        <w:rPr>
          <w:rFonts w:hint="eastAsia"/>
          <w:b/>
          <w:color w:val="000000"/>
        </w:rPr>
      </w:r>
      <w:r/>
    </w:p>
    <w:p>
      <w:pPr>
        <w:pStyle w:val="1122"/>
        <w:ind w:firstLine="500"/>
        <w:rPr>
          <w:rFonts w:hint="eastAsia" w:ascii="宋体" w:hAnsi="宋体" w:cs="宋体"/>
          <w:color w:val="000000"/>
          <w:szCs w:val="24"/>
        </w:rPr>
      </w:pPr>
      <w:r>
        <w:rPr>
          <w:rFonts w:hint="eastAsia" w:ascii="宋体" w:hAnsi="宋体" w:cs="宋体"/>
          <w:color w:val="000000"/>
          <w:szCs w:val="24"/>
        </w:rPr>
        <w:t xml:space="preserve">经甲方公开招标，根据编号0675-190JOC010050的招标结果，依据《中华人民共和国合同法》和有关法律、法规，甲乙双方本着诚实信用、平等互利的原则，就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1098"/>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1098"/>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1098"/>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1098"/>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1098"/>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1098"/>
        <w:spacing w:line="360" w:lineRule="auto"/>
        <w:rPr>
          <w:rFonts w:hint="eastAsia" w:ascii="宋体" w:hAnsi="宋体" w:cs="宋体"/>
          <w:color w:val="000000"/>
          <w:szCs w:val="24"/>
        </w:rPr>
      </w:pP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1098"/>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1098"/>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1098"/>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1098"/>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1098"/>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1098"/>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1098"/>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1098"/>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1098"/>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1098"/>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1098"/>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1098"/>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1098"/>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1098"/>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1098"/>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1098"/>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1098"/>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1098"/>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1098"/>
        <w:ind w:firstLine="480"/>
        <w:spacing w:line="360" w:lineRule="exact"/>
        <w:rPr>
          <w:rFonts w:hint="eastAsia" w:ascii="宋体" w:hAnsi="宋体" w:cs="宋体"/>
          <w:color w:val="000000"/>
        </w:rPr>
      </w:pPr>
      <w:r>
        <w:rPr>
          <w:rFonts w:hint="eastAsia" w:ascii="宋体" w:hAnsi="宋体" w:cs="宋体"/>
          <w:color w:val="000000"/>
        </w:rPr>
      </w:r>
      <w:r/>
    </w:p>
    <w:p>
      <w:pPr>
        <w:pStyle w:val="1098"/>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1098"/>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1098"/>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1098"/>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1098"/>
        <w:spacing w:line="360" w:lineRule="auto"/>
        <w:rPr>
          <w:rFonts w:hint="eastAsia" w:ascii="宋体" w:hAnsi="宋体" w:cs="宋体"/>
          <w:color w:val="000000"/>
          <w:szCs w:val="21"/>
        </w:rPr>
      </w:pPr>
      <w:r>
        <w:rPr>
          <w:rFonts w:hint="eastAsia" w:ascii="宋体" w:hAnsi="宋体" w:cs="宋体"/>
          <w:color w:val="000000"/>
          <w:szCs w:val="21"/>
        </w:rPr>
      </w:r>
      <w:r/>
    </w:p>
    <w:p>
      <w:pPr>
        <w:pStyle w:val="1098"/>
        <w:rPr>
          <w:rFonts w:hint="eastAsia"/>
          <w:color w:val="000000"/>
          <w:szCs w:val="28"/>
        </w:rPr>
      </w:pPr>
      <w:r>
        <w:rPr>
          <w:rFonts w:hint="eastAsia"/>
          <w:color w:val="000000"/>
          <w:szCs w:val="28"/>
        </w:rPr>
        <w:t xml:space="preserve">附表一：</w:t>
      </w:r>
      <w:r>
        <w:rPr>
          <w:rFonts w:hint="eastAsia"/>
          <w:color w:val="000000"/>
          <w:szCs w:val="28"/>
        </w:rPr>
      </w:r>
      <w:r/>
    </w:p>
    <w:p>
      <w:pPr>
        <w:pStyle w:val="1098"/>
        <w:ind w:left="1000" w:firstLine="720"/>
        <w:spacing w:line="580" w:lineRule="exact"/>
        <w:rPr>
          <w:rFonts w:ascii="宋体" w:hAnsi="宋体" w:cs="宋体"/>
          <w:color w:val="000000"/>
          <w:sz w:val="36"/>
          <w:szCs w:val="36"/>
        </w:rPr>
      </w:pPr>
      <w:r>
        <w:rPr>
          <w:rFonts w:hint="eastAsia" w:ascii="宋体" w:hAnsi="宋体" w:cs="宋体"/>
          <w:color w:val="000000"/>
          <w:sz w:val="36"/>
          <w:szCs w:val="36"/>
        </w:rPr>
        <w:t xml:space="preserve">徐医附院消防维保月度考核表</w:t>
      </w:r>
      <w:r>
        <w:rPr>
          <w:rFonts w:ascii="宋体" w:hAnsi="宋体" w:cs="宋体"/>
          <w:color w:val="000000"/>
          <w:sz w:val="36"/>
          <w:szCs w:val="36"/>
        </w:rPr>
      </w:r>
      <w:r/>
    </w:p>
    <w:p>
      <w:pPr>
        <w:pStyle w:val="1098"/>
        <w:ind w:left="1000" w:firstLine="720"/>
        <w:spacing w:line="580" w:lineRule="exact"/>
        <w:rPr>
          <w:rFonts w:hint="eastAsia"/>
          <w:color w:val="000000"/>
          <w:sz w:val="36"/>
          <w:szCs w:val="36"/>
        </w:rPr>
      </w:pPr>
      <w:r>
        <w:rPr>
          <w:rFonts w:hint="eastAsia"/>
          <w:color w:val="000000"/>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序号</w:t>
            </w:r>
            <w:r>
              <w:rPr>
                <w:color w:val="000000"/>
                <w:sz w:val="18"/>
                <w:szCs w:val="18"/>
              </w:rPr>
            </w:r>
            <w:r/>
          </w:p>
        </w:tc>
        <w:tc>
          <w:tcPr>
            <w:tcW w:w="951"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考核项目</w:t>
            </w:r>
            <w:r>
              <w:rPr>
                <w:color w:val="000000"/>
                <w:sz w:val="18"/>
                <w:szCs w:val="18"/>
              </w:rPr>
            </w:r>
            <w:r/>
          </w:p>
        </w:tc>
        <w:tc>
          <w:tcPr>
            <w:tcW w:w="112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考核标准</w:t>
            </w:r>
            <w:r>
              <w:rPr>
                <w:color w:val="000000"/>
                <w:sz w:val="18"/>
                <w:szCs w:val="18"/>
              </w:rPr>
            </w:r>
            <w:r/>
          </w:p>
        </w:tc>
        <w:tc>
          <w:tcPr>
            <w:tcW w:w="5350" w:type="dxa"/>
            <w:vAlign w:val="center"/>
            <w:textDirection w:val="lrTb"/>
            <w:noWrap w:val="false"/>
          </w:tcPr>
          <w:p>
            <w:pPr>
              <w:pStyle w:val="1098"/>
              <w:jc w:val="center"/>
              <w:rPr>
                <w:color w:val="000000"/>
                <w:sz w:val="18"/>
                <w:szCs w:val="18"/>
              </w:rPr>
            </w:pPr>
            <w:r>
              <w:rPr>
                <w:rFonts w:hint="eastAsia" w:ascii="宋体" w:hAnsi="宋体" w:cs="宋体"/>
                <w:color w:val="000000"/>
                <w:sz w:val="18"/>
                <w:szCs w:val="18"/>
              </w:rPr>
              <w:t xml:space="preserve">考核内容</w:t>
            </w:r>
            <w:r>
              <w:rPr>
                <w:color w:val="000000"/>
                <w:sz w:val="18"/>
                <w:szCs w:val="18"/>
              </w:rPr>
            </w:r>
            <w:r/>
          </w:p>
        </w:tc>
        <w:tc>
          <w:tcPr>
            <w:tcW w:w="727"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扣分</w:t>
            </w: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工作纪律</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(10分)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各安全管理</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制度、法律</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法规及规划</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楼劳动纪律</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等</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未遵守医院相关管理制度。(2分)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未遵守相关消防法律法规。(2分)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未遵守消防安全管理制度。(2分)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spacing w:before="40"/>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未遵守劳动纪律,存在缺勤、迟到、早退现象。(2分)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未按规定统一着装、未按需配备劳保用品。（2分）</w:t>
            </w:r>
            <w:r>
              <w:rPr>
                <w:rFonts w:ascii="宋体" w:hAnsi="宋体" w:cs="宋体"/>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工作内容</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(35分)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须认真、仔</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细完成各项</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工内容、履</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行双方协</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议,接受相</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关单位对</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院区消防系统检测、考核。</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未按要求提供国假日值班表,未更新可靠联系方式。(2分)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spacing w:before="40"/>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未按要求完成各项工作计划并上报。(1分)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未按要求对现场技术人员进行安全作业培训,并进行安全作业检</w:t>
            </w:r>
            <w:r>
              <w:rPr>
                <w:color w:val="000000"/>
                <w:sz w:val="18"/>
                <w:szCs w:val="18"/>
              </w:rPr>
            </w:r>
            <w:r/>
          </w:p>
          <w:p>
            <w:pPr>
              <w:pStyle w:val="1098"/>
              <w:rPr>
                <w:color w:val="000000"/>
                <w:sz w:val="18"/>
                <w:szCs w:val="18"/>
              </w:rPr>
            </w:pPr>
            <w:r>
              <w:rPr>
                <w:rFonts w:hint="eastAsia" w:ascii="宋体" w:hAnsi="宋体" w:cs="宋体"/>
                <w:color w:val="000000"/>
                <w:sz w:val="18"/>
                <w:szCs w:val="18"/>
              </w:rPr>
              <w:t xml:space="preserve">查、防护和监督等工作。(2分)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未配合制定与消防安全相关的应急预案。(2分)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未按要求履行负责消防验审或检查等有关的协调工作。(2分)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1098"/>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1098"/>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1098"/>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1098"/>
              <w:rPr>
                <w:color w:val="000000"/>
                <w:sz w:val="18"/>
                <w:szCs w:val="18"/>
              </w:rPr>
            </w:pP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1098"/>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1098"/>
              <w:rPr>
                <w:color w:val="000000"/>
                <w:sz w:val="18"/>
                <w:szCs w:val="18"/>
              </w:rPr>
            </w:pPr>
            <w:r>
              <w:rPr>
                <w:color w:val="000000"/>
                <w:sz w:val="18"/>
                <w:szCs w:val="18"/>
              </w:rPr>
            </w:r>
            <w:r/>
          </w:p>
        </w:tc>
        <w:tc>
          <w:tcPr>
            <w:tcW w:w="1120" w:type="dxa"/>
            <w:vAlign w:val="center"/>
            <w:vMerge w:val="continue"/>
            <w:textDirection w:val="lrTb"/>
            <w:noWrap w:val="false"/>
          </w:tcPr>
          <w:p>
            <w:pPr>
              <w:pStyle w:val="1098"/>
              <w:rPr>
                <w:color w:val="000000"/>
                <w:sz w:val="18"/>
                <w:szCs w:val="18"/>
              </w:rPr>
            </w:pPr>
            <w:r>
              <w:rPr>
                <w:color w:val="000000"/>
                <w:sz w:val="18"/>
                <w:szCs w:val="18"/>
              </w:rPr>
            </w:r>
            <w:r/>
          </w:p>
        </w:tc>
        <w:tc>
          <w:tcPr>
            <w:tcW w:w="5350" w:type="dxa"/>
            <w:vAlign w:val="center"/>
            <w:textDirection w:val="lrTb"/>
            <w:noWrap w:val="false"/>
          </w:tcPr>
          <w:p>
            <w:pPr>
              <w:pStyle w:val="1098"/>
              <w:rPr>
                <w:color w:val="000000"/>
                <w:sz w:val="18"/>
                <w:szCs w:val="18"/>
              </w:rPr>
            </w:pP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1098"/>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1098"/>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1098"/>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1098"/>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1098"/>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1098"/>
              <w:spacing w:before="40"/>
              <w:rPr>
                <w:color w:val="000000"/>
                <w:sz w:val="18"/>
                <w:szCs w:val="18"/>
              </w:rPr>
            </w:pPr>
            <w:r>
              <w:rPr>
                <w:color w:val="000000"/>
                <w:sz w:val="18"/>
                <w:szCs w:val="18"/>
              </w:rPr>
            </w:r>
            <w:r/>
          </w:p>
          <w:p>
            <w:pPr>
              <w:pStyle w:val="1098"/>
              <w:spacing w:before="40"/>
              <w:rPr>
                <w:color w:val="000000"/>
                <w:sz w:val="18"/>
                <w:szCs w:val="18"/>
              </w:rPr>
            </w:pPr>
            <w:r>
              <w:rPr>
                <w:color w:val="000000"/>
                <w:sz w:val="18"/>
                <w:szCs w:val="18"/>
              </w:rPr>
            </w:r>
            <w:r/>
          </w:p>
        </w:tc>
      </w:tr>
    </w:tbl>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142"/>
        <w:rPr>
          <w:rFonts w:hint="eastAsia"/>
          <w:color w:val="000000"/>
          <w:lang w:val="en-US" w:eastAsia="zh-CN"/>
        </w:rPr>
      </w:pPr>
      <w:r>
        <w:rPr>
          <w:rFonts w:hint="eastAsia"/>
          <w:color w:val="000000"/>
          <w:lang w:val="en-US" w:eastAsia="zh-CN"/>
        </w:rPr>
      </w:r>
      <w:r/>
    </w:p>
    <w:p>
      <w:pPr>
        <w:pStyle w:val="1098"/>
        <w:numPr>
          <w:ilvl w:val="0"/>
          <w:numId w:val="0"/>
        </w:numPr>
        <w:jc w:val="left"/>
        <w:pageBreakBefore w:val="0"/>
        <w:spacing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1098"/>
        <w:rPr>
          <w:rFonts w:hint="eastAsia"/>
          <w:color w:val="000000"/>
        </w:rPr>
      </w:pPr>
      <w:r>
        <w:rPr>
          <w:rFonts w:hint="eastAsia"/>
          <w:color w:val="000000"/>
        </w:rPr>
      </w:r>
      <w:r/>
    </w:p>
    <w:p>
      <w:pPr>
        <w:pStyle w:val="1099"/>
        <w:rPr>
          <w:rFonts w:hint="eastAsia" w:ascii="微软雅黑" w:hAnsi="微软雅黑" w:cs="微软雅黑"/>
          <w:color w:val="000000"/>
          <w:szCs w:val="32"/>
        </w:rPr>
      </w:pPr>
      <w:r>
        <w:rPr>
          <w:rFonts w:hint="eastAsia" w:ascii="微软雅黑" w:hAnsi="微软雅黑" w:cs="微软雅黑"/>
          <w:color w:val="000000"/>
        </w:rPr>
        <w:br w:type="page" w:clear="all"/>
      </w:r>
      <w:bookmarkStart w:id="260" w:name="_Toc26588"/>
      <w:r>
        <w:rPr>
          <w:rFonts w:hint="eastAsia" w:ascii="微软雅黑" w:hAnsi="微软雅黑" w:cs="微软雅黑"/>
          <w:color w:val="000000"/>
        </w:rPr>
        <w:t xml:space="preserve">第六章 投标文件格式</w:t>
      </w:r>
      <w:bookmarkEnd w:id="238"/>
      <w:r>
        <w:rPr>
          <w:rFonts w:hint="eastAsia" w:ascii="微软雅黑" w:hAnsi="微软雅黑" w:cs="微软雅黑"/>
          <w:color w:val="000000"/>
        </w:rPr>
        <w:t xml:space="preserve">及附件</w:t>
      </w:r>
      <w:bookmarkEnd w:id="233"/>
      <w:r/>
      <w:bookmarkEnd w:id="260"/>
      <w:r>
        <w:rPr>
          <w:rFonts w:hint="eastAsia" w:ascii="微软雅黑" w:hAnsi="微软雅黑" w:cs="微软雅黑"/>
          <w:color w:val="000000"/>
          <w:szCs w:val="32"/>
        </w:rPr>
      </w:r>
      <w:r/>
    </w:p>
    <w:p>
      <w:pPr>
        <w:pStyle w:val="1098"/>
        <w:jc w:val="left"/>
        <w:spacing w:line="420" w:lineRule="exact"/>
        <w:widowControl/>
        <w:rPr>
          <w:rFonts w:hint="eastAsia" w:ascii="微软雅黑" w:hAnsi="微软雅黑" w:cs="微软雅黑"/>
          <w:b/>
          <w:bCs/>
          <w:color w:val="000000"/>
          <w:sz w:val="24"/>
          <w:szCs w:val="24"/>
        </w:rPr>
      </w:pPr>
      <w:r>
        <w:rPr>
          <w:rFonts w:hint="eastAsia" w:ascii="微软雅黑" w:hAnsi="微软雅黑" w:cs="微软雅黑"/>
          <w:b/>
          <w:bCs/>
          <w:color w:val="000000"/>
          <w:sz w:val="28"/>
          <w:szCs w:val="28"/>
        </w:rPr>
        <w:t xml:space="preserve"> </w:t>
      </w:r>
      <w:r>
        <w:rPr>
          <w:rFonts w:hint="eastAsia" w:ascii="微软雅黑" w:hAnsi="微软雅黑" w:cs="微软雅黑"/>
          <w:b/>
          <w:bCs/>
          <w:color w:val="000000"/>
          <w:sz w:val="24"/>
          <w:szCs w:val="24"/>
        </w:rPr>
        <w:t xml:space="preserve"> 注：</w:t>
      </w:r>
      <w:r>
        <w:rPr>
          <w:rFonts w:hint="eastAsia" w:ascii="微软雅黑" w:hAnsi="微软雅黑" w:cs="微软雅黑"/>
          <w:b/>
          <w:bCs/>
          <w:color w:val="000000"/>
          <w:sz w:val="24"/>
          <w:szCs w:val="24"/>
        </w:rPr>
      </w:r>
      <w:r/>
    </w:p>
    <w:p>
      <w:pPr>
        <w:pStyle w:val="1098"/>
        <w:numPr>
          <w:ilvl w:val="0"/>
          <w:numId w:val="9"/>
        </w:numPr>
        <w:ind w:hanging="205"/>
        <w:jc w:val="left"/>
        <w:spacing w:line="40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本部分内容仅供格式参考。</w:t>
      </w:r>
      <w:r>
        <w:rPr>
          <w:rFonts w:hint="eastAsia" w:ascii="微软雅黑" w:hAnsi="微软雅黑" w:cs="微软雅黑"/>
          <w:color w:val="000000"/>
          <w:szCs w:val="21"/>
        </w:rPr>
      </w:r>
      <w:r/>
    </w:p>
    <w:p>
      <w:pPr>
        <w:pStyle w:val="1125"/>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color w:val="000000"/>
          <w:szCs w:val="21"/>
        </w:rPr>
      </w:r>
      <w:r/>
    </w:p>
    <w:p>
      <w:pPr>
        <w:pStyle w:val="1098"/>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供应商提交的材料不予退还。</w:t>
      </w:r>
      <w:r>
        <w:rPr>
          <w:rFonts w:hint="eastAsia" w:ascii="微软雅黑" w:hAnsi="微软雅黑" w:cs="微软雅黑"/>
          <w:color w:val="000000"/>
          <w:szCs w:val="21"/>
        </w:rPr>
      </w:r>
      <w:r/>
    </w:p>
    <w:p>
      <w:pPr>
        <w:pStyle w:val="1125"/>
        <w:ind w:left="1260"/>
        <w:rPr>
          <w:rFonts w:hint="eastAsia" w:ascii="微软雅黑" w:hAnsi="微软雅黑" w:cs="微软雅黑"/>
          <w:color w:val="000000"/>
        </w:rPr>
      </w:pPr>
      <w:r>
        <w:rPr>
          <w:rFonts w:hint="eastAsia" w:ascii="微软雅黑" w:hAnsi="微软雅黑" w:cs="微软雅黑"/>
          <w:color w:val="000000"/>
        </w:rPr>
      </w:r>
      <w:r/>
    </w:p>
    <w:p>
      <w:pPr>
        <w:pStyle w:val="1098"/>
        <w:jc w:val="center"/>
        <w:spacing w:line="420" w:lineRule="exact"/>
        <w:rPr>
          <w:rFonts w:hint="eastAsia" w:ascii="微软雅黑" w:hAnsi="微软雅黑" w:cs="微软雅黑"/>
          <w:color w:val="000000"/>
        </w:rPr>
      </w:pPr>
      <w:r>
        <w:rPr>
          <w:rFonts w:hint="eastAsia" w:ascii="微软雅黑" w:hAnsi="微软雅黑" w:cs="微软雅黑"/>
          <w:color w:val="000000"/>
        </w:rPr>
        <w:br w:type="page" w:clear="all"/>
      </w:r>
      <w:r>
        <w:rPr>
          <w:rFonts w:hint="eastAsia" w:ascii="微软雅黑" w:hAnsi="微软雅黑" w:cs="微软雅黑"/>
          <w:color w:val="000000"/>
        </w:rPr>
      </w:r>
      <w:r/>
    </w:p>
    <w:p>
      <w:pPr>
        <w:pStyle w:val="1098"/>
        <w:jc w:val="center"/>
        <w:spacing w:line="360" w:lineRule="auto"/>
        <w:rPr>
          <w:rFonts w:hint="eastAsia" w:ascii="微软雅黑" w:hAnsi="微软雅黑" w:cs="微软雅黑"/>
          <w:color w:val="000000"/>
        </w:rPr>
      </w:pPr>
      <w:r>
        <w:rPr>
          <w:rFonts w:hint="eastAsia" w:ascii="微软雅黑" w:hAnsi="微软雅黑" w:cs="微软雅黑"/>
          <w:color w:val="000000"/>
        </w:rPr>
      </w:r>
      <w:r/>
    </w:p>
    <w:p>
      <w:pPr>
        <w:pStyle w:val="1098"/>
        <w:jc w:val="center"/>
        <w:spacing w:line="360" w:lineRule="auto"/>
        <w:rPr>
          <w:rFonts w:hint="eastAsia" w:ascii="微软雅黑" w:hAnsi="微软雅黑" w:cs="微软雅黑"/>
          <w:color w:val="000000"/>
          <w:sz w:val="56"/>
          <w:szCs w:val="56"/>
        </w:rPr>
      </w:pPr>
      <w:r>
        <w:rPr>
          <w:rFonts w:hint="eastAsia" w:ascii="微软雅黑" w:hAnsi="微软雅黑" w:cs="微软雅黑"/>
          <w:color w:val="000000"/>
          <w:sz w:val="56"/>
          <w:szCs w:val="56"/>
        </w:rPr>
        <w:t xml:space="preserve">投标文件</w:t>
      </w:r>
      <w:r>
        <w:rPr>
          <w:rFonts w:hint="eastAsia" w:ascii="微软雅黑" w:hAnsi="微软雅黑" w:cs="微软雅黑"/>
          <w:color w:val="000000"/>
          <w:sz w:val="56"/>
          <w:szCs w:val="56"/>
        </w:rPr>
      </w:r>
      <w:r/>
    </w:p>
    <w:p>
      <w:pPr>
        <w:pStyle w:val="1098"/>
        <w:jc w:val="center"/>
        <w:spacing w:line="420" w:lineRule="exact"/>
        <w:rPr>
          <w:rFonts w:hint="eastAsia" w:ascii="微软雅黑" w:hAnsi="微软雅黑" w:cs="微软雅黑"/>
          <w:color w:val="000000"/>
          <w:sz w:val="48"/>
          <w:szCs w:val="48"/>
        </w:rPr>
      </w:pPr>
      <w:r>
        <w:rPr>
          <w:rFonts w:hint="eastAsia" w:ascii="微软雅黑" w:hAnsi="微软雅黑" w:cs="微软雅黑"/>
          <w:color w:val="000000"/>
          <w:sz w:val="48"/>
          <w:szCs w:val="48"/>
        </w:rPr>
      </w:r>
      <w:r/>
    </w:p>
    <w:p>
      <w:pPr>
        <w:pStyle w:val="1098"/>
        <w:jc w:val="center"/>
        <w:spacing w:line="420" w:lineRule="exact"/>
        <w:rPr>
          <w:rFonts w:hint="eastAsia" w:ascii="微软雅黑" w:hAnsi="微软雅黑" w:cs="微软雅黑"/>
          <w:color w:val="000000"/>
          <w:sz w:val="40"/>
          <w:szCs w:val="40"/>
        </w:rPr>
      </w:pPr>
      <w:r>
        <w:rPr>
          <w:rFonts w:hint="eastAsia" w:ascii="微软雅黑" w:hAnsi="微软雅黑" w:cs="微软雅黑"/>
          <w:color w:val="000000"/>
          <w:sz w:val="40"/>
          <w:szCs w:val="40"/>
        </w:rPr>
        <w:t xml:space="preserve">【正/副本】</w:t>
      </w:r>
      <w:r>
        <w:rPr>
          <w:rFonts w:hint="eastAsia" w:ascii="微软雅黑" w:hAnsi="微软雅黑" w:cs="微软雅黑"/>
          <w:color w:val="000000"/>
          <w:sz w:val="40"/>
          <w:szCs w:val="40"/>
        </w:rPr>
      </w:r>
      <w:r/>
    </w:p>
    <w:p>
      <w:pPr>
        <w:pStyle w:val="1098"/>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98"/>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98"/>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98"/>
        <w:spacing w:line="360" w:lineRule="auto"/>
        <w:rPr>
          <w:rFonts w:hint="eastAsia" w:ascii="微软雅黑" w:hAnsi="微软雅黑" w:cs="微软雅黑"/>
          <w:sz w:val="32"/>
          <w:szCs w:val="32"/>
        </w:rPr>
      </w:pPr>
      <w:r>
        <w:rPr>
          <w:rFonts w:hint="eastAsia" w:ascii="微软雅黑" w:hAnsi="微软雅黑" w:cs="微软雅黑"/>
          <w:color w:val="000000"/>
          <w:sz w:val="44"/>
          <w:szCs w:val="44"/>
        </w:rPr>
        <w:t xml:space="preserve">   </w:t>
      </w:r>
      <w:r>
        <w:rPr>
          <w:rFonts w:hint="eastAsia" w:ascii="微软雅黑" w:hAnsi="微软雅黑" w:cs="微软雅黑"/>
          <w:color w:val="000000"/>
          <w:sz w:val="32"/>
          <w:szCs w:val="32"/>
        </w:rPr>
        <w:t xml:space="preserve"> 项目编号：</w:t>
      </w:r>
      <w:r>
        <w:rPr>
          <w:rFonts w:hint="eastAsia" w:ascii="微软雅黑" w:hAnsi="微软雅黑" w:cs="微软雅黑"/>
          <w:sz w:val="32"/>
          <w:szCs w:val="32"/>
        </w:rPr>
      </w:r>
      <w:r/>
    </w:p>
    <w:p>
      <w:pPr>
        <w:pStyle w:val="1098"/>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98"/>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9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9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9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9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109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9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98"/>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98"/>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98"/>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98"/>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98"/>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1098"/>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98"/>
        <w:spacing w:line="420" w:lineRule="exact"/>
        <w:rPr>
          <w:rFonts w:hint="eastAsia" w:ascii="微软雅黑" w:hAnsi="微软雅黑" w:cs="微软雅黑"/>
        </w:rPr>
      </w:pPr>
      <w:r>
        <w:rPr>
          <w:rFonts w:hint="eastAsia" w:ascii="微软雅黑" w:hAnsi="微软雅黑" w:cs="微软雅黑"/>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sz w:val="24"/>
          <w:szCs w:val="21"/>
        </w:rPr>
      </w:pPr>
      <w:r>
        <w:rPr>
          <w:rFonts w:hint="eastAsia" w:ascii="微软雅黑" w:hAnsi="微软雅黑" w:cs="微软雅黑"/>
          <w:sz w:val="24"/>
          <w:szCs w:val="21"/>
        </w:rPr>
      </w:r>
      <w:r/>
    </w:p>
    <w:p>
      <w:pPr>
        <w:pStyle w:val="1098"/>
        <w:rPr>
          <w:rFonts w:hint="eastAsia" w:ascii="微软雅黑" w:hAnsi="微软雅黑" w:cs="微软雅黑"/>
          <w:sz w:val="24"/>
          <w:szCs w:val="21"/>
        </w:rPr>
      </w:pPr>
      <w:r>
        <w:rPr>
          <w:rFonts w:hint="eastAsia" w:ascii="微软雅黑" w:hAnsi="微软雅黑" w:cs="微软雅黑"/>
          <w:sz w:val="24"/>
          <w:szCs w:val="21"/>
        </w:rPr>
      </w:r>
      <w:r/>
    </w:p>
    <w:p>
      <w:pPr>
        <w:pStyle w:val="1125"/>
        <w:ind w:left="1260"/>
        <w:rPr>
          <w:rFonts w:hint="eastAsia" w:ascii="微软雅黑" w:hAnsi="微软雅黑" w:cs="微软雅黑"/>
        </w:rPr>
      </w:pPr>
      <w:r>
        <w:rPr>
          <w:rFonts w:hint="eastAsia" w:ascii="微软雅黑" w:hAnsi="微软雅黑" w:cs="微软雅黑"/>
        </w:rPr>
      </w:r>
      <w:r/>
    </w:p>
    <w:p>
      <w:pPr>
        <w:pStyle w:val="1125"/>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1098"/>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109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98"/>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98"/>
        <w:spacing w:line="420" w:lineRule="exact"/>
        <w:rPr>
          <w:rFonts w:hint="eastAsia" w:ascii="微软雅黑" w:hAnsi="微软雅黑" w:cs="微软雅黑"/>
        </w:rPr>
      </w:pPr>
      <w:r>
        <w:rPr>
          <w:rFonts w:hint="eastAsia" w:ascii="微软雅黑" w:hAnsi="微软雅黑" w:cs="微软雅黑"/>
        </w:rPr>
      </w:r>
      <w:r/>
    </w:p>
    <w:p>
      <w:pPr>
        <w:pStyle w:val="1098"/>
        <w:spacing w:line="420" w:lineRule="exact"/>
        <w:rPr>
          <w:rFonts w:hint="eastAsia" w:ascii="微软雅黑" w:hAnsi="微软雅黑" w:cs="微软雅黑"/>
        </w:rPr>
      </w:pPr>
      <w:r>
        <w:rPr>
          <w:rFonts w:hint="eastAsia" w:ascii="微软雅黑" w:hAnsi="微软雅黑" w:cs="微软雅黑"/>
        </w:rPr>
      </w:r>
      <w:r/>
    </w:p>
    <w:p>
      <w:pPr>
        <w:pStyle w:val="1100"/>
        <w:rPr>
          <w:rFonts w:hint="eastAsia" w:ascii="微软雅黑" w:hAnsi="微软雅黑" w:cs="微软雅黑"/>
          <w:szCs w:val="30"/>
        </w:rPr>
      </w:pPr>
      <w:r>
        <w:rPr>
          <w:rFonts w:hint="eastAsia" w:ascii="微软雅黑" w:hAnsi="微软雅黑" w:cs="微软雅黑"/>
        </w:rPr>
        <w:br w:type="page" w:clear="all"/>
      </w:r>
      <w:bookmarkStart w:id="261" w:name="_Toc20642"/>
      <w:r/>
      <w:bookmarkStart w:id="262" w:name="_Toc25900"/>
      <w:r/>
      <w:bookmarkStart w:id="263" w:name="_Toc24615"/>
      <w:r>
        <w:rPr>
          <w:rFonts w:hint="eastAsia" w:ascii="微软雅黑" w:hAnsi="微软雅黑" w:cs="微软雅黑"/>
        </w:rPr>
        <w:t xml:space="preserve">一、投标函、投标报价及项目相关文件</w:t>
      </w:r>
      <w:bookmarkEnd w:id="261"/>
      <w:r/>
      <w:bookmarkEnd w:id="262"/>
      <w:r/>
      <w:bookmarkEnd w:id="263"/>
      <w:r>
        <w:rPr>
          <w:rFonts w:hint="eastAsia" w:ascii="微软雅黑" w:hAnsi="微软雅黑" w:cs="微软雅黑"/>
          <w:szCs w:val="30"/>
        </w:rPr>
      </w:r>
      <w:r/>
    </w:p>
    <w:p>
      <w:pPr>
        <w:pStyle w:val="1101"/>
        <w:rPr>
          <w:rFonts w:hint="eastAsia" w:ascii="微软雅黑" w:hAnsi="微软雅黑" w:cs="微软雅黑"/>
          <w:b/>
          <w:bCs w:val="0"/>
          <w:sz w:val="24"/>
          <w:szCs w:val="24"/>
        </w:rPr>
      </w:pPr>
      <w:r/>
      <w:bookmarkStart w:id="264" w:name="_Toc8176"/>
      <w:r/>
      <w:bookmarkStart w:id="265" w:name="_Toc29791"/>
      <w:r/>
      <w:bookmarkStart w:id="266" w:name="_Toc22366"/>
      <w:r>
        <w:rPr>
          <w:rFonts w:hint="eastAsia" w:ascii="微软雅黑" w:hAnsi="微软雅黑" w:cs="微软雅黑"/>
          <w:b/>
          <w:bCs w:val="0"/>
          <w:sz w:val="24"/>
          <w:szCs w:val="24"/>
        </w:rPr>
        <w:t xml:space="preserve">1.投标函</w:t>
      </w:r>
      <w:bookmarkEnd w:id="264"/>
      <w:r/>
      <w:bookmarkEnd w:id="265"/>
      <w:r/>
      <w:bookmarkEnd w:id="266"/>
      <w:r>
        <w:rPr>
          <w:rFonts w:hint="eastAsia" w:ascii="微软雅黑" w:hAnsi="微软雅黑" w:cs="微软雅黑"/>
          <w:b/>
          <w:bCs w:val="0"/>
          <w:sz w:val="24"/>
          <w:szCs w:val="24"/>
        </w:rPr>
      </w:r>
      <w:r/>
    </w:p>
    <w:p>
      <w:pPr>
        <w:pStyle w:val="1098"/>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1098"/>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r>
      <w:r/>
    </w:p>
    <w:p>
      <w:pPr>
        <w:pStyle w:val="1125"/>
        <w:ind w:left="1260"/>
        <w:rPr>
          <w:rFonts w:hint="eastAsia" w:ascii="微软雅黑" w:hAnsi="微软雅黑" w:cs="微软雅黑"/>
        </w:rPr>
      </w:pPr>
      <w:r>
        <w:rPr>
          <w:rFonts w:hint="eastAsia" w:ascii="微软雅黑" w:hAnsi="微软雅黑" w:cs="微软雅黑"/>
        </w:rPr>
      </w:r>
      <w:r/>
    </w:p>
    <w:p>
      <w:pPr>
        <w:pStyle w:val="1098"/>
        <w:rPr>
          <w:rFonts w:hint="eastAsia" w:ascii="微软雅黑" w:hAnsi="微软雅黑" w:cs="微软雅黑"/>
        </w:rPr>
      </w:pPr>
      <w:r>
        <w:rPr>
          <w:rFonts w:hint="eastAsia" w:ascii="微软雅黑" w:hAnsi="微软雅黑" w:cs="微软雅黑"/>
        </w:rPr>
      </w:r>
      <w:r/>
    </w:p>
    <w:p>
      <w:pPr>
        <w:pStyle w:val="1125"/>
        <w:ind w:left="1260"/>
        <w:rPr>
          <w:rFonts w:hint="eastAsia" w:ascii="微软雅黑" w:hAnsi="微软雅黑" w:cs="微软雅黑"/>
        </w:rPr>
      </w:pPr>
      <w:r>
        <w:rPr>
          <w:rFonts w:hint="eastAsia" w:ascii="微软雅黑" w:hAnsi="微软雅黑" w:cs="微软雅黑"/>
        </w:rPr>
      </w:r>
      <w:r/>
    </w:p>
    <w:p>
      <w:pPr>
        <w:pStyle w:val="1098"/>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101"/>
        <w:rPr>
          <w:rFonts w:hint="eastAsia" w:ascii="微软雅黑" w:hAnsi="微软雅黑" w:cs="微软雅黑"/>
          <w:b/>
          <w:bCs w:val="0"/>
          <w:sz w:val="24"/>
          <w:szCs w:val="24"/>
        </w:rPr>
      </w:pPr>
      <w:r/>
      <w:bookmarkStart w:id="267" w:name="_Toc17675"/>
      <w:r/>
      <w:bookmarkStart w:id="268" w:name="_Toc28250"/>
      <w:r/>
      <w:bookmarkStart w:id="269" w:name="_Toc12043"/>
      <w:r>
        <w:rPr>
          <w:rFonts w:hint="eastAsia" w:ascii="微软雅黑" w:hAnsi="微软雅黑" w:cs="微软雅黑"/>
          <w:b/>
          <w:bCs w:val="0"/>
          <w:sz w:val="24"/>
          <w:szCs w:val="24"/>
        </w:rPr>
        <w:t xml:space="preserve">2.开标一览表</w:t>
      </w:r>
      <w:bookmarkEnd w:id="267"/>
      <w:r/>
      <w:bookmarkEnd w:id="268"/>
      <w:r>
        <w:rPr>
          <w:rFonts w:hint="eastAsia" w:ascii="微软雅黑" w:hAnsi="微软雅黑" w:cs="微软雅黑"/>
          <w:b/>
          <w:bCs w:val="0"/>
          <w:sz w:val="24"/>
          <w:szCs w:val="24"/>
        </w:rPr>
        <w:t xml:space="preserve">（分包号：）</w:t>
      </w:r>
      <w:bookmarkEnd w:id="269"/>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pStyle w:val="1098"/>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861" w:type="dxa"/>
            <w:vAlign w:val="center"/>
            <w:textDirection w:val="lrTb"/>
            <w:noWrap w:val="false"/>
          </w:tcPr>
          <w:p>
            <w:pPr>
              <w:pStyle w:val="1098"/>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607" w:type="dxa"/>
            <w:vAlign w:val="center"/>
            <w:textDirection w:val="lrTb"/>
            <w:noWrap w:val="false"/>
          </w:tcPr>
          <w:p>
            <w:pPr>
              <w:pStyle w:val="1098"/>
              <w:rPr>
                <w:rFonts w:hint="eastAsia" w:ascii="微软雅黑" w:hAnsi="微软雅黑" w:cs="微软雅黑"/>
              </w:rPr>
            </w:pPr>
            <w:r>
              <w:rPr>
                <w:rFonts w:hint="eastAsia" w:ascii="微软雅黑" w:hAnsi="微软雅黑" w:cs="微软雅黑"/>
              </w:rPr>
            </w:r>
            <w:r/>
          </w:p>
        </w:tc>
      </w:tr>
      <w:tr>
        <w:trPr>
          <w:cantSplit/>
          <w:trHeight w:val="870"/>
        </w:trPr>
        <w:tc>
          <w:tcPr>
            <w:tcW w:w="631" w:type="dxa"/>
            <w:vAlign w:val="center"/>
            <w:textDirection w:val="lrTb"/>
            <w:noWrap w:val="false"/>
          </w:tcPr>
          <w:p>
            <w:pPr>
              <w:pStyle w:val="1098"/>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861" w:type="dxa"/>
            <w:vAlign w:val="center"/>
            <w:textDirection w:val="lrTb"/>
            <w:noWrap w:val="false"/>
          </w:tcPr>
          <w:p>
            <w:pPr>
              <w:pStyle w:val="1098"/>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607" w:type="dxa"/>
            <w:vAlign w:val="center"/>
            <w:textDirection w:val="lrTb"/>
            <w:noWrap w:val="false"/>
          </w:tcPr>
          <w:p>
            <w:pPr>
              <w:pStyle w:val="1098"/>
              <w:rPr>
                <w:rFonts w:hint="eastAsia" w:ascii="微软雅黑" w:hAnsi="微软雅黑" w:cs="微软雅黑"/>
              </w:rPr>
            </w:pPr>
            <w:r>
              <w:rPr>
                <w:rFonts w:hint="eastAsia" w:ascii="微软雅黑" w:hAnsi="微软雅黑" w:cs="微软雅黑"/>
              </w:rPr>
            </w:r>
            <w:r/>
          </w:p>
        </w:tc>
      </w:tr>
      <w:tr>
        <w:trPr>
          <w:cantSplit/>
          <w:trHeight w:val="1452"/>
        </w:trPr>
        <w:tc>
          <w:tcPr>
            <w:tcW w:w="631" w:type="dxa"/>
            <w:vAlign w:val="center"/>
            <w:textDirection w:val="lrTb"/>
            <w:noWrap w:val="false"/>
          </w:tcPr>
          <w:p>
            <w:pPr>
              <w:pStyle w:val="1098"/>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861" w:type="dxa"/>
            <w:vAlign w:val="center"/>
            <w:textDirection w:val="lrTb"/>
            <w:noWrap w:val="false"/>
          </w:tcPr>
          <w:p>
            <w:pPr>
              <w:pStyle w:val="1098"/>
              <w:jc w:val="center"/>
              <w:rPr>
                <w:rFonts w:hint="eastAsia" w:ascii="微软雅黑" w:hAnsi="微软雅黑" w:eastAsia="微软雅黑" w:cs="微软雅黑"/>
                <w:lang w:eastAsia="zh-CN"/>
              </w:rPr>
            </w:pPr>
            <w:r>
              <w:rPr>
                <w:rFonts w:hint="eastAsia" w:ascii="微软雅黑" w:hAnsi="微软雅黑" w:cs="微软雅黑"/>
              </w:rPr>
              <w:t xml:space="preserve">投标报价</w:t>
            </w:r>
            <w:r>
              <w:rPr>
                <w:rFonts w:hint="eastAsia" w:ascii="微软雅黑" w:hAnsi="微软雅黑" w:eastAsia="微软雅黑" w:cs="微软雅黑"/>
                <w:lang w:eastAsia="zh-CN"/>
              </w:rPr>
            </w:r>
            <w:r/>
          </w:p>
        </w:tc>
        <w:tc>
          <w:tcPr>
            <w:tcW w:w="5607" w:type="dxa"/>
            <w:vAlign w:val="center"/>
            <w:textDirection w:val="lrTb"/>
            <w:noWrap w:val="false"/>
          </w:tcPr>
          <w:p>
            <w:pPr>
              <w:pStyle w:val="1098"/>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25"/>
              <w:ind w:left="0"/>
              <w:rPr>
                <w:rFonts w:hint="eastAsia" w:ascii="微软雅黑" w:hAnsi="微软雅黑" w:cs="微软雅黑"/>
                <w:u w:val="single"/>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u w:val="single"/>
              </w:rPr>
            </w:r>
            <w:r/>
          </w:p>
        </w:tc>
      </w:tr>
    </w:tbl>
    <w:p>
      <w:pPr>
        <w:pStyle w:val="1098"/>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098"/>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98"/>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125"/>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98"/>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98"/>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098"/>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098"/>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1125"/>
        <w:ind w:left="0" w:firstLine="360"/>
        <w:spacing w:line="36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bookmarkStart w:id="270" w:name="_Toc214"/>
      <w:r/>
      <w:bookmarkStart w:id="271" w:name="_Toc17991"/>
      <w:r/>
      <w:bookmarkStart w:id="272" w:name="_Toc365968480"/>
      <w:r/>
      <w:bookmarkStart w:id="273" w:name="_Toc28866"/>
      <w:r/>
      <w:bookmarkStart w:id="274" w:name="_Toc365968484"/>
      <w:r/>
      <w:bookmarkStart w:id="275" w:name="_Toc351733249"/>
      <w:r>
        <w:rPr>
          <w:rFonts w:hint="eastAsia" w:ascii="微软雅黑" w:hAnsi="微软雅黑" w:cs="微软雅黑"/>
          <w:b/>
          <w:bCs/>
          <w:sz w:val="18"/>
          <w:szCs w:val="18"/>
        </w:rPr>
      </w:r>
      <w:r/>
    </w:p>
    <w:p>
      <w:pPr>
        <w:pStyle w:val="1101"/>
        <w:spacing w:before="0" w:after="0"/>
        <w:rPr>
          <w:rFonts w:hint="eastAsia" w:eastAsia="微软雅黑"/>
          <w:lang w:eastAsia="zh-CN"/>
        </w:rPr>
      </w:pPr>
      <w:r>
        <w:rPr>
          <w:rFonts w:hint="eastAsia"/>
        </w:rPr>
        <w:br w:type="page" w:clear="all"/>
      </w:r>
      <w:bookmarkStart w:id="276" w:name="_Toc16082"/>
      <w:r/>
      <w:bookmarkStart w:id="277" w:name="_Toc32619"/>
      <w:r/>
      <w:bookmarkStart w:id="278" w:name="_Toc11823"/>
      <w:r/>
      <w:bookmarkStart w:id="279" w:name="_Toc3368"/>
      <w:r>
        <w:rPr>
          <w:rFonts w:hint="eastAsia" w:ascii="微软雅黑" w:hAnsi="微软雅黑" w:cs="微软雅黑"/>
          <w:b/>
          <w:bCs w:val="0"/>
          <w:sz w:val="24"/>
          <w:szCs w:val="24"/>
        </w:rPr>
        <w:t xml:space="preserve">3.</w:t>
      </w:r>
      <w:bookmarkStart w:id="280" w:name="_Toc30601"/>
      <w:r>
        <w:rPr>
          <w:rFonts w:hint="eastAsia"/>
          <w:lang w:eastAsia="zh-CN"/>
        </w:rPr>
        <w:t xml:space="preserve">投标</w:t>
      </w:r>
      <w:r>
        <w:rPr>
          <w:rFonts w:hint="eastAsia"/>
        </w:rPr>
        <w:t xml:space="preserve">报价明细表</w:t>
      </w:r>
      <w:bookmarkEnd w:id="276"/>
      <w:r/>
      <w:bookmarkEnd w:id="277"/>
      <w:r/>
      <w:bookmarkEnd w:id="278"/>
      <w:r/>
      <w:bookmarkEnd w:id="280"/>
      <w:r>
        <w:rPr>
          <w:rFonts w:hint="eastAsia"/>
          <w:lang w:eastAsia="zh-CN"/>
        </w:rPr>
        <w:t xml:space="preserve">（分包：）</w:t>
      </w:r>
      <w:bookmarkEnd w:id="279"/>
      <w:r>
        <w:rPr>
          <w:rFonts w:hint="eastAsia" w:eastAsia="微软雅黑"/>
          <w:lang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1980"/>
        <w:gridCol w:w="1099"/>
        <w:gridCol w:w="1782"/>
        <w:gridCol w:w="1370"/>
        <w:gridCol w:w="1750"/>
      </w:tblGrid>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1099"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782"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370"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分项小计（元）</w:t>
            </w:r>
            <w:r>
              <w:rPr>
                <w:rFonts w:ascii="微软雅黑" w:hAnsi="微软雅黑" w:cs="微软雅黑"/>
                <w:szCs w:val="24"/>
              </w:rPr>
            </w:r>
            <w:r/>
          </w:p>
        </w:tc>
        <w:tc>
          <w:tcPr>
            <w:tcW w:w="1750"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备注</w:t>
            </w: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1</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2</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3</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4</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5</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6</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7</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1098"/>
              <w:jc w:val="center"/>
              <w:spacing w:line="400" w:lineRule="exact"/>
              <w:rPr>
                <w:rFonts w:ascii="微软雅黑" w:hAnsi="微软雅黑" w:cs="微软雅黑"/>
                <w:szCs w:val="24"/>
              </w:rPr>
            </w:pPr>
            <w:r>
              <w:rPr>
                <w:rFonts w:hint="eastAsia" w:ascii="微软雅黑" w:hAnsi="微软雅黑" w:cs="微软雅黑"/>
                <w:szCs w:val="24"/>
              </w:rPr>
              <w:t xml:space="preserve">8</w:t>
            </w:r>
            <w:r>
              <w:rPr>
                <w:rFonts w:ascii="微软雅黑" w:hAnsi="微软雅黑" w:cs="微软雅黑"/>
                <w:szCs w:val="24"/>
              </w:rPr>
            </w:r>
            <w:r/>
          </w:p>
        </w:tc>
        <w:tc>
          <w:tcPr>
            <w:tcW w:w="1980" w:type="dxa"/>
            <w:vAlign w:val="center"/>
            <w:textDirection w:val="lrTb"/>
            <w:noWrap w:val="false"/>
          </w:tcPr>
          <w:p>
            <w:pPr>
              <w:pStyle w:val="1098"/>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1098"/>
              <w:spacing w:line="400" w:lineRule="exact"/>
              <w:rPr>
                <w:rFonts w:ascii="微软雅黑" w:hAnsi="微软雅黑" w:cs="微软雅黑"/>
                <w:szCs w:val="24"/>
              </w:rPr>
            </w:pPr>
            <w:r>
              <w:rPr>
                <w:rFonts w:ascii="微软雅黑" w:hAnsi="微软雅黑" w:cs="微软雅黑"/>
                <w:szCs w:val="24"/>
              </w:rPr>
            </w:r>
            <w:r/>
          </w:p>
        </w:tc>
      </w:tr>
      <w:tr>
        <w:trPr>
          <w:cantSplit/>
          <w:trHeight w:val="894" w:hRule="exact"/>
        </w:trPr>
        <w:tc>
          <w:tcPr>
            <w:gridSpan w:val="3"/>
            <w:tcW w:w="3620" w:type="dxa"/>
            <w:vAlign w:val="center"/>
            <w:textDirection w:val="lrTb"/>
            <w:noWrap w:val="false"/>
          </w:tcPr>
          <w:p>
            <w:pPr>
              <w:pStyle w:val="1098"/>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902" w:type="dxa"/>
            <w:vAlign w:val="center"/>
            <w:textDirection w:val="lrTb"/>
            <w:noWrap w:val="false"/>
          </w:tcPr>
          <w:p>
            <w:pPr>
              <w:pStyle w:val="1098"/>
              <w:spacing w:line="400" w:lineRule="exact"/>
              <w:rPr>
                <w:rFonts w:hint="eastAsia" w:ascii="微软雅黑" w:hAnsi="微软雅黑" w:cs="微软雅黑"/>
                <w:szCs w:val="24"/>
              </w:rPr>
            </w:pPr>
            <w:r>
              <w:rPr>
                <w:rFonts w:hint="eastAsia" w:ascii="微软雅黑" w:hAnsi="微软雅黑" w:cs="微软雅黑"/>
                <w:szCs w:val="24"/>
              </w:rPr>
              <w:t xml:space="preserve">人民币 （大写）</w:t>
            </w:r>
            <w:r>
              <w:rPr>
                <w:rFonts w:hint="eastAsia" w:ascii="微软雅黑" w:hAnsi="微软雅黑" w:cs="微软雅黑"/>
                <w:szCs w:val="24"/>
                <w:u w:val="single"/>
              </w:rPr>
              <w:t xml:space="preserve">       </w:t>
            </w:r>
            <w:r>
              <w:rPr>
                <w:rFonts w:hint="eastAsia" w:ascii="微软雅黑" w:hAnsi="微软雅黑" w:cs="微软雅黑"/>
                <w:szCs w:val="24"/>
              </w:rPr>
              <w:t xml:space="preserve">元整  </w:t>
            </w:r>
            <w:r>
              <w:rPr>
                <w:rFonts w:hint="eastAsia" w:ascii="微软雅黑" w:hAnsi="微软雅黑" w:cs="微软雅黑"/>
                <w:szCs w:val="24"/>
              </w:rPr>
            </w:r>
            <w:r/>
          </w:p>
          <w:p>
            <w:pPr>
              <w:pStyle w:val="1098"/>
              <w:ind w:firstLine="840"/>
              <w:spacing w:line="400" w:lineRule="exact"/>
              <w:rPr>
                <w:rFonts w:ascii="微软雅黑" w:hAnsi="微软雅黑" w:cs="微软雅黑"/>
                <w:szCs w:val="24"/>
              </w:rPr>
            </w:pPr>
            <w:r>
              <w:rPr>
                <w:rFonts w:hint="eastAsia" w:ascii="微软雅黑" w:hAnsi="微软雅黑" w:cs="微软雅黑"/>
                <w:szCs w:val="24"/>
                <w:lang w:eastAsia="zh-CN"/>
              </w:rPr>
              <w:t xml:space="preserve">（小写）</w:t>
            </w:r>
            <w:r>
              <w:rPr>
                <w:rFonts w:hint="eastAsia" w:ascii="微软雅黑" w:hAnsi="微软雅黑" w:cs="微软雅黑"/>
                <w:szCs w:val="24"/>
              </w:rPr>
              <w:t xml:space="preserve">￥：</w:t>
            </w:r>
            <w:r>
              <w:rPr>
                <w:rFonts w:hint="eastAsia" w:ascii="微软雅黑" w:hAnsi="微软雅黑" w:cs="微软雅黑"/>
                <w:szCs w:val="24"/>
                <w:u w:val="single"/>
              </w:rPr>
              <w:t xml:space="preserve">      </w:t>
            </w:r>
            <w:r>
              <w:rPr>
                <w:rFonts w:hint="eastAsia" w:ascii="微软雅黑" w:hAnsi="微软雅黑" w:cs="微软雅黑"/>
                <w:szCs w:val="24"/>
              </w:rPr>
              <w:t xml:space="preserve"> </w:t>
            </w:r>
            <w:r>
              <w:rPr>
                <w:rFonts w:ascii="微软雅黑" w:hAnsi="微软雅黑" w:cs="微软雅黑"/>
                <w:szCs w:val="24"/>
              </w:rPr>
            </w:r>
            <w:r/>
          </w:p>
        </w:tc>
      </w:tr>
    </w:tbl>
    <w:p>
      <w:pPr>
        <w:pStyle w:val="1098"/>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1098"/>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1098"/>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1098"/>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125"/>
        <w:ind w:left="1260"/>
      </w:pPr>
      <w:r/>
      <w:r/>
    </w:p>
    <w:p>
      <w:pPr>
        <w:pStyle w:val="1098"/>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1098"/>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98"/>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098"/>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3.</w:t>
      </w:r>
      <w:r>
        <w:rPr>
          <w:rFonts w:hint="eastAsia" w:ascii="微软雅黑" w:hAnsi="微软雅黑" w:cs="微软雅黑"/>
          <w:sz w:val="18"/>
          <w:szCs w:val="18"/>
        </w:rPr>
        <w:t xml:space="preserve">上表中的“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1098"/>
        <w:numPr>
          <w:ilvl w:val="0"/>
          <w:numId w:val="0"/>
        </w:numPr>
        <w:ind w:left="425" w:hanging="425"/>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rPr>
        <w:t xml:space="preserve">。</w:t>
      </w:r>
      <w:r>
        <w:rPr>
          <w:rFonts w:hint="eastAsia" w:ascii="微软雅黑" w:hAnsi="微软雅黑" w:cs="微软雅黑"/>
          <w:sz w:val="18"/>
          <w:szCs w:val="18"/>
        </w:rPr>
      </w:r>
      <w:r/>
    </w:p>
    <w:p>
      <w:pPr>
        <w:pStyle w:val="1101"/>
        <w:rPr>
          <w:rFonts w:hint="eastAsia"/>
        </w:rPr>
      </w:pPr>
      <w:r>
        <w:rPr>
          <w:rFonts w:hint="eastAsia" w:ascii="微软雅黑" w:hAnsi="微软雅黑" w:cs="微软雅黑"/>
          <w:sz w:val="18"/>
          <w:szCs w:val="18"/>
        </w:rPr>
        <w:br w:type="page" w:clear="all"/>
      </w:r>
      <w:bookmarkStart w:id="281" w:name="_Toc13215"/>
      <w:r>
        <w:rPr>
          <w:rFonts w:hint="eastAsia" w:ascii="微软雅黑" w:hAnsi="微软雅黑" w:cs="微软雅黑"/>
          <w:b/>
          <w:bCs w:val="0"/>
          <w:sz w:val="24"/>
          <w:szCs w:val="28"/>
          <w:lang w:val="en-US" w:eastAsia="zh-CN"/>
        </w:rPr>
        <w:t xml:space="preserve">4</w:t>
      </w:r>
      <w:r>
        <w:rPr>
          <w:rFonts w:hint="eastAsia" w:ascii="微软雅黑" w:hAnsi="微软雅黑" w:cs="微软雅黑"/>
          <w:b/>
          <w:bCs w:val="0"/>
          <w:sz w:val="24"/>
          <w:szCs w:val="28"/>
        </w:rPr>
        <w:t xml:space="preserve">.服务要求响应表</w:t>
      </w:r>
      <w:bookmarkEnd w:id="270"/>
      <w:r/>
      <w:bookmarkEnd w:id="271"/>
      <w:r/>
      <w:bookmarkEnd w:id="272"/>
      <w:r/>
      <w:bookmarkEnd w:id="273"/>
      <w:r>
        <w:rPr>
          <w:rFonts w:hint="eastAsia" w:ascii="微软雅黑" w:hAnsi="微软雅黑" w:cs="微软雅黑"/>
          <w:b/>
          <w:bCs w:val="0"/>
          <w:sz w:val="24"/>
          <w:szCs w:val="28"/>
        </w:rPr>
        <w:t xml:space="preserve">（分包号：）</w:t>
      </w:r>
      <w:bookmarkEnd w:id="281"/>
      <w:r>
        <w:rPr>
          <w:rFonts w:hint="eastAsia"/>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序号</w:t>
            </w:r>
            <w:r>
              <w:rPr>
                <w:rFonts w:ascii="微软雅黑" w:hAnsi="微软雅黑"/>
              </w:rPr>
            </w:r>
            <w:r/>
          </w:p>
        </w:tc>
        <w:tc>
          <w:tcPr>
            <w:tcW w:w="2655"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原</w:t>
            </w:r>
            <w:r>
              <w:rPr>
                <w:rFonts w:hint="eastAsia" w:ascii="微软雅黑" w:hAnsi="微软雅黑"/>
                <w:lang w:eastAsia="zh-CN"/>
              </w:rPr>
              <w:t xml:space="preserve">服务要求</w:t>
            </w:r>
            <w:r>
              <w:rPr>
                <w:rFonts w:hint="eastAsia" w:ascii="微软雅黑" w:hAnsi="微软雅黑"/>
              </w:rPr>
              <w:t xml:space="preserve">主要条款描述</w:t>
            </w:r>
            <w:r>
              <w:rPr>
                <w:rFonts w:ascii="微软雅黑" w:hAnsi="微软雅黑"/>
              </w:rPr>
            </w:r>
            <w:r/>
          </w:p>
        </w:tc>
        <w:tc>
          <w:tcPr>
            <w:tcW w:w="2406"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投标人</w:t>
            </w:r>
            <w:r>
              <w:rPr>
                <w:rFonts w:hint="eastAsia" w:ascii="微软雅黑" w:hAnsi="微软雅黑"/>
                <w:lang w:eastAsia="zh-CN"/>
              </w:rPr>
              <w:t xml:space="preserve">服务要求</w:t>
            </w:r>
            <w:r>
              <w:rPr>
                <w:rFonts w:hint="eastAsia" w:ascii="微软雅黑" w:hAnsi="微软雅黑"/>
              </w:rPr>
              <w:t xml:space="preserve">描述</w:t>
            </w:r>
            <w:r>
              <w:rPr>
                <w:rFonts w:ascii="微软雅黑" w:hAnsi="微软雅黑"/>
              </w:rPr>
            </w:r>
            <w:r/>
          </w:p>
        </w:tc>
        <w:tc>
          <w:tcPr>
            <w:tcW w:w="1877"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偏离情况（+/-/=）</w:t>
            </w:r>
            <w:r>
              <w:rPr>
                <w:rFonts w:ascii="微软雅黑" w:hAnsi="微软雅黑"/>
              </w:rPr>
            </w:r>
            <w:r/>
          </w:p>
        </w:tc>
      </w:tr>
      <w:tr>
        <w:trPr>
          <w:trHeight w:val="619"/>
          <w:tblHeader/>
        </w:trPr>
        <w:tc>
          <w:tcPr>
            <w:tcW w:w="1079"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655"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r>
      <w:tr>
        <w:trPr>
          <w:trHeight w:val="605"/>
          <w:tblHeader/>
        </w:trPr>
        <w:tc>
          <w:tcPr>
            <w:tcW w:w="1079"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655"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r>
      <w:tr>
        <w:trPr>
          <w:trHeight w:val="618"/>
          <w:tblHeader/>
        </w:trPr>
        <w:tc>
          <w:tcPr>
            <w:tcW w:w="1079" w:type="dxa"/>
            <w:vAlign w:val="top"/>
            <w:textDirection w:val="lrTb"/>
            <w:noWrap w:val="false"/>
          </w:tcPr>
          <w:p>
            <w:pPr>
              <w:pStyle w:val="1098"/>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655"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098"/>
              <w:jc w:val="center"/>
              <w:spacing w:line="440" w:lineRule="exact"/>
              <w:rPr>
                <w:rFonts w:ascii="微软雅黑" w:hAnsi="微软雅黑"/>
              </w:rPr>
            </w:pPr>
            <w:r>
              <w:rPr>
                <w:rFonts w:ascii="微软雅黑" w:hAnsi="微软雅黑"/>
              </w:rPr>
            </w:r>
            <w:r/>
          </w:p>
        </w:tc>
      </w:tr>
    </w:tbl>
    <w:p>
      <w:pPr>
        <w:pStyle w:val="1098"/>
        <w:spacing w:line="440" w:lineRule="exact"/>
        <w:rPr>
          <w:rFonts w:ascii="微软雅黑" w:hAnsi="微软雅黑" w:cs="微软雅黑"/>
          <w:sz w:val="28"/>
        </w:rPr>
      </w:pPr>
      <w:r>
        <w:rPr>
          <w:rFonts w:ascii="微软雅黑" w:hAnsi="微软雅黑" w:cs="微软雅黑"/>
          <w:sz w:val="28"/>
        </w:rPr>
      </w:r>
      <w:r/>
    </w:p>
    <w:p>
      <w:pPr>
        <w:pStyle w:val="1098"/>
        <w:spacing w:line="440" w:lineRule="exact"/>
        <w:rPr>
          <w:rFonts w:ascii="微软雅黑" w:hAnsi="微软雅黑" w:cs="微软雅黑"/>
        </w:rPr>
      </w:pPr>
      <w:r>
        <w:rPr>
          <w:rFonts w:hint="eastAsia" w:ascii="微软雅黑" w:hAnsi="微软雅黑" w:cs="微软雅黑"/>
        </w:rPr>
        <w:t xml:space="preserve">供应商全称（公章）：        </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法定代表人（授权代表）（签字/盖章）：   </w:t>
      </w:r>
      <w:r>
        <w:rPr>
          <w:rFonts w:ascii="微软雅黑" w:hAnsi="微软雅黑" w:cs="微软雅黑"/>
        </w:rPr>
      </w:r>
      <w:r/>
    </w:p>
    <w:p>
      <w:pPr>
        <w:pStyle w:val="1125"/>
        <w:ind w:left="0"/>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98"/>
        <w:ind w:firstLine="140"/>
        <w:spacing w:line="440" w:lineRule="exact"/>
        <w:rPr>
          <w:rFonts w:ascii="微软雅黑" w:hAnsi="微软雅黑" w:cs="微软雅黑"/>
          <w:sz w:val="28"/>
        </w:rPr>
      </w:pPr>
      <w:r>
        <w:rPr>
          <w:rFonts w:ascii="微软雅黑" w:hAnsi="微软雅黑" w:cs="微软雅黑"/>
          <w:sz w:val="28"/>
        </w:rPr>
      </w:r>
      <w:r/>
    </w:p>
    <w:p>
      <w:pPr>
        <w:pStyle w:val="1098"/>
        <w:ind w:firstLine="90"/>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投标单位根据系统方案添加的设备、材料等也请列出。</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投标单位必须仔细阅读本采购文件“第四章”中所有</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，并对</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出现正负偏离的条目列入上表，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投标单位必须根据所投货物、工程或服务的实际情况如实填写，评委会如发现有虚假描述的，该投标文件视为无效。</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若投标文件中出现技术参数和功能与此表表述不一致的，以此表为准。</w:t>
      </w:r>
      <w:r>
        <w:rPr>
          <w:rFonts w:ascii="微软雅黑" w:hAnsi="微软雅黑" w:cs="黑体"/>
          <w:sz w:val="18"/>
          <w:szCs w:val="18"/>
        </w:rPr>
      </w:r>
      <w:r/>
    </w:p>
    <w:p>
      <w:pPr>
        <w:pStyle w:val="1098"/>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若本项目有多个分包的，则每个分包须分别填写此表，并注明分包号。</w:t>
      </w:r>
      <w:r>
        <w:rPr>
          <w:rFonts w:ascii="微软雅黑" w:hAnsi="微软雅黑" w:cs="黑体"/>
          <w:sz w:val="18"/>
          <w:szCs w:val="18"/>
        </w:rPr>
      </w:r>
      <w:r/>
    </w:p>
    <w:p>
      <w:pPr>
        <w:pStyle w:val="1098"/>
        <w:ind w:left="426" w:hanging="426"/>
        <w:spacing w:line="440" w:lineRule="exact"/>
        <w:rPr>
          <w:rFonts w:ascii="微软雅黑" w:hAnsi="微软雅黑" w:cs="微软雅黑"/>
          <w:szCs w:val="21"/>
        </w:rPr>
      </w:pPr>
      <w:r>
        <w:rPr>
          <w:rFonts w:ascii="微软雅黑" w:hAnsi="微软雅黑" w:cs="微软雅黑"/>
          <w:szCs w:val="21"/>
        </w:rPr>
      </w:r>
      <w:r/>
    </w:p>
    <w:p>
      <w:pPr>
        <w:pStyle w:val="1125"/>
        <w:ind w:left="1260"/>
        <w:spacing w:line="440" w:lineRule="exact"/>
        <w:rPr>
          <w:rFonts w:ascii="微软雅黑" w:hAnsi="微软雅黑" w:cs="微软雅黑"/>
          <w:szCs w:val="21"/>
        </w:rPr>
      </w:pPr>
      <w:r>
        <w:rPr>
          <w:rFonts w:ascii="微软雅黑" w:hAnsi="微软雅黑" w:cs="微软雅黑"/>
          <w:szCs w:val="21"/>
        </w:rPr>
      </w:r>
      <w:r/>
    </w:p>
    <w:p>
      <w:pPr>
        <w:pStyle w:val="1098"/>
        <w:spacing w:line="440" w:lineRule="exact"/>
        <w:rPr>
          <w:rFonts w:ascii="微软雅黑" w:hAnsi="微软雅黑" w:cs="微软雅黑"/>
          <w:szCs w:val="21"/>
        </w:rPr>
      </w:pPr>
      <w:r>
        <w:rPr>
          <w:rFonts w:ascii="微软雅黑" w:hAnsi="微软雅黑" w:cs="微软雅黑"/>
          <w:szCs w:val="21"/>
        </w:rPr>
      </w:r>
      <w:r/>
    </w:p>
    <w:p>
      <w:pPr>
        <w:pStyle w:val="1125"/>
        <w:ind w:left="1260"/>
        <w:spacing w:line="440" w:lineRule="exact"/>
        <w:rPr>
          <w:rFonts w:ascii="微软雅黑" w:hAnsi="微软雅黑" w:cs="微软雅黑"/>
          <w:szCs w:val="21"/>
        </w:rPr>
      </w:pPr>
      <w:r>
        <w:rPr>
          <w:rFonts w:ascii="微软雅黑" w:hAnsi="微软雅黑" w:cs="微软雅黑"/>
          <w:szCs w:val="21"/>
        </w:rPr>
      </w:r>
      <w:r/>
    </w:p>
    <w:p>
      <w:pPr>
        <w:pStyle w:val="1101"/>
        <w:spacing w:before="0" w:after="0" w:line="440" w:lineRule="exact"/>
        <w:rPr>
          <w:rFonts w:ascii="微软雅黑" w:hAnsi="微软雅黑" w:cs="微软雅黑"/>
          <w:sz w:val="30"/>
          <w:szCs w:val="30"/>
        </w:rPr>
      </w:pPr>
      <w:r/>
      <w:bookmarkStart w:id="282" w:name="_Toc365968482"/>
      <w:r/>
      <w:bookmarkStart w:id="283" w:name="_Toc493455961"/>
      <w:r/>
      <w:bookmarkStart w:id="284" w:name="_Toc24595"/>
      <w:r>
        <w:rPr>
          <w:rFonts w:hint="eastAsia" w:ascii="微软雅黑" w:hAnsi="微软雅黑" w:cs="微软雅黑"/>
          <w:sz w:val="30"/>
          <w:szCs w:val="30"/>
        </w:rPr>
        <w:br w:type="page" w:clear="all"/>
      </w:r>
      <w:bookmarkStart w:id="285" w:name="_Toc31812"/>
      <w:r/>
      <w:bookmarkStart w:id="286" w:name="_Toc14634"/>
      <w:r/>
      <w:bookmarkStart w:id="287" w:name="_Toc24498"/>
      <w:r>
        <w:rPr>
          <w:rFonts w:hint="eastAsia" w:ascii="微软雅黑" w:hAnsi="微软雅黑" w:cs="微软雅黑"/>
          <w:sz w:val="30"/>
          <w:szCs w:val="30"/>
          <w:lang w:val="en-US" w:eastAsia="zh-CN"/>
        </w:rPr>
        <w:t xml:space="preserve">5</w:t>
      </w:r>
      <w:r>
        <w:rPr>
          <w:rFonts w:hint="eastAsia" w:ascii="微软雅黑" w:hAnsi="微软雅黑" w:cs="微软雅黑"/>
          <w:b/>
          <w:bCs/>
          <w:sz w:val="24"/>
          <w:szCs w:val="24"/>
        </w:rPr>
        <w:t xml:space="preserve">.商</w:t>
      </w:r>
      <w:r>
        <w:rPr>
          <w:rFonts w:hint="eastAsia" w:ascii="微软雅黑" w:hAnsi="微软雅黑" w:cs="微软雅黑"/>
          <w:b/>
          <w:bCs w:val="0"/>
          <w:sz w:val="24"/>
          <w:szCs w:val="24"/>
        </w:rPr>
        <w:t xml:space="preserve">务要求响应表</w:t>
      </w:r>
      <w:bookmarkEnd w:id="282"/>
      <w:r/>
      <w:bookmarkEnd w:id="283"/>
      <w:r/>
      <w:bookmarkEnd w:id="284"/>
      <w:r/>
      <w:bookmarkEnd w:id="286"/>
      <w:r/>
      <w:bookmarkEnd w:id="287"/>
      <w:r>
        <w:rPr>
          <w:rFonts w:hint="eastAsia"/>
          <w:b/>
          <w:bCs w:val="0"/>
          <w:sz w:val="24"/>
          <w:szCs w:val="28"/>
        </w:rPr>
        <w:t xml:space="preserve">（分包号：）</w:t>
      </w:r>
      <w:bookmarkEnd w:id="285"/>
      <w:r>
        <w:rPr>
          <w:rFonts w:ascii="微软雅黑" w:hAnsi="微软雅黑" w:cs="微软雅黑"/>
          <w:sz w:val="30"/>
          <w:szCs w:val="30"/>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1098"/>
              <w:jc w:val="center"/>
              <w:spacing w:line="440" w:lineRule="exact"/>
              <w:rPr>
                <w:rFonts w:ascii="微软雅黑" w:hAnsi="微软雅黑"/>
                <w:b/>
                <w:bCs/>
              </w:rPr>
            </w:pPr>
            <w:r>
              <w:rPr>
                <w:rFonts w:hint="eastAsia" w:ascii="微软雅黑" w:hAnsi="微软雅黑"/>
                <w:b/>
                <w:bCs/>
              </w:rPr>
              <w:t xml:space="preserve">序号</w:t>
            </w:r>
            <w:r>
              <w:rPr>
                <w:rFonts w:ascii="微软雅黑" w:hAnsi="微软雅黑"/>
                <w:b/>
                <w:bCs/>
              </w:rPr>
            </w:r>
            <w:r/>
          </w:p>
        </w:tc>
        <w:tc>
          <w:tcPr>
            <w:tcW w:w="2519" w:type="dxa"/>
            <w:vAlign w:val="center"/>
            <w:textDirection w:val="lrTb"/>
            <w:noWrap w:val="false"/>
          </w:tcPr>
          <w:p>
            <w:pPr>
              <w:pStyle w:val="1098"/>
              <w:jc w:val="center"/>
              <w:spacing w:line="440" w:lineRule="exact"/>
              <w:rPr>
                <w:rFonts w:ascii="微软雅黑" w:hAnsi="微软雅黑"/>
                <w:b/>
                <w:bCs/>
              </w:rPr>
            </w:pPr>
            <w:r>
              <w:rPr>
                <w:rFonts w:hint="eastAsia" w:ascii="微软雅黑" w:hAnsi="微软雅黑"/>
                <w:b/>
                <w:bCs/>
              </w:rPr>
              <w:t xml:space="preserve">项目</w:t>
            </w:r>
            <w:r>
              <w:rPr>
                <w:rFonts w:ascii="微软雅黑" w:hAnsi="微软雅黑"/>
                <w:b/>
                <w:bCs/>
              </w:rPr>
            </w:r>
            <w:r/>
          </w:p>
        </w:tc>
        <w:tc>
          <w:tcPr>
            <w:tcW w:w="2250" w:type="dxa"/>
            <w:vAlign w:val="center"/>
            <w:textDirection w:val="lrTb"/>
            <w:noWrap w:val="false"/>
          </w:tcPr>
          <w:p>
            <w:pPr>
              <w:pStyle w:val="1098"/>
              <w:jc w:val="center"/>
              <w:spacing w:line="440" w:lineRule="exact"/>
              <w:rPr>
                <w:rFonts w:ascii="微软雅黑" w:hAnsi="微软雅黑"/>
                <w:b/>
                <w:bCs/>
              </w:rPr>
            </w:pPr>
            <w:r>
              <w:rPr>
                <w:rFonts w:hint="eastAsia" w:ascii="微软雅黑" w:hAnsi="微软雅黑"/>
                <w:b/>
                <w:bCs/>
              </w:rPr>
              <w:t xml:space="preserve">原商务主要条款描述</w:t>
            </w:r>
            <w:r>
              <w:rPr>
                <w:rFonts w:ascii="微软雅黑" w:hAnsi="微软雅黑"/>
                <w:b/>
                <w:bCs/>
              </w:rPr>
            </w:r>
            <w:r/>
          </w:p>
        </w:tc>
        <w:tc>
          <w:tcPr>
            <w:tcW w:w="1812" w:type="dxa"/>
            <w:vAlign w:val="center"/>
            <w:textDirection w:val="lrTb"/>
            <w:noWrap w:val="false"/>
          </w:tcPr>
          <w:p>
            <w:pPr>
              <w:pStyle w:val="1098"/>
              <w:jc w:val="center"/>
              <w:spacing w:line="440" w:lineRule="exact"/>
              <w:rPr>
                <w:rFonts w:ascii="微软雅黑" w:hAnsi="微软雅黑"/>
                <w:b/>
                <w:bCs/>
              </w:rPr>
            </w:pPr>
            <w:r>
              <w:rPr>
                <w:rFonts w:hint="eastAsia" w:ascii="微软雅黑" w:hAnsi="微软雅黑"/>
                <w:b/>
                <w:bCs/>
              </w:rPr>
              <w:t xml:space="preserve">投标供应商的承诺或说明</w:t>
            </w:r>
            <w:r>
              <w:rPr>
                <w:rFonts w:ascii="微软雅黑" w:hAnsi="微软雅黑"/>
                <w:b/>
                <w:bCs/>
              </w:rPr>
            </w:r>
            <w:r/>
          </w:p>
        </w:tc>
        <w:tc>
          <w:tcPr>
            <w:tcW w:w="1270" w:type="dxa"/>
            <w:vAlign w:val="center"/>
            <w:textDirection w:val="lrTb"/>
            <w:noWrap w:val="false"/>
          </w:tcPr>
          <w:p>
            <w:pPr>
              <w:pStyle w:val="1098"/>
              <w:jc w:val="center"/>
              <w:spacing w:line="440" w:lineRule="exact"/>
              <w:rPr>
                <w:rFonts w:ascii="微软雅黑" w:hAnsi="微软雅黑"/>
                <w:b/>
                <w:bCs/>
              </w:rPr>
            </w:pPr>
            <w:r>
              <w:rPr>
                <w:rFonts w:hint="eastAsia" w:ascii="微软雅黑" w:hAnsi="微软雅黑"/>
                <w:b/>
                <w:bCs/>
              </w:rPr>
              <w:t xml:space="preserve">偏离</w:t>
            </w:r>
            <w:r>
              <w:rPr>
                <w:rFonts w:ascii="微软雅黑" w:hAnsi="微软雅黑"/>
                <w:b/>
                <w:bCs/>
              </w:rPr>
            </w:r>
            <w:r/>
          </w:p>
          <w:p>
            <w:pPr>
              <w:pStyle w:val="1098"/>
              <w:jc w:val="center"/>
              <w:spacing w:line="440" w:lineRule="exact"/>
              <w:rPr>
                <w:rFonts w:ascii="微软雅黑" w:hAnsi="微软雅黑"/>
                <w:b/>
                <w:bCs/>
              </w:rPr>
            </w:pPr>
            <w:r>
              <w:rPr>
                <w:rFonts w:hint="eastAsia" w:ascii="微软雅黑" w:hAnsi="微软雅黑"/>
                <w:b/>
                <w:bCs/>
              </w:rPr>
              <w:t xml:space="preserve">情况</w:t>
            </w:r>
            <w:r>
              <w:rPr>
                <w:rFonts w:ascii="微软雅黑" w:hAnsi="微软雅黑"/>
                <w:b/>
                <w:bCs/>
              </w:rPr>
            </w:r>
            <w:r/>
          </w:p>
        </w:tc>
      </w:tr>
      <w:tr>
        <w:trPr>
          <w:trHeight w:val="543"/>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r>
        <w:trPr>
          <w:trHeight w:val="621"/>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r>
        <w:trPr>
          <w:trHeight w:val="655"/>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r>
        <w:trPr>
          <w:trHeight w:val="535"/>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4</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r>
        <w:trPr>
          <w:trHeight w:val="560"/>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5</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r>
        <w:trPr>
          <w:trHeight w:val="572"/>
        </w:trPr>
        <w:tc>
          <w:tcPr>
            <w:tcW w:w="526" w:type="dxa"/>
            <w:vAlign w:val="center"/>
            <w:textDirection w:val="lrTb"/>
            <w:noWrap w:val="false"/>
          </w:tcPr>
          <w:p>
            <w:pPr>
              <w:pStyle w:val="1098"/>
              <w:jc w:val="center"/>
              <w:spacing w:line="440" w:lineRule="exact"/>
              <w:rPr>
                <w:rFonts w:ascii="微软雅黑" w:hAnsi="微软雅黑"/>
              </w:rPr>
            </w:pPr>
            <w:r>
              <w:rPr>
                <w:rFonts w:hint="eastAsia" w:ascii="微软雅黑" w:hAnsi="微软雅黑"/>
              </w:rPr>
              <w:t xml:space="preserve">6</w:t>
            </w:r>
            <w:r>
              <w:rPr>
                <w:rFonts w:ascii="微软雅黑" w:hAnsi="微软雅黑"/>
              </w:rPr>
            </w:r>
            <w:r/>
          </w:p>
        </w:tc>
        <w:tc>
          <w:tcPr>
            <w:tcW w:w="2519" w:type="dxa"/>
            <w:vAlign w:val="center"/>
            <w:textDirection w:val="lrTb"/>
            <w:noWrap w:val="false"/>
          </w:tcPr>
          <w:p>
            <w:pPr>
              <w:pStyle w:val="1098"/>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098"/>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098"/>
              <w:spacing w:line="440" w:lineRule="exact"/>
              <w:rPr>
                <w:rFonts w:ascii="微软雅黑" w:hAnsi="微软雅黑"/>
              </w:rPr>
            </w:pPr>
            <w:r>
              <w:rPr>
                <w:rFonts w:ascii="微软雅黑" w:hAnsi="微软雅黑"/>
              </w:rPr>
            </w:r>
            <w:r/>
          </w:p>
        </w:tc>
      </w:tr>
    </w:tbl>
    <w:p>
      <w:pPr>
        <w:pStyle w:val="1098"/>
        <w:spacing w:line="440" w:lineRule="exact"/>
        <w:rPr>
          <w:rFonts w:ascii="微软雅黑" w:hAnsi="微软雅黑"/>
        </w:rPr>
      </w:pPr>
      <w:r>
        <w:rPr>
          <w:rFonts w:ascii="微软雅黑" w:hAnsi="微软雅黑"/>
        </w:rPr>
      </w:r>
      <w:r/>
    </w:p>
    <w:p>
      <w:pPr>
        <w:pStyle w:val="1098"/>
        <w:spacing w:line="440" w:lineRule="exact"/>
        <w:rPr>
          <w:rFonts w:ascii="微软雅黑" w:hAnsi="微软雅黑"/>
        </w:rPr>
      </w:pPr>
      <w:r>
        <w:rPr>
          <w:rFonts w:hint="eastAsia" w:ascii="微软雅黑" w:hAnsi="微软雅黑"/>
        </w:rPr>
        <w:t xml:space="preserve">供应商全称（公章）：        </w:t>
      </w:r>
      <w:r>
        <w:rPr>
          <w:rFonts w:ascii="微软雅黑" w:hAnsi="微软雅黑"/>
        </w:rPr>
      </w:r>
      <w:r/>
    </w:p>
    <w:p>
      <w:pPr>
        <w:pStyle w:val="1098"/>
        <w:spacing w:line="440" w:lineRule="exact"/>
        <w:rPr>
          <w:rFonts w:ascii="微软雅黑" w:hAnsi="微软雅黑"/>
        </w:rPr>
      </w:pPr>
      <w:r>
        <w:rPr>
          <w:rFonts w:hint="eastAsia" w:ascii="微软雅黑" w:hAnsi="微软雅黑"/>
        </w:rPr>
        <w:t xml:space="preserve">法定代表人（授权代表）（签字/盖章）：   </w:t>
      </w:r>
      <w:r>
        <w:rPr>
          <w:rFonts w:ascii="微软雅黑" w:hAnsi="微软雅黑"/>
        </w:rPr>
      </w:r>
      <w:r/>
    </w:p>
    <w:p>
      <w:pPr>
        <w:pStyle w:val="1125"/>
        <w:ind w:left="0"/>
        <w:spacing w:line="440" w:lineRule="exact"/>
        <w:rPr>
          <w:rFonts w:ascii="微软雅黑" w:hAnsi="微软雅黑"/>
          <w:sz w:val="28"/>
          <w:szCs w:val="28"/>
        </w:rPr>
      </w:pPr>
      <w:r>
        <w:rPr>
          <w:rFonts w:hint="eastAsia" w:ascii="微软雅黑" w:hAnsi="微软雅黑"/>
        </w:rPr>
        <w:t xml:space="preserve">日期：</w:t>
      </w:r>
      <w:r>
        <w:rPr>
          <w:rFonts w:ascii="微软雅黑" w:hAnsi="微软雅黑"/>
          <w:sz w:val="28"/>
          <w:szCs w:val="28"/>
        </w:rPr>
      </w:r>
      <w:r/>
    </w:p>
    <w:p>
      <w:pPr>
        <w:pStyle w:val="1098"/>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hint="eastAsia" w:ascii="微软雅黑" w:hAnsi="微软雅黑" w:cs="黑体"/>
          <w:sz w:val="18"/>
          <w:szCs w:val="18"/>
        </w:rPr>
        <w:fldChar w:fldCharType="begin"/>
      </w:r>
      <w:r>
        <w:rPr>
          <w:rFonts w:hint="eastAsia" w:ascii="微软雅黑" w:hAnsi="微软雅黑" w:cs="黑体"/>
          <w:sz w:val="18"/>
          <w:szCs w:val="18"/>
        </w:rPr>
        <w:instrText xml:space="preserve">= 1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①</w:t>
      </w:r>
      <w:r>
        <w:rPr>
          <w:rFonts w:hint="eastAsia" w:ascii="微软雅黑" w:hAnsi="微软雅黑" w:cs="黑体"/>
          <w:sz w:val="18"/>
          <w:szCs w:val="18"/>
        </w:rPr>
        <w:fldChar w:fldCharType="end"/>
      </w: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098"/>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2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②</w:t>
      </w:r>
      <w:r>
        <w:rPr>
          <w:rFonts w:hint="eastAsia" w:ascii="微软雅黑" w:hAnsi="微软雅黑" w:cs="黑体"/>
          <w:sz w:val="18"/>
          <w:szCs w:val="18"/>
        </w:rPr>
        <w:fldChar w:fldCharType="end"/>
      </w:r>
      <w:r>
        <w:rPr>
          <w:rFonts w:hint="eastAsia" w:ascii="微软雅黑" w:hAnsi="微软雅黑" w:cs="黑体"/>
          <w:sz w:val="18"/>
          <w:szCs w:val="18"/>
        </w:rPr>
        <w:t xml:space="preserve">投标单位根据项目添加的服务承诺、培训等也请列出。</w:t>
      </w:r>
      <w:r>
        <w:rPr>
          <w:rFonts w:ascii="微软雅黑" w:hAnsi="微软雅黑" w:cs="黑体"/>
          <w:sz w:val="18"/>
          <w:szCs w:val="18"/>
        </w:rPr>
      </w:r>
      <w:r/>
    </w:p>
    <w:p>
      <w:pPr>
        <w:pStyle w:val="1098"/>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3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③</w:t>
      </w:r>
      <w:r>
        <w:rPr>
          <w:rFonts w:hint="eastAsia" w:ascii="微软雅黑" w:hAnsi="微软雅黑" w:cs="黑体"/>
          <w:sz w:val="18"/>
          <w:szCs w:val="18"/>
        </w:rPr>
        <w:fldChar w:fldCharType="end"/>
      </w: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098"/>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4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④</w:t>
      </w:r>
      <w:r>
        <w:rPr>
          <w:rFonts w:hint="eastAsia" w:ascii="微软雅黑" w:hAnsi="微软雅黑" w:cs="黑体"/>
          <w:sz w:val="18"/>
          <w:szCs w:val="18"/>
        </w:rPr>
        <w:fldChar w:fldCharType="end"/>
      </w:r>
      <w:r>
        <w:rPr>
          <w:rFonts w:hint="eastAsia" w:ascii="微软雅黑" w:hAnsi="微软雅黑" w:cs="黑体"/>
          <w:sz w:val="18"/>
          <w:szCs w:val="18"/>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。投标单位必须根据所将提供服务的实际情况如实填写，评委会如发现有虚假描述的，该投标文件视为无效。</w:t>
      </w:r>
      <w:r>
        <w:rPr>
          <w:rFonts w:ascii="微软雅黑" w:hAnsi="微软雅黑" w:cs="黑体"/>
          <w:sz w:val="18"/>
          <w:szCs w:val="18"/>
        </w:rPr>
      </w:r>
      <w:r/>
    </w:p>
    <w:p>
      <w:pPr>
        <w:pStyle w:val="1098"/>
        <w:ind w:firstLine="450"/>
        <w:spacing w:line="440" w:lineRule="exact"/>
        <w:rPr>
          <w:rFonts w:ascii="微软雅黑" w:hAnsi="微软雅黑" w:cs="微软雅黑"/>
          <w:sz w:val="24"/>
          <w:szCs w:val="24"/>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5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⑤</w:t>
      </w:r>
      <w:r>
        <w:rPr>
          <w:rFonts w:hint="eastAsia" w:ascii="微软雅黑" w:hAnsi="微软雅黑" w:cs="黑体"/>
          <w:sz w:val="18"/>
          <w:szCs w:val="18"/>
        </w:rPr>
        <w:fldChar w:fldCharType="end"/>
      </w:r>
      <w:r>
        <w:rPr>
          <w:rFonts w:hint="eastAsia" w:ascii="微软雅黑" w:hAnsi="微软雅黑" w:cs="黑体"/>
          <w:sz w:val="18"/>
          <w:szCs w:val="18"/>
        </w:rPr>
        <w:t xml:space="preserve">若本项目有多个分包的每个分包须分别填写此表，并注明分包号。</w:t>
      </w:r>
      <w:r>
        <w:rPr>
          <w:rFonts w:ascii="微软雅黑" w:hAnsi="微软雅黑" w:cs="微软雅黑"/>
          <w:sz w:val="24"/>
          <w:szCs w:val="24"/>
        </w:rPr>
      </w:r>
      <w:r/>
    </w:p>
    <w:p>
      <w:pPr>
        <w:pStyle w:val="1098"/>
        <w:spacing w:line="440" w:lineRule="exact"/>
        <w:rPr>
          <w:rFonts w:ascii="微软雅黑" w:hAnsi="微软雅黑" w:cs="微软雅黑"/>
          <w:sz w:val="24"/>
          <w:szCs w:val="24"/>
        </w:rPr>
        <w:sectPr>
          <w:headerReference w:type="default" r:id="rId12"/>
          <w:footerReference w:type="default" r:id="rId16"/>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 w:val="24"/>
          <w:szCs w:val="24"/>
        </w:rPr>
      </w:r>
      <w:r/>
    </w:p>
    <w:p>
      <w:pPr>
        <w:pStyle w:val="1101"/>
        <w:rPr>
          <w:rFonts w:hint="eastAsia" w:ascii="微软雅黑" w:hAnsi="微软雅黑" w:cs="微软雅黑"/>
          <w:b/>
          <w:bCs w:val="0"/>
          <w:sz w:val="24"/>
          <w:szCs w:val="24"/>
        </w:rPr>
      </w:pPr>
      <w:r/>
      <w:bookmarkStart w:id="288" w:name="_Toc13032"/>
      <w:r/>
      <w:bookmarkStart w:id="289" w:name="_Toc7701"/>
      <w:r/>
      <w:bookmarkStart w:id="290" w:name="_Toc27219"/>
      <w:r>
        <w:rPr>
          <w:rFonts w:hint="eastAsia" w:ascii="微软雅黑" w:hAnsi="微软雅黑" w:cs="微软雅黑"/>
          <w:b/>
          <w:bCs w:val="0"/>
          <w:sz w:val="24"/>
          <w:szCs w:val="24"/>
          <w:lang w:val="en-US" w:eastAsia="zh-CN"/>
        </w:rPr>
        <w:t xml:space="preserve">6</w:t>
      </w:r>
      <w:r>
        <w:rPr>
          <w:rFonts w:hint="eastAsia" w:ascii="微软雅黑" w:hAnsi="微软雅黑" w:cs="微软雅黑"/>
          <w:b/>
          <w:bCs w:val="0"/>
          <w:sz w:val="24"/>
          <w:szCs w:val="24"/>
        </w:rPr>
        <w:t xml:space="preserve">.项目实施方案</w:t>
      </w:r>
      <w:bookmarkEnd w:id="274"/>
      <w:r/>
      <w:bookmarkEnd w:id="275"/>
      <w:r/>
      <w:bookmarkEnd w:id="288"/>
      <w:r/>
      <w:bookmarkEnd w:id="289"/>
      <w:r/>
      <w:bookmarkEnd w:id="290"/>
      <w:r/>
      <w:bookmarkStart w:id="291" w:name="_Toc1183"/>
      <w:r/>
      <w:bookmarkStart w:id="292" w:name="_Toc27939"/>
      <w:r>
        <w:rPr>
          <w:rFonts w:hint="eastAsia" w:ascii="微软雅黑" w:hAnsi="微软雅黑" w:cs="微软雅黑"/>
          <w:b/>
          <w:bCs w:val="0"/>
          <w:sz w:val="24"/>
          <w:szCs w:val="24"/>
        </w:rPr>
      </w:r>
      <w:r/>
    </w:p>
    <w:p>
      <w:pPr>
        <w:pStyle w:val="1101"/>
        <w:rPr>
          <w:rFonts w:hint="eastAsia" w:ascii="微软雅黑" w:hAnsi="微软雅黑" w:cs="微软雅黑"/>
          <w:b/>
          <w:bCs w:val="0"/>
          <w:sz w:val="24"/>
          <w:szCs w:val="24"/>
        </w:rPr>
      </w:pPr>
      <w:r/>
      <w:bookmarkStart w:id="293" w:name="_Toc20273"/>
      <w:r>
        <w:rPr>
          <w:rFonts w:hint="eastAsia" w:ascii="微软雅黑" w:hAnsi="微软雅黑" w:cs="微软雅黑"/>
          <w:b/>
          <w:bCs w:val="0"/>
          <w:sz w:val="24"/>
          <w:szCs w:val="24"/>
          <w:lang w:val="en-US" w:eastAsia="zh-CN"/>
        </w:rPr>
        <w:t xml:space="preserve">7</w:t>
      </w:r>
      <w:r>
        <w:rPr>
          <w:rFonts w:hint="eastAsia" w:ascii="微软雅黑" w:hAnsi="微软雅黑" w:cs="微软雅黑"/>
          <w:b/>
          <w:bCs w:val="0"/>
          <w:sz w:val="24"/>
          <w:szCs w:val="24"/>
        </w:rPr>
        <w:t xml:space="preserve">.经营业绩（提供合同复印件）</w:t>
      </w:r>
      <w:bookmarkEnd w:id="291"/>
      <w:r/>
      <w:bookmarkEnd w:id="292"/>
      <w:r/>
      <w:bookmarkEnd w:id="293"/>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109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98"/>
              <w:rPr>
                <w:rFonts w:hint="eastAsia" w:ascii="微软雅黑" w:hAnsi="微软雅黑" w:cs="微软雅黑"/>
                <w:sz w:val="18"/>
                <w:szCs w:val="20"/>
              </w:rPr>
            </w:pPr>
            <w:r>
              <w:rPr>
                <w:rFonts w:hint="eastAsia" w:ascii="微软雅黑" w:hAnsi="微软雅黑" w:cs="微软雅黑"/>
                <w:sz w:val="18"/>
                <w:szCs w:val="20"/>
              </w:rPr>
            </w:r>
            <w:r/>
          </w:p>
        </w:tc>
      </w:tr>
    </w:tbl>
    <w:p>
      <w:pPr>
        <w:pStyle w:val="1098"/>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98"/>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1098"/>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1098"/>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highlight w:val="none"/>
        </w:rPr>
        <w:t xml:space="preserve"> </w:t>
      </w:r>
      <w:r>
        <w:rPr>
          <w:rFonts w:hint="eastAsia" w:ascii="微软雅黑" w:hAnsi="微软雅黑" w:cs="微软雅黑"/>
          <w:b/>
          <w:i/>
          <w:iCs/>
          <w:sz w:val="24"/>
          <w:szCs w:val="24"/>
          <w:highlight w:val="none"/>
          <w:u w:val="single"/>
        </w:rPr>
        <w:t xml:space="preserve">注： 1－</w:t>
      </w:r>
      <w:r>
        <w:rPr>
          <w:rFonts w:hint="eastAsia" w:ascii="微软雅黑" w:hAnsi="微软雅黑" w:cs="微软雅黑"/>
          <w:b/>
          <w:i/>
          <w:iCs/>
          <w:sz w:val="24"/>
          <w:szCs w:val="24"/>
          <w:highlight w:val="none"/>
          <w:u w:val="single"/>
          <w:lang w:val="en-US" w:eastAsia="zh-CN"/>
        </w:rPr>
        <w:t xml:space="preserve">5</w:t>
      </w:r>
      <w:r>
        <w:rPr>
          <w:rFonts w:hint="eastAsia" w:ascii="微软雅黑" w:hAnsi="微软雅黑" w:cs="微软雅黑"/>
          <w:b/>
          <w:i/>
          <w:iCs/>
          <w:sz w:val="24"/>
          <w:szCs w:val="24"/>
          <w:highlight w:val="none"/>
          <w:u w:val="single"/>
        </w:rPr>
        <w:t xml:space="preserve">项为必</w:t>
      </w:r>
      <w:r>
        <w:rPr>
          <w:rFonts w:hint="eastAsia" w:ascii="微软雅黑" w:hAnsi="微软雅黑" w:cs="微软雅黑"/>
          <w:b/>
          <w:i/>
          <w:iCs/>
          <w:sz w:val="24"/>
          <w:szCs w:val="24"/>
          <w:u w:val="single"/>
        </w:rPr>
        <w:t xml:space="preserve">须提供的内容，未提供或未按要求提供将不能通过符合性审查。</w:t>
      </w:r>
      <w:r>
        <w:rPr>
          <w:rFonts w:hint="eastAsia" w:ascii="微软雅黑" w:hAnsi="微软雅黑" w:cs="微软雅黑"/>
          <w:b/>
          <w:szCs w:val="21"/>
        </w:rPr>
      </w:r>
      <w:r/>
    </w:p>
    <w:p>
      <w:pPr>
        <w:pStyle w:val="1100"/>
        <w:rPr>
          <w:rFonts w:hint="eastAsia" w:ascii="微软雅黑" w:hAnsi="微软雅黑" w:cs="微软雅黑"/>
        </w:rPr>
      </w:pPr>
      <w:r/>
      <w:bookmarkStart w:id="294" w:name="__x000F_二、资格证明文件"/>
      <w:r>
        <w:rPr>
          <w:rFonts w:hint="eastAsia" w:ascii="微软雅黑" w:hAnsi="微软雅黑" w:cs="微软雅黑"/>
        </w:rPr>
        <w:br w:type="page" w:clear="all"/>
      </w:r>
      <w:bookmarkEnd w:id="294"/>
      <w:r/>
      <w:bookmarkStart w:id="295" w:name="_Toc3181"/>
      <w:r/>
      <w:bookmarkStart w:id="296" w:name="_Toc7939"/>
      <w:r/>
      <w:bookmarkStart w:id="297" w:name="_Toc9193"/>
      <w:r>
        <w:rPr>
          <w:rFonts w:hint="eastAsia" w:ascii="微软雅黑" w:hAnsi="微软雅黑" w:cs="微软雅黑"/>
        </w:rPr>
        <w:t xml:space="preserve">二、相关附表格式</w:t>
      </w:r>
      <w:bookmarkEnd w:id="295"/>
      <w:r/>
      <w:bookmarkEnd w:id="296"/>
      <w:r/>
      <w:bookmarkEnd w:id="297"/>
      <w:r>
        <w:rPr>
          <w:rFonts w:hint="eastAsia" w:ascii="微软雅黑" w:hAnsi="微软雅黑" w:cs="微软雅黑"/>
        </w:rPr>
      </w:r>
      <w:r/>
    </w:p>
    <w:p>
      <w:pPr>
        <w:pStyle w:val="1101"/>
        <w:rPr>
          <w:rFonts w:hint="eastAsia" w:ascii="微软雅黑" w:hAnsi="微软雅黑" w:cs="微软雅黑"/>
          <w:b/>
          <w:bCs w:val="0"/>
          <w:sz w:val="24"/>
          <w:szCs w:val="24"/>
        </w:rPr>
      </w:pPr>
      <w:r/>
      <w:bookmarkStart w:id="298" w:name="_Toc10877"/>
      <w:r/>
      <w:bookmarkStart w:id="299" w:name="_Toc16421"/>
      <w:r/>
      <w:bookmarkStart w:id="300" w:name="_Toc15819"/>
      <w:r>
        <w:rPr>
          <w:rFonts w:hint="eastAsia" w:ascii="微软雅黑" w:hAnsi="微软雅黑" w:cs="微软雅黑"/>
          <w:b/>
          <w:bCs w:val="0"/>
          <w:sz w:val="24"/>
          <w:szCs w:val="24"/>
        </w:rPr>
        <w:t xml:space="preserve">1.法人授权委托书</w:t>
      </w:r>
      <w:bookmarkEnd w:id="298"/>
      <w:r/>
      <w:bookmarkEnd w:id="299"/>
      <w:r/>
      <w:bookmarkEnd w:id="300"/>
      <w:r>
        <w:rPr>
          <w:rFonts w:hint="eastAsia" w:ascii="微软雅黑" w:hAnsi="微软雅黑" w:cs="微软雅黑"/>
          <w:b/>
          <w:bCs w:val="0"/>
          <w:sz w:val="24"/>
          <w:szCs w:val="24"/>
        </w:rPr>
      </w:r>
      <w:r/>
    </w:p>
    <w:p>
      <w:pPr>
        <w:pStyle w:val="1098"/>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98"/>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098"/>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098"/>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098"/>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8"/>
                              <w:jc w:val="center"/>
                              <w:spacing w:line="440" w:lineRule="exact"/>
                              <w:rPr>
                                <w:rFonts w:hint="eastAsia"/>
                              </w:rPr>
                            </w:pPr>
                            <w:r>
                              <w:rPr>
                                <w:rFonts w:hint="eastAsia"/>
                              </w:rPr>
                              <w:t xml:space="preserve">授权代表身份证复印件</w:t>
                            </w:r>
                            <w:r>
                              <w:rPr>
                                <w:rFonts w:hint="eastAsia"/>
                              </w:rPr>
                            </w:r>
                            <w:r/>
                          </w:p>
                          <w:p>
                            <w:pPr>
                              <w:pStyle w:val="1098"/>
                              <w:jc w:val="center"/>
                            </w:pPr>
                            <w:r>
                              <w:rPr>
                                <w:rFonts w:hint="eastAsia"/>
                              </w:rPr>
                              <w:t xml:space="preserve">（正反面）</w:t>
                            </w:r>
                            <w:r/>
                          </w:p>
                          <w:p>
                            <w:pPr>
                              <w:pStyle w:val="1098"/>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98"/>
                        <w:jc w:val="center"/>
                        <w:spacing w:line="440" w:lineRule="exact"/>
                        <w:rPr>
                          <w:rFonts w:hint="eastAsia"/>
                        </w:rPr>
                      </w:pPr>
                      <w:r>
                        <w:rPr>
                          <w:rFonts w:hint="eastAsia"/>
                        </w:rPr>
                        <w:t xml:space="preserve">授权代表身份证复印件</w:t>
                      </w:r>
                      <w:r>
                        <w:rPr>
                          <w:rFonts w:hint="eastAsia"/>
                        </w:rPr>
                      </w:r>
                      <w:r/>
                    </w:p>
                    <w:p>
                      <w:pPr>
                        <w:pStyle w:val="1098"/>
                        <w:jc w:val="center"/>
                      </w:pPr>
                      <w:r>
                        <w:rPr>
                          <w:rFonts w:hint="eastAsia"/>
                        </w:rPr>
                        <w:t xml:space="preserve">（正反面）</w:t>
                      </w:r>
                      <w:r/>
                    </w:p>
                    <w:p>
                      <w:pPr>
                        <w:pStyle w:val="1098"/>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8"/>
                              <w:jc w:val="center"/>
                              <w:spacing w:line="440" w:lineRule="exact"/>
                            </w:pPr>
                            <w:r>
                              <w:rPr>
                                <w:rFonts w:hint="eastAsia"/>
                              </w:rPr>
                              <w:t xml:space="preserve">法定代表人身份证复印件（正反面）</w:t>
                            </w:r>
                            <w:r/>
                          </w:p>
                          <w:p>
                            <w:pPr>
                              <w:pStyle w:val="1098"/>
                            </w:pPr>
                            <w:r/>
                            <w:r/>
                          </w:p>
                          <w:p>
                            <w:pPr>
                              <w:pStyle w:val="1098"/>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98"/>
                        <w:jc w:val="center"/>
                        <w:spacing w:line="440" w:lineRule="exact"/>
                      </w:pPr>
                      <w:r>
                        <w:rPr>
                          <w:rFonts w:hint="eastAsia"/>
                        </w:rPr>
                        <w:t xml:space="preserve">法定代表人身份证复印件（正反面）</w:t>
                      </w:r>
                      <w:r/>
                    </w:p>
                    <w:p>
                      <w:pPr>
                        <w:pStyle w:val="1098"/>
                      </w:pPr>
                      <w:r/>
                      <w:r/>
                    </w:p>
                    <w:p>
                      <w:pPr>
                        <w:pStyle w:val="1098"/>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r>
      <w:r/>
    </w:p>
    <w:p>
      <w:pPr>
        <w:pStyle w:val="1098"/>
        <w:spacing w:line="440" w:lineRule="exact"/>
        <w:rPr>
          <w:rFonts w:hint="eastAsia" w:ascii="微软雅黑" w:hAnsi="微软雅黑" w:cs="微软雅黑"/>
        </w:rPr>
      </w:pPr>
      <w:r>
        <w:rPr>
          <w:rFonts w:hint="eastAsia" w:ascii="微软雅黑" w:hAnsi="微软雅黑" w:cs="微软雅黑"/>
        </w:rPr>
      </w:r>
      <w:r/>
    </w:p>
    <w:p>
      <w:pPr>
        <w:pStyle w:val="1098"/>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1098"/>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rPr>
          <w:rFonts w:hint="eastAsia" w:ascii="微软雅黑" w:hAnsi="微软雅黑" w:cs="微软雅黑"/>
        </w:rPr>
      </w:r>
      <w:r/>
    </w:p>
    <w:p>
      <w:pPr>
        <w:pStyle w:val="1098"/>
        <w:jc w:val="right"/>
        <w:spacing w:line="440" w:lineRule="exact"/>
        <w:rPr>
          <w:rFonts w:hint="eastAsia" w:ascii="微软雅黑" w:hAnsi="微软雅黑" w:cs="微软雅黑"/>
        </w:rPr>
      </w:pPr>
      <w:r>
        <w:rPr>
          <w:rFonts w:hint="eastAsia" w:ascii="微软雅黑" w:hAnsi="微软雅黑" w:cs="微软雅黑"/>
        </w:rPr>
        <w:t xml:space="preserve">授权代表：（签字/盖章）    </w:t>
      </w:r>
      <w:r>
        <w:rPr>
          <w:rFonts w:hint="eastAsia" w:ascii="微软雅黑" w:hAnsi="微软雅黑" w:cs="微软雅黑"/>
        </w:rPr>
      </w:r>
      <w:r/>
    </w:p>
    <w:p>
      <w:pPr>
        <w:pStyle w:val="1098"/>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09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98"/>
        <w:spacing w:line="420" w:lineRule="exact"/>
        <w:rPr>
          <w:rFonts w:hint="eastAsia" w:ascii="微软雅黑" w:hAnsi="微软雅黑" w:cs="微软雅黑"/>
        </w:rPr>
      </w:pPr>
      <w:r>
        <w:rPr>
          <w:rFonts w:hint="eastAsia" w:ascii="微软雅黑" w:hAnsi="微软雅黑" w:cs="微软雅黑"/>
          <w:sz w:val="18"/>
          <w:szCs w:val="18"/>
        </w:rPr>
        <w:t xml:space="preserve">注：供应商提供的所有证件必须真实有效，务必保证证件在有效期内。</w:t>
      </w:r>
      <w:r>
        <w:rPr>
          <w:rFonts w:hint="eastAsia" w:ascii="微软雅黑" w:hAnsi="微软雅黑" w:cs="微软雅黑"/>
        </w:rPr>
      </w:r>
      <w:r/>
    </w:p>
    <w:p>
      <w:pPr>
        <w:pStyle w:val="1101"/>
        <w:jc w:val="left"/>
        <w:rPr>
          <w:rFonts w:hint="eastAsia" w:ascii="微软雅黑" w:hAnsi="微软雅黑" w:cs="微软雅黑"/>
          <w:b/>
          <w:bCs w:val="0"/>
          <w:sz w:val="24"/>
          <w:szCs w:val="24"/>
        </w:rPr>
        <w:sectPr>
          <w:footerReference w:type="default" r:id="rId17"/>
          <w:footnotePr/>
          <w:endnotePr/>
          <w:type w:val="nextPage"/>
          <w:pgSz w:w="11906" w:h="16838" w:orient="portrait"/>
          <w:pgMar w:top="1440" w:right="1797" w:bottom="1440" w:left="1797" w:header="851" w:footer="992" w:gutter="0"/>
          <w:cols w:num="1" w:sep="0" w:space="1701" w:equalWidth="1"/>
          <w:docGrid w:linePitch="360"/>
        </w:sectPr>
      </w:pPr>
      <w:r/>
      <w:bookmarkStart w:id="301" w:name="_Toc9754"/>
      <w:r>
        <w:rPr>
          <w:rFonts w:hint="eastAsia" w:ascii="微软雅黑" w:hAnsi="微软雅黑" w:cs="微软雅黑"/>
          <w:b/>
          <w:bCs w:val="0"/>
          <w:sz w:val="24"/>
          <w:szCs w:val="24"/>
        </w:rPr>
      </w:r>
      <w:r/>
    </w:p>
    <w:p>
      <w:pPr>
        <w:pStyle w:val="1101"/>
        <w:jc w:val="left"/>
        <w:rPr>
          <w:rFonts w:hint="eastAsia" w:ascii="微软雅黑" w:hAnsi="微软雅黑" w:cs="微软雅黑"/>
          <w:b/>
          <w:bCs w:val="0"/>
          <w:sz w:val="24"/>
          <w:szCs w:val="24"/>
        </w:rPr>
      </w:pPr>
      <w:r/>
      <w:bookmarkStart w:id="302" w:name="_Toc22722"/>
      <w:r/>
      <w:bookmarkStart w:id="303" w:name="_Toc17471"/>
      <w:r/>
      <w:bookmarkStart w:id="304" w:name="_Toc29707"/>
      <w:r>
        <w:rPr>
          <w:rFonts w:hint="eastAsia" w:ascii="微软雅黑" w:hAnsi="微软雅黑" w:cs="微软雅黑"/>
          <w:b/>
          <w:bCs w:val="0"/>
          <w:sz w:val="24"/>
          <w:szCs w:val="24"/>
        </w:rPr>
        <w:t xml:space="preserve">2.具有履行合同所必需的设备和专业技术能力承诺函（参考格式）</w:t>
      </w:r>
      <w:bookmarkEnd w:id="302"/>
      <w:r/>
      <w:bookmarkEnd w:id="303"/>
      <w:r>
        <w:rPr>
          <w:rFonts w:hint="eastAsia" w:ascii="微软雅黑" w:hAnsi="微软雅黑" w:cs="微软雅黑"/>
          <w:b/>
          <w:bCs w:val="0"/>
          <w:sz w:val="24"/>
          <w:szCs w:val="24"/>
        </w:rPr>
      </w:r>
      <w:r/>
    </w:p>
    <w:p>
      <w:pPr>
        <w:pStyle w:val="1098"/>
        <w:rPr>
          <w:rFonts w:hint="eastAsia" w:ascii="微软雅黑" w:hAnsi="微软雅黑" w:cs="微软雅黑"/>
        </w:rPr>
      </w:pPr>
      <w:r>
        <w:rPr>
          <w:rFonts w:hint="eastAsia" w:ascii="微软雅黑" w:hAnsi="微软雅黑" w:cs="微软雅黑"/>
        </w:rPr>
      </w:r>
      <w:r/>
    </w:p>
    <w:p>
      <w:pPr>
        <w:pStyle w:val="1098"/>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致</w:t>
      </w:r>
      <w:r>
        <w:rPr>
          <w:rFonts w:hint="eastAsia" w:ascii="微软雅黑" w:hAnsi="微软雅黑" w:cs="微软雅黑"/>
          <w:color w:val="000000"/>
          <w:szCs w:val="21"/>
          <w:lang w:eastAsia="zh-CN"/>
        </w:rPr>
        <w:t xml:space="preserve">徐州医科大学附属医院</w:t>
      </w: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1098"/>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hint="eastAsia" w:ascii="微软雅黑" w:hAnsi="微软雅黑" w:cs="微软雅黑"/>
          <w:color w:val="000000"/>
          <w:szCs w:val="21"/>
        </w:rPr>
      </w:r>
      <w:r/>
    </w:p>
    <w:p>
      <w:pPr>
        <w:pStyle w:val="1098"/>
        <w:spacing w:line="50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98"/>
        <w:spacing w:line="500" w:lineRule="exact"/>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hint="eastAsia" w:ascii="微软雅黑" w:hAnsi="微软雅黑" w:cs="微软雅黑"/>
          <w:color w:val="000000"/>
          <w:szCs w:val="21"/>
        </w:rPr>
      </w:r>
      <w:r/>
    </w:p>
    <w:p>
      <w:pPr>
        <w:pStyle w:val="1098"/>
        <w:spacing w:line="500" w:lineRule="exact"/>
        <w:rPr>
          <w:rFonts w:hint="eastAsia"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hint="eastAsia" w:ascii="微软雅黑" w:hAnsi="微软雅黑" w:cs="微软雅黑"/>
          <w:color w:val="000000"/>
          <w:szCs w:val="21"/>
        </w:rPr>
      </w:r>
      <w:r/>
    </w:p>
    <w:p>
      <w:pPr>
        <w:pStyle w:val="1098"/>
        <w:spacing w:line="5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98"/>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其他证明材料及文件：（如果投标供应商认为需要提供的话）</w:t>
      </w:r>
      <w:r>
        <w:rPr>
          <w:rFonts w:hint="eastAsia" w:ascii="微软雅黑" w:hAnsi="微软雅黑" w:cs="微软雅黑"/>
          <w:color w:val="000000"/>
          <w:szCs w:val="21"/>
        </w:rPr>
      </w:r>
      <w:r/>
    </w:p>
    <w:p>
      <w:pPr>
        <w:pStyle w:val="1119"/>
        <w:rPr>
          <w:rFonts w:hint="eastAsia" w:ascii="微软雅黑" w:hAnsi="微软雅黑" w:eastAsia="微软雅黑" w:cs="微软雅黑"/>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eastAsia="微软雅黑" w:cs="微软雅黑"/>
        </w:rPr>
      </w:r>
      <w:r/>
    </w:p>
    <w:p>
      <w:pPr>
        <w:pStyle w:val="1101"/>
        <w:jc w:val="left"/>
        <w:rPr>
          <w:rFonts w:hint="eastAsia" w:ascii="微软雅黑" w:hAnsi="微软雅黑" w:cs="微软雅黑"/>
          <w:b/>
          <w:bCs w:val="0"/>
          <w:sz w:val="24"/>
          <w:szCs w:val="24"/>
        </w:rPr>
      </w:pPr>
      <w:r/>
      <w:bookmarkStart w:id="305" w:name="_Toc31596"/>
      <w:r>
        <w:rPr>
          <w:rFonts w:hint="eastAsia" w:ascii="微软雅黑" w:hAnsi="微软雅黑" w:cs="微软雅黑"/>
          <w:b/>
          <w:bCs w:val="0"/>
          <w:sz w:val="24"/>
          <w:szCs w:val="24"/>
        </w:rPr>
        <w:t xml:space="preserve">3.三年无重大违法记录声明</w:t>
      </w:r>
      <w:bookmarkEnd w:id="301"/>
      <w:r>
        <w:rPr>
          <w:rFonts w:hint="eastAsia" w:ascii="微软雅黑" w:hAnsi="微软雅黑" w:cs="微软雅黑"/>
          <w:b/>
          <w:bCs w:val="0"/>
          <w:sz w:val="24"/>
          <w:szCs w:val="24"/>
        </w:rPr>
        <w:t xml:space="preserve">（参考格式）</w:t>
      </w:r>
      <w:bookmarkEnd w:id="304"/>
      <w:r/>
      <w:bookmarkEnd w:id="305"/>
      <w:r>
        <w:rPr>
          <w:rFonts w:hint="eastAsia" w:ascii="微软雅黑" w:hAnsi="微软雅黑" w:cs="微软雅黑"/>
          <w:b/>
          <w:bCs w:val="0"/>
          <w:sz w:val="24"/>
          <w:szCs w:val="24"/>
        </w:rPr>
      </w:r>
      <w:r/>
    </w:p>
    <w:p>
      <w:pPr>
        <w:pStyle w:val="1098"/>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1098"/>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098"/>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rPr>
      </w:r>
      <w:r/>
    </w:p>
    <w:p>
      <w:pPr>
        <w:pStyle w:val="1098"/>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98"/>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125"/>
        <w:ind w:left="1260"/>
        <w:rPr>
          <w:rFonts w:hint="eastAsia" w:ascii="微软雅黑" w:hAnsi="微软雅黑" w:cs="微软雅黑"/>
        </w:rPr>
      </w:pPr>
      <w:r>
        <w:rPr>
          <w:rFonts w:hint="eastAsia" w:ascii="微软雅黑" w:hAnsi="微软雅黑" w:cs="微软雅黑"/>
        </w:rPr>
      </w:r>
      <w:r/>
    </w:p>
    <w:p>
      <w:pPr>
        <w:pStyle w:val="1098"/>
        <w:rPr>
          <w:rFonts w:hint="eastAsia" w:ascii="微软雅黑" w:hAnsi="微软雅黑" w:cs="微软雅黑"/>
        </w:rPr>
      </w:pPr>
      <w:r>
        <w:rPr>
          <w:rFonts w:hint="eastAsia" w:ascii="微软雅黑" w:hAnsi="微软雅黑" w:cs="微软雅黑"/>
        </w:rPr>
      </w:r>
      <w:r/>
    </w:p>
    <w:p>
      <w:pPr>
        <w:pStyle w:val="1098"/>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1098"/>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1098"/>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1125"/>
        <w:ind w:left="0"/>
        <w:rPr>
          <w:rFonts w:hint="eastAsia" w:ascii="微软雅黑" w:hAnsi="微软雅黑" w:cs="微软雅黑"/>
          <w:szCs w:val="21"/>
        </w:rPr>
      </w:pPr>
      <w:r>
        <w:rPr>
          <w:rFonts w:hint="eastAsia" w:ascii="微软雅黑" w:hAnsi="微软雅黑" w:cs="微软雅黑"/>
          <w:szCs w:val="21"/>
        </w:rPr>
      </w:r>
      <w:r/>
    </w:p>
    <w:p>
      <w:pPr>
        <w:pStyle w:val="1125"/>
        <w:ind w:left="0"/>
        <w:spacing w:line="400" w:lineRule="exact"/>
        <w:rPr>
          <w:rFonts w:hint="eastAsia" w:ascii="微软雅黑" w:hAnsi="微软雅黑" w:cs="微软雅黑"/>
          <w:b/>
          <w:bCs/>
          <w:color w:val="ff0000"/>
          <w:szCs w:val="21"/>
        </w:rPr>
      </w:pPr>
      <w:r>
        <w:rPr>
          <w:rFonts w:hint="eastAsia" w:ascii="微软雅黑" w:hAnsi="微软雅黑" w:cs="微软雅黑"/>
          <w:b/>
          <w:bCs/>
          <w:szCs w:val="21"/>
        </w:rPr>
        <w:t xml:space="preserve">注：</w:t>
      </w:r>
      <w:r>
        <w:rPr>
          <w:rFonts w:hint="eastAsia" w:ascii="微软雅黑" w:hAnsi="微软雅黑" w:cs="微软雅黑"/>
          <w:b/>
          <w:bCs/>
          <w:color w:val="ff0000"/>
          <w:szCs w:val="21"/>
        </w:rPr>
      </w:r>
      <w:r/>
    </w:p>
    <w:p>
      <w:pPr>
        <w:pStyle w:val="1125"/>
        <w:numPr>
          <w:ilvl w:val="0"/>
          <w:numId w:val="11"/>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098"/>
        <w:rPr>
          <w:rFonts w:hint="eastAsia" w:eastAsia="微软雅黑"/>
          <w:lang w:val="en-US" w:eastAsia="zh-CN"/>
        </w:rPr>
      </w:pPr>
      <w:r>
        <w:rPr>
          <w:rFonts w:hint="eastAsia" w:ascii="微软雅黑" w:hAnsi="微软雅黑" w:cs="微软雅黑"/>
          <w:b/>
          <w:bCs/>
          <w:spacing w:val="-5"/>
          <w:lang w:val="en-US" w:eastAsia="zh-CN"/>
        </w:rPr>
        <w:t xml:space="preserve">2、</w:t>
      </w:r>
      <w:r>
        <w:rPr>
          <w:rFonts w:hint="eastAsia" w:ascii="微软雅黑" w:hAnsi="微软雅黑" w:cs="微软雅黑"/>
          <w:b/>
          <w:bCs/>
          <w:szCs w:val="21"/>
        </w:rPr>
        <w:t xml:space="preserve">较大数额罚款标准参照财库[2022]3号文规定执行，指的是200万元以上数额</w:t>
      </w:r>
      <w:r>
        <w:rPr>
          <w:rFonts w:hint="eastAsia" w:ascii="微软雅黑" w:hAnsi="微软雅黑" w:cs="微软雅黑"/>
          <w:b/>
          <w:bCs/>
          <w:szCs w:val="21"/>
          <w:lang w:eastAsia="zh-CN"/>
        </w:rPr>
        <w:t xml:space="preserve">。</w:t>
      </w:r>
      <w:r>
        <w:rPr>
          <w:rFonts w:hint="eastAsia" w:eastAsia="微软雅黑"/>
          <w:lang w:val="en-US" w:eastAsia="zh-CN"/>
        </w:rPr>
      </w:r>
      <w:r/>
    </w:p>
    <w:p>
      <w:pPr>
        <w:pStyle w:val="1098"/>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98"/>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98"/>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101"/>
        <w:jc w:val="left"/>
        <w:rPr>
          <w:rFonts w:hint="eastAsia" w:ascii="微软雅黑" w:hAnsi="微软雅黑" w:cs="微软雅黑"/>
          <w:b/>
          <w:bCs w:val="0"/>
          <w:sz w:val="24"/>
          <w:szCs w:val="24"/>
        </w:rPr>
      </w:pPr>
      <w:r/>
      <w:bookmarkStart w:id="306" w:name="_Toc487098617"/>
      <w:r/>
      <w:bookmarkStart w:id="307" w:name="_Toc403725583"/>
      <w:r>
        <w:rPr>
          <w:rFonts w:hint="eastAsia" w:ascii="微软雅黑" w:hAnsi="微软雅黑" w:cs="微软雅黑"/>
          <w:b/>
          <w:bCs w:val="0"/>
          <w:sz w:val="24"/>
          <w:szCs w:val="24"/>
        </w:rPr>
        <w:br w:type="page" w:clear="all"/>
      </w:r>
      <w:bookmarkStart w:id="308" w:name="_Toc12673"/>
      <w:r/>
      <w:bookmarkStart w:id="309" w:name="_Toc25016"/>
      <w:r/>
      <w:bookmarkStart w:id="310" w:name="_Toc1448"/>
      <w:r>
        <w:rPr>
          <w:rFonts w:hint="eastAsia" w:ascii="微软雅黑" w:hAnsi="微软雅黑" w:cs="微软雅黑"/>
          <w:b/>
          <w:bCs w:val="0"/>
          <w:sz w:val="24"/>
          <w:szCs w:val="24"/>
        </w:rPr>
        <w:t xml:space="preserve">4.其他相关承诺（参考格式）</w:t>
      </w:r>
      <w:bookmarkEnd w:id="308"/>
      <w:r/>
      <w:bookmarkEnd w:id="309"/>
      <w:r>
        <w:rPr>
          <w:rFonts w:hint="eastAsia" w:ascii="微软雅黑" w:hAnsi="微软雅黑" w:cs="微软雅黑"/>
          <w:b/>
          <w:bCs w:val="0"/>
          <w:sz w:val="24"/>
          <w:szCs w:val="24"/>
        </w:rPr>
      </w:r>
      <w:r/>
    </w:p>
    <w:p>
      <w:pPr>
        <w:pStyle w:val="1098"/>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1098"/>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1098"/>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1098"/>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1098"/>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1098"/>
        <w:spacing w:line="440" w:lineRule="exact"/>
        <w:rPr>
          <w:rFonts w:hint="eastAsia" w:ascii="微软雅黑" w:hAnsi="微软雅黑" w:cs="微软雅黑"/>
          <w:szCs w:val="21"/>
        </w:rPr>
      </w:pPr>
      <w:r>
        <w:rPr>
          <w:rFonts w:hint="eastAsia" w:ascii="微软雅黑" w:hAnsi="微软雅黑" w:cs="微软雅黑"/>
          <w:szCs w:val="21"/>
        </w:rPr>
      </w:r>
      <w:r/>
    </w:p>
    <w:p>
      <w:pPr>
        <w:pStyle w:val="1098"/>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1098"/>
        <w:rPr>
          <w:rFonts w:hint="eastAsia" w:ascii="微软雅黑" w:hAnsi="微软雅黑" w:cs="微软雅黑"/>
          <w:bCs/>
          <w:szCs w:val="21"/>
        </w:rPr>
      </w:pPr>
      <w:r>
        <w:rPr>
          <w:rFonts w:hint="eastAsia" w:ascii="微软雅黑" w:hAnsi="微软雅黑" w:cs="微软雅黑"/>
          <w:bCs/>
          <w:szCs w:val="21"/>
        </w:rPr>
      </w:r>
      <w:r/>
    </w:p>
    <w:p>
      <w:pPr>
        <w:pStyle w:val="1119"/>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19"/>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1119"/>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1119"/>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98"/>
        <w:jc w:val="left"/>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1098"/>
        <w:jc w:val="left"/>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pStyle w:val="1098"/>
        <w:rPr>
          <w:rFonts w:hint="eastAsia" w:ascii="微软雅黑" w:hAnsi="微软雅黑" w:cs="微软雅黑"/>
          <w:b/>
          <w:bCs/>
          <w:sz w:val="24"/>
          <w:szCs w:val="24"/>
        </w:rPr>
      </w:pPr>
      <w:r>
        <w:rPr>
          <w:rFonts w:hint="eastAsia" w:ascii="微软雅黑" w:hAnsi="微软雅黑" w:cs="微软雅黑"/>
          <w:b/>
          <w:bCs/>
          <w:sz w:val="24"/>
          <w:szCs w:val="24"/>
        </w:rPr>
      </w:r>
      <w:r/>
    </w:p>
    <w:p>
      <w:pPr>
        <w:pStyle w:val="1125"/>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098"/>
        <w:rPr>
          <w:rFonts w:hint="eastAsia" w:ascii="微软雅黑" w:hAnsi="微软雅黑" w:cs="微软雅黑"/>
          <w:b/>
          <w:bCs/>
          <w:sz w:val="24"/>
          <w:szCs w:val="24"/>
        </w:rPr>
      </w:pPr>
      <w:r>
        <w:rPr>
          <w:rFonts w:hint="eastAsia" w:ascii="微软雅黑" w:hAnsi="微软雅黑" w:cs="微软雅黑"/>
          <w:b/>
          <w:bCs/>
          <w:sz w:val="24"/>
          <w:szCs w:val="24"/>
        </w:rPr>
      </w:r>
      <w:r/>
    </w:p>
    <w:p>
      <w:pPr>
        <w:pStyle w:val="1125"/>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101"/>
        <w:jc w:val="left"/>
        <w:rPr>
          <w:rFonts w:hint="eastAsia" w:ascii="微软雅黑" w:hAnsi="微软雅黑" w:cs="微软雅黑"/>
          <w:b/>
          <w:bCs w:val="0"/>
          <w:sz w:val="24"/>
          <w:szCs w:val="24"/>
        </w:rPr>
      </w:pPr>
      <w:r/>
      <w:bookmarkStart w:id="311" w:name="_Toc20254"/>
      <w:r/>
      <w:bookmarkStart w:id="312" w:name="_Toc32716"/>
      <w:r>
        <w:rPr>
          <w:rFonts w:hint="eastAsia" w:ascii="微软雅黑" w:hAnsi="微软雅黑" w:cs="微软雅黑"/>
          <w:b/>
          <w:bCs w:val="0"/>
          <w:sz w:val="24"/>
          <w:szCs w:val="24"/>
        </w:rPr>
        <w:t xml:space="preserve">附件1.中小企业声明函</w:t>
      </w:r>
      <w:bookmarkEnd w:id="306"/>
      <w:r/>
      <w:bookmarkEnd w:id="307"/>
      <w:r/>
      <w:bookmarkEnd w:id="310"/>
      <w:r/>
      <w:bookmarkEnd w:id="311"/>
      <w:r/>
      <w:bookmarkEnd w:id="312"/>
      <w:r>
        <w:rPr>
          <w:rFonts w:hint="eastAsia" w:ascii="微软雅黑" w:hAnsi="微软雅黑" w:cs="微软雅黑"/>
          <w:b/>
          <w:bCs w:val="0"/>
          <w:sz w:val="24"/>
          <w:szCs w:val="24"/>
        </w:rPr>
      </w:r>
      <w:r/>
    </w:p>
    <w:p>
      <w:pPr>
        <w:pStyle w:val="1098"/>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rPr>
          <w:rFonts w:hint="eastAsia" w:ascii="微软雅黑" w:hAnsi="微软雅黑" w:cs="微软雅黑"/>
          <w:b/>
          <w:bCs/>
          <w:sz w:val="24"/>
          <w:szCs w:val="24"/>
        </w:rPr>
      </w:r>
      <w:r/>
    </w:p>
    <w:p>
      <w:pPr>
        <w:pStyle w:val="1098"/>
        <w:jc w:val="center"/>
        <w:spacing w:line="420" w:lineRule="exact"/>
        <w:rPr>
          <w:rFonts w:hint="eastAsia" w:ascii="微软雅黑" w:hAnsi="微软雅黑" w:cs="微软雅黑"/>
          <w:b/>
          <w:bCs/>
        </w:rPr>
      </w:pPr>
      <w:r/>
      <w:bookmarkStart w:id="313" w:name="_Toc10812"/>
      <w:r>
        <w:rPr>
          <w:rFonts w:hint="eastAsia" w:ascii="微软雅黑" w:hAnsi="微软雅黑" w:cs="微软雅黑"/>
          <w:b/>
          <w:bCs/>
        </w:rPr>
      </w:r>
      <w:r/>
    </w:p>
    <w:p>
      <w:pPr>
        <w:pStyle w:val="1098"/>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bookmarkEnd w:id="313"/>
      <w:r>
        <w:rPr>
          <w:rFonts w:hint="eastAsia" w:ascii="微软雅黑" w:hAnsi="微软雅黑" w:cs="微软雅黑"/>
          <w:b/>
          <w:bCs/>
        </w:rPr>
        <w:t xml:space="preserve">（工程、服务）</w:t>
      </w:r>
      <w:r>
        <w:rPr>
          <w:rFonts w:hint="eastAsia" w:ascii="微软雅黑" w:hAnsi="微软雅黑" w:cs="微软雅黑"/>
          <w:b/>
          <w:bCs/>
        </w:rPr>
      </w:r>
      <w:r/>
    </w:p>
    <w:p>
      <w:pPr>
        <w:pStyle w:val="1275"/>
        <w:rPr>
          <w:rFonts w:hint="eastAsia" w:ascii="微软雅黑" w:hAnsi="微软雅黑" w:cs="微软雅黑"/>
        </w:rPr>
      </w:pPr>
      <w:r>
        <w:rPr>
          <w:rFonts w:hint="eastAsia" w:ascii="微软雅黑" w:hAnsi="微软雅黑" w:cs="微软雅黑"/>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1.（标的名称），属于（采购文件中明确的所属行业）；承建（承接）企业为（企业名称），从业人员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2.（标的名称），属于（采购文件中明确的所属行业）；承建（承接）企业为（企业名称），从业人员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109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1098"/>
        <w:ind w:firstLine="420"/>
        <w:spacing w:line="420" w:lineRule="exact"/>
        <w:rPr>
          <w:rFonts w:hint="eastAsia" w:ascii="微软雅黑" w:hAnsi="微软雅黑" w:cs="微软雅黑"/>
        </w:rPr>
      </w:pPr>
      <w:r>
        <w:rPr>
          <w:rFonts w:hint="eastAsia" w:ascii="微软雅黑" w:hAnsi="微软雅黑" w:cs="微软雅黑"/>
        </w:rPr>
      </w:r>
      <w:r/>
    </w:p>
    <w:p>
      <w:pPr>
        <w:pStyle w:val="1098"/>
        <w:ind w:firstLine="420"/>
        <w:jc w:val="center"/>
        <w:spacing w:line="420" w:lineRule="exact"/>
        <w:rPr>
          <w:rFonts w:hint="eastAsia" w:ascii="微软雅黑" w:hAnsi="微软雅黑" w:cs="微软雅黑"/>
        </w:rPr>
      </w:pPr>
      <w:r/>
      <w:bookmarkStart w:id="314" w:name="_Toc7691"/>
      <w:r>
        <w:rPr>
          <w:rFonts w:hint="eastAsia" w:ascii="微软雅黑" w:hAnsi="微软雅黑" w:cs="微软雅黑"/>
        </w:rPr>
        <w:t xml:space="preserve">                          企业名称（盖章）：</w:t>
      </w:r>
      <w:bookmarkEnd w:id="314"/>
      <w:r>
        <w:rPr>
          <w:rFonts w:hint="eastAsia" w:ascii="微软雅黑" w:hAnsi="微软雅黑" w:cs="微软雅黑"/>
        </w:rPr>
        <w:t xml:space="preserve"> </w:t>
      </w:r>
      <w:r>
        <w:rPr>
          <w:rFonts w:hint="eastAsia" w:ascii="微软雅黑" w:hAnsi="微软雅黑" w:cs="微软雅黑"/>
        </w:rPr>
      </w:r>
      <w:r/>
    </w:p>
    <w:p>
      <w:pPr>
        <w:pStyle w:val="1098"/>
        <w:ind w:firstLine="420"/>
        <w:jc w:val="center"/>
        <w:spacing w:line="420" w:lineRule="exact"/>
        <w:rPr>
          <w:rFonts w:hint="eastAsia" w:ascii="微软雅黑" w:hAnsi="微软雅黑" w:cs="微软雅黑"/>
        </w:rPr>
      </w:pPr>
      <w:r/>
      <w:bookmarkStart w:id="315" w:name="_Toc8519"/>
      <w:r>
        <w:rPr>
          <w:rFonts w:hint="eastAsia" w:ascii="微软雅黑" w:hAnsi="微软雅黑" w:cs="微软雅黑"/>
        </w:rPr>
        <w:t xml:space="preserve">               日 期：</w:t>
      </w:r>
      <w:bookmarkEnd w:id="315"/>
      <w:r>
        <w:rPr>
          <w:rFonts w:hint="eastAsia" w:ascii="微软雅黑" w:hAnsi="微软雅黑" w:cs="微软雅黑"/>
        </w:rPr>
      </w:r>
      <w:r/>
    </w:p>
    <w:p>
      <w:pPr>
        <w:pStyle w:val="1098"/>
        <w:ind w:firstLine="420"/>
        <w:spacing w:line="420" w:lineRule="exact"/>
        <w:rPr>
          <w:rFonts w:hint="eastAsia" w:ascii="微软雅黑" w:hAnsi="微软雅黑" w:cs="微软雅黑"/>
        </w:rPr>
      </w:pPr>
      <w:r>
        <w:rPr>
          <w:rFonts w:hint="eastAsia" w:ascii="微软雅黑" w:hAnsi="微软雅黑" w:cs="微软雅黑"/>
        </w:rPr>
      </w:r>
      <w:r/>
    </w:p>
    <w:p>
      <w:pPr>
        <w:pStyle w:val="1275"/>
        <w:rPr>
          <w:rFonts w:hint="eastAsia" w:ascii="微软雅黑" w:hAnsi="微软雅黑" w:cs="微软雅黑"/>
        </w:rPr>
      </w:pPr>
      <w:r>
        <w:rPr>
          <w:rFonts w:hint="eastAsia" w:ascii="微软雅黑" w:hAnsi="微软雅黑" w:cs="微软雅黑"/>
        </w:rPr>
      </w:r>
      <w:r/>
    </w:p>
    <w:p>
      <w:pPr>
        <w:pStyle w:val="1275"/>
        <w:rPr>
          <w:rFonts w:hint="eastAsia" w:ascii="微软雅黑" w:hAnsi="微软雅黑" w:cs="微软雅黑"/>
        </w:rPr>
      </w:pPr>
      <w:r>
        <w:rPr>
          <w:rFonts w:hint="eastAsia" w:ascii="微软雅黑" w:hAnsi="微软雅黑" w:cs="微软雅黑"/>
        </w:rPr>
      </w:r>
      <w:r/>
    </w:p>
    <w:p>
      <w:pPr>
        <w:pStyle w:val="1098"/>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注：从业人员、营业收入、资产总额填报上一年度数据，无上一年度数据的新成立企业可不填报。</w:t>
      </w:r>
      <w:r>
        <w:rPr>
          <w:rFonts w:hint="eastAsia" w:ascii="微软雅黑" w:hAnsi="微软雅黑" w:cs="微软雅黑"/>
          <w:szCs w:val="21"/>
        </w:rPr>
      </w:r>
      <w:r/>
    </w:p>
    <w:p>
      <w:pPr>
        <w:pStyle w:val="1098"/>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1098"/>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1098"/>
        <w:spacing w:line="300" w:lineRule="exact"/>
        <w:rPr>
          <w:rFonts w:hint="eastAsia" w:ascii="微软雅黑" w:hAnsi="微软雅黑" w:cs="微软雅黑"/>
          <w:b/>
          <w:bCs/>
          <w:color w:val="000000"/>
          <w:szCs w:val="21"/>
          <w:lang w:val="zh-CN"/>
        </w:rPr>
      </w:pPr>
      <w:r/>
      <w:bookmarkStart w:id="316" w:name="_Toc17448"/>
      <w:r/>
      <w:bookmarkStart w:id="317" w:name="_Toc25461"/>
      <w:r>
        <w:rPr>
          <w:rFonts w:hint="eastAsia" w:ascii="微软雅黑" w:hAnsi="微软雅黑" w:cs="微软雅黑"/>
          <w:b/>
          <w:bCs/>
          <w:color w:val="000000"/>
          <w:szCs w:val="21"/>
          <w:lang w:val="zh-CN"/>
        </w:rPr>
      </w:r>
      <w:r/>
    </w:p>
    <w:p>
      <w:pPr>
        <w:pStyle w:val="1098"/>
        <w:spacing w:line="300" w:lineRule="exact"/>
        <w:rPr>
          <w:rFonts w:hint="eastAsia" w:ascii="微软雅黑" w:hAnsi="微软雅黑" w:cs="微软雅黑"/>
          <w:b/>
          <w:bCs/>
          <w:color w:val="000000"/>
          <w:szCs w:val="21"/>
        </w:rPr>
      </w:pPr>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316"/>
      <w:r>
        <w:rPr>
          <w:rFonts w:hint="eastAsia" w:ascii="微软雅黑" w:hAnsi="微软雅黑" w:cs="微软雅黑"/>
          <w:b/>
          <w:bCs/>
          <w:color w:val="000000"/>
          <w:szCs w:val="21"/>
        </w:rPr>
      </w:r>
      <w:r/>
    </w:p>
    <w:p>
      <w:pPr>
        <w:pStyle w:val="1119"/>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91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4"/>
        <w:gridCol w:w="1586"/>
        <w:gridCol w:w="1027"/>
        <w:gridCol w:w="1866"/>
        <w:gridCol w:w="1680"/>
        <w:gridCol w:w="1147"/>
      </w:tblGrid>
      <w:tr>
        <w:trPr>
          <w:trHeight w:val="90"/>
        </w:trPr>
        <w:tc>
          <w:tcPr>
            <w:tcW w:w="1804" w:type="dxa"/>
            <w:vAlign w:val="top"/>
            <w:textDirection w:val="lrTb"/>
            <w:noWrap w:val="false"/>
          </w:tcPr>
          <w:p>
            <w:pPr>
              <w:pStyle w:val="1098"/>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586" w:type="dxa"/>
            <w:vAlign w:val="top"/>
            <w:textDirection w:val="lrTb"/>
            <w:noWrap w:val="false"/>
          </w:tcPr>
          <w:p>
            <w:pPr>
              <w:pStyle w:val="1098"/>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098"/>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098"/>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098"/>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098"/>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804" w:type="dxa"/>
            <w:vAlign w:val="center"/>
            <w:textDirection w:val="lrTb"/>
            <w:noWrap w:val="false"/>
          </w:tcPr>
          <w:p>
            <w:pPr>
              <w:pStyle w:val="1246"/>
              <w:jc w:val="left"/>
              <w:spacing w:line="360" w:lineRule="exact"/>
              <w:rPr>
                <w:rFonts w:hint="eastAsia" w:ascii="微软雅黑" w:hAnsi="微软雅黑" w:cs="微软雅黑"/>
                <w:b/>
                <w:szCs w:val="21"/>
              </w:rPr>
            </w:pPr>
            <w:r>
              <w:rPr>
                <w:rFonts w:hint="eastAsia" w:ascii="微软雅黑" w:hAnsi="微软雅黑" w:cs="微软雅黑"/>
                <w:b/>
                <w:szCs w:val="21"/>
              </w:rPr>
              <w:t xml:space="preserve">农、林、牧、渔</w:t>
            </w:r>
            <w:r>
              <w:rPr>
                <w:rFonts w:hint="eastAsia" w:ascii="微软雅黑" w:hAnsi="微软雅黑" w:cs="微软雅黑"/>
                <w:b/>
                <w:szCs w:val="21"/>
              </w:rPr>
            </w:r>
            <w:r/>
          </w:p>
        </w:tc>
        <w:tc>
          <w:tcPr>
            <w:tcW w:w="1586" w:type="dxa"/>
            <w:vAlign w:val="top"/>
            <w:textDirection w:val="lrTb"/>
            <w:noWrap w:val="false"/>
          </w:tcPr>
          <w:p>
            <w:pPr>
              <w:pStyle w:val="1246"/>
              <w:jc w:val="left"/>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50≤Y＜500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147"/>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工业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2000≤Y＜40000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300≤Y＜2000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建筑业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6000≤Y＜80000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300≤Y＜6000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5000≤Z＜80000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300≤Z＜5000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Z＜300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批发业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20≤X＜200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5≤X＜20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X＜5</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5000≤Y＜40000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零售业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10≤X＜50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100≤Y＜500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交通运输业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3000≤Y＜30000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200≤Y＜3000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Y＜200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仓储业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100≤X＜200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1000≤Y＜30000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邮政业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2"/>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2000≤Y＜30000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住宿业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餐饮业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信息传输业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100≤X＜2000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1000≤Y＜100000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软件和信息技术服务</w:t>
            </w:r>
            <w:r>
              <w:rPr>
                <w:rFonts w:hint="eastAsia" w:ascii="微软雅黑" w:hAnsi="微软雅黑" w:cs="微软雅黑"/>
                <w:b/>
                <w:szCs w:val="21"/>
              </w:rPr>
              <w:t xml:space="preserve">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1000≤Y＜10000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50≤Y＜1000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szCs w:val="21"/>
              </w:rPr>
            </w:pPr>
            <w:r>
              <w:rPr>
                <w:rFonts w:hint="eastAsia" w:ascii="微软雅黑" w:hAnsi="微软雅黑" w:cs="微软雅黑"/>
                <w:szCs w:val="21"/>
              </w:rPr>
            </w:r>
            <w:r/>
          </w:p>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房地产开发经营</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1000≤Y＜200000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100≤X＜1000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4"/>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5000≤Z＜10000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2000≤Y＜5000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Y＜2000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物业管理</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500≤Y＜1000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Y＜500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46"/>
              <w:spacing w:line="360" w:lineRule="exact"/>
              <w:rPr>
                <w:rFonts w:hint="eastAsia" w:ascii="微软雅黑" w:hAnsi="微软雅黑" w:cs="微软雅黑"/>
                <w:b/>
                <w:szCs w:val="21"/>
              </w:rPr>
            </w:pPr>
            <w:r>
              <w:rPr>
                <w:rFonts w:hint="eastAsia" w:ascii="微软雅黑" w:hAnsi="微软雅黑" w:cs="微软雅黑"/>
                <w:b/>
                <w:szCs w:val="21"/>
              </w:rPr>
              <w:t xml:space="preserve">租赁和商务服务业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098"/>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8000≤Z＜120000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100≤Z＜8000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textDirection w:val="lrTb"/>
            <w:noWrap w:val="false"/>
          </w:tcPr>
          <w:p>
            <w:pPr>
              <w:pStyle w:val="1246"/>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其他未列明行业</w:t>
            </w:r>
            <w:r>
              <w:rPr>
                <w:rFonts w:hint="eastAsia" w:ascii="微软雅黑" w:hAnsi="微软雅黑" w:cs="微软雅黑"/>
                <w:b/>
                <w:szCs w:val="21"/>
              </w:rPr>
            </w:r>
            <w:r/>
          </w:p>
        </w:tc>
        <w:tc>
          <w:tcPr>
            <w:tcW w:w="158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46"/>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bl>
    <w:p>
      <w:pPr>
        <w:pStyle w:val="1112"/>
        <w:ind w:firstLine="376"/>
        <w:spacing w:line="260" w:lineRule="exact"/>
        <w:rPr>
          <w:rFonts w:hint="eastAsia" w:ascii="微软雅黑" w:hAnsi="微软雅黑" w:eastAsia="微软雅黑" w:cs="微软雅黑"/>
          <w:spacing w:val="-3"/>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rPr>
      </w:r>
      <w:r/>
    </w:p>
    <w:p>
      <w:pPr>
        <w:pStyle w:val="1101"/>
        <w:jc w:val="both"/>
        <w:spacing w:before="0" w:after="0" w:line="300" w:lineRule="exact"/>
        <w:rPr>
          <w:rFonts w:hint="eastAsia" w:ascii="微软雅黑" w:hAnsi="微软雅黑" w:cs="微软雅黑"/>
          <w:bCs w:val="0"/>
          <w:szCs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rPr>
      </w:r>
      <w:r/>
    </w:p>
    <w:p>
      <w:pPr>
        <w:pStyle w:val="1101"/>
        <w:jc w:val="left"/>
        <w:spacing w:line="420" w:lineRule="exact"/>
        <w:rPr>
          <w:rFonts w:hint="eastAsia" w:ascii="微软雅黑" w:hAnsi="微软雅黑" w:cs="微软雅黑"/>
          <w:b/>
          <w:bCs w:val="0"/>
          <w:sz w:val="24"/>
          <w:szCs w:val="24"/>
        </w:rPr>
      </w:pPr>
      <w:r/>
      <w:bookmarkStart w:id="318" w:name="_Toc5461"/>
      <w:r/>
      <w:bookmarkStart w:id="319" w:name="_Toc10360"/>
      <w:r>
        <w:rPr>
          <w:rFonts w:hint="eastAsia" w:ascii="微软雅黑" w:hAnsi="微软雅黑" w:cs="微软雅黑"/>
          <w:b/>
          <w:bCs w:val="0"/>
          <w:sz w:val="24"/>
          <w:szCs w:val="24"/>
        </w:rPr>
        <w:t xml:space="preserve">附件2.残疾人福利性单位声明函</w:t>
      </w:r>
      <w:bookmarkEnd w:id="317"/>
      <w:r/>
      <w:bookmarkEnd w:id="318"/>
      <w:r/>
      <w:bookmarkEnd w:id="319"/>
      <w:r>
        <w:rPr>
          <w:rFonts w:hint="eastAsia" w:ascii="微软雅黑" w:hAnsi="微软雅黑" w:cs="微软雅黑"/>
          <w:b/>
          <w:bCs w:val="0"/>
          <w:sz w:val="24"/>
          <w:szCs w:val="24"/>
        </w:rPr>
      </w:r>
      <w:r/>
    </w:p>
    <w:p>
      <w:pPr>
        <w:pStyle w:val="1098"/>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rPr>
          <w:rFonts w:hint="eastAsia" w:ascii="微软雅黑" w:hAnsi="微软雅黑" w:cs="微软雅黑"/>
          <w:b/>
          <w:bCs/>
          <w:sz w:val="24"/>
          <w:szCs w:val="24"/>
        </w:rPr>
      </w:r>
      <w:r/>
    </w:p>
    <w:p>
      <w:pPr>
        <w:pStyle w:val="1101"/>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1147"/>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114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114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114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114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98"/>
        <w:rPr>
          <w:rFonts w:ascii="微软雅黑" w:hAnsi="微软雅黑" w:cs="微软雅黑"/>
          <w:szCs w:val="21"/>
        </w:rPr>
      </w:pPr>
      <w:r>
        <w:rPr>
          <w:rFonts w:ascii="微软雅黑" w:hAnsi="微软雅黑" w:cs="微软雅黑"/>
          <w:szCs w:val="21"/>
        </w:rPr>
      </w:r>
      <w:r/>
    </w:p>
    <w:sectPr>
      <w:footerReference w:type="default" r:id="rId18"/>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华文细黑">
    <w:panose1 w:val="02010600040101010101"/>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0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20" w:hanging="420"/>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630"/>
      <w:spacing w:line="360" w:lineRule="auto"/>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ascii="微软雅黑" w:hAnsi="微软雅黑" w:eastAsia="微软雅黑" w:cs="微软雅黑"/>
        <w:sz w:val="22"/>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29"/>
      <w:isLgl w:val="false"/>
      <w:suff w:val="tab"/>
      <w:lvlText w:val=""/>
      <w:lvlJc w:val="left"/>
      <w:pPr>
        <w:pStyle w:val="1098"/>
        <w:ind w:left="360" w:hanging="360"/>
        <w:tabs>
          <w:tab w:val="num" w:pos="360" w:leader="none"/>
        </w:tabs>
      </w:pPr>
      <w:rPr>
        <w:rFonts w:ascii="Symbol" w:hAnsi="Symbol"/>
      </w:rPr>
    </w:lvl>
    <w:lvl w:ilvl="1">
      <w:start w:val="1"/>
      <w:numFmt w:val="bullet"/>
      <w:isLgl w:val="false"/>
      <w:suff w:val="tab"/>
      <w:lvlText w:val="o"/>
      <w:lvlJc w:val="left"/>
      <w:pPr>
        <w:pStyle w:val="1098"/>
        <w:ind w:left="1080" w:hanging="360"/>
      </w:pPr>
      <w:rPr>
        <w:rFonts w:ascii="Courier New" w:hAnsi="Courier New" w:cs="Courier New"/>
      </w:rPr>
    </w:lvl>
    <w:lvl w:ilvl="2">
      <w:start w:val="1"/>
      <w:numFmt w:val="bullet"/>
      <w:isLgl w:val="false"/>
      <w:suff w:val="tab"/>
      <w:lvlText w:val=""/>
      <w:lvlJc w:val="left"/>
      <w:pPr>
        <w:pStyle w:val="1098"/>
        <w:ind w:left="1800" w:hanging="360"/>
      </w:pPr>
      <w:rPr>
        <w:rFonts w:ascii="Wingdings" w:hAnsi="Wingdings"/>
      </w:rPr>
    </w:lvl>
    <w:lvl w:ilvl="3">
      <w:start w:val="1"/>
      <w:numFmt w:val="bullet"/>
      <w:isLgl w:val="false"/>
      <w:suff w:val="tab"/>
      <w:lvlText w:val=""/>
      <w:lvlJc w:val="left"/>
      <w:pPr>
        <w:pStyle w:val="1098"/>
        <w:ind w:left="2520" w:hanging="360"/>
      </w:pPr>
      <w:rPr>
        <w:rFonts w:ascii="Symbol" w:hAnsi="Symbol"/>
      </w:rPr>
    </w:lvl>
    <w:lvl w:ilvl="4">
      <w:start w:val="1"/>
      <w:numFmt w:val="bullet"/>
      <w:isLgl w:val="false"/>
      <w:suff w:val="tab"/>
      <w:lvlText w:val="o"/>
      <w:lvlJc w:val="left"/>
      <w:pPr>
        <w:pStyle w:val="1098"/>
        <w:ind w:left="3240" w:hanging="360"/>
      </w:pPr>
      <w:rPr>
        <w:rFonts w:ascii="Courier New" w:hAnsi="Courier New" w:cs="Courier New"/>
      </w:rPr>
    </w:lvl>
    <w:lvl w:ilvl="5">
      <w:start w:val="1"/>
      <w:numFmt w:val="bullet"/>
      <w:isLgl w:val="false"/>
      <w:suff w:val="tab"/>
      <w:lvlText w:val=""/>
      <w:lvlJc w:val="left"/>
      <w:pPr>
        <w:pStyle w:val="1098"/>
        <w:ind w:left="3960" w:hanging="360"/>
      </w:pPr>
      <w:rPr>
        <w:rFonts w:ascii="Wingdings" w:hAnsi="Wingdings"/>
      </w:rPr>
    </w:lvl>
    <w:lvl w:ilvl="6">
      <w:start w:val="1"/>
      <w:numFmt w:val="bullet"/>
      <w:isLgl w:val="false"/>
      <w:suff w:val="tab"/>
      <w:lvlText w:val=""/>
      <w:lvlJc w:val="left"/>
      <w:pPr>
        <w:pStyle w:val="1098"/>
        <w:ind w:left="4680" w:hanging="360"/>
      </w:pPr>
      <w:rPr>
        <w:rFonts w:ascii="Symbol" w:hAnsi="Symbol"/>
      </w:rPr>
    </w:lvl>
    <w:lvl w:ilvl="7">
      <w:start w:val="1"/>
      <w:numFmt w:val="bullet"/>
      <w:isLgl w:val="false"/>
      <w:suff w:val="tab"/>
      <w:lvlText w:val="o"/>
      <w:lvlJc w:val="left"/>
      <w:pPr>
        <w:pStyle w:val="1098"/>
        <w:ind w:left="5400" w:hanging="360"/>
      </w:pPr>
      <w:rPr>
        <w:rFonts w:ascii="Courier New" w:hAnsi="Courier New" w:cs="Courier New"/>
      </w:rPr>
    </w:lvl>
    <w:lvl w:ilvl="8">
      <w:start w:val="1"/>
      <w:numFmt w:val="bullet"/>
      <w:isLgl w:val="false"/>
      <w:suff w:val="tab"/>
      <w:lvlText w:val=""/>
      <w:lvlJc w:val="left"/>
      <w:pPr>
        <w:pStyle w:val="1098"/>
        <w:ind w:left="6120" w:hanging="360"/>
      </w:pPr>
      <w:rPr>
        <w:rFonts w:ascii="Wingdings" w:hAnsi="Wingdings"/>
      </w:rPr>
    </w:lvl>
  </w:abstractNum>
  <w:abstractNum w:abstractNumId="7">
    <w:multiLevelType w:val="hybridMultilevel"/>
    <w:lvl w:ilvl="0">
      <w:start w:val="1"/>
      <w:numFmt w:val="decimal"/>
      <w:pStyle w:val="1233"/>
      <w:isLgl w:val="false"/>
      <w:suff w:val="tab"/>
      <w:lvlText w:val="%1."/>
      <w:lvlJc w:val="left"/>
      <w:pPr>
        <w:pStyle w:val="1098"/>
        <w:tabs>
          <w:tab w:val="num" w:pos="360" w:leader="none"/>
        </w:tabs>
      </w:pPr>
      <w:rPr>
        <w:rFonts w:hint="eastAsia"/>
      </w:rPr>
    </w:lvl>
    <w:lvl w:ilvl="1">
      <w:start w:val="1"/>
      <w:numFmt w:val="decimal"/>
      <w:pStyle w:val="1235"/>
      <w:isLgl w:val="false"/>
      <w:suff w:val="tab"/>
      <w:lvlText w:val="%1.%2"/>
      <w:lvlJc w:val="left"/>
      <w:pPr>
        <w:pStyle w:val="1098"/>
        <w:tabs>
          <w:tab w:val="num" w:pos="720" w:leader="none"/>
        </w:tabs>
      </w:pPr>
      <w:rPr>
        <w:rFonts w:hint="eastAsia"/>
        <w:b w:val="0"/>
        <w:bCs w:val="0"/>
        <w:i w:val="0"/>
        <w:iCs w:val="0"/>
      </w:rPr>
    </w:lvl>
    <w:lvl w:ilvl="2">
      <w:start w:val="1"/>
      <w:numFmt w:val="decimal"/>
      <w:pStyle w:val="1226"/>
      <w:isLgl w:val="false"/>
      <w:suff w:val="tab"/>
      <w:lvlText w:val="%1.%2.%3"/>
      <w:lvlJc w:val="left"/>
      <w:pPr>
        <w:pStyle w:val="1098"/>
        <w:tabs>
          <w:tab w:val="num" w:pos="720" w:leader="none"/>
        </w:tabs>
      </w:pPr>
      <w:rPr>
        <w:rFonts w:hint="eastAsia"/>
      </w:rPr>
    </w:lvl>
    <w:lvl w:ilvl="3">
      <w:start w:val="1"/>
      <w:numFmt w:val="decimal"/>
      <w:isLgl w:val="false"/>
      <w:suff w:val="tab"/>
      <w:lvlText w:val="%1.%2.%3.%4."/>
      <w:lvlJc w:val="left"/>
      <w:pPr>
        <w:pStyle w:val="1098"/>
        <w:ind w:left="851" w:hanging="851"/>
        <w:tabs>
          <w:tab w:val="num" w:pos="851" w:leader="none"/>
        </w:tabs>
      </w:pPr>
      <w:rPr>
        <w:rFonts w:hint="eastAsia"/>
      </w:rPr>
    </w:lvl>
    <w:lvl w:ilvl="4">
      <w:start w:val="1"/>
      <w:numFmt w:val="decimal"/>
      <w:isLgl w:val="false"/>
      <w:suff w:val="tab"/>
      <w:lvlText w:val="%1.%2.%3.%4.%5."/>
      <w:lvlJc w:val="left"/>
      <w:pPr>
        <w:pStyle w:val="1098"/>
        <w:ind w:left="992" w:hanging="992"/>
        <w:tabs>
          <w:tab w:val="num" w:pos="992" w:leader="none"/>
        </w:tabs>
      </w:pPr>
      <w:rPr>
        <w:rFonts w:hint="eastAsia"/>
      </w:rPr>
    </w:lvl>
    <w:lvl w:ilvl="5">
      <w:start w:val="1"/>
      <w:numFmt w:val="decimal"/>
      <w:isLgl w:val="false"/>
      <w:suff w:val="tab"/>
      <w:lvlText w:val="%1.%2.%3.%4.%5.%6."/>
      <w:lvlJc w:val="left"/>
      <w:pPr>
        <w:pStyle w:val="1098"/>
        <w:ind w:left="1134" w:hanging="1134"/>
        <w:tabs>
          <w:tab w:val="num" w:pos="1134" w:leader="none"/>
        </w:tabs>
      </w:pPr>
      <w:rPr>
        <w:rFonts w:hint="eastAsia"/>
      </w:rPr>
    </w:lvl>
    <w:lvl w:ilvl="6">
      <w:start w:val="1"/>
      <w:numFmt w:val="decimal"/>
      <w:isLgl w:val="false"/>
      <w:suff w:val="tab"/>
      <w:lvlText w:val="%1.%2.%3.%4.%5.%6.%7."/>
      <w:lvlJc w:val="left"/>
      <w:pPr>
        <w:pStyle w:val="1098"/>
        <w:ind w:left="1276" w:hanging="1276"/>
        <w:tabs>
          <w:tab w:val="num" w:pos="1276" w:leader="none"/>
        </w:tabs>
      </w:pPr>
      <w:rPr>
        <w:rFonts w:hint="eastAsia"/>
      </w:rPr>
    </w:lvl>
    <w:lvl w:ilvl="7">
      <w:start w:val="1"/>
      <w:numFmt w:val="decimal"/>
      <w:isLgl w:val="false"/>
      <w:suff w:val="tab"/>
      <w:lvlText w:val="%1.%2.%3.%4.%5.%6.%7.%8."/>
      <w:lvlJc w:val="left"/>
      <w:pPr>
        <w:pStyle w:val="1098"/>
        <w:ind w:left="1418" w:hanging="1418"/>
        <w:tabs>
          <w:tab w:val="num" w:pos="1418" w:leader="none"/>
        </w:tabs>
      </w:pPr>
      <w:rPr>
        <w:rFonts w:hint="eastAsia"/>
      </w:rPr>
    </w:lvl>
    <w:lvl w:ilvl="8">
      <w:start w:val="1"/>
      <w:numFmt w:val="decimal"/>
      <w:isLgl w:val="false"/>
      <w:suff w:val="tab"/>
      <w:lvlText w:val="%1.%2.%3.%4.%5.%6.%7.%8.%9."/>
      <w:lvlJc w:val="left"/>
      <w:pPr>
        <w:pStyle w:val="1098"/>
        <w:ind w:left="1559" w:hanging="1559"/>
        <w:tabs>
          <w:tab w:val="num" w:pos="1559" w:leader="none"/>
        </w:tabs>
      </w:pPr>
      <w:rPr>
        <w:rFonts w:hint="eastAsia"/>
      </w:rPr>
    </w:lvl>
  </w:abstractNum>
  <w:abstractNum w:abstractNumId="8">
    <w:multiLevelType w:val="hybridMultilevel"/>
    <w:lvl w:ilvl="0">
      <w:start w:val="1"/>
      <w:numFmt w:val="lowerLetter"/>
      <w:pStyle w:val="1114"/>
      <w:isLgl w:val="false"/>
      <w:suff w:val="tab"/>
      <w:lvlText w:val="%1)"/>
      <w:lvlJc w:val="left"/>
      <w:pPr>
        <w:pStyle w:val="1098"/>
        <w:ind w:left="990" w:hanging="360"/>
        <w:tabs>
          <w:tab w:val="num" w:pos="990" w:leader="none"/>
        </w:tabs>
      </w:pPr>
      <w:rPr>
        <w:rFonts w:hint="eastAsia"/>
      </w:rPr>
    </w:lvl>
    <w:lvl w:ilvl="1">
      <w:start w:val="1"/>
      <w:numFmt w:val="lowerLetter"/>
      <w:pStyle w:val="1223"/>
      <w:isLgl w:val="false"/>
      <w:suff w:val="tab"/>
      <w:lvlText w:val="%2)"/>
      <w:lvlJc w:val="left"/>
      <w:pPr>
        <w:pStyle w:val="1098"/>
        <w:ind w:left="1470" w:hanging="420"/>
        <w:tabs>
          <w:tab w:val="num" w:pos="1470" w:leader="none"/>
        </w:tabs>
      </w:pPr>
    </w:lvl>
    <w:lvl w:ilvl="2">
      <w:start w:val="1"/>
      <w:numFmt w:val="lowerRoman"/>
      <w:isLgl w:val="false"/>
      <w:suff w:val="tab"/>
      <w:lvlText w:val="%3."/>
      <w:lvlJc w:val="right"/>
      <w:pPr>
        <w:pStyle w:val="1098"/>
        <w:ind w:left="1890" w:hanging="420"/>
        <w:tabs>
          <w:tab w:val="num" w:pos="1890" w:leader="none"/>
        </w:tabs>
      </w:pPr>
    </w:lvl>
    <w:lvl w:ilvl="3">
      <w:start w:val="1"/>
      <w:numFmt w:val="decimal"/>
      <w:isLgl w:val="false"/>
      <w:suff w:val="tab"/>
      <w:lvlText w:val="%4."/>
      <w:lvlJc w:val="left"/>
      <w:pPr>
        <w:pStyle w:val="1098"/>
        <w:ind w:left="2310" w:hanging="420"/>
        <w:tabs>
          <w:tab w:val="num" w:pos="2310" w:leader="none"/>
        </w:tabs>
      </w:pPr>
    </w:lvl>
    <w:lvl w:ilvl="4">
      <w:start w:val="1"/>
      <w:numFmt w:val="lowerLetter"/>
      <w:isLgl w:val="false"/>
      <w:suff w:val="tab"/>
      <w:lvlText w:val="%5)"/>
      <w:lvlJc w:val="left"/>
      <w:pPr>
        <w:pStyle w:val="1098"/>
        <w:ind w:left="2730" w:hanging="420"/>
        <w:tabs>
          <w:tab w:val="num" w:pos="2730" w:leader="none"/>
        </w:tabs>
      </w:pPr>
    </w:lvl>
    <w:lvl w:ilvl="5">
      <w:start w:val="1"/>
      <w:numFmt w:val="lowerRoman"/>
      <w:isLgl w:val="false"/>
      <w:suff w:val="tab"/>
      <w:lvlText w:val="%6."/>
      <w:lvlJc w:val="right"/>
      <w:pPr>
        <w:pStyle w:val="1098"/>
        <w:ind w:left="3150" w:hanging="420"/>
        <w:tabs>
          <w:tab w:val="num" w:pos="3150" w:leader="none"/>
        </w:tabs>
      </w:pPr>
    </w:lvl>
    <w:lvl w:ilvl="6">
      <w:start w:val="1"/>
      <w:numFmt w:val="decimal"/>
      <w:isLgl w:val="false"/>
      <w:suff w:val="tab"/>
      <w:lvlText w:val="%7."/>
      <w:lvlJc w:val="left"/>
      <w:pPr>
        <w:pStyle w:val="1098"/>
        <w:ind w:left="3570" w:hanging="420"/>
        <w:tabs>
          <w:tab w:val="num" w:pos="3570" w:leader="none"/>
        </w:tabs>
      </w:pPr>
    </w:lvl>
    <w:lvl w:ilvl="7">
      <w:start w:val="1"/>
      <w:numFmt w:val="lowerLetter"/>
      <w:isLgl w:val="false"/>
      <w:suff w:val="tab"/>
      <w:lvlText w:val="%8)"/>
      <w:lvlJc w:val="left"/>
      <w:pPr>
        <w:pStyle w:val="1098"/>
        <w:ind w:left="3990" w:hanging="420"/>
        <w:tabs>
          <w:tab w:val="num" w:pos="3990" w:leader="none"/>
        </w:tabs>
      </w:pPr>
    </w:lvl>
    <w:lvl w:ilvl="8">
      <w:start w:val="1"/>
      <w:numFmt w:val="lowerRoman"/>
      <w:isLgl w:val="false"/>
      <w:suff w:val="tab"/>
      <w:lvlText w:val="%9."/>
      <w:lvlJc w:val="right"/>
      <w:pPr>
        <w:pStyle w:val="1098"/>
        <w:ind w:left="4410" w:hanging="420"/>
        <w:tabs>
          <w:tab w:val="num" w:pos="4410" w:leader="none"/>
        </w:tabs>
      </w:pPr>
    </w:lvl>
  </w:abstractNum>
  <w:abstractNum w:abstractNumId="9">
    <w:multiLevelType w:val="hybridMultilevel"/>
    <w:lvl w:ilvl="0">
      <w:start w:val="1"/>
      <w:numFmt w:val="decimal"/>
      <w:pStyle w:val="1199"/>
      <w:isLgl w:val="false"/>
      <w:suff w:val="tab"/>
      <w:lvlText w:val="%1注："/>
      <w:lvlJc w:val="left"/>
      <w:pPr>
        <w:pStyle w:val="109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98"/>
        <w:ind w:left="780" w:hanging="360"/>
        <w:tabs>
          <w:tab w:val="num" w:pos="780" w:leader="none"/>
        </w:tabs>
      </w:pPr>
      <w:rPr>
        <w:rFonts w:hint="eastAsia"/>
      </w:rPr>
    </w:lvl>
    <w:lvl w:ilvl="2">
      <w:start w:val="1"/>
      <w:numFmt w:val="lowerRoman"/>
      <w:isLgl w:val="false"/>
      <w:suff w:val="tab"/>
      <w:lvlText w:val="%3."/>
      <w:lvlJc w:val="right"/>
      <w:pPr>
        <w:pStyle w:val="1098"/>
        <w:ind w:left="1260" w:hanging="420"/>
        <w:tabs>
          <w:tab w:val="num" w:pos="1260" w:leader="none"/>
        </w:tabs>
      </w:pPr>
    </w:lvl>
    <w:lvl w:ilvl="3">
      <w:start w:val="1"/>
      <w:numFmt w:val="decimal"/>
      <w:isLgl w:val="false"/>
      <w:suff w:val="tab"/>
      <w:lvlText w:val="%4."/>
      <w:lvlJc w:val="left"/>
      <w:pPr>
        <w:pStyle w:val="1098"/>
        <w:ind w:left="1680" w:hanging="420"/>
        <w:tabs>
          <w:tab w:val="num" w:pos="1680" w:leader="none"/>
        </w:tabs>
      </w:pPr>
    </w:lvl>
    <w:lvl w:ilvl="4">
      <w:start w:val="1"/>
      <w:numFmt w:val="lowerLetter"/>
      <w:isLgl w:val="false"/>
      <w:suff w:val="tab"/>
      <w:lvlText w:val="%5)"/>
      <w:lvlJc w:val="left"/>
      <w:pPr>
        <w:pStyle w:val="1098"/>
        <w:ind w:left="2100" w:hanging="420"/>
        <w:tabs>
          <w:tab w:val="num" w:pos="2100" w:leader="none"/>
        </w:tabs>
      </w:pPr>
    </w:lvl>
    <w:lvl w:ilvl="5">
      <w:start w:val="1"/>
      <w:numFmt w:val="lowerRoman"/>
      <w:isLgl w:val="false"/>
      <w:suff w:val="tab"/>
      <w:lvlText w:val="%6."/>
      <w:lvlJc w:val="right"/>
      <w:pPr>
        <w:pStyle w:val="1098"/>
        <w:ind w:left="2520" w:hanging="420"/>
        <w:tabs>
          <w:tab w:val="num" w:pos="2520" w:leader="none"/>
        </w:tabs>
      </w:pPr>
    </w:lvl>
    <w:lvl w:ilvl="6">
      <w:start w:val="1"/>
      <w:numFmt w:val="decimal"/>
      <w:isLgl w:val="false"/>
      <w:suff w:val="tab"/>
      <w:lvlText w:val="%7."/>
      <w:lvlJc w:val="left"/>
      <w:pPr>
        <w:pStyle w:val="1098"/>
        <w:ind w:left="2940" w:hanging="420"/>
        <w:tabs>
          <w:tab w:val="num" w:pos="2940" w:leader="none"/>
        </w:tabs>
      </w:pPr>
    </w:lvl>
    <w:lvl w:ilvl="7">
      <w:start w:val="1"/>
      <w:numFmt w:val="lowerLetter"/>
      <w:isLgl w:val="false"/>
      <w:suff w:val="tab"/>
      <w:lvlText w:val="%8)"/>
      <w:lvlJc w:val="left"/>
      <w:pPr>
        <w:pStyle w:val="1098"/>
        <w:ind w:left="3360" w:hanging="420"/>
        <w:tabs>
          <w:tab w:val="num" w:pos="3360" w:leader="none"/>
        </w:tabs>
      </w:pPr>
    </w:lvl>
    <w:lvl w:ilvl="8">
      <w:start w:val="1"/>
      <w:numFmt w:val="lowerRoman"/>
      <w:isLgl w:val="false"/>
      <w:suff w:val="tab"/>
      <w:lvlText w:val="%9."/>
      <w:lvlJc w:val="right"/>
      <w:pPr>
        <w:pStyle w:val="1098"/>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1098"/>
        <w:ind w:left="420" w:hanging="420"/>
      </w:pPr>
      <w:rPr>
        <w:rFonts w:hint="eastAsia"/>
      </w:rPr>
    </w:lvl>
    <w:lvl w:ilvl="1">
      <w:start w:val="1"/>
      <w:numFmt w:val="lowerLetter"/>
      <w:isLgl w:val="false"/>
      <w:suff w:val="tab"/>
      <w:lvlText w:val="%2)"/>
      <w:lvlJc w:val="left"/>
      <w:pPr>
        <w:pStyle w:val="1098"/>
        <w:ind w:left="840" w:hanging="420"/>
      </w:pPr>
    </w:lvl>
    <w:lvl w:ilvl="2">
      <w:start w:val="1"/>
      <w:numFmt w:val="lowerRoman"/>
      <w:isLgl w:val="false"/>
      <w:suff w:val="tab"/>
      <w:lvlText w:val="%3."/>
      <w:lvlJc w:val="right"/>
      <w:pPr>
        <w:pStyle w:val="1098"/>
        <w:ind w:left="1260" w:hanging="420"/>
      </w:pPr>
    </w:lvl>
    <w:lvl w:ilvl="3">
      <w:start w:val="1"/>
      <w:numFmt w:val="decimal"/>
      <w:isLgl w:val="false"/>
      <w:suff w:val="tab"/>
      <w:lvlText w:val="%4."/>
      <w:lvlJc w:val="left"/>
      <w:pPr>
        <w:pStyle w:val="1098"/>
        <w:ind w:left="1680" w:hanging="420"/>
      </w:pPr>
    </w:lvl>
    <w:lvl w:ilvl="4">
      <w:start w:val="1"/>
      <w:numFmt w:val="lowerLetter"/>
      <w:isLgl w:val="false"/>
      <w:suff w:val="tab"/>
      <w:lvlText w:val="%5)"/>
      <w:lvlJc w:val="left"/>
      <w:pPr>
        <w:pStyle w:val="1098"/>
        <w:ind w:left="2100" w:hanging="420"/>
      </w:pPr>
    </w:lvl>
    <w:lvl w:ilvl="5">
      <w:start w:val="1"/>
      <w:numFmt w:val="lowerRoman"/>
      <w:isLgl w:val="false"/>
      <w:suff w:val="tab"/>
      <w:lvlText w:val="%6."/>
      <w:lvlJc w:val="right"/>
      <w:pPr>
        <w:pStyle w:val="1098"/>
        <w:ind w:left="2520" w:hanging="420"/>
      </w:pPr>
    </w:lvl>
    <w:lvl w:ilvl="6">
      <w:start w:val="1"/>
      <w:numFmt w:val="decimal"/>
      <w:isLgl w:val="false"/>
      <w:suff w:val="tab"/>
      <w:lvlText w:val="%7."/>
      <w:lvlJc w:val="left"/>
      <w:pPr>
        <w:pStyle w:val="1098"/>
        <w:ind w:left="2940" w:hanging="420"/>
      </w:pPr>
    </w:lvl>
    <w:lvl w:ilvl="7">
      <w:start w:val="1"/>
      <w:numFmt w:val="lowerLetter"/>
      <w:isLgl w:val="false"/>
      <w:suff w:val="tab"/>
      <w:lvlText w:val="%8)"/>
      <w:lvlJc w:val="left"/>
      <w:pPr>
        <w:pStyle w:val="1098"/>
        <w:ind w:left="3360" w:hanging="420"/>
      </w:pPr>
    </w:lvl>
    <w:lvl w:ilvl="8">
      <w:start w:val="1"/>
      <w:numFmt w:val="lowerRoman"/>
      <w:isLgl w:val="false"/>
      <w:suff w:val="tab"/>
      <w:lvlText w:val="%9."/>
      <w:lvlJc w:val="right"/>
      <w:pPr>
        <w:pStyle w:val="1098"/>
        <w:ind w:left="3780" w:hanging="420"/>
      </w:pPr>
    </w:lvl>
  </w:abstractNum>
  <w:abstractNum w:abstractNumId="11">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7"/>
  </w:num>
  <w:num w:numId="4">
    <w:abstractNumId w:val="6"/>
  </w:num>
  <w:num w:numId="5">
    <w:abstractNumId w:val="2"/>
  </w:num>
  <w:num w:numId="6">
    <w:abstractNumId w:val="3"/>
  </w:num>
  <w:num w:numId="7">
    <w:abstractNumId w:val="0"/>
  </w:num>
  <w:num w:numId="8">
    <w:abstractNumId w:val="5"/>
  </w:num>
  <w:num w:numId="9">
    <w:abstractNumId w:val="4"/>
  </w:num>
  <w:num w:numId="10">
    <w:abstractNumId w:val="1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Heading 1"/>
    <w:basedOn w:val="1098"/>
    <w:next w:val="1098"/>
    <w:link w:val="923"/>
    <w:uiPriority w:val="9"/>
    <w:qFormat/>
    <w:pPr>
      <w:keepLines/>
      <w:keepNext/>
      <w:spacing w:before="480" w:after="200"/>
      <w:outlineLvl w:val="0"/>
    </w:pPr>
    <w:rPr>
      <w:rFonts w:ascii="Arial" w:hAnsi="Arial" w:eastAsia="Arial" w:cs="Arial"/>
      <w:sz w:val="40"/>
      <w:szCs w:val="40"/>
    </w:rPr>
  </w:style>
  <w:style w:type="character" w:styleId="923">
    <w:name w:val="Heading 1 Char"/>
    <w:link w:val="922"/>
    <w:uiPriority w:val="9"/>
    <w:rPr>
      <w:rFonts w:ascii="Arial" w:hAnsi="Arial" w:eastAsia="Arial" w:cs="Arial"/>
      <w:sz w:val="40"/>
      <w:szCs w:val="40"/>
    </w:rPr>
  </w:style>
  <w:style w:type="paragraph" w:styleId="924">
    <w:name w:val="Heading 2"/>
    <w:basedOn w:val="1098"/>
    <w:next w:val="1098"/>
    <w:link w:val="925"/>
    <w:uiPriority w:val="9"/>
    <w:unhideWhenUsed/>
    <w:qFormat/>
    <w:pPr>
      <w:keepLines/>
      <w:keepNext/>
      <w:spacing w:before="360" w:after="200"/>
      <w:outlineLvl w:val="1"/>
    </w:pPr>
    <w:rPr>
      <w:rFonts w:ascii="Arial" w:hAnsi="Arial" w:eastAsia="Arial" w:cs="Arial"/>
      <w:sz w:val="34"/>
    </w:rPr>
  </w:style>
  <w:style w:type="character" w:styleId="925">
    <w:name w:val="Heading 2 Char"/>
    <w:link w:val="924"/>
    <w:uiPriority w:val="9"/>
    <w:rPr>
      <w:rFonts w:ascii="Arial" w:hAnsi="Arial" w:eastAsia="Arial" w:cs="Arial"/>
      <w:sz w:val="34"/>
    </w:rPr>
  </w:style>
  <w:style w:type="paragraph" w:styleId="926">
    <w:name w:val="Heading 3"/>
    <w:basedOn w:val="1098"/>
    <w:next w:val="1098"/>
    <w:link w:val="927"/>
    <w:uiPriority w:val="9"/>
    <w:unhideWhenUsed/>
    <w:qFormat/>
    <w:pPr>
      <w:keepLines/>
      <w:keepNext/>
      <w:spacing w:before="320" w:after="200"/>
      <w:outlineLvl w:val="2"/>
    </w:pPr>
    <w:rPr>
      <w:rFonts w:ascii="Arial" w:hAnsi="Arial" w:eastAsia="Arial" w:cs="Arial"/>
      <w:sz w:val="30"/>
      <w:szCs w:val="30"/>
    </w:rPr>
  </w:style>
  <w:style w:type="character" w:styleId="927">
    <w:name w:val="Heading 3 Char"/>
    <w:link w:val="926"/>
    <w:uiPriority w:val="9"/>
    <w:rPr>
      <w:rFonts w:ascii="Arial" w:hAnsi="Arial" w:eastAsia="Arial" w:cs="Arial"/>
      <w:sz w:val="30"/>
      <w:szCs w:val="30"/>
    </w:rPr>
  </w:style>
  <w:style w:type="paragraph" w:styleId="928">
    <w:name w:val="Heading 4"/>
    <w:basedOn w:val="1098"/>
    <w:next w:val="1098"/>
    <w:link w:val="929"/>
    <w:uiPriority w:val="9"/>
    <w:unhideWhenUsed/>
    <w:qFormat/>
    <w:pPr>
      <w:keepLines/>
      <w:keepNext/>
      <w:spacing w:before="320" w:after="200"/>
      <w:outlineLvl w:val="3"/>
    </w:pPr>
    <w:rPr>
      <w:rFonts w:ascii="Arial" w:hAnsi="Arial" w:eastAsia="Arial" w:cs="Arial"/>
      <w:b/>
      <w:bCs/>
      <w:sz w:val="26"/>
      <w:szCs w:val="26"/>
    </w:rPr>
  </w:style>
  <w:style w:type="character" w:styleId="929">
    <w:name w:val="Heading 4 Char"/>
    <w:link w:val="928"/>
    <w:uiPriority w:val="9"/>
    <w:rPr>
      <w:rFonts w:ascii="Arial" w:hAnsi="Arial" w:eastAsia="Arial" w:cs="Arial"/>
      <w:b/>
      <w:bCs/>
      <w:sz w:val="26"/>
      <w:szCs w:val="26"/>
    </w:rPr>
  </w:style>
  <w:style w:type="paragraph" w:styleId="930">
    <w:name w:val="Heading 5"/>
    <w:basedOn w:val="1098"/>
    <w:next w:val="1098"/>
    <w:link w:val="931"/>
    <w:uiPriority w:val="9"/>
    <w:unhideWhenUsed/>
    <w:qFormat/>
    <w:pPr>
      <w:keepLines/>
      <w:keepNext/>
      <w:spacing w:before="320" w:after="200"/>
      <w:outlineLvl w:val="4"/>
    </w:pPr>
    <w:rPr>
      <w:rFonts w:ascii="Arial" w:hAnsi="Arial" w:eastAsia="Arial" w:cs="Arial"/>
      <w:b/>
      <w:bCs/>
      <w:sz w:val="24"/>
      <w:szCs w:val="24"/>
    </w:rPr>
  </w:style>
  <w:style w:type="character" w:styleId="931">
    <w:name w:val="Heading 5 Char"/>
    <w:link w:val="930"/>
    <w:uiPriority w:val="9"/>
    <w:rPr>
      <w:rFonts w:ascii="Arial" w:hAnsi="Arial" w:eastAsia="Arial" w:cs="Arial"/>
      <w:b/>
      <w:bCs/>
      <w:sz w:val="24"/>
      <w:szCs w:val="24"/>
    </w:rPr>
  </w:style>
  <w:style w:type="paragraph" w:styleId="932">
    <w:name w:val="Heading 6"/>
    <w:basedOn w:val="1098"/>
    <w:next w:val="1098"/>
    <w:link w:val="933"/>
    <w:uiPriority w:val="9"/>
    <w:unhideWhenUsed/>
    <w:qFormat/>
    <w:pPr>
      <w:keepLines/>
      <w:keepNext/>
      <w:spacing w:before="320" w:after="200"/>
      <w:outlineLvl w:val="5"/>
    </w:pPr>
    <w:rPr>
      <w:rFonts w:ascii="Arial" w:hAnsi="Arial" w:eastAsia="Arial" w:cs="Arial"/>
      <w:b/>
      <w:bCs/>
      <w:sz w:val="22"/>
      <w:szCs w:val="22"/>
    </w:rPr>
  </w:style>
  <w:style w:type="character" w:styleId="933">
    <w:name w:val="Heading 6 Char"/>
    <w:link w:val="932"/>
    <w:uiPriority w:val="9"/>
    <w:rPr>
      <w:rFonts w:ascii="Arial" w:hAnsi="Arial" w:eastAsia="Arial" w:cs="Arial"/>
      <w:b/>
      <w:bCs/>
      <w:sz w:val="22"/>
      <w:szCs w:val="22"/>
    </w:rPr>
  </w:style>
  <w:style w:type="paragraph" w:styleId="934">
    <w:name w:val="Heading 7"/>
    <w:basedOn w:val="1098"/>
    <w:next w:val="1098"/>
    <w:link w:val="935"/>
    <w:uiPriority w:val="9"/>
    <w:unhideWhenUsed/>
    <w:qFormat/>
    <w:pPr>
      <w:keepLines/>
      <w:keepNext/>
      <w:spacing w:before="320" w:after="200"/>
      <w:outlineLvl w:val="6"/>
    </w:pPr>
    <w:rPr>
      <w:rFonts w:ascii="Arial" w:hAnsi="Arial" w:eastAsia="Arial" w:cs="Arial"/>
      <w:b/>
      <w:bCs/>
      <w:i/>
      <w:iCs/>
      <w:sz w:val="22"/>
      <w:szCs w:val="22"/>
    </w:rPr>
  </w:style>
  <w:style w:type="character" w:styleId="935">
    <w:name w:val="Heading 7 Char"/>
    <w:link w:val="934"/>
    <w:uiPriority w:val="9"/>
    <w:rPr>
      <w:rFonts w:ascii="Arial" w:hAnsi="Arial" w:eastAsia="Arial" w:cs="Arial"/>
      <w:b/>
      <w:bCs/>
      <w:i/>
      <w:iCs/>
      <w:sz w:val="22"/>
      <w:szCs w:val="22"/>
    </w:rPr>
  </w:style>
  <w:style w:type="paragraph" w:styleId="936">
    <w:name w:val="Heading 8"/>
    <w:basedOn w:val="1098"/>
    <w:next w:val="1098"/>
    <w:link w:val="937"/>
    <w:uiPriority w:val="9"/>
    <w:unhideWhenUsed/>
    <w:qFormat/>
    <w:pPr>
      <w:keepLines/>
      <w:keepNext/>
      <w:spacing w:before="320" w:after="200"/>
      <w:outlineLvl w:val="7"/>
    </w:pPr>
    <w:rPr>
      <w:rFonts w:ascii="Arial" w:hAnsi="Arial" w:eastAsia="Arial" w:cs="Arial"/>
      <w:i/>
      <w:iCs/>
      <w:sz w:val="22"/>
      <w:szCs w:val="22"/>
    </w:rPr>
  </w:style>
  <w:style w:type="character" w:styleId="937">
    <w:name w:val="Heading 8 Char"/>
    <w:link w:val="936"/>
    <w:uiPriority w:val="9"/>
    <w:rPr>
      <w:rFonts w:ascii="Arial" w:hAnsi="Arial" w:eastAsia="Arial" w:cs="Arial"/>
      <w:i/>
      <w:iCs/>
      <w:sz w:val="22"/>
      <w:szCs w:val="22"/>
    </w:rPr>
  </w:style>
  <w:style w:type="paragraph" w:styleId="938">
    <w:name w:val="Heading 9"/>
    <w:basedOn w:val="1098"/>
    <w:next w:val="1098"/>
    <w:link w:val="939"/>
    <w:uiPriority w:val="9"/>
    <w:unhideWhenUsed/>
    <w:qFormat/>
    <w:pPr>
      <w:keepLines/>
      <w:keepNext/>
      <w:spacing w:before="320" w:after="200"/>
      <w:outlineLvl w:val="8"/>
    </w:pPr>
    <w:rPr>
      <w:rFonts w:ascii="Arial" w:hAnsi="Arial" w:eastAsia="Arial" w:cs="Arial"/>
      <w:i/>
      <w:iCs/>
      <w:sz w:val="21"/>
      <w:szCs w:val="21"/>
    </w:rPr>
  </w:style>
  <w:style w:type="character" w:styleId="939">
    <w:name w:val="Heading 9 Char"/>
    <w:link w:val="938"/>
    <w:uiPriority w:val="9"/>
    <w:rPr>
      <w:rFonts w:ascii="Arial" w:hAnsi="Arial" w:eastAsia="Arial" w:cs="Arial"/>
      <w:i/>
      <w:iCs/>
      <w:sz w:val="21"/>
      <w:szCs w:val="21"/>
    </w:rPr>
  </w:style>
  <w:style w:type="paragraph" w:styleId="940">
    <w:name w:val="Title"/>
    <w:basedOn w:val="1098"/>
    <w:next w:val="1098"/>
    <w:link w:val="941"/>
    <w:uiPriority w:val="10"/>
    <w:qFormat/>
    <w:pPr>
      <w:contextualSpacing/>
      <w:spacing w:before="300" w:after="200"/>
    </w:pPr>
    <w:rPr>
      <w:sz w:val="48"/>
      <w:szCs w:val="48"/>
    </w:rPr>
  </w:style>
  <w:style w:type="character" w:styleId="941">
    <w:name w:val="Title Char"/>
    <w:link w:val="940"/>
    <w:uiPriority w:val="10"/>
    <w:rPr>
      <w:sz w:val="48"/>
      <w:szCs w:val="48"/>
    </w:rPr>
  </w:style>
  <w:style w:type="paragraph" w:styleId="942">
    <w:name w:val="Subtitle"/>
    <w:basedOn w:val="1098"/>
    <w:next w:val="1098"/>
    <w:link w:val="943"/>
    <w:uiPriority w:val="11"/>
    <w:qFormat/>
    <w:pPr>
      <w:spacing w:before="200" w:after="200"/>
    </w:pPr>
    <w:rPr>
      <w:sz w:val="24"/>
      <w:szCs w:val="24"/>
    </w:rPr>
  </w:style>
  <w:style w:type="character" w:styleId="943">
    <w:name w:val="Subtitle Char"/>
    <w:link w:val="942"/>
    <w:uiPriority w:val="11"/>
    <w:rPr>
      <w:sz w:val="24"/>
      <w:szCs w:val="24"/>
    </w:rPr>
  </w:style>
  <w:style w:type="paragraph" w:styleId="944">
    <w:name w:val="Quote"/>
    <w:basedOn w:val="1098"/>
    <w:next w:val="1098"/>
    <w:link w:val="945"/>
    <w:uiPriority w:val="29"/>
    <w:qFormat/>
    <w:pPr>
      <w:ind w:left="720" w:right="720"/>
    </w:pPr>
    <w:rPr>
      <w:i/>
    </w:rPr>
  </w:style>
  <w:style w:type="character" w:styleId="945">
    <w:name w:val="Quote Char"/>
    <w:link w:val="944"/>
    <w:uiPriority w:val="29"/>
    <w:rPr>
      <w:i/>
    </w:rPr>
  </w:style>
  <w:style w:type="paragraph" w:styleId="946">
    <w:name w:val="Intense Quote"/>
    <w:basedOn w:val="1098"/>
    <w:next w:val="1098"/>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name w:val="Intense Quote Char"/>
    <w:link w:val="946"/>
    <w:uiPriority w:val="30"/>
    <w:rPr>
      <w:i/>
    </w:rPr>
  </w:style>
  <w:style w:type="paragraph" w:styleId="948">
    <w:name w:val="Header"/>
    <w:basedOn w:val="1098"/>
    <w:link w:val="949"/>
    <w:uiPriority w:val="99"/>
    <w:unhideWhenUsed/>
    <w:pPr>
      <w:spacing w:after="0" w:line="240" w:lineRule="auto"/>
      <w:tabs>
        <w:tab w:val="center" w:pos="7143" w:leader="none"/>
        <w:tab w:val="right" w:pos="14287" w:leader="none"/>
      </w:tabs>
    </w:pPr>
  </w:style>
  <w:style w:type="character" w:styleId="949">
    <w:name w:val="Header Char"/>
    <w:link w:val="948"/>
    <w:uiPriority w:val="99"/>
  </w:style>
  <w:style w:type="paragraph" w:styleId="950">
    <w:name w:val="Footer"/>
    <w:basedOn w:val="1098"/>
    <w:link w:val="953"/>
    <w:uiPriority w:val="99"/>
    <w:unhideWhenUsed/>
    <w:pPr>
      <w:spacing w:after="0" w:line="240" w:lineRule="auto"/>
      <w:tabs>
        <w:tab w:val="center" w:pos="7143" w:leader="none"/>
        <w:tab w:val="right" w:pos="14287" w:leader="none"/>
      </w:tabs>
    </w:pPr>
  </w:style>
  <w:style w:type="character" w:styleId="951">
    <w:name w:val="Footer Char"/>
    <w:link w:val="950"/>
    <w:uiPriority w:val="99"/>
  </w:style>
  <w:style w:type="paragraph" w:styleId="952">
    <w:name w:val="Caption"/>
    <w:basedOn w:val="1098"/>
    <w:next w:val="1098"/>
    <w:uiPriority w:val="35"/>
    <w:semiHidden/>
    <w:unhideWhenUsed/>
    <w:qFormat/>
    <w:pPr>
      <w:spacing w:line="276" w:lineRule="auto"/>
    </w:pPr>
    <w:rPr>
      <w:b/>
      <w:bCs/>
      <w:color w:val="4f81bd" w:themeColor="accent1"/>
      <w:sz w:val="18"/>
      <w:szCs w:val="18"/>
    </w:rPr>
  </w:style>
  <w:style w:type="character" w:styleId="953">
    <w:name w:val="Caption Char"/>
    <w:basedOn w:val="952"/>
    <w:link w:val="950"/>
    <w:uiPriority w:val="99"/>
  </w:style>
  <w:style w:type="table" w:styleId="9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0">
    <w:name w:val="Hyperlink"/>
    <w:uiPriority w:val="99"/>
    <w:unhideWhenUsed/>
    <w:rPr>
      <w:color w:val="0000ff" w:themeColor="hyperlink"/>
      <w:u w:val="single"/>
    </w:rPr>
  </w:style>
  <w:style w:type="paragraph" w:styleId="1081">
    <w:name w:val="footnote text"/>
    <w:basedOn w:val="1098"/>
    <w:link w:val="1082"/>
    <w:uiPriority w:val="99"/>
    <w:semiHidden/>
    <w:unhideWhenUsed/>
    <w:pPr>
      <w:spacing w:after="40" w:line="240" w:lineRule="auto"/>
    </w:pPr>
    <w:rPr>
      <w:sz w:val="18"/>
    </w:rPr>
  </w:style>
  <w:style w:type="character" w:styleId="1082">
    <w:name w:val="Footnote Text Char"/>
    <w:link w:val="1081"/>
    <w:uiPriority w:val="99"/>
    <w:rPr>
      <w:sz w:val="18"/>
    </w:rPr>
  </w:style>
  <w:style w:type="character" w:styleId="1083">
    <w:name w:val="footnote reference"/>
    <w:uiPriority w:val="99"/>
    <w:unhideWhenUsed/>
    <w:rPr>
      <w:vertAlign w:val="superscript"/>
    </w:rPr>
  </w:style>
  <w:style w:type="paragraph" w:styleId="1084">
    <w:name w:val="endnote text"/>
    <w:basedOn w:val="1098"/>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uiPriority w:val="99"/>
    <w:semiHidden/>
    <w:unhideWhenUsed/>
    <w:rPr>
      <w:vertAlign w:val="superscript"/>
    </w:rPr>
  </w:style>
  <w:style w:type="paragraph" w:styleId="1087">
    <w:name w:val="toc 1"/>
    <w:basedOn w:val="1098"/>
    <w:next w:val="1098"/>
    <w:uiPriority w:val="39"/>
    <w:unhideWhenUsed/>
    <w:pPr>
      <w:ind w:left="0" w:right="0" w:firstLine="0"/>
      <w:spacing w:after="57"/>
    </w:pPr>
  </w:style>
  <w:style w:type="paragraph" w:styleId="1088">
    <w:name w:val="toc 2"/>
    <w:basedOn w:val="1098"/>
    <w:next w:val="1098"/>
    <w:uiPriority w:val="39"/>
    <w:unhideWhenUsed/>
    <w:pPr>
      <w:ind w:left="283" w:right="0" w:firstLine="0"/>
      <w:spacing w:after="57"/>
    </w:pPr>
  </w:style>
  <w:style w:type="paragraph" w:styleId="1089">
    <w:name w:val="toc 3"/>
    <w:basedOn w:val="1098"/>
    <w:next w:val="1098"/>
    <w:uiPriority w:val="39"/>
    <w:unhideWhenUsed/>
    <w:pPr>
      <w:ind w:left="567" w:right="0" w:firstLine="0"/>
      <w:spacing w:after="57"/>
    </w:pPr>
  </w:style>
  <w:style w:type="paragraph" w:styleId="1090">
    <w:name w:val="toc 4"/>
    <w:basedOn w:val="1098"/>
    <w:next w:val="1098"/>
    <w:uiPriority w:val="39"/>
    <w:unhideWhenUsed/>
    <w:pPr>
      <w:ind w:left="850" w:right="0" w:firstLine="0"/>
      <w:spacing w:after="57"/>
    </w:pPr>
  </w:style>
  <w:style w:type="paragraph" w:styleId="1091">
    <w:name w:val="toc 5"/>
    <w:basedOn w:val="1098"/>
    <w:next w:val="1098"/>
    <w:uiPriority w:val="39"/>
    <w:unhideWhenUsed/>
    <w:pPr>
      <w:ind w:left="1134" w:right="0" w:firstLine="0"/>
      <w:spacing w:after="57"/>
    </w:pPr>
  </w:style>
  <w:style w:type="paragraph" w:styleId="1092">
    <w:name w:val="toc 6"/>
    <w:basedOn w:val="1098"/>
    <w:next w:val="1098"/>
    <w:uiPriority w:val="39"/>
    <w:unhideWhenUsed/>
    <w:pPr>
      <w:ind w:left="1417" w:right="0" w:firstLine="0"/>
      <w:spacing w:after="57"/>
    </w:pPr>
  </w:style>
  <w:style w:type="paragraph" w:styleId="1093">
    <w:name w:val="toc 7"/>
    <w:basedOn w:val="1098"/>
    <w:next w:val="1098"/>
    <w:uiPriority w:val="39"/>
    <w:unhideWhenUsed/>
    <w:pPr>
      <w:ind w:left="1701" w:right="0" w:firstLine="0"/>
      <w:spacing w:after="57"/>
    </w:pPr>
  </w:style>
  <w:style w:type="paragraph" w:styleId="1094">
    <w:name w:val="toc 8"/>
    <w:basedOn w:val="1098"/>
    <w:next w:val="1098"/>
    <w:uiPriority w:val="39"/>
    <w:unhideWhenUsed/>
    <w:pPr>
      <w:ind w:left="1984" w:right="0" w:firstLine="0"/>
      <w:spacing w:after="57"/>
    </w:pPr>
  </w:style>
  <w:style w:type="paragraph" w:styleId="1095">
    <w:name w:val="toc 9"/>
    <w:basedOn w:val="1098"/>
    <w:next w:val="1098"/>
    <w:uiPriority w:val="39"/>
    <w:unhideWhenUsed/>
    <w:pPr>
      <w:ind w:left="2268" w:right="0" w:firstLine="0"/>
      <w:spacing w:after="57"/>
    </w:pPr>
  </w:style>
  <w:style w:type="paragraph" w:styleId="1096">
    <w:name w:val="TOC Heading"/>
    <w:uiPriority w:val="39"/>
    <w:unhideWhenUsed/>
  </w:style>
  <w:style w:type="paragraph" w:styleId="1097">
    <w:name w:val="table of figures"/>
    <w:basedOn w:val="1098"/>
    <w:next w:val="1098"/>
    <w:uiPriority w:val="99"/>
    <w:unhideWhenUsed/>
    <w:pPr>
      <w:spacing w:after="0" w:afterAutospacing="0"/>
    </w:pPr>
  </w:style>
  <w:style w:type="paragraph" w:styleId="1098" w:default="1">
    <w:name w:val="Normal"/>
    <w:next w:val="1098"/>
    <w:link w:val="1098"/>
    <w:qFormat/>
    <w:pPr>
      <w:jc w:val="both"/>
      <w:widowControl w:val="off"/>
    </w:pPr>
    <w:rPr>
      <w:rFonts w:eastAsia="微软雅黑"/>
      <w:sz w:val="21"/>
      <w:szCs w:val="22"/>
      <w:lang w:val="en-US" w:eastAsia="zh-CN" w:bidi="ar-SA"/>
    </w:rPr>
  </w:style>
  <w:style w:type="paragraph" w:styleId="1099">
    <w:name w:val="标题 1"/>
    <w:basedOn w:val="1098"/>
    <w:next w:val="1098"/>
    <w:link w:val="1106"/>
    <w:qFormat/>
    <w:pPr>
      <w:jc w:val="center"/>
      <w:keepLines/>
      <w:keepNext/>
      <w:spacing w:before="340" w:after="330"/>
      <w:outlineLvl w:val="0"/>
    </w:pPr>
    <w:rPr>
      <w:rFonts w:ascii="Calibri" w:hAnsi="Calibri"/>
      <w:b/>
      <w:bCs/>
      <w:sz w:val="32"/>
      <w:szCs w:val="44"/>
    </w:rPr>
  </w:style>
  <w:style w:type="paragraph" w:styleId="1100">
    <w:name w:val="标题 2"/>
    <w:basedOn w:val="1098"/>
    <w:next w:val="1098"/>
    <w:link w:val="1107"/>
    <w:qFormat/>
    <w:pPr>
      <w:jc w:val="center"/>
      <w:keepLines/>
      <w:keepNext/>
      <w:spacing w:before="260" w:after="260"/>
      <w:outlineLvl w:val="1"/>
    </w:pPr>
    <w:rPr>
      <w:rFonts w:ascii="Cambria" w:hAnsi="Cambria"/>
      <w:b/>
      <w:bCs/>
      <w:sz w:val="28"/>
      <w:szCs w:val="32"/>
    </w:rPr>
  </w:style>
  <w:style w:type="paragraph" w:styleId="1101">
    <w:name w:val="标题 3"/>
    <w:basedOn w:val="1098"/>
    <w:next w:val="1098"/>
    <w:link w:val="1108"/>
    <w:qFormat/>
    <w:pPr>
      <w:jc w:val="center"/>
      <w:keepLines/>
      <w:keepNext/>
      <w:spacing w:before="260" w:after="260" w:line="416" w:lineRule="auto"/>
      <w:outlineLvl w:val="2"/>
    </w:pPr>
    <w:rPr>
      <w:rFonts w:ascii="Calibri" w:hAnsi="Calibri"/>
      <w:bCs/>
      <w:sz w:val="28"/>
      <w:szCs w:val="32"/>
    </w:rPr>
  </w:style>
  <w:style w:type="paragraph" w:styleId="1102">
    <w:name w:val="标题 4"/>
    <w:basedOn w:val="1098"/>
    <w:next w:val="1098"/>
    <w:link w:val="1109"/>
    <w:qFormat/>
    <w:pPr>
      <w:keepLines/>
      <w:keepNext/>
      <w:spacing w:line="360" w:lineRule="auto"/>
      <w:outlineLvl w:val="3"/>
    </w:pPr>
    <w:rPr>
      <w:rFonts w:ascii="Arial" w:hAnsi="Arial" w:eastAsia="宋体"/>
      <w:b/>
      <w:bCs/>
      <w:sz w:val="24"/>
      <w:szCs w:val="28"/>
    </w:rPr>
  </w:style>
  <w:style w:type="paragraph" w:styleId="1103">
    <w:name w:val="标题 5"/>
    <w:basedOn w:val="1098"/>
    <w:next w:val="1098"/>
    <w:link w:val="1110"/>
    <w:qFormat/>
    <w:pPr>
      <w:keepLines/>
      <w:keepNext/>
      <w:spacing w:before="280" w:after="290" w:line="376" w:lineRule="auto"/>
      <w:outlineLvl w:val="4"/>
    </w:pPr>
    <w:rPr>
      <w:rFonts w:ascii="Calibri" w:hAnsi="Calibri" w:eastAsia="宋体"/>
      <w:b/>
      <w:bCs/>
      <w:sz w:val="28"/>
      <w:szCs w:val="28"/>
    </w:rPr>
  </w:style>
  <w:style w:type="character" w:styleId="1104">
    <w:name w:val="默认段落字体"/>
    <w:next w:val="1104"/>
    <w:link w:val="1098"/>
    <w:uiPriority w:val="1"/>
    <w:unhideWhenUsed/>
  </w:style>
  <w:style w:type="table" w:styleId="1105">
    <w:name w:val="普通表格"/>
    <w:next w:val="1105"/>
    <w:link w:val="1098"/>
    <w:uiPriority w:val="99"/>
    <w:unhideWhenUsed/>
    <w:tblPr/>
  </w:style>
  <w:style w:type="character" w:styleId="1106">
    <w:name w:val="标题 1 字符"/>
    <w:next w:val="1106"/>
    <w:link w:val="1099"/>
    <w:qFormat/>
    <w:rPr>
      <w:rFonts w:ascii="Calibri" w:hAnsi="Calibri" w:eastAsia="微软雅黑"/>
      <w:b/>
      <w:bCs/>
      <w:sz w:val="32"/>
      <w:szCs w:val="44"/>
    </w:rPr>
  </w:style>
  <w:style w:type="character" w:styleId="1107">
    <w:name w:val="标题 2 字符"/>
    <w:next w:val="1107"/>
    <w:link w:val="1100"/>
    <w:qFormat/>
    <w:rPr>
      <w:rFonts w:ascii="Cambria" w:hAnsi="Cambria" w:eastAsia="微软雅黑" w:cs="Times New Roman"/>
      <w:b/>
      <w:bCs/>
      <w:sz w:val="28"/>
      <w:szCs w:val="32"/>
    </w:rPr>
  </w:style>
  <w:style w:type="character" w:styleId="1108">
    <w:name w:val="标题 3 字符"/>
    <w:next w:val="1108"/>
    <w:link w:val="1101"/>
    <w:qFormat/>
    <w:rPr>
      <w:rFonts w:ascii="Calibri" w:hAnsi="Calibri" w:eastAsia="微软雅黑" w:cs="Times New Roman"/>
      <w:bCs/>
      <w:sz w:val="28"/>
      <w:szCs w:val="32"/>
    </w:rPr>
  </w:style>
  <w:style w:type="character" w:styleId="1109">
    <w:name w:val="标题 4 字符"/>
    <w:next w:val="1109"/>
    <w:link w:val="1102"/>
    <w:qFormat/>
    <w:rPr>
      <w:rFonts w:ascii="Arial" w:hAnsi="Arial"/>
      <w:b/>
      <w:bCs/>
      <w:sz w:val="24"/>
      <w:szCs w:val="28"/>
    </w:rPr>
  </w:style>
  <w:style w:type="character" w:styleId="1110">
    <w:name w:val="标题 5 字符"/>
    <w:next w:val="1110"/>
    <w:link w:val="1103"/>
    <w:qFormat/>
    <w:rPr>
      <w:rFonts w:ascii="Calibri" w:hAnsi="Calibri"/>
      <w:b/>
      <w:bCs/>
      <w:sz w:val="28"/>
      <w:szCs w:val="28"/>
    </w:rPr>
  </w:style>
  <w:style w:type="paragraph" w:styleId="1111">
    <w:name w:val="目录 7"/>
    <w:basedOn w:val="1098"/>
    <w:next w:val="1098"/>
    <w:link w:val="1098"/>
    <w:qFormat/>
    <w:pPr>
      <w:ind w:left="2520"/>
    </w:pPr>
    <w:rPr>
      <w:szCs w:val="24"/>
    </w:rPr>
  </w:style>
  <w:style w:type="paragraph" w:styleId="1112">
    <w:name w:val="正文缩进"/>
    <w:basedOn w:val="1098"/>
    <w:next w:val="1098"/>
    <w:link w:val="1098"/>
    <w:uiPriority w:val="99"/>
    <w:qFormat/>
    <w:pPr>
      <w:ind w:firstLine="420"/>
      <w:jc w:val="left"/>
      <w:spacing w:line="360" w:lineRule="atLeast"/>
    </w:pPr>
    <w:rPr>
      <w:rFonts w:eastAsia="宋体"/>
      <w:szCs w:val="21"/>
    </w:rPr>
  </w:style>
  <w:style w:type="paragraph" w:styleId="1113">
    <w:name w:val="题注"/>
    <w:basedOn w:val="1098"/>
    <w:next w:val="1098"/>
    <w:link w:val="1098"/>
    <w:uiPriority w:val="35"/>
    <w:qFormat/>
    <w:rPr>
      <w:rFonts w:ascii="Cambria" w:hAnsi="Cambria" w:eastAsia="黑体"/>
      <w:sz w:val="20"/>
      <w:szCs w:val="20"/>
    </w:rPr>
  </w:style>
  <w:style w:type="paragraph" w:styleId="1114">
    <w:name w:val="列表项目符号"/>
    <w:basedOn w:val="1098"/>
    <w:next w:val="1114"/>
    <w:link w:val="1098"/>
    <w:qFormat/>
    <w:pPr>
      <w:numPr>
        <w:ilvl w:val="0"/>
        <w:numId w:val="1"/>
      </w:numPr>
      <w:spacing w:line="360" w:lineRule="atLeast"/>
      <w:tabs>
        <w:tab w:val="left" w:pos="360" w:leader="none"/>
        <w:tab w:val="left" w:pos="990" w:leader="none"/>
      </w:tabs>
    </w:pPr>
    <w:rPr>
      <w:rFonts w:ascii="Arial" w:hAnsi="Arial"/>
      <w:szCs w:val="21"/>
    </w:rPr>
  </w:style>
  <w:style w:type="paragraph" w:styleId="1115">
    <w:name w:val="文档结构图"/>
    <w:basedOn w:val="1098"/>
    <w:next w:val="1115"/>
    <w:link w:val="1116"/>
    <w:qFormat/>
    <w:rPr>
      <w:rFonts w:ascii="宋体" w:eastAsia="宋体"/>
      <w:sz w:val="18"/>
      <w:szCs w:val="18"/>
    </w:rPr>
  </w:style>
  <w:style w:type="character" w:styleId="1116">
    <w:name w:val="文档结构图 字符"/>
    <w:next w:val="1116"/>
    <w:link w:val="1115"/>
    <w:qFormat/>
    <w:rPr>
      <w:rFonts w:ascii="宋体"/>
      <w:sz w:val="18"/>
      <w:szCs w:val="18"/>
    </w:rPr>
  </w:style>
  <w:style w:type="paragraph" w:styleId="1117">
    <w:name w:val="批注文字"/>
    <w:basedOn w:val="1098"/>
    <w:next w:val="1117"/>
    <w:link w:val="1118"/>
    <w:qFormat/>
    <w:pPr>
      <w:jc w:val="left"/>
    </w:pPr>
    <w:rPr>
      <w:rFonts w:eastAsia="宋体"/>
      <w:sz w:val="20"/>
      <w:szCs w:val="21"/>
    </w:rPr>
  </w:style>
  <w:style w:type="character" w:styleId="1118">
    <w:name w:val="批注文字 字符1"/>
    <w:next w:val="1118"/>
    <w:link w:val="1117"/>
    <w:semiHidden/>
    <w:qFormat/>
    <w:rPr>
      <w:rFonts w:ascii="Times New Roman" w:hAnsi="Times New Roman" w:eastAsia="宋体" w:cs="Times New Roman"/>
      <w:szCs w:val="21"/>
    </w:rPr>
  </w:style>
  <w:style w:type="paragraph" w:styleId="1119">
    <w:name w:val="正文文本"/>
    <w:basedOn w:val="1098"/>
    <w:next w:val="1121"/>
    <w:link w:val="1120"/>
    <w:qFormat/>
    <w:rPr>
      <w:rFonts w:ascii="仿宋_GB2312" w:hAnsi="宋体" w:eastAsia="仿宋_GB2312"/>
      <w:sz w:val="24"/>
      <w:szCs w:val="24"/>
    </w:rPr>
  </w:style>
  <w:style w:type="character" w:styleId="1120">
    <w:name w:val="正文文本 字符1"/>
    <w:next w:val="1120"/>
    <w:link w:val="1119"/>
    <w:qFormat/>
    <w:rPr>
      <w:rFonts w:ascii="仿宋_GB2312" w:hAnsi="宋体" w:eastAsia="仿宋_GB2312" w:cs="仿宋_GB2312"/>
      <w:sz w:val="24"/>
      <w:szCs w:val="24"/>
    </w:rPr>
  </w:style>
  <w:style w:type="paragraph" w:styleId="1121">
    <w:name w:val="正文文本 2"/>
    <w:basedOn w:val="1098"/>
    <w:next w:val="1121"/>
    <w:link w:val="1098"/>
    <w:qFormat/>
    <w:pPr>
      <w:jc w:val="both"/>
      <w:spacing w:after="0"/>
      <w:widowControl w:val="off"/>
    </w:pPr>
    <w:rPr>
      <w:rFonts w:ascii="华文细黑" w:hAnsi="华文细黑" w:eastAsia="华文细黑" w:cs="Times New Roman"/>
      <w:b/>
      <w:bCs/>
      <w:sz w:val="24"/>
      <w:szCs w:val="20"/>
    </w:rPr>
  </w:style>
  <w:style w:type="paragraph" w:styleId="1122">
    <w:name w:val="正文文本缩进"/>
    <w:basedOn w:val="1098"/>
    <w:next w:val="1122"/>
    <w:link w:val="1123"/>
    <w:qFormat/>
    <w:pPr>
      <w:ind w:firstLine="403"/>
      <w:spacing w:line="440" w:lineRule="exact"/>
    </w:pPr>
    <w:rPr>
      <w:rFonts w:ascii="宋体" w:hAnsi="宋体" w:eastAsia="宋体"/>
      <w:sz w:val="20"/>
      <w:szCs w:val="21"/>
    </w:rPr>
  </w:style>
  <w:style w:type="character" w:styleId="1123">
    <w:name w:val="正文文本缩进 字符"/>
    <w:next w:val="1123"/>
    <w:link w:val="1122"/>
    <w:qFormat/>
    <w:rPr>
      <w:rFonts w:ascii="宋体" w:hAnsi="宋体" w:eastAsia="宋体" w:cs="宋体"/>
      <w:szCs w:val="21"/>
    </w:rPr>
  </w:style>
  <w:style w:type="paragraph" w:styleId="1124">
    <w:name w:val="文本块"/>
    <w:basedOn w:val="1098"/>
    <w:next w:val="1124"/>
    <w:link w:val="1098"/>
    <w:uiPriority w:val="99"/>
    <w:unhideWhenUsed/>
    <w:qFormat/>
    <w:pPr>
      <w:ind w:left="1440" w:right="1440"/>
      <w:spacing w:after="120"/>
    </w:pPr>
  </w:style>
  <w:style w:type="paragraph" w:styleId="1125">
    <w:name w:val="索引 4"/>
    <w:basedOn w:val="1098"/>
    <w:next w:val="1098"/>
    <w:link w:val="1098"/>
    <w:unhideWhenUsed/>
    <w:qFormat/>
    <w:pPr>
      <w:ind w:left="600"/>
    </w:pPr>
    <w:rPr>
      <w:rFonts w:ascii="Verdana" w:hAnsi="Verdana"/>
      <w:szCs w:val="20"/>
    </w:rPr>
  </w:style>
  <w:style w:type="paragraph" w:styleId="1126">
    <w:name w:val="目录 5"/>
    <w:basedOn w:val="1098"/>
    <w:next w:val="1098"/>
    <w:link w:val="1098"/>
    <w:qFormat/>
    <w:pPr>
      <w:ind w:left="1680"/>
    </w:pPr>
    <w:rPr>
      <w:szCs w:val="24"/>
    </w:rPr>
  </w:style>
  <w:style w:type="paragraph" w:styleId="1127">
    <w:name w:val="目录 3"/>
    <w:basedOn w:val="1098"/>
    <w:next w:val="1098"/>
    <w:link w:val="1098"/>
    <w:uiPriority w:val="39"/>
    <w:unhideWhenUsed/>
    <w:qFormat/>
    <w:pPr>
      <w:ind w:left="840"/>
    </w:pPr>
    <w:rPr>
      <w:rFonts w:ascii="Calibri" w:hAnsi="Calibri" w:eastAsia="宋体"/>
    </w:rPr>
  </w:style>
  <w:style w:type="paragraph" w:styleId="1128">
    <w:name w:val="纯文本"/>
    <w:basedOn w:val="1098"/>
    <w:next w:val="1128"/>
    <w:link w:val="1129"/>
    <w:qFormat/>
    <w:rPr>
      <w:rFonts w:ascii="宋体" w:hAnsi="Courier New" w:eastAsia="宋体"/>
      <w:sz w:val="28"/>
      <w:szCs w:val="28"/>
    </w:rPr>
  </w:style>
  <w:style w:type="character" w:styleId="1129">
    <w:name w:val="纯文本 字符"/>
    <w:next w:val="1129"/>
    <w:link w:val="1128"/>
    <w:qFormat/>
    <w:rPr>
      <w:rFonts w:ascii="宋体" w:hAnsi="Courier New" w:eastAsia="宋体" w:cs="宋体"/>
      <w:sz w:val="28"/>
      <w:szCs w:val="28"/>
    </w:rPr>
  </w:style>
  <w:style w:type="paragraph" w:styleId="1130">
    <w:name w:val="目录 8"/>
    <w:basedOn w:val="1098"/>
    <w:next w:val="1098"/>
    <w:link w:val="1098"/>
    <w:qFormat/>
    <w:pPr>
      <w:ind w:left="2940"/>
    </w:pPr>
    <w:rPr>
      <w:szCs w:val="24"/>
    </w:rPr>
  </w:style>
  <w:style w:type="paragraph" w:styleId="1131">
    <w:name w:val="日期"/>
    <w:basedOn w:val="1098"/>
    <w:next w:val="1098"/>
    <w:link w:val="1132"/>
    <w:qFormat/>
    <w:pPr>
      <w:ind w:left="100"/>
    </w:pPr>
    <w:rPr>
      <w:rFonts w:eastAsia="宋体"/>
      <w:sz w:val="20"/>
      <w:szCs w:val="21"/>
    </w:rPr>
  </w:style>
  <w:style w:type="character" w:styleId="1132">
    <w:name w:val="日期 字符"/>
    <w:next w:val="1132"/>
    <w:link w:val="1131"/>
    <w:qFormat/>
    <w:rPr>
      <w:rFonts w:ascii="Times New Roman" w:hAnsi="Times New Roman" w:eastAsia="宋体" w:cs="Times New Roman"/>
      <w:szCs w:val="21"/>
    </w:rPr>
  </w:style>
  <w:style w:type="paragraph" w:styleId="1133">
    <w:name w:val="正文文本缩进 2"/>
    <w:basedOn w:val="1098"/>
    <w:next w:val="1133"/>
    <w:link w:val="1134"/>
    <w:qFormat/>
    <w:pPr>
      <w:ind w:firstLine="420"/>
      <w:spacing w:line="440" w:lineRule="exact"/>
    </w:pPr>
    <w:rPr>
      <w:rFonts w:ascii="宋体" w:hAnsi="宋体" w:eastAsia="宋体"/>
      <w:sz w:val="20"/>
      <w:szCs w:val="21"/>
    </w:rPr>
  </w:style>
  <w:style w:type="character" w:styleId="1134">
    <w:name w:val="正文文本缩进 2 字符"/>
    <w:next w:val="1134"/>
    <w:link w:val="1133"/>
    <w:qFormat/>
    <w:rPr>
      <w:rFonts w:ascii="宋体" w:hAnsi="宋体" w:eastAsia="宋体" w:cs="宋体"/>
      <w:szCs w:val="21"/>
    </w:rPr>
  </w:style>
  <w:style w:type="paragraph" w:styleId="1135">
    <w:name w:val="批注框文本"/>
    <w:basedOn w:val="1098"/>
    <w:next w:val="1135"/>
    <w:link w:val="1136"/>
    <w:semiHidden/>
    <w:qFormat/>
    <w:rPr>
      <w:rFonts w:eastAsia="宋体"/>
      <w:sz w:val="18"/>
      <w:szCs w:val="18"/>
    </w:rPr>
  </w:style>
  <w:style w:type="character" w:styleId="1136">
    <w:name w:val="批注框文本 字符"/>
    <w:next w:val="1136"/>
    <w:link w:val="1135"/>
    <w:semiHidden/>
    <w:qFormat/>
    <w:rPr>
      <w:rFonts w:ascii="Times New Roman" w:hAnsi="Times New Roman" w:eastAsia="宋体" w:cs="Times New Roman"/>
      <w:sz w:val="18"/>
      <w:szCs w:val="18"/>
    </w:rPr>
  </w:style>
  <w:style w:type="paragraph" w:styleId="1137">
    <w:name w:val="页脚"/>
    <w:basedOn w:val="1098"/>
    <w:next w:val="1137"/>
    <w:link w:val="1138"/>
    <w:uiPriority w:val="99"/>
    <w:unhideWhenUsed/>
    <w:qFormat/>
    <w:pPr>
      <w:jc w:val="left"/>
      <w:tabs>
        <w:tab w:val="center" w:pos="4153" w:leader="none"/>
        <w:tab w:val="right" w:pos="8306" w:leader="none"/>
      </w:tabs>
    </w:pPr>
    <w:rPr>
      <w:rFonts w:ascii="宋体" w:eastAsia="宋体"/>
      <w:sz w:val="18"/>
      <w:szCs w:val="18"/>
    </w:rPr>
  </w:style>
  <w:style w:type="character" w:styleId="1138">
    <w:name w:val="页脚 字符"/>
    <w:next w:val="1138"/>
    <w:link w:val="1137"/>
    <w:uiPriority w:val="99"/>
    <w:qFormat/>
    <w:rPr>
      <w:rFonts w:ascii="宋体" w:hAnsi="Times New Roman" w:eastAsia="宋体" w:cs="Times New Roman"/>
      <w:sz w:val="18"/>
      <w:szCs w:val="18"/>
    </w:rPr>
  </w:style>
  <w:style w:type="paragraph" w:styleId="1139">
    <w:name w:val="寄信人地址"/>
    <w:basedOn w:val="1098"/>
    <w:next w:val="1139"/>
    <w:link w:val="1098"/>
    <w:qFormat/>
    <w:rPr>
      <w:rFonts w:ascii="Arial" w:hAnsi="Arial" w:eastAsia="宋体" w:cs="Times New Roman"/>
    </w:rPr>
  </w:style>
  <w:style w:type="paragraph" w:styleId="1140">
    <w:name w:val="页眉"/>
    <w:basedOn w:val="1098"/>
    <w:next w:val="1140"/>
    <w:link w:val="1141"/>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41">
    <w:name w:val="页眉 字符"/>
    <w:next w:val="1141"/>
    <w:link w:val="1140"/>
    <w:uiPriority w:val="99"/>
    <w:qFormat/>
    <w:rPr>
      <w:rFonts w:ascii="宋体" w:hAnsi="Times New Roman" w:eastAsia="宋体" w:cs="Times New Roman"/>
      <w:sz w:val="18"/>
      <w:szCs w:val="18"/>
    </w:rPr>
  </w:style>
  <w:style w:type="paragraph" w:styleId="1142">
    <w:name w:val="目录 1"/>
    <w:basedOn w:val="1098"/>
    <w:next w:val="1098"/>
    <w:link w:val="1098"/>
    <w:uiPriority w:val="39"/>
    <w:unhideWhenUsed/>
    <w:qFormat/>
    <w:rPr>
      <w:rFonts w:ascii="Calibri" w:hAnsi="Calibri" w:eastAsia="宋体"/>
    </w:rPr>
  </w:style>
  <w:style w:type="paragraph" w:styleId="1143">
    <w:name w:val="目录 4"/>
    <w:basedOn w:val="1098"/>
    <w:next w:val="1098"/>
    <w:link w:val="1098"/>
    <w:qFormat/>
    <w:pPr>
      <w:ind w:left="1260"/>
    </w:pPr>
    <w:rPr>
      <w:szCs w:val="24"/>
    </w:rPr>
  </w:style>
  <w:style w:type="paragraph" w:styleId="1144">
    <w:name w:val="目录 6"/>
    <w:basedOn w:val="1098"/>
    <w:next w:val="1098"/>
    <w:link w:val="1098"/>
    <w:qFormat/>
    <w:pPr>
      <w:ind w:left="2100"/>
    </w:pPr>
    <w:rPr>
      <w:szCs w:val="24"/>
    </w:rPr>
  </w:style>
  <w:style w:type="paragraph" w:styleId="1145">
    <w:name w:val="目录 2"/>
    <w:basedOn w:val="1098"/>
    <w:next w:val="1098"/>
    <w:link w:val="1098"/>
    <w:uiPriority w:val="39"/>
    <w:unhideWhenUsed/>
    <w:qFormat/>
    <w:pPr>
      <w:ind w:left="420"/>
    </w:pPr>
    <w:rPr>
      <w:rFonts w:ascii="Calibri" w:hAnsi="Calibri" w:eastAsia="宋体"/>
    </w:rPr>
  </w:style>
  <w:style w:type="paragraph" w:styleId="1146">
    <w:name w:val="目录 9"/>
    <w:basedOn w:val="1098"/>
    <w:next w:val="1098"/>
    <w:link w:val="1098"/>
    <w:qFormat/>
    <w:pPr>
      <w:ind w:left="3360"/>
    </w:pPr>
    <w:rPr>
      <w:szCs w:val="24"/>
    </w:rPr>
  </w:style>
  <w:style w:type="paragraph" w:styleId="1147">
    <w:name w:val="普通(网站)"/>
    <w:basedOn w:val="1098"/>
    <w:next w:val="1147"/>
    <w:link w:val="1098"/>
    <w:unhideWhenUsed/>
    <w:qFormat/>
    <w:pPr>
      <w:jc w:val="left"/>
      <w:spacing w:before="100" w:beforeAutospacing="1" w:after="100" w:afterAutospacing="1"/>
      <w:widowControl/>
    </w:pPr>
    <w:rPr>
      <w:rFonts w:ascii="宋体" w:hAnsi="宋体" w:eastAsia="宋体" w:cs="宋体"/>
      <w:sz w:val="24"/>
      <w:szCs w:val="24"/>
    </w:rPr>
  </w:style>
  <w:style w:type="paragraph" w:styleId="1148">
    <w:name w:val="批注主题"/>
    <w:basedOn w:val="1117"/>
    <w:next w:val="1117"/>
    <w:link w:val="1149"/>
    <w:uiPriority w:val="99"/>
    <w:unhideWhenUsed/>
    <w:qFormat/>
    <w:rPr>
      <w:b/>
      <w:bCs/>
      <w:sz w:val="21"/>
      <w:szCs w:val="22"/>
    </w:rPr>
  </w:style>
  <w:style w:type="character" w:styleId="1149">
    <w:name w:val="批注主题 字符"/>
    <w:next w:val="1149"/>
    <w:link w:val="1148"/>
    <w:uiPriority w:val="99"/>
    <w:semiHidden/>
    <w:qFormat/>
    <w:rPr>
      <w:rFonts w:ascii="Times New Roman" w:hAnsi="Times New Roman" w:eastAsia="宋体" w:cs="Times New Roman"/>
      <w:b/>
      <w:bCs/>
      <w:sz w:val="21"/>
      <w:szCs w:val="22"/>
    </w:rPr>
  </w:style>
  <w:style w:type="paragraph" w:styleId="1150">
    <w:name w:val="正文首行缩进"/>
    <w:basedOn w:val="1119"/>
    <w:next w:val="1098"/>
    <w:link w:val="1151"/>
    <w:uiPriority w:val="99"/>
    <w:unhideWhenUsed/>
    <w:qFormat/>
    <w:pPr>
      <w:ind w:firstLine="420"/>
      <w:spacing w:after="120"/>
    </w:pPr>
    <w:rPr>
      <w:rFonts w:ascii="Times New Roman" w:hAnsi="Times New Roman"/>
      <w:sz w:val="21"/>
      <w:szCs w:val="22"/>
    </w:rPr>
  </w:style>
  <w:style w:type="character" w:styleId="1151">
    <w:name w:val="正文文本首行缩进 字符"/>
    <w:next w:val="1151"/>
    <w:link w:val="1150"/>
    <w:uiPriority w:val="99"/>
    <w:qFormat/>
    <w:rPr>
      <w:rFonts w:ascii="Times New Roman" w:hAnsi="Times New Roman" w:eastAsia="仿宋_GB2312" w:cs="仿宋_GB2312"/>
      <w:sz w:val="21"/>
      <w:szCs w:val="22"/>
    </w:rPr>
  </w:style>
  <w:style w:type="table" w:styleId="1152">
    <w:name w:val="网格型"/>
    <w:basedOn w:val="1105"/>
    <w:next w:val="1152"/>
    <w:link w:val="1098"/>
    <w:uiPriority w:val="39"/>
    <w:qFormat/>
    <w:tblPr/>
  </w:style>
  <w:style w:type="character" w:styleId="1153">
    <w:name w:val="要点"/>
    <w:next w:val="1153"/>
    <w:link w:val="1098"/>
    <w:qFormat/>
    <w:rPr>
      <w:b/>
      <w:bCs/>
    </w:rPr>
  </w:style>
  <w:style w:type="character" w:styleId="1154">
    <w:name w:val="页码"/>
    <w:next w:val="1154"/>
    <w:link w:val="1098"/>
    <w:qFormat/>
  </w:style>
  <w:style w:type="character" w:styleId="1155">
    <w:name w:val="已访问的超链接"/>
    <w:next w:val="1155"/>
    <w:link w:val="1098"/>
    <w:uiPriority w:val="99"/>
    <w:qFormat/>
    <w:rPr>
      <w:color w:val="000000"/>
      <w:sz w:val="18"/>
      <w:szCs w:val="18"/>
      <w:u w:val="none"/>
    </w:rPr>
  </w:style>
  <w:style w:type="character" w:styleId="1156">
    <w:name w:val="强调"/>
    <w:next w:val="1156"/>
    <w:link w:val="1098"/>
    <w:uiPriority w:val="20"/>
    <w:qFormat/>
    <w:rPr>
      <w:i/>
      <w:iCs/>
    </w:rPr>
  </w:style>
  <w:style w:type="character" w:styleId="1157">
    <w:name w:val="超链接"/>
    <w:basedOn w:val="1104"/>
    <w:next w:val="1157"/>
    <w:link w:val="1098"/>
    <w:uiPriority w:val="99"/>
    <w:qFormat/>
    <w:rPr>
      <w:color w:val="000000"/>
      <w:sz w:val="18"/>
      <w:szCs w:val="18"/>
      <w:u w:val="none"/>
    </w:rPr>
  </w:style>
  <w:style w:type="character" w:styleId="1158">
    <w:name w:val="批注引用"/>
    <w:next w:val="1158"/>
    <w:link w:val="1098"/>
    <w:qFormat/>
    <w:rPr>
      <w:sz w:val="21"/>
      <w:szCs w:val="21"/>
    </w:rPr>
  </w:style>
  <w:style w:type="paragraph" w:styleId="1159">
    <w:name w:val="一级条标题"/>
    <w:basedOn w:val="1160"/>
    <w:next w:val="1161"/>
    <w:link w:val="1098"/>
    <w:qFormat/>
    <w:pPr>
      <w:outlineLvl w:val="2"/>
    </w:pPr>
    <w:rPr>
      <w:rFonts w:eastAsia="黑体"/>
      <w:sz w:val="21"/>
      <w:szCs w:val="21"/>
      <w:lang w:val="en-US" w:eastAsia="zh-CN" w:bidi="ar-SA"/>
    </w:rPr>
  </w:style>
  <w:style w:type="paragraph" w:styleId="1160">
    <w:name w:val="章标题"/>
    <w:next w:val="1098"/>
    <w:link w:val="1098"/>
    <w:qFormat/>
    <w:pPr>
      <w:jc w:val="both"/>
      <w:outlineLvl w:val="1"/>
    </w:pPr>
    <w:rPr>
      <w:rFonts w:ascii="黑体" w:eastAsia="黑体" w:cs="黑体"/>
      <w:sz w:val="21"/>
      <w:szCs w:val="21"/>
      <w:lang w:val="en-US" w:eastAsia="zh-CN" w:bidi="ar-SA"/>
    </w:rPr>
  </w:style>
  <w:style w:type="paragraph" w:styleId="1161">
    <w:name w:val="段"/>
    <w:next w:val="1098"/>
    <w:link w:val="1098"/>
    <w:qFormat/>
    <w:pPr>
      <w:ind w:firstLine="200"/>
      <w:jc w:val="both"/>
    </w:pPr>
    <w:rPr>
      <w:rFonts w:ascii="宋体" w:cs="宋体"/>
      <w:sz w:val="21"/>
      <w:szCs w:val="21"/>
      <w:lang w:val="en-US" w:eastAsia="zh-CN" w:bidi="ar-SA"/>
    </w:rPr>
  </w:style>
  <w:style w:type="character" w:styleId="1162">
    <w:name w:val="selected"/>
    <w:next w:val="1162"/>
    <w:link w:val="1098"/>
    <w:qFormat/>
    <w:rPr>
      <w:shd w:val="clear" w:color="auto" w:fill="b00006"/>
    </w:rPr>
  </w:style>
  <w:style w:type="character" w:styleId="1163">
    <w:name w:val="1page sec3 Char"/>
    <w:next w:val="1163"/>
    <w:link w:val="1098"/>
    <w:qFormat/>
    <w:rPr>
      <w:rFonts w:eastAsia="宋体"/>
      <w:sz w:val="18"/>
      <w:szCs w:val="18"/>
      <w:lang w:val="en-US" w:eastAsia="zh-CN" w:bidi="ar-SA"/>
    </w:rPr>
  </w:style>
  <w:style w:type="character" w:styleId="1164">
    <w:name w:val="z-窗体底端 字符"/>
    <w:next w:val="1164"/>
    <w:link w:val="1165"/>
    <w:uiPriority w:val="99"/>
    <w:semiHidden/>
    <w:qFormat/>
    <w:rPr>
      <w:rFonts w:ascii="Arial" w:hAnsi="Arial" w:eastAsia="宋体" w:cs="Arial"/>
      <w:vanish/>
      <w:sz w:val="16"/>
      <w:szCs w:val="16"/>
    </w:rPr>
  </w:style>
  <w:style w:type="paragraph" w:styleId="1165">
    <w:name w:val="z-窗体底端1"/>
    <w:basedOn w:val="1098"/>
    <w:next w:val="1098"/>
    <w:link w:val="1164"/>
    <w:uiPriority w:val="99"/>
    <w:unhideWhenUsed/>
    <w:qFormat/>
    <w:pPr>
      <w:jc w:val="center"/>
      <w:widowControl/>
      <w:pBdr>
        <w:top w:val="single" w:color="000000" w:sz="6" w:space="1"/>
      </w:pBdr>
    </w:pPr>
    <w:rPr>
      <w:rFonts w:ascii="Arial" w:hAnsi="Arial" w:eastAsia="宋体"/>
      <w:vanish/>
      <w:sz w:val="16"/>
      <w:szCs w:val="16"/>
    </w:rPr>
  </w:style>
  <w:style w:type="character" w:styleId="1166">
    <w:name w:val="Char Char5"/>
    <w:next w:val="1166"/>
    <w:link w:val="1098"/>
    <w:qFormat/>
    <w:rPr>
      <w:rFonts w:ascii="宋体" w:hAnsi="Courier New" w:eastAsia="宋体" w:cs="宋体"/>
      <w:sz w:val="28"/>
      <w:szCs w:val="28"/>
      <w:lang w:val="en-US" w:eastAsia="zh-CN"/>
    </w:rPr>
  </w:style>
  <w:style w:type="character" w:styleId="1167">
    <w:name w:val="Char Char13"/>
    <w:next w:val="1167"/>
    <w:link w:val="1098"/>
    <w:qFormat/>
    <w:rPr>
      <w:b/>
      <w:bCs/>
      <w:sz w:val="44"/>
      <w:szCs w:val="44"/>
    </w:rPr>
  </w:style>
  <w:style w:type="character" w:styleId="1168">
    <w:name w:val="正文文字 Char Char"/>
    <w:next w:val="1168"/>
    <w:link w:val="1098"/>
    <w:qFormat/>
    <w:rPr>
      <w:rFonts w:ascii="仿宋_GB2312" w:hAnsi="宋体" w:eastAsia="仿宋_GB2312" w:cs="仿宋_GB2312"/>
      <w:sz w:val="24"/>
      <w:szCs w:val="24"/>
    </w:rPr>
  </w:style>
  <w:style w:type="character" w:styleId="1169">
    <w:name w:val="不明显强调1"/>
    <w:next w:val="1169"/>
    <w:link w:val="1098"/>
    <w:uiPriority w:val="19"/>
    <w:qFormat/>
    <w:rPr>
      <w:i/>
      <w:iCs/>
      <w:color w:val="808080"/>
    </w:rPr>
  </w:style>
  <w:style w:type="character" w:styleId="1170">
    <w:name w:val="font01"/>
    <w:next w:val="1170"/>
    <w:link w:val="1098"/>
    <w:qFormat/>
    <w:rPr>
      <w:rFonts w:ascii="Calibri" w:hAnsi="Calibri" w:cs="Calibri"/>
      <w:color w:val="000000"/>
      <w:sz w:val="21"/>
      <w:szCs w:val="21"/>
      <w:u w:val="none"/>
    </w:rPr>
  </w:style>
  <w:style w:type="character" w:styleId="1171">
    <w:name w:val="font51"/>
    <w:next w:val="1171"/>
    <w:link w:val="1098"/>
    <w:qFormat/>
    <w:rPr>
      <w:rFonts w:hint="eastAsia" w:ascii="宋体" w:hAnsi="宋体" w:eastAsia="宋体" w:cs="宋体"/>
      <w:color w:val="000000"/>
      <w:sz w:val="21"/>
      <w:szCs w:val="21"/>
      <w:u w:val="none"/>
    </w:rPr>
  </w:style>
  <w:style w:type="character" w:styleId="1172">
    <w:name w:val="apple-style-span"/>
    <w:next w:val="1172"/>
    <w:link w:val="1098"/>
    <w:qFormat/>
  </w:style>
  <w:style w:type="character" w:styleId="1173">
    <w:name w:val="gpa"/>
    <w:next w:val="1173"/>
    <w:link w:val="1098"/>
    <w:qFormat/>
    <w:rPr>
      <w:rFonts w:ascii="Arial" w:hAnsi="Arial" w:cs="Arial"/>
      <w:sz w:val="15"/>
      <w:szCs w:val="15"/>
    </w:rPr>
  </w:style>
  <w:style w:type="character" w:styleId="1174">
    <w:name w:val="纯文本 Char2"/>
    <w:next w:val="1174"/>
    <w:link w:val="1098"/>
    <w:qFormat/>
    <w:rPr>
      <w:rFonts w:ascii="宋体" w:hAnsi="Courier New" w:eastAsia="宋体"/>
      <w:sz w:val="24"/>
      <w:lang w:val="en-US" w:eastAsia="zh-CN" w:bidi="ar-SA"/>
    </w:rPr>
  </w:style>
  <w:style w:type="character" w:styleId="1175">
    <w:name w:val="文档结构图 Char1"/>
    <w:next w:val="1175"/>
    <w:link w:val="1098"/>
    <w:uiPriority w:val="99"/>
    <w:semiHidden/>
    <w:qFormat/>
    <w:rPr>
      <w:rFonts w:ascii="宋体"/>
      <w:sz w:val="18"/>
      <w:szCs w:val="18"/>
    </w:rPr>
  </w:style>
  <w:style w:type="character" w:styleId="1176">
    <w:name w:val="displayarti"/>
    <w:next w:val="1176"/>
    <w:link w:val="1098"/>
    <w:qFormat/>
    <w:rPr>
      <w:color w:val="ffffff"/>
      <w:shd w:val="clear" w:color="auto" w:fill="a00000"/>
    </w:rPr>
  </w:style>
  <w:style w:type="character" w:styleId="1177">
    <w:name w:val="批注文字 字符"/>
    <w:next w:val="1177"/>
    <w:link w:val="1098"/>
    <w:uiPriority w:val="99"/>
    <w:qFormat/>
    <w:rPr>
      <w:rFonts w:ascii="Times New Roman" w:hAnsi="Times New Roman" w:eastAsia="宋体" w:cs="Times New Roman"/>
      <w:szCs w:val="21"/>
    </w:rPr>
  </w:style>
  <w:style w:type="character" w:styleId="1178">
    <w:name w:val="正文文本 字符"/>
    <w:next w:val="1178"/>
    <w:link w:val="1098"/>
    <w:qFormat/>
    <w:rPr>
      <w:rFonts w:ascii="仿宋_GB2312" w:hAnsi="宋体" w:eastAsia="仿宋_GB2312" w:cs="仿宋_GB2312"/>
      <w:sz w:val="24"/>
      <w:szCs w:val="24"/>
    </w:rPr>
  </w:style>
  <w:style w:type="character" w:styleId="1179">
    <w:name w:val="z-窗体顶端 字符"/>
    <w:next w:val="1179"/>
    <w:link w:val="1180"/>
    <w:uiPriority w:val="99"/>
    <w:semiHidden/>
    <w:qFormat/>
    <w:rPr>
      <w:rFonts w:ascii="Arial" w:hAnsi="Arial" w:eastAsia="宋体" w:cs="Arial"/>
      <w:vanish/>
      <w:sz w:val="16"/>
      <w:szCs w:val="16"/>
    </w:rPr>
  </w:style>
  <w:style w:type="paragraph" w:styleId="1180">
    <w:name w:val="z-窗体顶端1"/>
    <w:basedOn w:val="1098"/>
    <w:next w:val="1098"/>
    <w:link w:val="1179"/>
    <w:uiPriority w:val="99"/>
    <w:unhideWhenUsed/>
    <w:qFormat/>
    <w:pPr>
      <w:jc w:val="center"/>
      <w:widowControl/>
      <w:pBdr>
        <w:bottom w:val="single" w:color="000000" w:sz="6" w:space="1"/>
      </w:pBdr>
    </w:pPr>
    <w:rPr>
      <w:rFonts w:ascii="Arial" w:hAnsi="Arial" w:eastAsia="宋体"/>
      <w:vanish/>
      <w:sz w:val="16"/>
      <w:szCs w:val="16"/>
    </w:rPr>
  </w:style>
  <w:style w:type="paragraph" w:styleId="1181">
    <w:name w:val="xl89"/>
    <w:basedOn w:val="1098"/>
    <w:next w:val="1181"/>
    <w:link w:val="109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82">
    <w:name w:val="font6"/>
    <w:basedOn w:val="1098"/>
    <w:next w:val="1182"/>
    <w:link w:val="1098"/>
    <w:qFormat/>
    <w:pPr>
      <w:jc w:val="left"/>
      <w:spacing w:before="100" w:beforeAutospacing="1" w:after="100" w:afterAutospacing="1"/>
      <w:widowControl/>
    </w:pPr>
    <w:rPr>
      <w:color w:val="000000"/>
      <w:szCs w:val="21"/>
    </w:rPr>
  </w:style>
  <w:style w:type="paragraph" w:styleId="1183">
    <w:name w:val="xl81"/>
    <w:basedOn w:val="1098"/>
    <w:next w:val="1183"/>
    <w:link w:val="1098"/>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184">
    <w:name w:val="正文222"/>
    <w:basedOn w:val="1119"/>
    <w:next w:val="1184"/>
    <w:link w:val="1098"/>
    <w:qFormat/>
    <w:pPr>
      <w:ind w:firstLine="200"/>
      <w:spacing w:line="440" w:lineRule="exact"/>
    </w:pPr>
  </w:style>
  <w:style w:type="paragraph" w:styleId="1185">
    <w:name w:val="xl103"/>
    <w:basedOn w:val="1098"/>
    <w:next w:val="1185"/>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86">
    <w:name w:val="样式1"/>
    <w:basedOn w:val="1098"/>
    <w:next w:val="1186"/>
    <w:link w:val="1098"/>
    <w:qFormat/>
    <w:pPr>
      <w:ind w:left="180" w:firstLine="300"/>
      <w:spacing w:line="430" w:lineRule="exact"/>
    </w:pPr>
    <w:rPr>
      <w:sz w:val="24"/>
      <w:szCs w:val="24"/>
    </w:rPr>
  </w:style>
  <w:style w:type="paragraph" w:styleId="1187">
    <w:name w:val="xl80"/>
    <w:basedOn w:val="1098"/>
    <w:next w:val="1187"/>
    <w:link w:val="1098"/>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88">
    <w:name w:val="font13"/>
    <w:basedOn w:val="1098"/>
    <w:next w:val="1188"/>
    <w:link w:val="1098"/>
    <w:qFormat/>
    <w:pPr>
      <w:jc w:val="left"/>
      <w:spacing w:before="100" w:beforeAutospacing="1" w:after="100" w:afterAutospacing="1"/>
      <w:widowControl/>
    </w:pPr>
    <w:rPr>
      <w:rFonts w:ascii="宋体" w:hAnsi="宋体" w:cs="宋体"/>
      <w:sz w:val="18"/>
      <w:szCs w:val="18"/>
    </w:rPr>
  </w:style>
  <w:style w:type="paragraph" w:styleId="1189">
    <w:name w:val="font12"/>
    <w:basedOn w:val="1098"/>
    <w:next w:val="1189"/>
    <w:link w:val="1098"/>
    <w:qFormat/>
    <w:pPr>
      <w:jc w:val="left"/>
      <w:spacing w:before="100" w:beforeAutospacing="1" w:after="100" w:afterAutospacing="1"/>
      <w:widowControl/>
    </w:pPr>
    <w:rPr>
      <w:rFonts w:ascii="宋体" w:hAnsi="宋体" w:cs="宋体"/>
      <w:color w:val="000000"/>
      <w:sz w:val="20"/>
      <w:szCs w:val="20"/>
    </w:rPr>
  </w:style>
  <w:style w:type="paragraph" w:styleId="1190">
    <w:name w:val="xl104"/>
    <w:basedOn w:val="1098"/>
    <w:next w:val="1190"/>
    <w:link w:val="109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91">
    <w:name w:val="xl94"/>
    <w:basedOn w:val="1098"/>
    <w:next w:val="1191"/>
    <w:link w:val="1098"/>
    <w:qFormat/>
    <w:pPr>
      <w:jc w:val="center"/>
      <w:spacing w:before="100" w:beforeAutospacing="1" w:after="100" w:afterAutospacing="1"/>
      <w:widowControl/>
      <w:pBdr>
        <w:left w:val="single" w:color="000000" w:sz="4" w:space="0"/>
        <w:right w:val="single" w:color="000000" w:sz="4" w:space="0"/>
      </w:pBdr>
    </w:pPr>
    <w:rPr>
      <w:szCs w:val="21"/>
    </w:rPr>
  </w:style>
  <w:style w:type="paragraph" w:styleId="1192">
    <w:name w:val="xl92"/>
    <w:basedOn w:val="1098"/>
    <w:next w:val="1192"/>
    <w:link w:val="10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93">
    <w:name w:val="正文宋体4"/>
    <w:basedOn w:val="1098"/>
    <w:next w:val="1193"/>
    <w:link w:val="1098"/>
    <w:qFormat/>
    <w:pPr>
      <w:ind w:firstLine="359"/>
      <w:tabs>
        <w:tab w:val="left" w:pos="0" w:leader="none"/>
      </w:tabs>
    </w:pPr>
    <w:rPr>
      <w:rFonts w:ascii="仿宋_GB2312" w:eastAsia="仿宋_GB2312"/>
      <w:b/>
      <w:color w:val="000000"/>
      <w:sz w:val="24"/>
      <w:szCs w:val="24"/>
    </w:rPr>
  </w:style>
  <w:style w:type="paragraph" w:styleId="1194">
    <w:name w:val="xl111"/>
    <w:basedOn w:val="1098"/>
    <w:next w:val="1194"/>
    <w:link w:val="109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95">
    <w:name w:val="xl108"/>
    <w:basedOn w:val="1098"/>
    <w:next w:val="1195"/>
    <w:link w:val="10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tc"/>
    <w:basedOn w:val="1098"/>
    <w:next w:val="1196"/>
    <w:link w:val="1098"/>
    <w:qFormat/>
    <w:pPr>
      <w:jc w:val="center"/>
    </w:pPr>
    <w:rPr>
      <w:szCs w:val="24"/>
    </w:rPr>
  </w:style>
  <w:style w:type="paragraph" w:styleId="1197">
    <w:name w:val="xl74"/>
    <w:basedOn w:val="1098"/>
    <w:next w:val="119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98">
    <w:name w:val="Default"/>
    <w:next w:val="1198"/>
    <w:link w:val="1098"/>
    <w:qFormat/>
    <w:pPr>
      <w:widowControl w:val="off"/>
    </w:pPr>
    <w:rPr>
      <w:rFonts w:ascii="宋体" w:cs="宋体"/>
      <w:color w:val="000000"/>
      <w:sz w:val="24"/>
      <w:szCs w:val="24"/>
      <w:lang w:val="en-US" w:eastAsia="zh-CN" w:bidi="ar-SA"/>
    </w:rPr>
  </w:style>
  <w:style w:type="paragraph" w:styleId="1199">
    <w:name w:val="注："/>
    <w:next w:val="1098"/>
    <w:link w:val="1098"/>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1200">
    <w:name w:val="xl76"/>
    <w:basedOn w:val="1098"/>
    <w:next w:val="1200"/>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1">
    <w:name w:val="五级条标题"/>
    <w:basedOn w:val="1202"/>
    <w:next w:val="1098"/>
    <w:link w:val="1098"/>
    <w:qFormat/>
    <w:pPr>
      <w:outlineLvl w:val="6"/>
    </w:pPr>
  </w:style>
  <w:style w:type="paragraph" w:styleId="1202">
    <w:name w:val="四级条标题"/>
    <w:basedOn w:val="1203"/>
    <w:next w:val="1098"/>
    <w:link w:val="1098"/>
    <w:qFormat/>
    <w:pPr>
      <w:outlineLvl w:val="5"/>
    </w:pPr>
  </w:style>
  <w:style w:type="paragraph" w:styleId="1203">
    <w:name w:val="三级条标题"/>
    <w:basedOn w:val="1204"/>
    <w:next w:val="1098"/>
    <w:link w:val="1098"/>
    <w:qFormat/>
    <w:pPr>
      <w:outlineLvl w:val="4"/>
    </w:pPr>
  </w:style>
  <w:style w:type="paragraph" w:styleId="1204">
    <w:name w:val="二级条标题"/>
    <w:basedOn w:val="1159"/>
    <w:next w:val="1098"/>
    <w:link w:val="1098"/>
    <w:qFormat/>
    <w:pPr>
      <w:outlineLvl w:val="3"/>
    </w:pPr>
  </w:style>
  <w:style w:type="paragraph" w:styleId="1205">
    <w:name w:val="xl85"/>
    <w:basedOn w:val="1098"/>
    <w:next w:val="1205"/>
    <w:link w:val="109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06">
    <w:name w:val="xl83"/>
    <w:basedOn w:val="1098"/>
    <w:next w:val="1206"/>
    <w:link w:val="109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07">
    <w:name w:val="Char1"/>
    <w:basedOn w:val="1098"/>
    <w:next w:val="1207"/>
    <w:link w:val="1098"/>
    <w:qFormat/>
    <w:rPr>
      <w:rFonts w:ascii="仿宋_GB2312" w:eastAsia="仿宋_GB2312"/>
      <w:b/>
      <w:sz w:val="32"/>
      <w:szCs w:val="32"/>
    </w:rPr>
  </w:style>
  <w:style w:type="paragraph" w:styleId="1208">
    <w:name w:val="xl68"/>
    <w:basedOn w:val="1098"/>
    <w:next w:val="1208"/>
    <w:link w:val="10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9">
    <w:name w:val="xl78"/>
    <w:basedOn w:val="1098"/>
    <w:next w:val="1209"/>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0">
    <w:name w:val="图表标题"/>
    <w:basedOn w:val="1098"/>
    <w:next w:val="1210"/>
    <w:link w:val="1098"/>
    <w:qFormat/>
    <w:pPr>
      <w:jc w:val="center"/>
      <w:widowControl/>
    </w:pPr>
    <w:rPr>
      <w:rFonts w:eastAsia="黑体"/>
      <w:szCs w:val="21"/>
    </w:rPr>
  </w:style>
  <w:style w:type="paragraph" w:styleId="1211">
    <w:name w:val="TOC 标题1"/>
    <w:basedOn w:val="1099"/>
    <w:next w:val="1098"/>
    <w:link w:val="1098"/>
    <w:uiPriority w:val="39"/>
    <w:qFormat/>
    <w:pPr>
      <w:jc w:val="left"/>
      <w:spacing w:before="480" w:after="0" w:line="276" w:lineRule="auto"/>
      <w:widowControl/>
      <w:outlineLvl w:val="9"/>
    </w:pPr>
    <w:rPr>
      <w:rFonts w:ascii="Cambria" w:hAnsi="Cambria"/>
      <w:color w:val="365f91"/>
      <w:sz w:val="28"/>
      <w:szCs w:val="28"/>
    </w:rPr>
  </w:style>
  <w:style w:type="paragraph" w:styleId="1212">
    <w:name w:val="xl91"/>
    <w:basedOn w:val="1098"/>
    <w:next w:val="1212"/>
    <w:link w:val="109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13">
    <w:name w:val="xl71"/>
    <w:basedOn w:val="1098"/>
    <w:next w:val="1213"/>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14">
    <w:name w:val="标准称谓"/>
    <w:next w:val="1098"/>
    <w:link w:val="1098"/>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15">
    <w:name w:val="前言、引言标题"/>
    <w:next w:val="1098"/>
    <w:link w:val="1098"/>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216">
    <w:name w:val="font10"/>
    <w:basedOn w:val="1098"/>
    <w:next w:val="1216"/>
    <w:link w:val="1098"/>
    <w:qFormat/>
    <w:pPr>
      <w:jc w:val="left"/>
      <w:spacing w:before="100" w:beforeAutospacing="1" w:after="100" w:afterAutospacing="1"/>
      <w:widowControl/>
    </w:pPr>
    <w:rPr>
      <w:rFonts w:ascii="宋体" w:hAnsi="宋体" w:cs="宋体"/>
      <w:color w:val="000000"/>
      <w:sz w:val="22"/>
    </w:rPr>
  </w:style>
  <w:style w:type="paragraph" w:styleId="1217">
    <w:name w:val="xl98"/>
    <w:basedOn w:val="1098"/>
    <w:next w:val="1217"/>
    <w:link w:val="109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18">
    <w:name w:val="xl82"/>
    <w:basedOn w:val="1098"/>
    <w:next w:val="1218"/>
    <w:link w:val="10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19">
    <w:name w:val="xl72"/>
    <w:basedOn w:val="1098"/>
    <w:next w:val="1219"/>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0">
    <w:name w:val="No Spacing"/>
    <w:next w:val="1220"/>
    <w:link w:val="1098"/>
    <w:uiPriority w:val="1"/>
    <w:qFormat/>
    <w:pPr>
      <w:jc w:val="both"/>
      <w:widowControl w:val="off"/>
    </w:pPr>
    <w:rPr>
      <w:rFonts w:ascii="等线" w:hAnsi="等线" w:eastAsia="等线"/>
      <w:sz w:val="21"/>
      <w:szCs w:val="22"/>
      <w:lang w:val="en-US" w:eastAsia="zh-CN" w:bidi="ar-SA"/>
    </w:rPr>
  </w:style>
  <w:style w:type="paragraph" w:styleId="1221">
    <w:name w:val="正文 A"/>
    <w:next w:val="1221"/>
    <w:link w:val="1098"/>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22">
    <w:name w:val="List Paragraph1"/>
    <w:basedOn w:val="1098"/>
    <w:next w:val="1222"/>
    <w:link w:val="1098"/>
    <w:uiPriority w:val="34"/>
    <w:qFormat/>
    <w:pPr>
      <w:ind w:firstLine="420"/>
    </w:pPr>
    <w:rPr>
      <w:rFonts w:ascii="Calibri" w:hAnsi="Calibri" w:eastAsia="宋体"/>
    </w:rPr>
  </w:style>
  <w:style w:type="paragraph" w:styleId="1223">
    <w:name w:val="程序1.1"/>
    <w:next w:val="1223"/>
    <w:link w:val="1098"/>
    <w:qFormat/>
    <w:pPr>
      <w:numPr>
        <w:ilvl w:val="1"/>
        <w:numId w:val="1"/>
      </w:numPr>
      <w:tabs>
        <w:tab w:val="left" w:pos="359" w:leader="none"/>
        <w:tab w:val="left" w:pos="990" w:leader="none"/>
      </w:tabs>
    </w:pPr>
    <w:rPr>
      <w:sz w:val="21"/>
      <w:szCs w:val="21"/>
      <w:lang w:val="en-US" w:eastAsia="zh-CN" w:bidi="ar-SA"/>
    </w:rPr>
  </w:style>
  <w:style w:type="paragraph" w:styleId="1224">
    <w:name w:val="xl102"/>
    <w:basedOn w:val="1098"/>
    <w:next w:val="1224"/>
    <w:link w:val="109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25">
    <w:name w:val="font14"/>
    <w:basedOn w:val="1098"/>
    <w:next w:val="1225"/>
    <w:link w:val="1098"/>
    <w:qFormat/>
    <w:pPr>
      <w:jc w:val="left"/>
      <w:spacing w:before="100" w:beforeAutospacing="1" w:after="100" w:afterAutospacing="1"/>
      <w:widowControl/>
    </w:pPr>
    <w:rPr>
      <w:rFonts w:ascii="宋体" w:hAnsi="宋体" w:cs="宋体"/>
      <w:color w:val="000000"/>
      <w:szCs w:val="21"/>
    </w:rPr>
  </w:style>
  <w:style w:type="paragraph" w:styleId="1226">
    <w:name w:val="字母编号"/>
    <w:next w:val="1226"/>
    <w:link w:val="1098"/>
    <w:qFormat/>
    <w:pPr>
      <w:numPr>
        <w:ilvl w:val="2"/>
        <w:numId w:val="3"/>
      </w:numPr>
      <w:tabs>
        <w:tab w:val="left" w:pos="360" w:leader="none"/>
      </w:tabs>
    </w:pPr>
    <w:rPr>
      <w:sz w:val="21"/>
      <w:szCs w:val="21"/>
      <w:lang w:val="en-US" w:eastAsia="zh-CN" w:bidi="ar-SA"/>
    </w:rPr>
  </w:style>
  <w:style w:type="paragraph" w:styleId="1227">
    <w:name w:val="xl67"/>
    <w:basedOn w:val="1098"/>
    <w:next w:val="122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28">
    <w:name w:val="font11"/>
    <w:basedOn w:val="1098"/>
    <w:next w:val="1228"/>
    <w:link w:val="1098"/>
    <w:qFormat/>
    <w:pPr>
      <w:jc w:val="left"/>
      <w:spacing w:before="100" w:beforeAutospacing="1" w:after="100" w:afterAutospacing="1"/>
      <w:widowControl/>
    </w:pPr>
    <w:rPr>
      <w:rFonts w:ascii="宋体" w:hAnsi="宋体" w:cs="宋体"/>
      <w:color w:val="000000"/>
      <w:sz w:val="18"/>
      <w:szCs w:val="18"/>
    </w:rPr>
  </w:style>
  <w:style w:type="paragraph" w:styleId="1229">
    <w:name w:val="Standard"/>
    <w:next w:val="1229"/>
    <w:link w:val="1098"/>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30">
    <w:name w:val="font7"/>
    <w:basedOn w:val="1098"/>
    <w:next w:val="1230"/>
    <w:link w:val="1098"/>
    <w:qFormat/>
    <w:pPr>
      <w:jc w:val="left"/>
      <w:spacing w:before="100" w:beforeAutospacing="1" w:after="100" w:afterAutospacing="1"/>
      <w:widowControl/>
    </w:pPr>
    <w:rPr>
      <w:b/>
      <w:bCs/>
      <w:color w:val="000000"/>
      <w:szCs w:val="21"/>
    </w:rPr>
  </w:style>
  <w:style w:type="paragraph" w:styleId="1231">
    <w:name w:val="xl70"/>
    <w:basedOn w:val="1098"/>
    <w:next w:val="1231"/>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32">
    <w:name w:val="xl97"/>
    <w:basedOn w:val="1098"/>
    <w:next w:val="1232"/>
    <w:link w:val="1098"/>
    <w:qFormat/>
    <w:pPr>
      <w:jc w:val="left"/>
      <w:spacing w:before="100" w:beforeAutospacing="1" w:after="100" w:afterAutospacing="1"/>
      <w:widowControl/>
    </w:pPr>
    <w:rPr>
      <w:rFonts w:ascii="宋体" w:hAnsi="宋体" w:cs="宋体"/>
      <w:szCs w:val="21"/>
    </w:rPr>
  </w:style>
  <w:style w:type="paragraph" w:styleId="1233">
    <w:name w:val="程序1"/>
    <w:next w:val="1098"/>
    <w:link w:val="1098"/>
    <w:qFormat/>
    <w:pPr>
      <w:numPr>
        <w:ilvl w:val="0"/>
        <w:numId w:val="3"/>
      </w:numPr>
      <w:ind w:left="360" w:hanging="360"/>
      <w:tabs>
        <w:tab w:val="left" w:pos="360" w:leader="none"/>
      </w:tabs>
    </w:pPr>
    <w:rPr>
      <w:b/>
      <w:bCs/>
      <w:sz w:val="24"/>
      <w:szCs w:val="24"/>
      <w:lang w:val="en-US" w:eastAsia="zh-CN" w:bidi="ar-SA"/>
    </w:rPr>
  </w:style>
  <w:style w:type="paragraph" w:styleId="1234">
    <w:name w:val="列出段落1"/>
    <w:basedOn w:val="1098"/>
    <w:next w:val="1234"/>
    <w:link w:val="1098"/>
    <w:uiPriority w:val="34"/>
    <w:qFormat/>
    <w:pPr>
      <w:ind w:firstLine="420"/>
    </w:pPr>
    <w:rPr>
      <w:rFonts w:ascii="Calibri" w:hAnsi="Calibri"/>
    </w:rPr>
  </w:style>
  <w:style w:type="paragraph" w:styleId="1235">
    <w:name w:val="程序1.1.1"/>
    <w:next w:val="1235"/>
    <w:link w:val="1098"/>
    <w:qFormat/>
    <w:pPr>
      <w:numPr>
        <w:ilvl w:val="1"/>
        <w:numId w:val="3"/>
      </w:numPr>
      <w:tabs>
        <w:tab w:val="left" w:pos="360" w:leader="none"/>
        <w:tab w:val="left" w:pos="525" w:leader="none"/>
      </w:tabs>
    </w:pPr>
    <w:rPr>
      <w:sz w:val="21"/>
      <w:szCs w:val="21"/>
      <w:lang w:val="en-US" w:eastAsia="zh-CN" w:bidi="ar-SA"/>
    </w:rPr>
  </w:style>
  <w:style w:type="paragraph" w:styleId="1236">
    <w:name w:val="font5"/>
    <w:basedOn w:val="1098"/>
    <w:next w:val="1236"/>
    <w:link w:val="1098"/>
    <w:qFormat/>
    <w:pPr>
      <w:jc w:val="left"/>
      <w:spacing w:before="100" w:beforeAutospacing="1" w:after="100" w:afterAutospacing="1"/>
      <w:widowControl/>
    </w:pPr>
    <w:rPr>
      <w:color w:val="000000"/>
      <w:sz w:val="20"/>
      <w:szCs w:val="20"/>
    </w:rPr>
  </w:style>
  <w:style w:type="paragraph" w:styleId="1237">
    <w:name w:val="Char Char"/>
    <w:basedOn w:val="1098"/>
    <w:next w:val="1237"/>
    <w:link w:val="1098"/>
    <w:qFormat/>
    <w:pPr>
      <w:tabs>
        <w:tab w:val="left" w:pos="360" w:leader="none"/>
      </w:tabs>
    </w:pPr>
    <w:rPr>
      <w:sz w:val="24"/>
      <w:szCs w:val="24"/>
    </w:rPr>
  </w:style>
  <w:style w:type="paragraph" w:styleId="1238">
    <w:name w:val="章正文"/>
    <w:basedOn w:val="1098"/>
    <w:next w:val="1238"/>
    <w:link w:val="1098"/>
    <w:qFormat/>
    <w:pPr>
      <w:ind w:firstLine="480"/>
      <w:spacing w:after="120" w:line="300" w:lineRule="auto"/>
    </w:pPr>
    <w:rPr>
      <w:rFonts w:ascii="Helvetica" w:hAnsi="Helvetica"/>
    </w:rPr>
  </w:style>
  <w:style w:type="paragraph" w:styleId="1239">
    <w:name w:val="xl110"/>
    <w:basedOn w:val="1098"/>
    <w:next w:val="1239"/>
    <w:link w:val="109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40">
    <w:name w:val="xl77"/>
    <w:basedOn w:val="1098"/>
    <w:next w:val="1240"/>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1">
    <w:name w:val="xl87"/>
    <w:basedOn w:val="1098"/>
    <w:next w:val="1241"/>
    <w:link w:val="109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42">
    <w:name w:val="font9"/>
    <w:basedOn w:val="1098"/>
    <w:next w:val="1242"/>
    <w:link w:val="1098"/>
    <w:qFormat/>
    <w:pPr>
      <w:jc w:val="left"/>
      <w:spacing w:before="100" w:beforeAutospacing="1" w:after="100" w:afterAutospacing="1"/>
      <w:widowControl/>
    </w:pPr>
    <w:rPr>
      <w:rFonts w:ascii="宋体" w:hAnsi="宋体" w:cs="宋体"/>
      <w:color w:val="000000"/>
      <w:szCs w:val="21"/>
    </w:rPr>
  </w:style>
  <w:style w:type="paragraph" w:styleId="1243">
    <w:name w:val="xl88"/>
    <w:basedOn w:val="1098"/>
    <w:next w:val="1243"/>
    <w:link w:val="109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44">
    <w:name w:val="List Paragraph"/>
    <w:basedOn w:val="1098"/>
    <w:next w:val="1244"/>
    <w:link w:val="1098"/>
    <w:uiPriority w:val="34"/>
    <w:qFormat/>
    <w:pPr>
      <w:ind w:firstLine="420"/>
    </w:pPr>
    <w:rPr>
      <w:szCs w:val="24"/>
    </w:rPr>
  </w:style>
  <w:style w:type="paragraph" w:styleId="1245">
    <w:name w:val="xl93"/>
    <w:basedOn w:val="1098"/>
    <w:next w:val="1245"/>
    <w:link w:val="109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46">
    <w:name w:val="Table Paragraph"/>
    <w:basedOn w:val="1098"/>
    <w:next w:val="1246"/>
    <w:link w:val="1098"/>
    <w:uiPriority w:val="1"/>
    <w:qFormat/>
    <w:pPr>
      <w:ind w:left="107"/>
      <w:spacing w:before="35"/>
    </w:pPr>
    <w:rPr>
      <w:rFonts w:ascii="Calibri" w:hAnsi="Calibri"/>
    </w:rPr>
  </w:style>
  <w:style w:type="paragraph" w:styleId="1247">
    <w:name w:val="xl65"/>
    <w:basedOn w:val="1098"/>
    <w:next w:val="1247"/>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48">
    <w:name w:val="xl99"/>
    <w:basedOn w:val="1098"/>
    <w:next w:val="1248"/>
    <w:link w:val="109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49">
    <w:name w:val="Char"/>
    <w:basedOn w:val="1098"/>
    <w:next w:val="1249"/>
    <w:link w:val="1098"/>
    <w:qFormat/>
    <w:pPr>
      <w:jc w:val="left"/>
      <w:spacing w:after="160" w:line="240" w:lineRule="exact"/>
      <w:widowControl/>
    </w:pPr>
    <w:rPr>
      <w:rFonts w:ascii="Verdana" w:hAnsi="Verdana" w:eastAsia="宋体" w:cs="Verdana"/>
      <w:sz w:val="18"/>
      <w:szCs w:val="18"/>
      <w:lang w:eastAsia="en-US"/>
    </w:rPr>
  </w:style>
  <w:style w:type="paragraph" w:styleId="1250">
    <w:name w:val="xl101"/>
    <w:basedOn w:val="1098"/>
    <w:next w:val="1250"/>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1">
    <w:name w:val="正文1"/>
    <w:next w:val="1251"/>
    <w:link w:val="1098"/>
    <w:qFormat/>
    <w:pPr>
      <w:jc w:val="both"/>
    </w:pPr>
    <w:rPr>
      <w:rFonts w:ascii="Calibri" w:hAnsi="Calibri" w:cs="宋体"/>
      <w:sz w:val="21"/>
      <w:szCs w:val="21"/>
      <w:lang w:val="en-US" w:eastAsia="zh-CN" w:bidi="ar-SA"/>
    </w:rPr>
  </w:style>
  <w:style w:type="paragraph" w:styleId="1252">
    <w:name w:val="xl73"/>
    <w:basedOn w:val="1098"/>
    <w:next w:val="1252"/>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3">
    <w:name w:val="xl66"/>
    <w:basedOn w:val="1098"/>
    <w:next w:val="1253"/>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4">
    <w:name w:val="xl96"/>
    <w:basedOn w:val="1098"/>
    <w:next w:val="1254"/>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55">
    <w:name w:val="Char11"/>
    <w:basedOn w:val="1098"/>
    <w:next w:val="1255"/>
    <w:link w:val="1098"/>
    <w:qFormat/>
    <w:pPr>
      <w:jc w:val="left"/>
      <w:spacing w:after="160" w:line="240" w:lineRule="exact"/>
      <w:widowControl/>
    </w:pPr>
    <w:rPr>
      <w:rFonts w:ascii="Verdana" w:hAnsi="Verdana" w:eastAsia="宋体" w:cs="Verdana"/>
      <w:sz w:val="18"/>
      <w:szCs w:val="18"/>
      <w:lang w:eastAsia="en-US"/>
    </w:rPr>
  </w:style>
  <w:style w:type="paragraph" w:styleId="1256">
    <w:name w:val="xl100"/>
    <w:basedOn w:val="1098"/>
    <w:next w:val="1256"/>
    <w:link w:val="10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57">
    <w:name w:val="xl86"/>
    <w:basedOn w:val="1098"/>
    <w:next w:val="125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58">
    <w:name w:val="列出段落11"/>
    <w:basedOn w:val="1098"/>
    <w:next w:val="1258"/>
    <w:link w:val="1098"/>
    <w:uiPriority w:val="34"/>
    <w:qFormat/>
    <w:pPr>
      <w:ind w:firstLine="420"/>
      <w:spacing w:before="156" w:after="156" w:line="360" w:lineRule="auto"/>
    </w:pPr>
    <w:rPr>
      <w:rFonts w:ascii="Calibri" w:hAnsi="Calibri" w:cs="Calibri"/>
      <w:lang w:eastAsia="ar-SA"/>
    </w:rPr>
  </w:style>
  <w:style w:type="paragraph" w:styleId="1259">
    <w:name w:val="_Style 2"/>
    <w:basedOn w:val="1098"/>
    <w:next w:val="1259"/>
    <w:link w:val="1098"/>
    <w:qFormat/>
    <w:pPr>
      <w:ind w:firstLine="420"/>
    </w:pPr>
    <w:rPr>
      <w:rFonts w:ascii="Calibri" w:hAnsi="Calibri"/>
    </w:rPr>
  </w:style>
  <w:style w:type="paragraph" w:styleId="1260">
    <w:name w:val="xl107"/>
    <w:basedOn w:val="1098"/>
    <w:next w:val="1260"/>
    <w:link w:val="109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261">
    <w:name w:val="xl90"/>
    <w:basedOn w:val="1098"/>
    <w:next w:val="1261"/>
    <w:link w:val="109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62">
    <w:name w:val="font8"/>
    <w:basedOn w:val="1098"/>
    <w:next w:val="1262"/>
    <w:link w:val="1098"/>
    <w:qFormat/>
    <w:pPr>
      <w:jc w:val="left"/>
      <w:spacing w:before="100" w:beforeAutospacing="1" w:after="100" w:afterAutospacing="1"/>
      <w:widowControl/>
    </w:pPr>
    <w:rPr>
      <w:rFonts w:ascii="宋体" w:hAnsi="宋体" w:cs="宋体"/>
      <w:b/>
      <w:bCs/>
      <w:color w:val="000000"/>
      <w:szCs w:val="21"/>
    </w:rPr>
  </w:style>
  <w:style w:type="paragraph" w:styleId="1263">
    <w:name w:val="xl105"/>
    <w:basedOn w:val="1098"/>
    <w:next w:val="1263"/>
    <w:link w:val="1098"/>
    <w:qFormat/>
    <w:pPr>
      <w:jc w:val="left"/>
      <w:spacing w:before="100" w:beforeAutospacing="1" w:after="100" w:afterAutospacing="1"/>
      <w:widowControl/>
    </w:pPr>
    <w:rPr>
      <w:rFonts w:ascii="宋体" w:hAnsi="宋体" w:cs="宋体"/>
      <w:sz w:val="20"/>
      <w:szCs w:val="20"/>
    </w:rPr>
  </w:style>
  <w:style w:type="paragraph" w:styleId="1264">
    <w:name w:val="xl75"/>
    <w:basedOn w:val="1098"/>
    <w:next w:val="1264"/>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65">
    <w:name w:val="xl79"/>
    <w:basedOn w:val="1098"/>
    <w:next w:val="1265"/>
    <w:link w:val="1098"/>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66">
    <w:name w:val="xl95"/>
    <w:basedOn w:val="1098"/>
    <w:next w:val="1266"/>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7">
    <w:name w:val="xl84"/>
    <w:basedOn w:val="1098"/>
    <w:next w:val="1267"/>
    <w:link w:val="109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68">
    <w:name w:val="xl69"/>
    <w:basedOn w:val="1098"/>
    <w:next w:val="1268"/>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9">
    <w:name w:val="xl109"/>
    <w:basedOn w:val="1098"/>
    <w:next w:val="1269"/>
    <w:link w:val="109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70">
    <w:name w:val="xl106"/>
    <w:basedOn w:val="1098"/>
    <w:next w:val="1270"/>
    <w:link w:val="109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271">
    <w:name w:val="xl112"/>
    <w:basedOn w:val="1098"/>
    <w:next w:val="1271"/>
    <w:link w:val="109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72">
    <w:name w:val="reader-word-layer"/>
    <w:basedOn w:val="1098"/>
    <w:next w:val="1272"/>
    <w:link w:val="1098"/>
    <w:qFormat/>
    <w:pPr>
      <w:jc w:val="left"/>
      <w:spacing w:before="100" w:beforeAutospacing="1" w:after="100" w:afterAutospacing="1"/>
      <w:widowControl/>
    </w:pPr>
    <w:rPr>
      <w:rFonts w:ascii="宋体" w:hAnsi="宋体" w:cs="宋体"/>
      <w:sz w:val="24"/>
      <w:szCs w:val="24"/>
    </w:rPr>
  </w:style>
  <w:style w:type="table" w:styleId="1273">
    <w:name w:val="网格型1"/>
    <w:basedOn w:val="1105"/>
    <w:next w:val="1273"/>
    <w:link w:val="1098"/>
    <w:uiPriority w:val="59"/>
    <w:qFormat/>
    <w:tblPr/>
  </w:style>
  <w:style w:type="character" w:styleId="1274">
    <w:name w:val="列表段落 字符"/>
    <w:next w:val="1274"/>
    <w:link w:val="1275"/>
    <w:uiPriority w:val="34"/>
    <w:qFormat/>
    <w:rPr>
      <w:rFonts w:ascii="Calibri" w:hAnsi="Calibri"/>
      <w:sz w:val="21"/>
      <w:szCs w:val="22"/>
    </w:rPr>
  </w:style>
  <w:style w:type="paragraph" w:styleId="1275">
    <w:name w:val="列表段落"/>
    <w:basedOn w:val="1098"/>
    <w:next w:val="1275"/>
    <w:link w:val="1274"/>
    <w:uiPriority w:val="34"/>
    <w:qFormat/>
    <w:pPr>
      <w:ind w:firstLine="420"/>
    </w:pPr>
    <w:rPr>
      <w:rFonts w:ascii="Calibri" w:hAnsi="Calibri" w:eastAsia="宋体"/>
    </w:rPr>
  </w:style>
  <w:style w:type="paragraph" w:styleId="1276">
    <w:name w:val="样式 仿宋_GB2312 小四 行距: 1.5 倍行距1"/>
    <w:basedOn w:val="1098"/>
    <w:next w:val="1276"/>
    <w:link w:val="1098"/>
    <w:qFormat/>
    <w:pPr>
      <w:spacing w:line="360" w:lineRule="auto"/>
      <w:tabs>
        <w:tab w:val="left" w:pos="525" w:leader="none"/>
      </w:tabs>
    </w:pPr>
    <w:rPr>
      <w:rFonts w:ascii="仿宋_GB2312" w:hAnsi="仿宋_GB2312" w:eastAsia="仿宋_GB2312" w:cs="宋体"/>
      <w:sz w:val="24"/>
    </w:rPr>
  </w:style>
  <w:style w:type="paragraph" w:styleId="1277">
    <w:name w:val="Table Text"/>
    <w:basedOn w:val="1098"/>
    <w:next w:val="1277"/>
    <w:link w:val="1098"/>
    <w:semiHidden/>
    <w:qFormat/>
    <w:rPr>
      <w:sz w:val="20"/>
      <w:szCs w:val="20"/>
      <w:lang w:val="en-US" w:eastAsia="en-US" w:bidi="ar-SA"/>
    </w:rPr>
  </w:style>
  <w:style w:type="paragraph" w:styleId="1278">
    <w:name w:val="paragraph"/>
    <w:basedOn w:val="1098"/>
    <w:next w:val="1278"/>
    <w:link w:val="1098"/>
    <w:semiHidden/>
    <w:qFormat/>
    <w:pPr>
      <w:spacing w:before="100" w:beforeAutospacing="1" w:after="100" w:afterAutospacing="1"/>
      <w:widowControl/>
    </w:pPr>
    <w:rPr>
      <w:rFonts w:ascii="等线" w:eastAsia="等线" w:cs="Times New Roman"/>
      <w:sz w:val="24"/>
      <w:szCs w:val="24"/>
    </w:rPr>
  </w:style>
  <w:style w:type="paragraph" w:styleId="1279">
    <w:name w:val="纯文本1"/>
    <w:basedOn w:val="1098"/>
    <w:next w:val="1279"/>
    <w:link w:val="1098"/>
    <w:qFormat/>
    <w:rPr>
      <w:rFonts w:ascii="宋体" w:hAnsi="Courier New" w:cs="Courier New"/>
    </w:rPr>
  </w:style>
  <w:style w:type="paragraph" w:styleId="1280">
    <w:name w:val="标题 31"/>
    <w:basedOn w:val="1098"/>
    <w:next w:val="1281"/>
    <w:link w:val="1098"/>
    <w:qFormat/>
    <w:pPr>
      <w:jc w:val="left"/>
      <w:keepLines/>
      <w:keepNext/>
      <w:spacing w:line="440" w:lineRule="exact"/>
      <w:outlineLvl w:val="2"/>
    </w:pPr>
    <w:rPr>
      <w:b/>
      <w:bCs/>
      <w:szCs w:val="32"/>
    </w:rPr>
  </w:style>
  <w:style w:type="paragraph" w:styleId="1281">
    <w:name w:val="正文缩进1"/>
    <w:basedOn w:val="1098"/>
    <w:next w:val="1281"/>
    <w:link w:val="1098"/>
    <w:qFormat/>
    <w:pPr>
      <w:ind w:firstLine="420"/>
      <w:jc w:val="left"/>
      <w:spacing w:line="360" w:lineRule="atLeast"/>
    </w:pPr>
    <w:rPr>
      <w:rFonts w:eastAsia="宋体"/>
      <w:szCs w:val="21"/>
    </w:rPr>
  </w:style>
  <w:style w:type="paragraph" w:styleId="1282">
    <w:name w:val="标题 21"/>
    <w:basedOn w:val="1098"/>
    <w:next w:val="1098"/>
    <w:link w:val="1098"/>
    <w:qFormat/>
    <w:pPr>
      <w:jc w:val="center"/>
      <w:keepLines/>
      <w:keepNext/>
      <w:spacing w:before="260" w:after="260"/>
      <w:outlineLvl w:val="1"/>
    </w:pPr>
    <w:rPr>
      <w:rFonts w:ascii="Cambria" w:hAnsi="Cambria"/>
      <w:b/>
      <w:bCs/>
      <w:sz w:val="28"/>
      <w:szCs w:val="32"/>
    </w:rPr>
  </w:style>
  <w:style w:type="paragraph" w:styleId="1283">
    <w:name w:val="正文13"/>
    <w:next w:val="1284"/>
    <w:link w:val="1098"/>
    <w:qFormat/>
    <w:pPr>
      <w:jc w:val="both"/>
      <w:widowControl w:val="off"/>
    </w:pPr>
    <w:rPr>
      <w:rFonts w:ascii="Times New Roman" w:hAnsi="Times New Roman" w:eastAsia="宋体" w:cs="Times New Roman"/>
      <w:sz w:val="21"/>
      <w:szCs w:val="24"/>
      <w:lang w:val="en-US" w:eastAsia="zh-CN" w:bidi="ar-SA"/>
    </w:rPr>
  </w:style>
  <w:style w:type="paragraph" w:styleId="1284">
    <w:name w:val="索引 41"/>
    <w:next w:val="1283"/>
    <w:link w:val="1098"/>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character" w:styleId="1285" w:default="1">
    <w:name w:val="Default Paragraph Font"/>
    <w:uiPriority w:val="1"/>
    <w:semiHidden/>
    <w:unhideWhenUsed/>
  </w:style>
  <w:style w:type="numbering" w:styleId="1286" w:default="1">
    <w:name w:val="No List"/>
    <w:uiPriority w:val="99"/>
    <w:semiHidden/>
    <w:unhideWhenUsed/>
  </w:style>
  <w:style w:type="table" w:styleId="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9</cp:revision>
  <dcterms:created xsi:type="dcterms:W3CDTF">2024-07-02T02:28:00Z</dcterms:created>
  <dcterms:modified xsi:type="dcterms:W3CDTF">2026-07-03T07:03:12Z</dcterms:modified>
</cp:coreProperties>
</file>