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94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47"/>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JSZC-320213-SDRD-G2026-0003</w:t>
      </w:r>
      <w:r>
        <w:rPr>
          <w:rFonts w:hint="eastAsia" w:ascii="黑体" w:hAnsi="华文中宋" w:eastAsia="黑体"/>
          <w:bCs/>
          <w:color w:val="auto"/>
          <w:sz w:val="32"/>
          <w:szCs w:val="32"/>
          <w:highlight w:val="none"/>
          <w:lang w:val="en-US" w:eastAsia="zh-CN"/>
        </w:rPr>
        <w:t xml:space="preserve"> </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2022年无锡市梁溪区幼儿园新建工程(夹城里A、B规划幼儿园、夹城里幼儿园)玩具设备采购项目</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无锡市梁溪区教育局</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江苏达瑞德工程管理咨询有限公司</w:t>
      </w:r>
      <w:r/>
    </w:p>
    <w:p>
      <w:pPr>
        <w:pStyle w:val="94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二〇二六年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94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无锡市梁溪区教育局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江苏达瑞德工程管理咨询有限公司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2022年无锡市梁溪区幼儿园新建工程(夹城里A、B规划幼儿园、夹城里幼儿园)玩具设备采购项目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JSZC-320213-SDRD-G2026-0003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2022年无锡市梁溪区幼儿园新建工程(夹城里A、B规划幼儿园、夹城里幼儿园)玩具设备采购项目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4"/>
        <w:ind w:firstLine="452"/>
        <w:keepLines w:val="0"/>
        <w:keepNext w:val="0"/>
        <w:spacing w:before="0" w:after="0" w:line="500" w:lineRule="exact"/>
        <w:rPr>
          <w:color w:val="auto"/>
          <w:sz w:val="30"/>
          <w:szCs w:val="30"/>
          <w:highlight w:val="none"/>
        </w:rPr>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val="en-US" w:eastAsia="zh-CN"/>
        </w:rPr>
        <w:t xml:space="preserve">JSZC-320213-SDRD-G2026-0003</w:t>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2022年无锡市梁溪区幼儿园新建工程(夹城里A、B规划幼儿园、夹城里幼儿园)玩具设备采购项目</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169</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167</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7.供货期：30日历天完成供货及安装</w:t>
      </w:r>
      <w:r>
        <w:rPr>
          <w:rFonts w:hint="eastAsia" w:ascii="宋体" w:hAnsi="宋体" w:cs="宋体"/>
          <w:color w:val="auto"/>
          <w:sz w:val="24"/>
          <w:szCs w:val="24"/>
          <w:highlight w:val="none"/>
          <w:lang w:val="en-US" w:eastAsia="zh-CN"/>
        </w:rPr>
        <w:t xml:space="preserve"> </w:t>
      </w:r>
      <w:r/>
    </w:p>
    <w:p>
      <w:pPr>
        <w:ind w:firstLine="480"/>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本项目是否专门面向中小企业：是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.本项目是否需要缴纳履约保证金：否</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rPr>
        <w:t xml:space="preserve">不接受</w:t>
      </w:r>
      <w:r>
        <w:rPr>
          <w:rFonts w:hint="eastAsia" w:ascii="宋体" w:hAnsi="宋体" w:cs="宋体"/>
          <w:color w:val="auto"/>
          <w:sz w:val="24"/>
          <w:szCs w:val="24"/>
          <w:highlight w:val="none"/>
        </w:rPr>
        <w:t xml:space="preserve">联合体投标。</w:t>
      </w:r>
      <w:r/>
    </w:p>
    <w:p>
      <w:pPr>
        <w:pStyle w:val="854"/>
        <w:ind w:firstLine="452"/>
        <w:keepLines w:val="0"/>
        <w:keepNext w:val="0"/>
        <w:spacing w:before="0" w:after="0" w:line="500" w:lineRule="exact"/>
        <w:rPr>
          <w:color w:val="auto"/>
          <w:sz w:val="30"/>
          <w:szCs w:val="30"/>
          <w:highlight w:val="none"/>
        </w:rPr>
      </w:pPr>
      <w:r/>
      <w:bookmarkStart w:id="12" w:name="_Toc28359003"/>
      <w:r/>
      <w:bookmarkStart w:id="13" w:name="_Toc38985264"/>
      <w:r/>
      <w:bookmarkStart w:id="14" w:name="_Toc35393622"/>
      <w:r/>
      <w:bookmarkStart w:id="15" w:name="_Toc28359080"/>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35393623"/>
      <w:r/>
      <w:bookmarkStart w:id="20" w:name="_Toc28359004"/>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color w:val="auto"/>
          <w:sz w:val="24"/>
          <w:szCs w:val="24"/>
          <w:highlight w:val="none"/>
          <w:lang w:eastAsia="zh-CN"/>
        </w:rPr>
        <w:t xml:space="preserve">供应商为中小微企业/监狱企业/残疾人福利企业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3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“江苏省政府采购（苏采云）平台”（http://jszfcg.jsczt.cn/）获取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540"/>
        <w:spacing w:line="500" w:lineRule="exact"/>
        <w:rPr>
          <w:rFonts w:hint="eastAsia" w:ascii="Times New Roman" w:hAnsi="Times New Roman" w:eastAsia="宋体" w:cs="Times New Roman"/>
          <w:b/>
          <w:bCs/>
          <w:color w:val="auto"/>
          <w:sz w:val="30"/>
          <w:szCs w:val="30"/>
          <w:highlight w:val="none"/>
          <w:lang w:val="en-US" w:eastAsia="zh-CN" w:bidi="ar-SA"/>
        </w:rPr>
      </w:pPr>
      <w:r>
        <w:rPr>
          <w:rFonts w:hint="eastAsia" w:ascii="Times New Roman" w:hAnsi="Times New Roman" w:eastAsia="宋体" w:cs="Times New Roman"/>
          <w:b/>
          <w:bCs/>
          <w:color w:val="auto"/>
          <w:sz w:val="30"/>
          <w:szCs w:val="30"/>
          <w:highlight w:val="none"/>
          <w:lang w:val="en-US" w:eastAsia="zh-CN" w:bidi="ar-SA"/>
        </w:rPr>
        <w:t xml:space="preserve">四、公开答疑时间、地点</w:t>
      </w:r>
      <w:r/>
    </w:p>
    <w:p>
      <w:pPr>
        <w:ind w:firstLine="540"/>
        <w:spacing w:line="5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采购人、招</w:t>
      </w:r>
      <w:r>
        <w:rPr>
          <w:rFonts w:hint="eastAsia" w:ascii="宋体" w:hAnsi="宋体"/>
          <w:bCs/>
          <w:color w:val="auto"/>
          <w:sz w:val="24"/>
          <w:szCs w:val="24"/>
          <w:highlight w:val="none"/>
          <w:lang w:val="en-US" w:eastAsia="zh-CN"/>
        </w:rPr>
        <w:t xml:space="preserve">标代理机构将以电话咨询、邮箱（592489902@qq.com）等方式开展线上不见面答疑服务。截至2026年7月27日10:00，有关单位对于招标文件的相关事项如有疑问可通过上述方式咨询；供应商如有需要对招标文件要求澄清的问题，请以书面形式（必须加盖投标供应商公章，务必留下联系方式，以便回复）提出“JSZC-320213-SDRD-G2026-0003项目需澄清问题”，并于答疑截止时间前发送至邮箱（592489902@qq.com）给项目联系人。若未在法定时间内提出澄清，由此造成的损失及风险由供应商自行承担</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五</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10</w:t>
      </w:r>
      <w:bookmarkStart w:id="206" w:name="_GoBack"/>
      <w:r/>
      <w:bookmarkEnd w:id="206"/>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54"/>
        <w:ind w:firstLine="452"/>
        <w:keepLines w:val="0"/>
        <w:keepNext w:val="0"/>
        <w:spacing w:before="0" w:after="0" w:line="500" w:lineRule="exact"/>
        <w:rPr>
          <w:color w:val="auto"/>
          <w:sz w:val="30"/>
          <w:szCs w:val="30"/>
          <w:highlight w:val="none"/>
        </w:rPr>
      </w:pPr>
      <w:r/>
      <w:bookmarkStart w:id="27" w:name="_Toc35393625"/>
      <w:r/>
      <w:bookmarkStart w:id="28" w:name="_Toc28359084"/>
      <w:r/>
      <w:bookmarkStart w:id="29" w:name="_Toc35393794"/>
      <w:r/>
      <w:bookmarkStart w:id="30" w:name="_Toc28359007"/>
      <w:r/>
      <w:bookmarkStart w:id="31" w:name="_Toc38985267"/>
      <w:r>
        <w:rPr>
          <w:rFonts w:hint="eastAsia"/>
          <w:color w:val="auto"/>
          <w:sz w:val="30"/>
          <w:szCs w:val="30"/>
          <w:highlight w:val="none"/>
          <w:lang w:val="en-US" w:eastAsia="zh-CN"/>
        </w:rPr>
        <w:t xml:space="preserve">六</w:t>
      </w:r>
      <w:r>
        <w:rPr>
          <w:rFonts w:hint="eastAsia"/>
          <w:color w:val="auto"/>
          <w:sz w:val="30"/>
          <w:szCs w:val="30"/>
          <w:highlight w:val="none"/>
        </w:rPr>
        <w:t xml:space="preserve">、公告期限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七</w:t>
      </w:r>
      <w:r>
        <w:rPr>
          <w:rFonts w:hint="eastAsia"/>
          <w:color w:val="auto"/>
          <w:sz w:val="30"/>
          <w:szCs w:val="30"/>
          <w:highlight w:val="none"/>
        </w:rPr>
        <w:t xml:space="preserve">、其他补充事宜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54"/>
        <w:ind w:firstLine="452"/>
        <w:keepLines w:val="0"/>
        <w:keepNext w:val="0"/>
        <w:spacing w:before="0" w:after="0" w:line="500" w:lineRule="exact"/>
        <w:rPr>
          <w:color w:val="auto"/>
          <w:sz w:val="30"/>
          <w:szCs w:val="30"/>
          <w:highlight w:val="none"/>
        </w:rPr>
      </w:pPr>
      <w:r/>
      <w:bookmarkStart w:id="35" w:name="_Toc28359085"/>
      <w:r/>
      <w:bookmarkStart w:id="36" w:name="_Toc38985269"/>
      <w:r/>
      <w:bookmarkStart w:id="37" w:name="_Toc28359008"/>
      <w:r/>
      <w:bookmarkStart w:id="38" w:name="_Toc35393627"/>
      <w:r/>
      <w:bookmarkStart w:id="39" w:name="_Toc35393796"/>
      <w:r>
        <w:rPr>
          <w:rFonts w:hint="eastAsia"/>
          <w:color w:val="auto"/>
          <w:sz w:val="30"/>
          <w:szCs w:val="30"/>
          <w:highlight w:val="none"/>
          <w:lang w:val="en-US" w:eastAsia="zh-CN"/>
        </w:rPr>
        <w:t xml:space="preserve">八</w:t>
      </w:r>
      <w:r>
        <w:rPr>
          <w:rFonts w:hint="eastAsia"/>
          <w:color w:val="auto"/>
          <w:sz w:val="30"/>
          <w:szCs w:val="30"/>
          <w:highlight w:val="none"/>
        </w:rPr>
        <w:t xml:space="preserve">、本项目联系方式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无锡市梁溪区教育局</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址：无锡市梁溪区通</w:t>
      </w:r>
      <w:r>
        <w:rPr>
          <w:rFonts w:hint="eastAsia" w:ascii="宋体" w:hAnsi="宋体" w:cs="宋体"/>
          <w:color w:val="auto"/>
          <w:sz w:val="24"/>
          <w:szCs w:val="24"/>
          <w:highlight w:val="none"/>
          <w:lang w:val="en-US" w:eastAsia="zh-CN"/>
        </w:rPr>
        <w:t xml:space="preserve">扬</w:t>
      </w:r>
      <w:r>
        <w:rPr>
          <w:rFonts w:hint="eastAsia" w:ascii="宋体" w:hAnsi="宋体" w:cs="宋体"/>
          <w:color w:val="auto"/>
          <w:sz w:val="24"/>
          <w:szCs w:val="24"/>
          <w:highlight w:val="none"/>
        </w:rPr>
        <w:t xml:space="preserve">路221号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江苏达瑞德工程管理咨询有限公司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无锡市滨湖区山明四村15号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招标代理</w:t>
      </w: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奚彩杰 ；</w:t>
      </w:r>
      <w:r>
        <w:rPr>
          <w:rFonts w:hint="eastAsia" w:ascii="宋体" w:hAnsi="宋体" w:cs="宋体"/>
          <w:color w:val="auto"/>
          <w:sz w:val="24"/>
          <w:szCs w:val="24"/>
          <w:highlight w:val="none"/>
        </w:rPr>
        <w:t xml:space="preserve">经办人姓名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奚彩杰</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17315628902</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（五）其他事项</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2）纸质投标文件：本项目为不见面开标，投标人无需递交纸质投标文件至现场，中标后中标供应商向采购代理机构提供与电子投标文件完全一致的纸质投标文件（2份：一正、一副）。</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3）供应商请仔细阅读供应商注册流程和招标文件中关于电子开评标等相关事项，如有问题可发送邮件或电话咨询。</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4）本招标文件中涉及的盖章部分均可使用CA签章。</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auto" w:fill="auto"/>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54"/>
        <w:ind w:firstLine="452"/>
        <w:keepLines w:val="0"/>
        <w:keepNext w:val="0"/>
        <w:spacing w:before="0" w:after="0" w:line="500" w:lineRule="exact"/>
        <w:rPr>
          <w:rFonts w:hint="eastAsia"/>
          <w:color w:val="auto"/>
          <w:sz w:val="30"/>
          <w:szCs w:val="30"/>
          <w:highlight w:val="none"/>
        </w:rPr>
      </w:pPr>
      <w:r/>
      <w:bookmarkStart w:id="47" w:name="_Toc120614214"/>
      <w:r/>
      <w:bookmarkStart w:id="48" w:name="_Toc513029203"/>
      <w:r/>
      <w:bookmarkStart w:id="49" w:name="_Toc16938519"/>
      <w:r/>
      <w:bookmarkStart w:id="50" w:name="_Toc20823275"/>
      <w:r>
        <w:rPr>
          <w:rFonts w:hint="eastAsia"/>
          <w:color w:val="auto"/>
          <w:sz w:val="30"/>
          <w:szCs w:val="30"/>
          <w:highlight w:val="none"/>
        </w:rPr>
        <w:t xml:space="preserve">一、总则</w:t>
      </w:r>
      <w:bookmarkEnd w:id="47"/>
      <w:r/>
      <w:bookmarkEnd w:id="48"/>
      <w:r/>
      <w:bookmarkEnd w:id="49"/>
      <w:r/>
      <w:bookmarkEnd w:id="50"/>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5" w:name="_Toc513029205"/>
      <w:r/>
      <w:bookmarkStart w:id="56" w:name="_Toc20823277"/>
      <w:r/>
      <w:bookmarkStart w:id="57" w:name="_Toc16938521"/>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8" w:name="_Toc513029206"/>
      <w:r/>
      <w:bookmarkStart w:id="59" w:name="_Toc20823278"/>
      <w:r/>
      <w:bookmarkStart w:id="60" w:name="_Toc16938522"/>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61" w:name="_Toc20823279"/>
      <w:r/>
      <w:bookmarkStart w:id="62" w:name="_Toc462564067"/>
      <w:r/>
      <w:bookmarkStart w:id="63" w:name="_Toc16938523"/>
      <w:r/>
      <w:bookmarkStart w:id="64" w:name="_Toc513029207"/>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江苏达瑞德工程管理咨询有限公司</w:t>
      </w:r>
      <w:r>
        <w:rPr>
          <w:rFonts w:hint="eastAsia" w:ascii="宋体" w:hAnsi="宋体"/>
          <w:color w:val="auto"/>
          <w:sz w:val="24"/>
          <w:highlight w:val="none"/>
        </w:rPr>
        <w:t xml:space="preserve">（以下简称</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支付，采购代理费按差额定率累进法，收费标准为：中标金额100万以下费率为中标金额的1.5%；中标金额100万－500万费率为中标金额的1.1%，在此基础上打七折计取。</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54"/>
        <w:ind w:firstLine="452"/>
        <w:keepLines w:val="0"/>
        <w:keepNext w:val="0"/>
        <w:spacing w:before="0" w:after="0" w:line="500" w:lineRule="exact"/>
        <w:rPr>
          <w:rFonts w:hint="eastAsia"/>
          <w:color w:val="auto"/>
          <w:sz w:val="30"/>
          <w:szCs w:val="30"/>
          <w:highlight w:val="none"/>
        </w:rPr>
      </w:pPr>
      <w:r/>
      <w:bookmarkStart w:id="65" w:name="_Toc120614215"/>
      <w:r/>
      <w:bookmarkStart w:id="66" w:name="_Toc16938525"/>
      <w:r/>
      <w:bookmarkStart w:id="67" w:name="_Toc20823281"/>
      <w:r/>
      <w:bookmarkStart w:id="68" w:name="_Toc513029209"/>
      <w:r>
        <w:rPr>
          <w:rFonts w:hint="eastAsia"/>
          <w:color w:val="auto"/>
          <w:sz w:val="30"/>
          <w:szCs w:val="30"/>
          <w:highlight w:val="none"/>
        </w:rPr>
        <w:t xml:space="preserve">二、招标文件</w:t>
      </w:r>
      <w:bookmarkEnd w:id="65"/>
      <w:r/>
      <w:bookmarkEnd w:id="66"/>
      <w:r/>
      <w:bookmarkEnd w:id="67"/>
      <w:r/>
      <w:bookmarkEnd w:id="68"/>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69" w:name="_Toc513029210"/>
      <w:r/>
      <w:bookmarkStart w:id="70" w:name="_Toc16938526"/>
      <w:r/>
      <w:bookmarkStart w:id="71" w:name="_Toc20823282"/>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72" w:name="_Toc20823283"/>
      <w:r/>
      <w:bookmarkStart w:id="73" w:name="_Toc16938527"/>
      <w:r/>
      <w:bookmarkStart w:id="74" w:name="_Toc513029211"/>
      <w:r/>
      <w:bookmarkStart w:id="75" w:name="_Toc462564070"/>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以书面形式提出。</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76" w:name="_Toc16938528"/>
      <w:r/>
      <w:bookmarkStart w:id="77" w:name="_Toc462564071"/>
      <w:r/>
      <w:bookmarkStart w:id="78" w:name="_Toc513029212"/>
      <w:r/>
      <w:bookmarkStart w:id="79" w:name="_Toc20823284"/>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500" w:lineRule="exact"/>
        <w:rPr>
          <w:rFonts w:hint="eastAsia"/>
          <w:color w:val="auto"/>
          <w:sz w:val="30"/>
          <w:szCs w:val="30"/>
          <w:highlight w:val="none"/>
        </w:rPr>
      </w:pPr>
      <w:r/>
      <w:bookmarkStart w:id="80" w:name="_Toc120614216"/>
      <w:r/>
      <w:bookmarkStart w:id="81" w:name="_Toc20823285"/>
      <w:r/>
      <w:bookmarkStart w:id="82" w:name="_Toc462564072"/>
      <w:r/>
      <w:bookmarkStart w:id="83" w:name="_Toc16938529"/>
      <w:r/>
      <w:bookmarkStart w:id="84" w:name="_Toc513029213"/>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85" w:name="_Toc513029214"/>
      <w:r/>
      <w:bookmarkStart w:id="86" w:name="_Toc462564073"/>
      <w:r/>
      <w:bookmarkStart w:id="87" w:name="_Toc20823286"/>
      <w:r/>
      <w:bookmarkStart w:id="88" w:name="_Toc16938530"/>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89" w:name="_Toc462564074"/>
      <w:r/>
      <w:bookmarkStart w:id="90" w:name="_Toc20823287"/>
      <w:r/>
      <w:bookmarkStart w:id="91" w:name="_Toc16938531"/>
      <w:r/>
      <w:bookmarkStart w:id="92" w:name="_Toc513029215"/>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08" w:name="_Hlt26954846"/>
      <w:r/>
      <w:bookmarkEnd w:id="108"/>
      <w:r/>
      <w:bookmarkStart w:id="109" w:name="_Hlt26670425"/>
      <w:r/>
      <w:bookmarkEnd w:id="109"/>
      <w:r/>
      <w:bookmarkStart w:id="110" w:name="_Hlt26670482"/>
      <w:r/>
      <w:bookmarkEnd w:id="110"/>
      <w:r/>
      <w:bookmarkStart w:id="111" w:name="_Hlt26954731"/>
      <w:r/>
      <w:bookmarkEnd w:id="111"/>
      <w:r/>
      <w:bookmarkStart w:id="112" w:name="_Hlt26668983"/>
      <w:r/>
      <w:bookmarkEnd w:id="112"/>
      <w:r/>
      <w:bookmarkStart w:id="113" w:name="_Hlt26670403"/>
      <w:r/>
      <w:bookmarkEnd w:id="113"/>
      <w:r/>
      <w:bookmarkStart w:id="114" w:name="_Hlt26954844"/>
      <w:r/>
      <w:bookmarkEnd w:id="114"/>
      <w:r/>
      <w:bookmarkStart w:id="115" w:name="_Hlt26670486"/>
      <w:r/>
      <w:bookmarkEnd w:id="115"/>
      <w:r/>
      <w:bookmarkStart w:id="116" w:name="_Hlt26954848"/>
      <w:r/>
      <w:bookmarkEnd w:id="116"/>
      <w:r/>
      <w:bookmarkStart w:id="117" w:name="_Hlt26954842"/>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54"/>
        <w:ind w:firstLine="452"/>
        <w:keepLines w:val="0"/>
        <w:keepNext w:val="0"/>
        <w:spacing w:before="0" w:after="0" w:line="500" w:lineRule="exact"/>
        <w:rPr>
          <w:rFonts w:hint="eastAsia"/>
          <w:color w:val="auto"/>
          <w:sz w:val="30"/>
          <w:szCs w:val="30"/>
          <w:highlight w:val="none"/>
        </w:rPr>
      </w:pPr>
      <w:r/>
      <w:bookmarkStart w:id="123" w:name="_Hlt26954852"/>
      <w:r/>
      <w:bookmarkEnd w:id="123"/>
      <w:r/>
      <w:bookmarkStart w:id="124" w:name="_Hlt26954739"/>
      <w:r/>
      <w:bookmarkEnd w:id="124"/>
      <w:r/>
      <w:bookmarkStart w:id="125" w:name="_Toc20823296"/>
      <w:r/>
      <w:bookmarkStart w:id="126" w:name="_Toc120614217"/>
      <w:r/>
      <w:bookmarkStart w:id="127" w:name="_Toc513029224"/>
      <w:r/>
      <w:bookmarkStart w:id="128" w:name="_Toc16938540"/>
      <w:r>
        <w:rPr>
          <w:rFonts w:hint="eastAsia"/>
          <w:color w:val="auto"/>
          <w:sz w:val="30"/>
          <w:szCs w:val="30"/>
          <w:highlight w:val="none"/>
        </w:rPr>
        <w:t xml:space="preserve">四、投标文件的递交</w:t>
      </w:r>
      <w:bookmarkEnd w:id="125"/>
      <w:r/>
      <w:bookmarkEnd w:id="126"/>
      <w:r/>
      <w:bookmarkEnd w:id="127"/>
      <w:r/>
      <w:bookmarkEnd w:id="128"/>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29" w:name="_Toc462564084"/>
      <w:r/>
      <w:bookmarkStart w:id="130" w:name="_Toc16938541"/>
      <w:r/>
      <w:bookmarkStart w:id="131" w:name="_Toc513029225"/>
      <w:r/>
      <w:bookmarkStart w:id="132" w:name="_Toc20823297"/>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72"/>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36" w:name="_Toc20823299"/>
      <w:r/>
      <w:bookmarkStart w:id="137" w:name="_Toc513029227"/>
      <w:r/>
      <w:bookmarkStart w:id="138" w:name="_Toc16938543"/>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拒绝接收在其规定的投标截止时间后上传的任何投标文件。</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54"/>
        <w:ind w:firstLine="452"/>
        <w:keepLines w:val="0"/>
        <w:keepNext w:val="0"/>
        <w:spacing w:before="0" w:after="0" w:line="500" w:lineRule="exact"/>
        <w:rPr>
          <w:rFonts w:hint="eastAsia"/>
          <w:color w:val="auto"/>
          <w:sz w:val="30"/>
          <w:szCs w:val="30"/>
          <w:highlight w:val="none"/>
        </w:rPr>
      </w:pPr>
      <w:r/>
      <w:bookmarkStart w:id="142" w:name="_Toc20823301"/>
      <w:r/>
      <w:bookmarkStart w:id="143" w:name="_Toc513029229"/>
      <w:r/>
      <w:bookmarkStart w:id="144" w:name="_Toc16938545"/>
      <w:r/>
      <w:bookmarkStart w:id="145" w:name="_Toc120614218"/>
      <w:r>
        <w:rPr>
          <w:rFonts w:hint="eastAsia"/>
          <w:color w:val="auto"/>
          <w:sz w:val="30"/>
          <w:szCs w:val="30"/>
          <w:highlight w:val="none"/>
        </w:rPr>
        <w:t xml:space="preserve">五、开标与评标</w:t>
      </w:r>
      <w:bookmarkEnd w:id="142"/>
      <w:r/>
      <w:bookmarkEnd w:id="143"/>
      <w:r/>
      <w:bookmarkEnd w:id="144"/>
      <w:r/>
      <w:bookmarkEnd w:id="145"/>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46" w:name="_Toc513029230"/>
      <w:r/>
      <w:bookmarkStart w:id="147" w:name="_Toc16938546"/>
      <w:r/>
      <w:bookmarkStart w:id="148" w:name="_Toc20823302"/>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bookmarkEnd w:id="150"/>
      <w:bookmarkEnd w:id="151"/>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54"/>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500" w:lineRule="exact"/>
        <w:rPr>
          <w:rFonts w:hint="eastAsia"/>
          <w:color w:val="auto"/>
          <w:sz w:val="30"/>
          <w:szCs w:val="30"/>
          <w:highlight w:val="none"/>
        </w:rPr>
      </w:pPr>
      <w:r/>
      <w:bookmarkStart w:id="169" w:name="_Toc120614220"/>
      <w:r/>
      <w:bookmarkStart w:id="170" w:name="_Toc513029236"/>
      <w:r/>
      <w:bookmarkStart w:id="171" w:name="_Toc20823308"/>
      <w:r/>
      <w:bookmarkStart w:id="172" w:name="_Toc16938552"/>
      <w:r>
        <w:rPr>
          <w:rFonts w:hint="eastAsia"/>
          <w:color w:val="auto"/>
          <w:sz w:val="30"/>
          <w:szCs w:val="30"/>
          <w:highlight w:val="none"/>
        </w:rPr>
        <w:t xml:space="preserve">七、授予合同</w:t>
      </w:r>
      <w:bookmarkEnd w:id="169"/>
      <w:r/>
      <w:bookmarkEnd w:id="170"/>
      <w:bookmarkEnd w:id="171"/>
      <w:bookmarkEnd w:id="172"/>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73" w:name="_Toc16938553"/>
      <w:r/>
      <w:bookmarkStart w:id="174" w:name="_Toc513029237"/>
      <w:r/>
      <w:bookmarkStart w:id="175" w:name="_Toc20823309"/>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176" w:name="_Toc513029242"/>
      <w:r/>
      <w:bookmarkStart w:id="177" w:name="_Toc479757207"/>
      <w:r/>
      <w:bookmarkStart w:id="178" w:name="_Toc16938558"/>
      <w:r/>
      <w:bookmarkStart w:id="179" w:name="_Toc120614221"/>
      <w:r/>
      <w:bookmarkStart w:id="180" w:name="_Toc20823314"/>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513029243"/>
      <w:r/>
      <w:bookmarkStart w:id="182" w:name="_Toc16938559"/>
      <w:r/>
      <w:bookmarkStart w:id="183" w:name="_Toc20823315"/>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江苏达瑞德工程管理咨询有限公司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 xml:space="preserve">8.1.2尾款支付时间：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、合同生效及其他</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《中华人民共和国民法典》《中华人民共和国政府采购法》等</w:t>
      </w:r>
      <w:r>
        <w:rPr>
          <w:rFonts w:ascii="宋体" w:hAnsi="宋体" w:cs="Courier New"/>
          <w:color w:val="auto"/>
          <w:sz w:val="24"/>
          <w:szCs w:val="24"/>
          <w:highlight w:val="none"/>
        </w:rPr>
        <w:t xml:space="preserve">有关条文执行。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cs="Courier New"/>
          <w:color w:val="auto"/>
          <w:sz w:val="24"/>
          <w:szCs w:val="24"/>
          <w:highlight w:val="none"/>
        </w:rPr>
        <w:t xml:space="preserve">注：采购人也可参考财政部制定的《政府采购货物买卖合同（试行）》使用，《政府采购货物买卖合同（试行）》电子版请登录中国政府采购网（www.ccgp.gov.cn）下载。</w:t>
      </w:r>
      <w:r/>
    </w:p>
    <w:p>
      <w:pPr>
        <w:numPr>
          <w:ilvl w:val="0"/>
          <w:numId w:val="5"/>
        </w:num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Toc20823346"/>
      <w:r/>
      <w:bookmarkStart w:id="186" w:name="_Toc16938590"/>
      <w:r/>
      <w:bookmarkStart w:id="187" w:name="_Toc120614244"/>
      <w:r/>
      <w:bookmarkStart w:id="188" w:name="_Toc479757211"/>
      <w:r/>
      <w:bookmarkStart w:id="189" w:name="_Toc462564139"/>
      <w:r>
        <w:rPr>
          <w:rFonts w:hint="eastAsia" w:ascii="黑体" w:hAnsi="黑体" w:eastAsia="黑体"/>
          <w:color w:val="auto"/>
          <w:sz w:val="36"/>
          <w:szCs w:val="36"/>
          <w:highlight w:val="none"/>
        </w:rPr>
        <w:t xml:space="preserve">采购需求</w:t>
      </w:r>
      <w:bookmarkEnd w:id="185"/>
      <w:r/>
      <w:bookmarkEnd w:id="186"/>
      <w:r/>
      <w:bookmarkEnd w:id="187"/>
      <w:r/>
      <w:r/>
    </w:p>
    <w:p>
      <w:pPr>
        <w:numPr>
          <w:ilvl w:val="0"/>
          <w:numId w:val="0"/>
        </w:numPr>
        <w:jc w:val="both"/>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ind w:firstLine="480"/>
        <w:jc w:val="left"/>
        <w:spacing w:line="360" w:lineRule="auto"/>
        <w:rPr>
          <w:rFonts w:hint="eastAsia" w:ascii="黑体" w:hAnsi="黑体" w:eastAsia="黑体"/>
          <w:color w:val="auto"/>
          <w:sz w:val="30"/>
          <w:szCs w:val="30"/>
          <w:highlight w:val="none"/>
        </w:rPr>
      </w:pPr>
      <w:r/>
      <w:bookmarkStart w:id="190" w:name="_Toc49090575"/>
      <w:r/>
      <w:bookmarkStart w:id="191" w:name="_Toc26554093"/>
      <w:r>
        <w:rPr>
          <w:rFonts w:hint="eastAsia" w:ascii="宋体" w:hAnsi="宋体"/>
          <w:color w:val="auto"/>
          <w:sz w:val="24"/>
          <w:szCs w:val="24"/>
          <w:highlight w:val="none"/>
        </w:rPr>
        <w:t xml:space="preserve">投标人所投内容必须满足以下要求，不得有负偏离。</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lang w:val="en-US" w:eastAsia="zh-CN"/>
        </w:rPr>
        <w:t xml:space="preserve">工业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lang w:val="en-US" w:eastAsia="zh-CN"/>
        </w:rPr>
        <w:t xml:space="preserve">户外体能拓展组合</w:t>
      </w:r>
      <w:r>
        <w:rPr>
          <w:rFonts w:hint="eastAsia" w:ascii="宋体" w:hAnsi="宋体"/>
          <w:color w:val="auto"/>
          <w:sz w:val="24"/>
          <w:szCs w:val="24"/>
          <w:highlight w:val="none"/>
        </w:rPr>
        <w:t xml:space="preserve">为核心产品。</w:t>
      </w:r>
      <w:r/>
    </w:p>
    <w:p>
      <w:pPr>
        <w:numPr>
          <w:ilvl w:val="0"/>
          <w:numId w:val="0"/>
        </w:numPr>
        <w:ind w:firstLine="482"/>
        <w:jc w:val="both"/>
        <w:keepLines w:val="0"/>
        <w:keepNext w:val="0"/>
        <w:pageBreakBefore w:val="0"/>
        <w:spacing w:line="360" w:lineRule="auto"/>
        <w:widowControl/>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一</w:t>
      </w:r>
      <w:r>
        <w:rPr>
          <w:rFonts w:hint="eastAsia" w:ascii="宋体" w:hAnsi="宋体" w:eastAsia="宋体" w:cs="Times New Roman"/>
          <w:b/>
          <w:color w:val="auto"/>
          <w:sz w:val="24"/>
          <w:highlight w:val="none"/>
        </w:rPr>
        <w:t xml:space="preserve">、基本要求</w:t>
      </w:r>
      <w:r/>
    </w:p>
    <w:p>
      <w:pPr>
        <w:ind w:firstLine="480"/>
        <w:jc w:val="both"/>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1.采购内容：</w:t>
      </w:r>
      <w:r>
        <w:rPr>
          <w:rFonts w:hint="eastAsia" w:ascii="宋体" w:hAnsi="宋体" w:cs="宋体"/>
          <w:color w:val="auto"/>
          <w:sz w:val="24"/>
          <w:highlight w:val="none"/>
        </w:rPr>
        <w:t xml:space="preserve">本项目为</w:t>
      </w:r>
      <w:r>
        <w:rPr>
          <w:rFonts w:hint="eastAsia" w:ascii="宋体" w:hAnsi="宋体" w:cs="宋体"/>
          <w:color w:val="auto"/>
          <w:sz w:val="24"/>
          <w:highlight w:val="none"/>
          <w:lang w:eastAsia="zh-CN"/>
        </w:rPr>
        <w:t xml:space="preserve">2022年无锡市梁溪区幼儿园新建工程(夹城里A、B规划幼儿园、夹城里幼儿园)玩具设备采购项目</w:t>
      </w:r>
      <w:r>
        <w:rPr>
          <w:rFonts w:hint="eastAsia" w:ascii="宋体" w:hAnsi="宋体" w:cs="宋体"/>
          <w:color w:val="auto"/>
          <w:sz w:val="24"/>
          <w:highlight w:val="none"/>
        </w:rPr>
        <w:t xml:space="preserve">，</w:t>
      </w:r>
      <w:r>
        <w:rPr>
          <w:rFonts w:ascii="宋体" w:hAnsi="宋体" w:cs="宋体"/>
          <w:color w:val="auto"/>
          <w:sz w:val="24"/>
          <w:highlight w:val="none"/>
        </w:rPr>
        <w:t xml:space="preserve">包括</w:t>
      </w:r>
      <w:r>
        <w:rPr>
          <w:rFonts w:hint="eastAsia" w:ascii="宋体" w:hAnsi="宋体" w:cs="宋体"/>
          <w:color w:val="auto"/>
          <w:sz w:val="24"/>
          <w:highlight w:val="none"/>
          <w:lang w:eastAsia="zh-CN"/>
        </w:rPr>
        <w:t xml:space="preserve">2022年无锡市梁溪区幼儿园新建工程(夹城里A、B规划幼儿园、夹城里幼儿园)玩具设备采购项目</w:t>
      </w:r>
      <w:r>
        <w:rPr>
          <w:rFonts w:hint="eastAsia" w:ascii="宋体" w:hAnsi="宋体" w:cs="宋体"/>
          <w:color w:val="auto"/>
          <w:sz w:val="24"/>
          <w:highlight w:val="none"/>
        </w:rPr>
        <w:t xml:space="preserve">供货及安装，供应商负责全部设备及其配套辅助设施的供货、运输、安装、调试、配合验收、技术培训、售后及质保等全套内容。</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.供货期：</w:t>
      </w:r>
      <w:r>
        <w:rPr>
          <w:rFonts w:hint="eastAsia" w:ascii="宋体" w:hAnsi="宋体" w:cs="宋体"/>
          <w:color w:val="auto"/>
          <w:sz w:val="24"/>
          <w:highlight w:val="none"/>
          <w:lang w:val="en-US" w:eastAsia="zh-CN"/>
        </w:rPr>
        <w:t xml:space="preserve">30日历天完成供货及安装；误期违约金：2000元/天；</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.质量要求：符合现行国家、地方强制性、行业性等相关规范及采购人要求的合格产品；质量违约金：合同价的5%；</w:t>
      </w:r>
      <w:r/>
    </w:p>
    <w:p>
      <w:pPr>
        <w:ind w:firstLine="480"/>
        <w:jc w:val="both"/>
        <w:keepLines w:val="0"/>
        <w:keepNext w:val="0"/>
        <w:pageBreakBefore w:val="0"/>
        <w:spacing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.质保期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ascii="宋体" w:hAnsi="宋体"/>
          <w:color w:val="auto"/>
          <w:sz w:val="24"/>
          <w:highlight w:val="none"/>
        </w:rPr>
        <w:t xml:space="preserve">（自交货验收合格之日起计）</w:t>
      </w:r>
      <w:r>
        <w:rPr>
          <w:rFonts w:hint="eastAsia" w:ascii="宋体" w:hAnsi="宋体"/>
          <w:color w:val="auto"/>
          <w:sz w:val="24"/>
          <w:highlight w:val="none"/>
        </w:rPr>
        <w:t xml:space="preserve">；</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在保修期内，一旦发生质量问题，投标人保证在接到通知2小时内响应，8小时内赶到报修现场进行修理、更换或退货，24小时内修理完毕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费用由投标人负责。如投标人在接到通知后12小时内没有答复，则视为投标人承认质量问题并承担由此发生的一切费用。保修期间的一切质量问题，更换部件及</w:t>
      </w:r>
      <w:r>
        <w:rPr>
          <w:rFonts w:hint="eastAsia" w:ascii="宋体" w:hAnsi="宋体" w:eastAsia="宋体" w:cs="宋体"/>
          <w:color w:val="auto"/>
          <w:sz w:val="24"/>
          <w:szCs w:val="24"/>
          <w:highlight w:val="none"/>
          <w:lang w:val="en-US" w:eastAsia="zh-CN"/>
        </w:rPr>
        <w:t xml:space="preserve">设备设施</w:t>
      </w:r>
      <w:r>
        <w:rPr>
          <w:rFonts w:hint="eastAsia" w:ascii="宋体" w:hAnsi="宋体" w:eastAsia="宋体" w:cs="宋体"/>
          <w:color w:val="auto"/>
          <w:sz w:val="24"/>
          <w:szCs w:val="24"/>
          <w:highlight w:val="none"/>
        </w:rPr>
        <w:t xml:space="preserve">本身质量原因造成的直接经济损失应全部由投标人负责。</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bCs/>
          <w:color w:val="auto"/>
          <w:sz w:val="24"/>
          <w:szCs w:val="24"/>
          <w:highlight w:val="none"/>
          <w:lang w:eastAsia="zh-CN"/>
        </w:rPr>
        <w:t xml:space="preserve">2022年无锡市梁溪区幼儿园新建工程(夹城里A、B规划幼儿园、夹城里幼儿园)玩具设备采购项目</w:t>
      </w:r>
      <w:r>
        <w:rPr>
          <w:rFonts w:hint="eastAsia" w:ascii="宋体" w:hAnsi="宋体" w:eastAsia="宋体" w:cs="宋体"/>
          <w:color w:val="auto"/>
          <w:sz w:val="24"/>
          <w:szCs w:val="24"/>
          <w:highlight w:val="none"/>
        </w:rPr>
        <w:t xml:space="preserve">在质保期内出现问题，中标单位应包退、包换、包修，费用由中标单位负责。</w:t>
      </w:r>
      <w:r/>
    </w:p>
    <w:p>
      <w:pPr>
        <w:numPr>
          <w:ilvl w:val="0"/>
          <w:numId w:val="0"/>
        </w:numPr>
        <w:ind w:firstLine="480"/>
        <w:jc w:val="both"/>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jc w:val="both"/>
        <w:keepLines w:val="0"/>
        <w:keepNext w:val="0"/>
        <w:pageBreakBefore w:val="0"/>
        <w:spacing w:line="360" w:lineRule="auto"/>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本项目合同履行地点：无锡市，具体地点以合同书约定为准。用户不予物流对接，中标人负</w:t>
      </w:r>
      <w:r>
        <w:rPr>
          <w:rFonts w:hint="eastAsia" w:ascii="宋体" w:hAnsi="宋体" w:cs="宋体"/>
          <w:bCs/>
          <w:color w:val="auto"/>
          <w:sz w:val="24"/>
          <w:szCs w:val="24"/>
          <w:highlight w:val="none"/>
          <w:lang w:eastAsia="zh-CN"/>
        </w:rPr>
        <w:t xml:space="preserve">责将</w:t>
      </w:r>
      <w:r>
        <w:rPr>
          <w:rFonts w:hint="eastAsia" w:ascii="宋体" w:hAnsi="宋体" w:eastAsia="宋体" w:cs="宋体"/>
          <w:bCs/>
          <w:color w:val="auto"/>
          <w:sz w:val="24"/>
          <w:szCs w:val="24"/>
          <w:highlight w:val="none"/>
          <w:lang w:val="en-US" w:eastAsia="zh-CN"/>
        </w:rPr>
        <w:t xml:space="preserve">货物</w:t>
      </w:r>
      <w:r>
        <w:rPr>
          <w:rFonts w:hint="eastAsia" w:ascii="宋体" w:hAnsi="宋体" w:eastAsia="宋体" w:cs="宋体"/>
          <w:bCs/>
          <w:color w:val="auto"/>
          <w:sz w:val="24"/>
          <w:szCs w:val="24"/>
          <w:highlight w:val="none"/>
        </w:rPr>
        <w:t xml:space="preserve">运至指定地点，负责拆箱搬运安装，所有损失由中标人全部承担。</w:t>
      </w:r>
      <w:r/>
    </w:p>
    <w:p>
      <w:pPr>
        <w:numPr>
          <w:ilvl w:val="0"/>
          <w:numId w:val="0"/>
        </w:numPr>
        <w:ind w:firstLine="482"/>
        <w:jc w:val="both"/>
        <w:keepLines w:val="0"/>
        <w:keepNext w:val="0"/>
        <w:pageBreakBefore w:val="0"/>
        <w:spacing w:line="360" w:lineRule="auto"/>
        <w:widowControl/>
        <w:rPr>
          <w:rFonts w:hint="eastAsia" w:ascii="宋体" w:hAnsi="宋体"/>
          <w:b/>
          <w:color w:val="auto"/>
          <w:sz w:val="24"/>
          <w:highlight w:val="none"/>
        </w:rPr>
        <w:outlineLvl w:val="9"/>
      </w:pPr>
      <w:r>
        <w:rPr>
          <w:rFonts w:hint="eastAsia" w:ascii="宋体" w:hAnsi="宋体"/>
          <w:b/>
          <w:color w:val="auto"/>
          <w:sz w:val="24"/>
          <w:highlight w:val="none"/>
          <w:lang w:val="en-US" w:eastAsia="zh-CN" w:bidi="ar-SA"/>
        </w:rPr>
        <w:t xml:space="preserve">二、</w:t>
      </w:r>
      <w:r>
        <w:rPr>
          <w:rFonts w:hint="eastAsia" w:ascii="宋体" w:hAnsi="宋体"/>
          <w:b/>
          <w:color w:val="auto"/>
          <w:sz w:val="24"/>
          <w:highlight w:val="none"/>
        </w:rPr>
        <w:t xml:space="preserve">采购清单及参数</w:t>
      </w:r>
      <w:r/>
    </w:p>
    <w:p>
      <w:pPr>
        <w:numPr>
          <w:ilvl w:val="0"/>
          <w:numId w:val="0"/>
        </w:numPr>
        <w:ind w:firstLine="480"/>
        <w:jc w:val="both"/>
        <w:keepLines w:val="0"/>
        <w:keepNext w:val="0"/>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本项目中</w:t>
      </w:r>
      <w:r>
        <w:rPr>
          <w:rFonts w:hint="eastAsia" w:ascii="宋体" w:hAnsi="宋体" w:cs="宋体"/>
          <w:color w:val="auto"/>
          <w:sz w:val="24"/>
          <w:szCs w:val="24"/>
          <w:highlight w:val="none"/>
          <w:lang w:eastAsia="zh-CN"/>
        </w:rPr>
        <w:t xml:space="preserve">所有</w:t>
      </w:r>
      <w:r>
        <w:rPr>
          <w:rFonts w:hint="eastAsia" w:ascii="宋体" w:hAnsi="宋体" w:eastAsia="宋体" w:cs="宋体"/>
          <w:color w:val="auto"/>
          <w:sz w:val="24"/>
          <w:szCs w:val="24"/>
          <w:highlight w:val="none"/>
        </w:rPr>
        <w:t xml:space="preserve">产品均须符合国家环保等相关标准</w:t>
      </w:r>
      <w:r>
        <w:rPr>
          <w:rFonts w:hint="eastAsia" w:ascii="宋体" w:hAnsi="宋体" w:cs="宋体"/>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rPr>
          <w:rFonts w:hint="eastAsia"/>
          <w:color w:val="auto"/>
          <w:highlight w:val="none"/>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清单中图片款式仅</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参考，</w:t>
      </w:r>
      <w:r>
        <w:rPr>
          <w:rFonts w:hint="eastAsia" w:ascii="宋体" w:hAnsi="宋体" w:eastAsia="宋体" w:cs="Times New Roman"/>
          <w:bCs/>
          <w:color w:val="auto"/>
          <w:sz w:val="24"/>
          <w:szCs w:val="24"/>
          <w:highlight w:val="none"/>
        </w:rPr>
        <w:t xml:space="preserve">投标单位应按照清单中的规格、材质和工艺来生产，如</w:t>
      </w:r>
      <w:r>
        <w:rPr>
          <w:rFonts w:hint="eastAsia" w:ascii="宋体" w:hAnsi="宋体" w:cs="Times New Roman"/>
          <w:bCs/>
          <w:color w:val="auto"/>
          <w:sz w:val="24"/>
          <w:szCs w:val="24"/>
          <w:highlight w:val="none"/>
          <w:lang w:eastAsia="zh-CN"/>
        </w:rPr>
        <w:t xml:space="preserve">有疑义</w:t>
      </w:r>
      <w:r>
        <w:rPr>
          <w:rFonts w:hint="eastAsia" w:ascii="宋体" w:hAnsi="宋体" w:eastAsia="宋体" w:cs="Times New Roman"/>
          <w:bCs/>
          <w:color w:val="auto"/>
          <w:sz w:val="24"/>
          <w:szCs w:val="24"/>
          <w:highlight w:val="none"/>
        </w:rPr>
        <w:t xml:space="preserve">，供货时以采购方要求为准，投标单价不变更。如投标单位提供的</w:t>
      </w:r>
      <w:r>
        <w:rPr>
          <w:rFonts w:hint="eastAsia" w:ascii="宋体" w:hAnsi="宋体" w:eastAsia="宋体" w:cs="Times New Roman"/>
          <w:bCs/>
          <w:color w:val="auto"/>
          <w:sz w:val="24"/>
          <w:szCs w:val="24"/>
          <w:highlight w:val="none"/>
          <w:lang w:val="en-US" w:eastAsia="zh-CN"/>
        </w:rPr>
        <w:t xml:space="preserve">设备设施</w:t>
      </w:r>
      <w:r>
        <w:rPr>
          <w:rFonts w:hint="eastAsia" w:ascii="宋体" w:hAnsi="宋体" w:eastAsia="宋体" w:cs="Times New Roman"/>
          <w:bCs/>
          <w:color w:val="auto"/>
          <w:sz w:val="24"/>
          <w:szCs w:val="24"/>
          <w:highlight w:val="none"/>
        </w:rPr>
        <w:t xml:space="preserve">与清单中的规格、材质和工艺不一致，采购方有权退货，造成的一切后果由投标单位负责。货到后由采购</w:t>
      </w:r>
      <w:r>
        <w:rPr>
          <w:rFonts w:hint="eastAsia" w:ascii="宋体" w:hAnsi="宋体" w:cs="Times New Roman"/>
          <w:bCs/>
          <w:color w:val="auto"/>
          <w:sz w:val="24"/>
          <w:szCs w:val="24"/>
          <w:highlight w:val="none"/>
          <w:lang w:eastAsia="zh-CN"/>
        </w:rPr>
        <w:t xml:space="preserve">单位</w:t>
      </w:r>
      <w:r>
        <w:rPr>
          <w:rFonts w:hint="eastAsia" w:ascii="宋体" w:hAnsi="宋体" w:eastAsia="宋体" w:cs="Times New Roman"/>
          <w:bCs/>
          <w:color w:val="auto"/>
          <w:sz w:val="24"/>
          <w:szCs w:val="24"/>
          <w:highlight w:val="none"/>
        </w:rPr>
        <w:t xml:space="preserve">确认货品的材质与质量。</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采购人有权在供货阶段对同批次产品随机抽样送检（含常规检测、必要时抽样检测），检测依据本招标文件载明的国家标准；检测不合格的，采购人有权拒收、解除合同并追究违约责任；检测合格的，抽样产生的合理损耗由中标人承担。</w:t>
      </w:r>
      <w:r/>
    </w:p>
    <w:p>
      <w:pPr>
        <w:pStyle w:val="683"/>
        <w:ind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4.采购项目清单：详见清单附件。</w:t>
      </w:r>
      <w:r/>
    </w:p>
    <w:p>
      <w:pPr>
        <w:numPr>
          <w:ilvl w:val="0"/>
          <w:numId w:val="0"/>
        </w:numPr>
        <w:ind w:firstLine="482"/>
        <w:jc w:val="both"/>
        <w:keepLines w:val="0"/>
        <w:keepNext w:val="0"/>
        <w:pageBreakBefore w:val="0"/>
        <w:spacing w:line="360" w:lineRule="auto"/>
        <w:rPr>
          <w:rFonts w:hint="default" w:ascii="宋体" w:hAnsi="宋体" w:eastAsia="宋体" w:cs="宋体"/>
          <w:bCs/>
          <w:color w:val="auto"/>
          <w:sz w:val="24"/>
          <w:szCs w:val="24"/>
          <w:highlight w:val="none"/>
          <w:lang w:val="en-US"/>
        </w:rPr>
        <w:outlineLvl w:val="9"/>
      </w:pPr>
      <w:r>
        <w:rPr>
          <w:rFonts w:hint="eastAsia" w:ascii="宋体" w:hAnsi="宋体"/>
          <w:b/>
          <w:color w:val="auto"/>
          <w:sz w:val="24"/>
          <w:highlight w:val="none"/>
          <w:lang w:val="en-US" w:eastAsia="zh-CN" w:bidi="ar-SA"/>
        </w:rPr>
        <w:t xml:space="preserve">三、其他要求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pStyle w:val="88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通过中国海关报关验放进入中国境内且产自关境外的产品不在本项目的报价范围。</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见附件《第一批信息安全产品强制性认证目录》</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5.根据现行有效强制性国家标准要求，</w:t>
      </w:r>
      <w:r>
        <w:rPr>
          <w:rFonts w:hint="eastAsia" w:ascii="宋体" w:hAnsi="宋体" w:eastAsia="宋体" w:cs="宋体"/>
          <w:bCs/>
          <w:color w:val="auto"/>
          <w:sz w:val="24"/>
          <w:szCs w:val="24"/>
          <w:highlight w:val="none"/>
          <w:lang w:eastAsia="zh-CN"/>
        </w:rPr>
        <w:t xml:space="preserve">请认真阅读《市场监管总局关于发布强制性产品认证目录描述与界定表的</w:t>
      </w:r>
      <w:r>
        <w:rPr>
          <w:rFonts w:hint="eastAsia" w:ascii="宋体" w:hAnsi="宋体" w:eastAsia="宋体" w:cs="宋体"/>
          <w:bCs/>
          <w:color w:val="auto"/>
          <w:sz w:val="24"/>
          <w:szCs w:val="24"/>
          <w:highlight w:val="none"/>
          <w:lang w:val="en-US" w:eastAsia="zh-CN"/>
        </w:rPr>
        <w:t xml:space="preserve">公告》，本项目产品属于《强制性产品认证目录》的，供货前须提供产品3C认证证书。</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必须在满足招标文件要求的基础上进行投标，对采购需求的响应情况应在《明细报价及采购需求响应表》中详细说明。</w:t>
      </w:r>
      <w:r/>
    </w:p>
    <w:p>
      <w:pPr>
        <w:numPr>
          <w:ilvl w:val="0"/>
          <w:numId w:val="0"/>
        </w:numPr>
        <w:ind w:firstLine="482"/>
        <w:spacing w:line="360" w:lineRule="auto"/>
        <w:tabs>
          <w:tab w:val="left" w:pos="945" w:leader="none"/>
          <w:tab w:val="left" w:pos="2100" w:leader="none"/>
        </w:tabs>
        <w:rPr>
          <w:rFonts w:hint="eastAsia" w:hAnsi="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lang w:val="en-US" w:eastAsia="zh-CN"/>
        </w:rPr>
        <w:t xml:space="preserve">.付款方式：</w:t>
      </w:r>
      <w:r>
        <w:rPr>
          <w:rFonts w:hint="eastAsia" w:ascii="宋体" w:hAnsi="宋体" w:cs="宋体"/>
          <w:b/>
          <w:bCs w:val="0"/>
          <w:color w:val="auto"/>
          <w:sz w:val="24"/>
          <w:szCs w:val="24"/>
          <w:highlight w:val="none"/>
          <w:u w:val="single"/>
        </w:rPr>
        <w:t xml:space="preserve">本项目结算方式采用固定单价。合同签订生效后</w:t>
      </w:r>
      <w:r>
        <w:rPr>
          <w:rFonts w:hint="eastAsia" w:ascii="宋体" w:hAnsi="宋体" w:cs="宋体"/>
          <w:b/>
          <w:bCs w:val="0"/>
          <w:color w:val="auto"/>
          <w:sz w:val="24"/>
          <w:szCs w:val="24"/>
          <w:highlight w:val="none"/>
          <w:u w:val="single"/>
          <w:lang w:eastAsia="zh-CN"/>
        </w:rPr>
        <w:t xml:space="preserve">，</w:t>
      </w:r>
      <w:r>
        <w:rPr>
          <w:rFonts w:hint="eastAsia" w:ascii="宋体" w:hAnsi="宋体" w:cs="宋体"/>
          <w:b/>
          <w:bCs w:val="0"/>
          <w:color w:val="auto"/>
          <w:sz w:val="24"/>
          <w:szCs w:val="24"/>
          <w:highlight w:val="none"/>
          <w:u w:val="single"/>
        </w:rPr>
        <w:t xml:space="preserve">需方支付签约合同价的</w:t>
      </w:r>
      <w:r>
        <w:rPr>
          <w:rFonts w:hint="eastAsia" w:ascii="宋体" w:hAnsi="宋体" w:cs="宋体"/>
          <w:b/>
          <w:bCs w:val="0"/>
          <w:color w:val="auto"/>
          <w:sz w:val="24"/>
          <w:szCs w:val="24"/>
          <w:highlight w:val="none"/>
          <w:u w:val="single"/>
          <w:lang w:val="en-US" w:eastAsia="zh-CN"/>
        </w:rPr>
        <w:t xml:space="preserve">30</w:t>
      </w:r>
      <w:r>
        <w:rPr>
          <w:rFonts w:hint="eastAsia" w:ascii="宋体" w:hAnsi="宋体" w:cs="宋体"/>
          <w:b/>
          <w:bCs w:val="0"/>
          <w:color w:val="auto"/>
          <w:sz w:val="24"/>
          <w:szCs w:val="24"/>
          <w:highlight w:val="none"/>
          <w:u w:val="single"/>
        </w:rPr>
        <w:t xml:space="preserve">%</w:t>
      </w:r>
      <w:r>
        <w:rPr>
          <w:rFonts w:hint="eastAsia" w:ascii="宋体" w:hAnsi="宋体" w:cs="宋体"/>
          <w:b/>
          <w:bCs w:val="0"/>
          <w:color w:val="auto"/>
          <w:sz w:val="24"/>
          <w:szCs w:val="24"/>
          <w:highlight w:val="none"/>
          <w:u w:val="single"/>
          <w:lang w:val="en-US" w:eastAsia="zh-CN"/>
        </w:rPr>
        <w:t xml:space="preserve">为预付款</w:t>
      </w:r>
      <w:r>
        <w:rPr>
          <w:rFonts w:hint="eastAsia" w:ascii="宋体" w:hAnsi="宋体" w:cs="宋体"/>
          <w:b/>
          <w:bCs w:val="0"/>
          <w:color w:val="auto"/>
          <w:sz w:val="24"/>
          <w:szCs w:val="24"/>
          <w:highlight w:val="none"/>
          <w:u w:val="single"/>
        </w:rPr>
        <w:t xml:space="preserve">，验收后付至签约合同</w:t>
      </w:r>
      <w:r>
        <w:rPr>
          <w:rFonts w:hint="eastAsia" w:ascii="宋体" w:hAnsi="宋体" w:cs="宋体"/>
          <w:b/>
          <w:bCs w:val="0"/>
          <w:color w:val="auto"/>
          <w:sz w:val="24"/>
          <w:szCs w:val="24"/>
          <w:highlight w:val="none"/>
          <w:u w:val="single"/>
          <w:lang w:val="en-US" w:eastAsia="zh-CN"/>
        </w:rPr>
        <w:t xml:space="preserve">总</w:t>
      </w:r>
      <w:r>
        <w:rPr>
          <w:rFonts w:hint="eastAsia" w:ascii="宋体" w:hAnsi="宋体" w:cs="宋体"/>
          <w:b/>
          <w:bCs w:val="0"/>
          <w:color w:val="auto"/>
          <w:sz w:val="24"/>
          <w:szCs w:val="24"/>
          <w:highlight w:val="none"/>
          <w:u w:val="single"/>
        </w:rPr>
        <w:t xml:space="preserve">价的60%，</w:t>
      </w:r>
      <w:r>
        <w:rPr>
          <w:rFonts w:hint="eastAsia" w:ascii="宋体" w:hAnsi="宋体" w:cs="Courier New"/>
          <w:b/>
          <w:bCs w:val="0"/>
          <w:color w:val="auto"/>
          <w:sz w:val="24"/>
          <w:szCs w:val="24"/>
          <w:highlight w:val="none"/>
          <w:u w:val="single"/>
        </w:rPr>
        <w:t xml:space="preserve">审计完成</w:t>
      </w:r>
      <w:r>
        <w:rPr>
          <w:rFonts w:hint="eastAsia" w:ascii="宋体" w:hAnsi="宋体" w:cs="Courier New"/>
          <w:b/>
          <w:bCs w:val="0"/>
          <w:color w:val="auto"/>
          <w:sz w:val="24"/>
          <w:szCs w:val="24"/>
          <w:highlight w:val="none"/>
          <w:u w:val="single"/>
          <w:lang w:eastAsia="zh-CN"/>
        </w:rPr>
        <w:t xml:space="preserve">后付至按合同</w:t>
      </w:r>
      <w:r>
        <w:rPr>
          <w:rFonts w:hint="eastAsia" w:ascii="宋体" w:hAnsi="宋体" w:cs="Courier New"/>
          <w:b/>
          <w:bCs w:val="0"/>
          <w:color w:val="auto"/>
          <w:sz w:val="24"/>
          <w:szCs w:val="24"/>
          <w:highlight w:val="none"/>
          <w:u w:val="single"/>
          <w:lang w:val="en-US" w:eastAsia="zh-CN"/>
        </w:rPr>
        <w:t xml:space="preserve">单</w:t>
      </w:r>
      <w:r>
        <w:rPr>
          <w:rFonts w:hint="eastAsia" w:ascii="宋体" w:hAnsi="宋体" w:cs="Courier New"/>
          <w:b/>
          <w:bCs w:val="0"/>
          <w:color w:val="auto"/>
          <w:sz w:val="24"/>
          <w:szCs w:val="24"/>
          <w:highlight w:val="none"/>
          <w:u w:val="single"/>
          <w:lang w:eastAsia="zh-CN"/>
        </w:rPr>
        <w:t xml:space="preserve">价及实际供货量结算金额的</w:t>
      </w:r>
      <w:r>
        <w:rPr>
          <w:rFonts w:hint="eastAsia" w:ascii="宋体" w:hAnsi="宋体" w:cs="Courier New"/>
          <w:b/>
          <w:bCs w:val="0"/>
          <w:color w:val="auto"/>
          <w:sz w:val="24"/>
          <w:szCs w:val="24"/>
          <w:highlight w:val="none"/>
          <w:u w:val="single"/>
        </w:rPr>
        <w:t xml:space="preserve">100%。</w:t>
      </w:r>
      <w:r>
        <w:rPr>
          <w:rFonts w:hint="eastAsia" w:ascii="宋体" w:hAnsi="宋体" w:cs="宋体"/>
          <w:b/>
          <w:bCs w:val="0"/>
          <w:color w:val="auto"/>
          <w:sz w:val="24"/>
          <w:szCs w:val="24"/>
          <w:highlight w:val="none"/>
          <w:u w:val="single"/>
        </w:rPr>
        <w:t xml:space="preserve">注：上述款项均不计息。供方应于每次付款前向需方提供对应金额符合需方财务要求的增值税发票，否则需方有权相应顺延付款而无需承担逾期付款责任。</w:t>
      </w:r>
      <w:r>
        <w:rPr>
          <w:rFonts w:hint="eastAsia" w:hAnsi="宋体"/>
          <w:b/>
          <w:bCs w:val="0"/>
          <w:color w:val="auto"/>
          <w:sz w:val="24"/>
          <w:szCs w:val="24"/>
          <w:highlight w:val="none"/>
        </w:rPr>
        <w:t xml:space="preserve"> </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设备要求无瑕疵和缺陷，交货时提交制造厂的合格证明，必须</w:t>
      </w:r>
      <w:r>
        <w:rPr>
          <w:rFonts w:hint="eastAsia" w:ascii="宋体" w:hAnsi="宋体" w:eastAsia="宋体" w:cs="宋体"/>
          <w:bCs/>
          <w:color w:val="auto"/>
          <w:sz w:val="24"/>
          <w:szCs w:val="24"/>
          <w:highlight w:val="none"/>
          <w:lang w:eastAsia="zh-CN"/>
        </w:rPr>
        <w:t xml:space="preserve">满足</w:t>
      </w:r>
      <w:r>
        <w:rPr>
          <w:rFonts w:hint="eastAsia" w:ascii="宋体" w:hAnsi="宋体" w:eastAsia="宋体" w:cs="宋体"/>
          <w:bCs/>
          <w:color w:val="auto"/>
          <w:sz w:val="24"/>
          <w:szCs w:val="24"/>
          <w:highlight w:val="none"/>
        </w:rPr>
        <w:t xml:space="preserve">采购人要求。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凡在投标文件中体现“满足”的性能指标，必须确实满足。采购人有权要求</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中标后，安装实施过</w:t>
      </w:r>
      <w:r>
        <w:rPr>
          <w:rFonts w:hint="eastAsia" w:ascii="宋体" w:hAnsi="宋体" w:cs="宋体"/>
          <w:bCs/>
          <w:color w:val="auto"/>
          <w:sz w:val="24"/>
          <w:szCs w:val="24"/>
          <w:highlight w:val="none"/>
          <w:lang w:eastAsia="zh-CN"/>
        </w:rPr>
        <w:t xml:space="preserve">程中</w:t>
      </w:r>
      <w:r>
        <w:rPr>
          <w:rFonts w:hint="eastAsia" w:ascii="宋体" w:hAnsi="宋体" w:eastAsia="宋体" w:cs="宋体"/>
          <w:bCs/>
          <w:color w:val="auto"/>
          <w:sz w:val="24"/>
          <w:szCs w:val="24"/>
          <w:highlight w:val="none"/>
        </w:rPr>
        <w:t xml:space="preserve">严格按照技术要求和施工方案执行，货物最终与招标文件不符，业主有权要求中标单位整改，如整改无效则立刻终止合同并由中标方承担全部责任。采购人保留在</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中标后，委托第三方对中标设备进行测试、检验</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对项目实施后验收的权利，在验收或使用过程中发现不满足招标文件中要求的性能指标，经第三方验证确实，采购人有权要求中标人无条件退货，并依据合同进行相关处罚。</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为保证供货渠道的合法性，</w:t>
      </w:r>
      <w:r>
        <w:rPr>
          <w:rFonts w:hint="eastAsia" w:ascii="宋体" w:hAnsi="宋体" w:cs="宋体"/>
          <w:bCs/>
          <w:color w:val="auto"/>
          <w:sz w:val="24"/>
          <w:szCs w:val="24"/>
          <w:highlight w:val="none"/>
          <w:lang w:eastAsia="zh-CN"/>
        </w:rPr>
        <w:t xml:space="preserve">中标人须保证所供产品为全新原厂正品，提供产品出厂合格证明</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必须承诺对投标产品的质量和售后服务负责。</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中标人需在交货时提供设备的质量保证书，以确保对产品的质量保障。</w:t>
      </w:r>
      <w:r/>
    </w:p>
    <w:p>
      <w:pPr>
        <w:numPr>
          <w:ilvl w:val="1"/>
          <w:numId w:val="0"/>
        </w:numPr>
        <w:ind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为残疾人福利性单位的，其《残疾人福利性单位声明函》将随中标公告同时发布，接受社会监督。投标人提供的《残疾人福利性单位声明函》与事实不符的，依照《</w:t>
      </w:r>
      <w:r>
        <w:rPr>
          <w:rFonts w:hint="eastAsia" w:ascii="宋体" w:hAnsi="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1"/>
          <w:numId w:val="0"/>
        </w:numPr>
        <w:ind w:left="0"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13</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60"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开标后，投标人须自行准备设备（包括但不限于笔记本电脑、无线网络）登录“</w:t>
      </w:r>
      <w:r>
        <w:rPr>
          <w:rFonts w:hint="eastAsia" w:ascii="宋体" w:hAnsi="宋体" w:eastAsia="宋体" w:cs="宋体"/>
          <w:bCs/>
          <w:color w:val="auto"/>
          <w:sz w:val="24"/>
          <w:szCs w:val="24"/>
          <w:highlight w:val="none"/>
          <w:lang w:eastAsia="zh-CN"/>
        </w:rPr>
        <w:t xml:space="preserve">江苏省政府采购（苏采云）平台</w:t>
      </w:r>
      <w:r>
        <w:rPr>
          <w:rFonts w:hint="eastAsia" w:ascii="宋体" w:hAnsi="宋体" w:eastAsia="宋体" w:cs="宋体"/>
          <w:bCs/>
          <w:color w:val="auto"/>
          <w:sz w:val="24"/>
          <w:szCs w:val="24"/>
          <w:highlight w:val="none"/>
        </w:rPr>
        <w:t xml:space="preserve">系统”，按招标文件规定时间解密后，在评标过程中保持在线，等待评标委员会的询标和评标结果，中途不得离开。如未按要求应答，由此所产生的损失及风险由投标人自行承担。</w:t>
      </w:r>
      <w:r/>
    </w:p>
    <w:p>
      <w:pPr>
        <w:numPr>
          <w:ilvl w:val="0"/>
          <w:numId w:val="0"/>
        </w:numPr>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92" w:name="OLE_LINK1"/>
      <w:r/>
      <w:bookmarkStart w:id="193" w:name="OLE_LINK2"/>
      <w:r>
        <w:rPr>
          <w:rFonts w:hint="eastAsia" w:ascii="宋体"/>
          <w:bCs/>
          <w:color w:val="auto"/>
          <w:sz w:val="24"/>
          <w:szCs w:val="24"/>
          <w:highlight w:val="none"/>
        </w:rPr>
        <w:t xml:space="preserve">《保障中小企业款项支付条例》（中华人民共和国国务院令第802号）</w:t>
      </w:r>
      <w:bookmarkEnd w:id="192"/>
      <w:r/>
      <w:bookmarkEnd w:id="193"/>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47"/>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47"/>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47"/>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47"/>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7"/>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7"/>
        <w:spacing w:before="0" w:after="0" w:line="500" w:lineRule="exact"/>
        <w:rPr>
          <w:rFonts w:hint="eastAsia" w:ascii="宋体" w:hAnsi="宋体" w:cs="Arial"/>
          <w:color w:val="auto"/>
          <w:highlight w:val="none"/>
        </w:rPr>
      </w:pPr>
      <w:r>
        <w:rPr>
          <w:rFonts w:hint="eastAsia" w:ascii="宋体" w:hAnsi="宋体" w:cs="Arial"/>
          <w:color w:val="auto"/>
          <w:highlight w:val="none"/>
        </w:rPr>
      </w:r>
      <w:r/>
    </w:p>
    <w:p>
      <w:pPr>
        <w:pStyle w:val="947"/>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47"/>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 xml:space="preserve">201</w:t>
      </w:r>
      <w:r>
        <w:rPr>
          <w:rFonts w:hint="eastAsia" w:ascii="宋体" w:hAnsi="宋体"/>
          <w:bCs/>
          <w:color w:val="auto"/>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b/>
          <w:bCs/>
          <w:color w:val="auto"/>
          <w:sz w:val="24"/>
          <w:szCs w:val="24"/>
          <w:highlight w:val="none"/>
        </w:rPr>
      </w:pPr>
      <w:r>
        <w:rPr>
          <w:rFonts w:hint="eastAsia" w:ascii="宋体" w:hAnsi="宋体"/>
          <w:bCs/>
          <w:color w:val="auto"/>
          <w:sz w:val="24"/>
          <w:szCs w:val="24"/>
          <w:highlight w:val="none"/>
        </w:rPr>
        <w:t xml:space="preserve">1000000×[1-（10%+20%）]=700000元</w:t>
      </w:r>
      <w:r/>
    </w:p>
    <w:p>
      <w:pPr>
        <w:pStyle w:val="947"/>
        <w:ind w:firstLine="360"/>
        <w:spacing w:before="0" w:after="0" w:line="500" w:lineRule="exact"/>
        <w:rPr>
          <w:rFonts w:hint="eastAsia" w:ascii="宋体" w:hAnsi="宋体"/>
          <w:color w:val="auto"/>
          <w:highlight w:val="none"/>
          <w:shd w:val="clear" w:color="ffffff" w:fill="d9d9d9"/>
        </w:rPr>
      </w:pPr>
      <w:r>
        <w:rPr>
          <w:rFonts w:hint="eastAsia" w:ascii="宋体" w:hAnsi="宋体"/>
          <w:b/>
          <w:color w:val="auto"/>
          <w:sz w:val="28"/>
          <w:szCs w:val="28"/>
          <w:highlight w:val="none"/>
        </w:rPr>
        <w:t xml:space="preserve">二、评分标准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1、价格部分：50分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2、商务部分：11分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3、技术部分：39分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1</w:t>
      </w:r>
      <w:r>
        <w:rPr>
          <w:rFonts w:hint="eastAsia" w:ascii="宋体" w:hAnsi="宋体" w:cs="Times New Roman"/>
          <w:b/>
          <w:bCs/>
          <w:color w:val="auto"/>
          <w:sz w:val="24"/>
          <w:szCs w:val="24"/>
          <w:highlight w:val="none"/>
          <w:lang w:val="en-US" w:eastAsia="zh-CN" w:bidi="ar-SA"/>
        </w:rPr>
        <w:t xml:space="preserve">、</w:t>
      </w:r>
      <w:r>
        <w:rPr>
          <w:rFonts w:hint="eastAsia" w:ascii="宋体" w:hAnsi="宋体" w:cs="宋体"/>
          <w:b/>
          <w:bCs/>
          <w:color w:val="000000" w:themeColor="text1"/>
          <w:sz w:val="24"/>
          <w:szCs w:val="24"/>
          <w:highlight w:val="none"/>
          <w:lang w:bidi="ar"/>
          <w14:textFill>
            <w14:solidFill>
              <w14:schemeClr w14:val="tx1"/>
            </w14:solidFill>
          </w14:textFill>
        </w:rPr>
        <w:t xml:space="preserve">价格</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部分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0分）：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ascii="宋体" w:hAnsi="宋体"/>
          <w:color w:val="auto"/>
          <w:sz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color w:val="auto"/>
          <w:sz w:val="24"/>
          <w:highlight w:val="none"/>
        </w:rPr>
        <w:t xml:space="preserve"> </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2</w:t>
      </w:r>
      <w:r>
        <w:rPr>
          <w:rFonts w:hint="eastAsia" w:ascii="宋体" w:hAnsi="宋体" w:cs="Times New Roman"/>
          <w:b/>
          <w:bCs/>
          <w:color w:val="auto"/>
          <w:sz w:val="24"/>
          <w:szCs w:val="24"/>
          <w:highlight w:val="none"/>
          <w:lang w:val="en-US" w:eastAsia="zh-CN" w:bidi="ar-SA"/>
        </w:rPr>
        <w:t xml:space="preserve">、商务部分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11</w:t>
      </w:r>
      <w:r>
        <w:rPr>
          <w:rFonts w:hint="eastAsia" w:ascii="宋体" w:hAnsi="宋体"/>
          <w:b/>
          <w:bCs/>
          <w:color w:val="auto"/>
          <w:sz w:val="24"/>
          <w:szCs w:val="24"/>
          <w:highlight w:val="none"/>
        </w:rPr>
        <w:t xml:space="preserve">分）：</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b w:val="0"/>
          <w:bCs/>
          <w:color w:val="auto"/>
          <w:sz w:val="24"/>
          <w:highlight w:val="none"/>
        </w:rPr>
        <w:t xml:space="preserve">体系证书（</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分）:投标人或其所投产品制造商具有有效期内的质量管理体系认证证书、环境管理体系认证证书、职业健康安全管理体系认证，有一个得</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分，最多得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分。（投标时须提供原件扫描件，不提供不得分）。</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b w:val="0"/>
          <w:bCs/>
          <w:color w:val="auto"/>
          <w:sz w:val="24"/>
          <w:highlight w:val="none"/>
        </w:rPr>
        <w:t xml:space="preserve">业绩（</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分）：投标人自202</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年1月1日以来</w:t>
      </w:r>
      <w:r>
        <w:rPr>
          <w:rFonts w:hint="eastAsia" w:ascii="宋体" w:hAnsi="宋体"/>
          <w:b w:val="0"/>
          <w:bCs/>
          <w:color w:val="auto"/>
          <w:sz w:val="24"/>
          <w:highlight w:val="none"/>
          <w:lang w:val="en-US" w:eastAsia="zh-CN"/>
        </w:rPr>
        <w:t xml:space="preserve">具有同类项目</w:t>
      </w:r>
      <w:r>
        <w:rPr>
          <w:rFonts w:hint="eastAsia" w:ascii="宋体" w:hAnsi="宋体"/>
          <w:b w:val="0"/>
          <w:bCs/>
          <w:color w:val="auto"/>
          <w:sz w:val="24"/>
          <w:highlight w:val="none"/>
        </w:rPr>
        <w:t xml:space="preserve">业绩的，有一个得</w:t>
      </w:r>
      <w:r>
        <w:rPr>
          <w:rFonts w:hint="eastAsia" w:ascii="宋体" w:hAnsi="宋体"/>
          <w:b w:val="0"/>
          <w:bCs/>
          <w:color w:val="auto"/>
          <w:sz w:val="24"/>
          <w:highlight w:val="none"/>
          <w:lang w:val="en-US" w:eastAsia="zh-CN"/>
        </w:rPr>
        <w:t xml:space="preserve">1.5</w:t>
      </w:r>
      <w:r>
        <w:rPr>
          <w:rFonts w:hint="eastAsia" w:ascii="宋体" w:hAnsi="宋体"/>
          <w:b w:val="0"/>
          <w:bCs/>
          <w:color w:val="auto"/>
          <w:sz w:val="24"/>
          <w:highlight w:val="none"/>
        </w:rPr>
        <w:t xml:space="preserve">分，最多得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分（投标时须提供合同及中标通知</w:t>
      </w:r>
      <w:r>
        <w:rPr>
          <w:rFonts w:hint="eastAsia" w:ascii="宋体" w:hAnsi="宋体"/>
          <w:b w:val="0"/>
          <w:bCs/>
          <w:color w:val="auto"/>
          <w:sz w:val="24"/>
          <w:highlight w:val="none"/>
          <w:lang w:val="en-US" w:eastAsia="zh-CN"/>
        </w:rPr>
        <w:t xml:space="preserve">书</w:t>
      </w:r>
      <w:r>
        <w:rPr>
          <w:rFonts w:hint="eastAsia" w:ascii="宋体" w:hAnsi="宋体"/>
          <w:b w:val="0"/>
          <w:bCs/>
          <w:color w:val="auto"/>
          <w:sz w:val="24"/>
          <w:highlight w:val="none"/>
        </w:rPr>
        <w:t xml:space="preserve">，不提供不得分，时间以合同签订时间为准）。</w:t>
      </w:r>
      <w:r/>
    </w:p>
    <w:p>
      <w:pPr>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b w:val="0"/>
          <w:bCs/>
          <w:color w:val="auto"/>
          <w:sz w:val="24"/>
          <w:szCs w:val="24"/>
          <w:highlight w:val="none"/>
        </w:rPr>
        <w:t xml:space="preserve">产品配置性能（</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rPr>
        <w:t xml:space="preserve">分）：</w:t>
      </w:r>
      <w:r/>
    </w:p>
    <w:p>
      <w:pPr>
        <w:ind w:firstLine="482"/>
        <w:spacing w:line="500" w:lineRule="exact"/>
        <w:tabs>
          <w:tab w:val="left" w:pos="525" w:leader="none"/>
          <w:tab w:val="left" w:pos="945" w:leader="none"/>
          <w:tab w:val="left" w:pos="1155" w:leader="none"/>
          <w:tab w:val="left" w:pos="382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投标人须提供由具备CMA资质的第三方检测机构出具的原材料检测报告扫描件，检测报告内容需与下述要求一致；检测名称表述</w:t>
      </w:r>
      <w:r>
        <w:rPr>
          <w:rFonts w:hint="eastAsia" w:ascii="宋体" w:hAnsi="宋体"/>
          <w:color w:val="auto"/>
          <w:sz w:val="24"/>
          <w:highlight w:val="none"/>
          <w:lang w:val="en-US" w:eastAsia="zh-CN"/>
        </w:rPr>
        <w:t xml:space="preserve">不</w:t>
      </w:r>
      <w:r>
        <w:rPr>
          <w:rFonts w:hint="eastAsia" w:ascii="宋体" w:hAnsi="宋体"/>
          <w:color w:val="auto"/>
          <w:sz w:val="24"/>
          <w:highlight w:val="none"/>
        </w:rPr>
        <w:t xml:space="preserve">同但实质内容相同的，视为有效。涉及国家标准如有更新，以现行有效最新版本为准，符合对应标准的历年有效检测报告均可得分</w:t>
      </w:r>
      <w:r>
        <w:rPr>
          <w:rFonts w:hint="eastAsia" w:ascii="宋体" w:hAnsi="宋体"/>
          <w:color w:val="auto"/>
          <w:sz w:val="24"/>
          <w:highlight w:val="none"/>
          <w:lang w:eastAsia="zh-CN"/>
        </w:rPr>
        <w:t xml:space="preserve">。</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b w:val="0"/>
          <w:bCs w:val="0"/>
          <w:color w:val="000000"/>
          <w:sz w:val="24"/>
          <w:highlight w:val="none"/>
          <w:lang w:val="en-US" w:eastAsia="zh-CN"/>
        </w:rPr>
        <w:t xml:space="preserve">投标人或制造商提供核心产品户外体能拓展组合符合GB/T27689-2025《小型游乐设施 滑梯》标准的检测报告，得1分</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b w:val="0"/>
          <w:bCs w:val="0"/>
          <w:color w:val="000000"/>
          <w:sz w:val="24"/>
          <w:highlight w:val="none"/>
        </w:rPr>
        <w:t xml:space="preserve">    </w:t>
      </w:r>
      <w:r/>
    </w:p>
    <w:p>
      <w:pPr>
        <w:ind w:firstLine="480"/>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 w:val="0"/>
          <w:bCs w:val="0"/>
          <w:color w:val="000000"/>
          <w:sz w:val="24"/>
          <w:highlight w:val="none"/>
          <w:lang w:val="en-US" w:eastAsia="zh-CN"/>
        </w:rPr>
        <w:t xml:space="preserve">投标人或制造商</w:t>
      </w:r>
      <w:r>
        <w:rPr>
          <w:rFonts w:hint="eastAsia" w:ascii="宋体" w:hAnsi="宋体" w:cs="Times New Roman"/>
          <w:b w:val="0"/>
          <w:bCs w:val="0"/>
          <w:color w:val="000000"/>
          <w:sz w:val="24"/>
          <w:highlight w:val="none"/>
          <w:lang w:val="en-US" w:eastAsia="zh-CN"/>
        </w:rPr>
        <w:t xml:space="preserve">提供</w:t>
      </w:r>
      <w:r>
        <w:rPr>
          <w:rFonts w:hint="eastAsia" w:ascii="宋体" w:hAnsi="宋体" w:eastAsia="宋体" w:cs="Times New Roman"/>
          <w:b w:val="0"/>
          <w:bCs w:val="0"/>
          <w:color w:val="000000"/>
          <w:sz w:val="24"/>
          <w:highlight w:val="none"/>
          <w:lang w:val="en-US" w:eastAsia="zh-CN"/>
        </w:rPr>
        <w:t xml:space="preserve">趣搭积木游戏套装、空中运动平衡障碍游戏套装、户外创意建构游戏套装所用PP塑料原材料检测报告，依据GB/T 31402-2023检测，检测项目包含大肠杆菌、金黄色葡萄球菌，抗菌率≥99%，满足</w:t>
      </w:r>
      <w:r>
        <w:rPr>
          <w:rFonts w:hint="eastAsia" w:ascii="宋体" w:hAnsi="宋体"/>
          <w:b w:val="0"/>
          <w:bCs w:val="0"/>
          <w:color w:val="000000"/>
          <w:sz w:val="24"/>
          <w:highlight w:val="none"/>
          <w:lang w:val="en-US" w:eastAsia="zh-CN"/>
        </w:rPr>
        <w:t xml:space="preserve">上述</w:t>
      </w:r>
      <w:r>
        <w:rPr>
          <w:rFonts w:hint="eastAsia" w:ascii="宋体" w:hAnsi="宋体" w:eastAsia="宋体" w:cs="Times New Roman"/>
          <w:b w:val="0"/>
          <w:bCs w:val="0"/>
          <w:color w:val="000000"/>
          <w:sz w:val="24"/>
          <w:highlight w:val="none"/>
          <w:lang w:val="en-US" w:eastAsia="zh-CN"/>
        </w:rPr>
        <w:t xml:space="preserve">要求得1分。 </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val="0"/>
          <w:color w:val="000000"/>
          <w:sz w:val="24"/>
          <w:highlight w:val="none"/>
          <w:lang w:val="en-US" w:eastAsia="zh-CN"/>
        </w:rPr>
      </w:pPr>
      <w:r>
        <w:rPr>
          <w:rFonts w:hint="eastAsia" w:ascii="宋体" w:hAnsi="宋体" w:eastAsia="宋体" w:cs="宋体"/>
          <w:bCs/>
          <w:color w:val="000000"/>
          <w:sz w:val="24"/>
          <w:szCs w:val="24"/>
          <w:highlight w:val="none"/>
        </w:rPr>
        <w:t xml:space="preserve">③ </w:t>
      </w:r>
      <w:r>
        <w:rPr>
          <w:rFonts w:hint="eastAsia" w:ascii="宋体" w:hAnsi="宋体" w:cs="宋体"/>
          <w:b w:val="0"/>
          <w:bCs w:val="0"/>
          <w:color w:val="000000"/>
          <w:sz w:val="24"/>
          <w:szCs w:val="24"/>
          <w:shd w:val="clear" w:color="auto" w:fill="ffffff"/>
        </w:rPr>
        <w:t xml:space="preserve">投标人或制造商</w:t>
      </w:r>
      <w:r>
        <w:rPr>
          <w:rFonts w:hint="eastAsia" w:ascii="宋体" w:hAnsi="宋体"/>
          <w:b w:val="0"/>
          <w:bCs w:val="0"/>
          <w:color w:val="000000"/>
          <w:sz w:val="24"/>
          <w:highlight w:val="none"/>
          <w:lang w:val="en-US" w:eastAsia="zh-CN"/>
        </w:rPr>
        <w:t xml:space="preserve">提供防腐木原材料符合 JC/T 2039-2010标准的检测报告，检测内容须含抗霉菌0级，满足上述要求得1分。</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b w:val="0"/>
          <w:bCs/>
          <w:color w:val="auto"/>
          <w:sz w:val="24"/>
          <w:szCs w:val="24"/>
          <w:highlight w:val="none"/>
          <w:lang w:val="en-US" w:eastAsia="zh-CN"/>
        </w:rPr>
        <w:t xml:space="preserve">节能产品（2分）：</w:t>
      </w:r>
      <w:r/>
    </w:p>
    <w:p>
      <w:pPr>
        <w:ind w:firstLine="480"/>
        <w:spacing w:line="500" w:lineRule="exact"/>
        <w:rPr>
          <w:rFonts w:hint="eastAsia"/>
          <w:color w:val="auto"/>
          <w:highlight w:val="none"/>
        </w:rPr>
      </w:pPr>
      <w:r>
        <w:rPr>
          <w:rFonts w:hint="eastAsia" w:ascii="宋体" w:hAnsi="宋体"/>
          <w:b w:val="0"/>
          <w:bCs/>
          <w:color w:val="auto"/>
          <w:sz w:val="24"/>
          <w:szCs w:val="24"/>
          <w:highlight w:val="none"/>
          <w:lang w:val="en-US" w:eastAsia="zh-CN"/>
        </w:rPr>
        <w:t xml:space="preserve">投标人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 1分，最高得2分。注：同一产品同时具备节能产品认证证书、环境标志产品认证证书的，不重复计分。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bidi="ar-SA"/>
        </w:rPr>
        <w:t xml:space="preserve">3、</w:t>
      </w:r>
      <w:r>
        <w:rPr>
          <w:rFonts w:hint="eastAsia" w:ascii="宋体" w:hAnsi="宋体" w:eastAsia="宋体" w:cs="Times New Roman"/>
          <w:b/>
          <w:bCs/>
          <w:color w:val="auto"/>
          <w:sz w:val="24"/>
          <w:szCs w:val="24"/>
          <w:highlight w:val="none"/>
        </w:rPr>
        <w:t xml:space="preserve">技术文件（3</w:t>
      </w:r>
      <w:r>
        <w:rPr>
          <w:rFonts w:hint="eastAsia" w:ascii="宋体" w:hAnsi="宋体" w:cs="Times New Roman"/>
          <w:b/>
          <w:bCs/>
          <w:color w:val="auto"/>
          <w:sz w:val="24"/>
          <w:szCs w:val="24"/>
          <w:highlight w:val="none"/>
          <w:lang w:val="en-US" w:eastAsia="zh-CN"/>
        </w:rPr>
        <w:t xml:space="preserve">9</w:t>
      </w:r>
      <w:r>
        <w:rPr>
          <w:rFonts w:hint="eastAsia" w:ascii="宋体" w:hAnsi="宋体" w:eastAsia="宋体" w:cs="Times New Roman"/>
          <w:b/>
          <w:bCs/>
          <w:color w:val="auto"/>
          <w:sz w:val="24"/>
          <w:szCs w:val="24"/>
          <w:highlight w:val="none"/>
        </w:rPr>
        <w:t xml:space="preserve">分）</w:t>
      </w:r>
      <w:r>
        <w:rPr>
          <w:rFonts w:hint="eastAsia" w:ascii="宋体" w:hAnsi="宋体"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项目实施方案（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投标人供货组织的项目进度安排表（</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产品质量控制措施的整体合理性（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主要技术措施的保障及可靠性（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供货组织及运输</w:t>
      </w:r>
      <w:r>
        <w:rPr>
          <w:rFonts w:hint="eastAsia" w:ascii="宋体" w:hAnsi="宋体" w:eastAsia="宋体" w:cs="宋体"/>
          <w:bCs/>
          <w:color w:val="000000"/>
          <w:sz w:val="24"/>
          <w:szCs w:val="24"/>
          <w:highlight w:val="none"/>
          <w:lang w:eastAsia="zh-CN"/>
        </w:rPr>
        <w:t xml:space="preserve">安排</w:t>
      </w:r>
      <w:r>
        <w:rPr>
          <w:rFonts w:hint="eastAsia" w:ascii="宋体" w:hAnsi="宋体" w:eastAsia="宋体" w:cs="宋体"/>
          <w:bCs/>
          <w:color w:val="000000"/>
          <w:sz w:val="24"/>
          <w:szCs w:val="24"/>
          <w:highlight w:val="none"/>
        </w:rPr>
        <w:t xml:space="preserve">的合理性（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阐述合理、描述详细、切实可行有效，得3分；阐述比较合理、描述比较详细、切实可行的，得2分；基本符合采购需求的，得1分；未阐述或不可行或前后矛盾或不详细具体全面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安装及调试方案（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提出的交货、安装与调试方案的合理性、针对性、可行性进行综合评价。</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安装及调试方案总体概述（</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施工方案及质量保证措施（</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文明安装环境保护措施（</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w:t>
      </w:r>
      <w:r>
        <w:rPr>
          <w:rFonts w:hint="eastAsia" w:ascii="宋体" w:hAnsi="宋体" w:cs="宋体"/>
          <w:bCs/>
          <w:sz w:val="24"/>
          <w:szCs w:val="24"/>
          <w:lang w:bidi="ar"/>
        </w:rPr>
        <w:t xml:space="preserve">成品保护措施</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阐述合理、描述详细、切实可行有效，得3分；阐述比较合理、描述比较详细、切实可行的，得2分；基本符合采购需求的，得1分；未阐述或不可行或前后矛盾或不详细具体全面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售后服务管理及措施</w:t>
      </w:r>
      <w:r>
        <w:rPr>
          <w:rFonts w:hint="eastAsia" w:ascii="宋体" w:hAnsi="宋体" w:cs="宋体"/>
          <w:bCs/>
          <w:color w:val="000000"/>
          <w:sz w:val="24"/>
          <w:szCs w:val="24"/>
          <w:highlight w:val="none"/>
          <w:lang w:val="en-US" w:eastAsia="zh-CN"/>
        </w:rPr>
        <w:t xml:space="preserve">（15分）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①产品质量保证承诺、售后服务承诺及保修原则（3分）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保障使用</w:t>
      </w:r>
      <w:r>
        <w:rPr>
          <w:rFonts w:hint="eastAsia" w:ascii="宋体" w:hAnsi="宋体" w:eastAsia="宋体" w:cs="宋体"/>
          <w:bCs/>
          <w:color w:val="000000"/>
          <w:sz w:val="24"/>
          <w:szCs w:val="24"/>
          <w:highlight w:val="none"/>
        </w:rPr>
        <w:t xml:space="preserve">服务措施（3分）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③故障解决能力（3分）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color w:val="auto"/>
          <w:sz w:val="24"/>
          <w:szCs w:val="24"/>
          <w:highlight w:val="none"/>
          <w:shd w:val="clear" w:color="auto" w:fill="ffffff"/>
        </w:rPr>
        <w:t xml:space="preserve">应急处理方案</w:t>
      </w:r>
      <w:r>
        <w:rPr>
          <w:rFonts w:hint="eastAsia" w:ascii="宋体" w:hAnsi="宋体" w:eastAsia="宋体" w:cs="宋体"/>
          <w:bCs/>
          <w:color w:val="000000"/>
          <w:sz w:val="24"/>
          <w:szCs w:val="24"/>
          <w:highlight w:val="none"/>
        </w:rPr>
        <w:t xml:space="preserve">（3分）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⑤报修</w:t>
      </w:r>
      <w:r>
        <w:rPr>
          <w:rFonts w:hint="eastAsia" w:ascii="宋体" w:hAnsi="宋体" w:eastAsia="宋体" w:cs="宋体"/>
          <w:bCs/>
          <w:color w:val="000000"/>
          <w:sz w:val="24"/>
          <w:szCs w:val="24"/>
          <w:highlight w:val="none"/>
        </w:rPr>
        <w:t xml:space="preserve">响应时间及售后服务回访（3分）</w:t>
      </w:r>
      <w:r/>
    </w:p>
    <w:p>
      <w:pPr>
        <w:ind w:firstLine="420"/>
        <w:spacing w:line="500" w:lineRule="exact"/>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90"/>
      <w:r/>
      <w:bookmarkEnd w:id="191"/>
      <w:r/>
      <w:bookmarkEnd w:id="194"/>
      <w:r>
        <w:rPr>
          <w:rFonts w:hint="eastAsia" w:ascii="黑体" w:hAnsi="黑体" w:eastAsia="黑体"/>
          <w:color w:val="auto"/>
          <w:sz w:val="36"/>
          <w:szCs w:val="36"/>
          <w:highlight w:val="none"/>
        </w:rPr>
        <w:t xml:space="preserve">投标文件内容与格式</w:t>
      </w:r>
      <w:r/>
    </w:p>
    <w:p>
      <w:pPr>
        <w:pStyle w:val="947"/>
        <w:ind w:firstLine="602"/>
        <w:spacing w:before="0" w:after="0" w:line="500" w:lineRule="exact"/>
        <w:rPr>
          <w:rFonts w:hint="eastAsia" w:cs="Arial"/>
          <w:b/>
          <w:color w:val="auto"/>
          <w:sz w:val="30"/>
          <w:szCs w:val="30"/>
          <w:highlight w:val="none"/>
        </w:rPr>
      </w:pPr>
      <w:r/>
      <w:bookmarkStart w:id="195" w:name="_Hlt26671244"/>
      <w:r/>
      <w:bookmarkEnd w:id="195"/>
      <w:r/>
      <w:bookmarkStart w:id="196" w:name="_Hlt26955039"/>
      <w:r/>
      <w:bookmarkEnd w:id="196"/>
      <w:r/>
      <w:bookmarkStart w:id="197" w:name="_Toc120614282"/>
      <w:r/>
      <w:bookmarkStart w:id="198" w:name="_Toc26554094"/>
      <w:r/>
      <w:bookmarkStart w:id="199" w:name="_Toc49090576"/>
      <w:r>
        <w:rPr>
          <w:rFonts w:hint="eastAsia" w:cs="Arial"/>
          <w:b/>
          <w:color w:val="auto"/>
          <w:sz w:val="30"/>
          <w:szCs w:val="30"/>
          <w:highlight w:val="none"/>
        </w:rPr>
        <w:t xml:space="preserve">第一部分  投标文件内容</w:t>
      </w:r>
      <w:r/>
    </w:p>
    <w:p>
      <w:pPr>
        <w:pStyle w:val="947"/>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47"/>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4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5"/>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4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47"/>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4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4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47"/>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4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JSZC-320213-SDRD-G2026-0003</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2022年无锡市梁溪区幼儿园新建工程(夹城里A、B规划幼儿园、夹城里幼儿园)玩具设备采购项目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45"/>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JSZC-320213-SDRD-G2026-0003</w:t>
      </w:r>
      <w:r>
        <w:rPr>
          <w:rFonts w:hint="eastAsia" w:ascii="宋体" w:hAnsi="宋体"/>
          <w:bCs/>
          <w:color w:val="auto"/>
          <w:sz w:val="24"/>
          <w:szCs w:val="24"/>
          <w:highlight w:val="none"/>
        </w:rPr>
        <w:t xml:space="preserve">项目，兹授权：</w:t>
      </w:r>
      <w:r/>
    </w:p>
    <w:p>
      <w:pPr>
        <w:pStyle w:val="945"/>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5"/>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5"/>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45"/>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45"/>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945"/>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45"/>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45"/>
        <w:ind w:firstLine="0"/>
        <w:rPr>
          <w:rFonts w:hint="eastAsia"/>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5"/>
        <w:ind w:firstLine="0"/>
        <w:rPr>
          <w:rFonts w:hint="eastAsia"/>
          <w:color w:val="auto"/>
          <w:sz w:val="21"/>
          <w:szCs w:val="21"/>
          <w:highlight w:val="none"/>
        </w:rPr>
      </w:pPr>
      <w:r>
        <w:rPr>
          <w:rFonts w:hint="eastAsia"/>
          <w:color w:val="auto"/>
          <w:sz w:val="21"/>
          <w:szCs w:val="21"/>
          <w:highlight w:val="none"/>
        </w:rPr>
      </w:r>
      <w:r/>
    </w:p>
    <w:p>
      <w:pPr>
        <w:pStyle w:val="945"/>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945"/>
        <w:numPr>
          <w:ilvl w:val="0"/>
          <w:numId w:val="10"/>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45"/>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0" w:name="报价方关于资格的声明函（格式）"/>
      <w:r/>
      <w:bookmarkEnd w:id="200"/>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JSZC-320213-SDRD-G2026-0003</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numPr>
          <w:ilvl w:val="0"/>
          <w:numId w:val="11"/>
        </w:num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政府采购政策相关声明函（给定格式）：</w:t>
      </w:r>
      <w:r/>
    </w:p>
    <w:p>
      <w:pPr>
        <w:numPr>
          <w:ilvl w:val="0"/>
          <w:numId w:val="0"/>
        </w:num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宋体" w:hAnsi="宋体"/>
          <w:bCs/>
          <w:color w:val="auto"/>
          <w:sz w:val="24"/>
          <w:szCs w:val="24"/>
          <w:highlight w:val="none"/>
        </w:rPr>
        <w:br w:type="page" w:clear="all"/>
      </w:r>
      <w:r/>
    </w:p>
    <w:p>
      <w:pPr>
        <w:ind w:firstLine="0"/>
        <w:jc w:val="center"/>
        <w:spacing w:line="240" w:lineRule="auto"/>
        <w:widowControl w:val="off"/>
        <w:rPr>
          <w:rFonts w:hint="eastAsia"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683"/>
        <w:rPr>
          <w:color w:val="auto"/>
          <w:highlight w:val="none"/>
          <w:lang w:eastAsia="zh-CN"/>
        </w:rPr>
      </w:pPr>
      <w:r>
        <w:rPr>
          <w:color w:val="auto"/>
          <w:highlight w:val="none"/>
          <w:lang w:eastAsia="zh-CN"/>
        </w:rPr>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881"/>
        <w:rPr>
          <w:rFonts w:ascii="宋体" w:hAnsi="宋体" w:cs="宋体"/>
          <w:color w:val="auto"/>
          <w:sz w:val="24"/>
          <w:highlight w:val="none"/>
        </w:rPr>
      </w:pPr>
      <w:r>
        <w:rPr>
          <w:rFonts w:ascii="宋体" w:hAnsi="宋体" w:cs="宋体"/>
          <w:color w:val="auto"/>
          <w:sz w:val="24"/>
          <w:highlight w:val="none"/>
        </w:rPr>
      </w:r>
      <w:r/>
    </w:p>
    <w:p>
      <w:pPr>
        <w:pStyle w:val="884"/>
        <w:rPr>
          <w:rFonts w:ascii="宋体" w:hAnsi="宋体" w:cs="宋体"/>
          <w:color w:val="auto"/>
          <w:sz w:val="24"/>
          <w:highlight w:val="none"/>
        </w:rPr>
      </w:pPr>
      <w:r>
        <w:rPr>
          <w:rFonts w:ascii="宋体" w:hAnsi="宋体" w:cs="宋体"/>
          <w:color w:val="auto"/>
          <w:sz w:val="24"/>
          <w:highlight w:val="none"/>
        </w:rPr>
      </w:r>
      <w:r/>
    </w:p>
    <w:p>
      <w:pPr>
        <w:ind w:firstLine="5040"/>
        <w:jc w:val="center"/>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jc w:val="center"/>
        <w:spacing w:line="480" w:lineRule="exact"/>
        <w:rPr>
          <w:rFonts w:ascii="宋体" w:hAnsi="宋体" w:cs="宋体"/>
          <w:color w:val="auto"/>
          <w:sz w:val="30"/>
          <w:szCs w:val="30"/>
          <w:highlight w:val="none"/>
          <w:lang w:eastAsia="zh-CN"/>
        </w:rPr>
      </w:pPr>
      <w:r>
        <w:rPr>
          <w:rFonts w:hint="eastAsia" w:ascii="宋体" w:hAnsi="宋体" w:cs="宋体"/>
          <w:bCs/>
          <w:color w:val="auto"/>
          <w:szCs w:val="24"/>
          <w:highlight w:val="none"/>
          <w:lang w:val="en-US" w:eastAsia="zh-CN"/>
        </w:rPr>
        <w:t xml:space="preserve">                                                </w:t>
      </w:r>
      <w:r>
        <w:rPr>
          <w:rFonts w:hint="eastAsia" w:ascii="宋体" w:hAnsi="宋体" w:cs="宋体"/>
          <w:bCs/>
          <w:color w:val="auto"/>
          <w:szCs w:val="24"/>
          <w:highlight w:val="none"/>
          <w:lang w:eastAsia="zh-CN"/>
        </w:rPr>
        <w:t xml:space="preserve">日  期：</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color w:val="auto"/>
          <w:highlight w:val="none"/>
          <w:lang w:eastAsia="zh-CN"/>
        </w:rPr>
        <w:t xml:space="preserve">5.该产品的关键工序要求实施前，“关键工序”栏可不填，下同。</w:t>
      </w:r>
      <w:r/>
    </w:p>
    <w:p>
      <w:pPr>
        <w:ind w:firstLine="420"/>
        <w:spacing w:line="360" w:lineRule="auto"/>
        <w:rPr>
          <w:color w:val="auto"/>
          <w:highlight w:val="none"/>
        </w:rPr>
      </w:pPr>
      <w:r>
        <w:rPr>
          <w:color w:val="auto"/>
          <w:highlight w:val="none"/>
        </w:rPr>
      </w:r>
      <w:r/>
    </w:p>
    <w:p>
      <w:pPr>
        <w:spacing w:line="360" w:lineRule="auto"/>
        <w:rPr>
          <w:rFonts w:hint="eastAsia" w:ascii="宋体" w:hAnsi="宋体" w:cs="宋体"/>
          <w:b/>
          <w:color w:val="auto"/>
          <w:sz w:val="28"/>
          <w:szCs w:val="28"/>
          <w:highlight w:val="none"/>
        </w:rPr>
      </w:pPr>
      <w:r>
        <w:rPr>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JSZC-320213-SDRD-G2026-0003</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3"/>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JSZC-320213-SDRD-G2026-0003</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对本项目所提供的货物均为原厂全新合格产品，提供的服务符合招标文件要求。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JSZC-320213-SDRD-G2026-0003</w:t>
      </w:r>
      <w:r/>
    </w:p>
    <w:tbl>
      <w:tblPr>
        <w:tblStyle w:val="6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973"/>
              <w:jc w:val="center"/>
              <w:spacing w:line="400" w:lineRule="exact"/>
              <w:rPr>
                <w:rFonts w:hint="eastAsia" w:hAnsi="宋体" w:eastAsia="宋体"/>
                <w:bCs/>
                <w:color w:val="auto"/>
                <w:szCs w:val="24"/>
                <w:highlight w:val="none"/>
              </w:rPr>
            </w:pPr>
            <w:r>
              <w:rPr>
                <w:rFonts w:hint="eastAsia" w:hAnsi="宋体"/>
                <w:bCs/>
                <w:color w:val="auto"/>
                <w:szCs w:val="24"/>
                <w:highlight w:val="none"/>
                <w:lang w:eastAsia="zh-CN"/>
              </w:rPr>
              <w:t xml:space="preserve">2022年无锡市梁溪区幼儿园新建工程(夹城里A、B规划幼儿园、夹城里幼儿园)玩具设备采购项目</w:t>
            </w:r>
            <w:r/>
          </w:p>
        </w:tc>
        <w:tc>
          <w:tcPr>
            <w:tcW w:w="3188" w:type="dxa"/>
            <w:vAlign w:val="center"/>
            <w:textDirection w:val="lrTb"/>
            <w:noWrap w:val="false"/>
          </w:tcPr>
          <w:p>
            <w:pPr>
              <w:pStyle w:val="973"/>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bCs/>
          <w:color w:val="auto"/>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JSZC-320213-SDRD-G2026-0003</w:t>
      </w:r>
      <w:r/>
    </w:p>
    <w:tbl>
      <w:tblPr>
        <w:tblStyle w:val="679"/>
        <w:tblW w:w="99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3045"/>
        <w:gridCol w:w="599"/>
        <w:gridCol w:w="1276"/>
        <w:gridCol w:w="992"/>
        <w:gridCol w:w="709"/>
        <w:gridCol w:w="1890"/>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189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8"/>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08"/>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553"/>
        </w:trPr>
        <w:tc>
          <w:tcPr>
            <w:gridSpan w:val="8"/>
            <w:tcMar>
              <w:left w:w="15" w:type="dxa"/>
              <w:top w:w="15" w:type="dxa"/>
              <w:right w:w="15" w:type="dxa"/>
              <w:bottom w:w="0" w:type="dxa"/>
            </w:tcMar>
            <w:tcW w:w="9981"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spacing w:line="288" w:lineRule="auto"/>
              <w:rPr>
                <w:rFonts w:ascii="楷体" w:hAnsi="楷体" w:eastAsia="楷体"/>
                <w:b/>
                <w:bCs/>
                <w:color w:val="auto"/>
                <w:sz w:val="28"/>
                <w:szCs w:val="28"/>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 xml:space="preserve">江苏达瑞德工程管理咨询有限公司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197"/>
      <w:r/>
      <w:bookmarkEnd w:id="198"/>
      <w:r/>
      <w:bookmarkEnd w:id="199"/>
      <w:r/>
      <w:bookmarkStart w:id="201" w:name="_Toc120614284"/>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JSZC-320213-SDRD-G2026-0003</w:t>
      </w:r>
      <w:r/>
    </w:p>
    <w:tbl>
      <w:tblPr>
        <w:tblStyle w:val="6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8"/>
      <w:r/>
      <w:bookmarkEnd w:id="189"/>
      <w:r/>
      <w:bookmarkEnd w:id="201"/>
      <w:r/>
      <w:bookmarkStart w:id="202" w:name="_Hlt26955066"/>
      <w:r/>
      <w:bookmarkEnd w:id="202"/>
      <w:r/>
      <w:bookmarkStart w:id="203" w:name="_Hlt26609389"/>
      <w:r/>
      <w:bookmarkEnd w:id="203"/>
      <w:r/>
      <w:bookmarkStart w:id="204" w:name="_Hlt26671374"/>
      <w:r/>
      <w:bookmarkEnd w:id="204"/>
      <w:r/>
      <w:bookmarkStart w:id="205" w:name="_格式2__法定代表人授权书"/>
      <w:r/>
      <w:bookmarkEnd w:id="205"/>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color w:val="auto"/>
          <w:highlight w:val="none"/>
        </w:rPr>
      </w:pPr>
      <w:r>
        <w:rPr>
          <w:color w:val="auto"/>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７４</w:t>
    </w:r>
    <w:r>
      <w:rPr>
        <w:rFonts w:ascii="宋体" w:hAnsi="宋体"/>
      </w:rPr>
      <w:fldChar w:fldCharType="end"/>
    </w:r>
    <w:r/>
  </w:p>
  <w:p>
    <w:pPr>
      <w:pStyle w:val="90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2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4"/>
  </w:num>
  <w:num w:numId="6">
    <w:abstractNumId w:val="1"/>
  </w:num>
  <w:num w:numId="7">
    <w:abstractNumId w:val="7"/>
  </w:num>
  <w:num w:numId="8">
    <w:abstractNumId w:val="8"/>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7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0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8"/>
    <w:uiPriority w:val="99"/>
    <w:semiHidden/>
    <w:unhideWhenUsed/>
    <w:qFormat/>
    <w:pPr>
      <w:jc w:val="left"/>
    </w:pPr>
  </w:style>
  <w:style w:type="paragraph" w:styleId="683">
    <w:name w:val="Body Text"/>
    <w:basedOn w:val="668"/>
    <w:next w:val="668"/>
    <w:uiPriority w:val="0"/>
    <w:semiHidden/>
    <w:qFormat/>
    <w:pPr>
      <w:ind w:firstLine="0"/>
      <w:spacing w:line="240" w:lineRule="auto"/>
    </w:pPr>
    <w:rPr>
      <w:rFonts w:eastAsia="Arial"/>
      <w:sz w:val="21"/>
    </w:r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toc 8"/>
    <w:basedOn w:val="668"/>
    <w:next w:val="668"/>
    <w:uiPriority w:val="39"/>
    <w:unhideWhenUsed/>
    <w:qFormat/>
    <w:pPr>
      <w:ind w:left="1984" w:right="0" w:firstLine="0"/>
      <w:spacing w:after="57"/>
    </w:pPr>
  </w:style>
  <w:style w:type="paragraph" w:styleId="687">
    <w:name w:val="endnote text"/>
    <w:basedOn w:val="668"/>
    <w:link w:val="849"/>
    <w:uiPriority w:val="99"/>
    <w:semiHidden/>
    <w:unhideWhenUsed/>
    <w:qFormat/>
    <w:pPr>
      <w:spacing w:after="0" w:line="240" w:lineRule="auto"/>
    </w:pPr>
    <w:rPr>
      <w:sz w:val="20"/>
    </w:rPr>
  </w:style>
  <w:style w:type="paragraph" w:styleId="688">
    <w:name w:val="Footer"/>
    <w:basedOn w:val="668"/>
    <w:link w:val="722"/>
    <w:uiPriority w:val="99"/>
    <w:unhideWhenUsed/>
    <w:qFormat/>
    <w:pPr>
      <w:spacing w:after="0" w:line="240" w:lineRule="auto"/>
      <w:tabs>
        <w:tab w:val="center" w:pos="7143" w:leader="none"/>
        <w:tab w:val="right" w:pos="14287" w:leader="none"/>
      </w:tabs>
    </w:pPr>
  </w:style>
  <w:style w:type="paragraph" w:styleId="689">
    <w:name w:val="Header"/>
    <w:basedOn w:val="668"/>
    <w:link w:val="720"/>
    <w:uiPriority w:val="99"/>
    <w:unhideWhenUsed/>
    <w:qFormat/>
    <w:pPr>
      <w:spacing w:after="0" w:line="240" w:lineRule="auto"/>
      <w:tabs>
        <w:tab w:val="center" w:pos="7143" w:leader="none"/>
        <w:tab w:val="right" w:pos="14287" w:leader="none"/>
      </w:tabs>
    </w:pPr>
  </w:style>
  <w:style w:type="paragraph" w:styleId="690">
    <w:name w:val="toc 1"/>
    <w:basedOn w:val="668"/>
    <w:next w:val="668"/>
    <w:uiPriority w:val="39"/>
    <w:unhideWhenUsed/>
    <w:qFormat/>
    <w:pPr>
      <w:ind w:left="0" w:right="0" w:firstLine="0"/>
      <w:spacing w:after="57"/>
    </w:pPr>
  </w:style>
  <w:style w:type="paragraph" w:styleId="691">
    <w:name w:val="toc 4"/>
    <w:basedOn w:val="668"/>
    <w:next w:val="668"/>
    <w:uiPriority w:val="39"/>
    <w:unhideWhenUsed/>
    <w:qFormat/>
    <w:pPr>
      <w:ind w:left="850" w:right="0" w:firstLine="0"/>
      <w:spacing w:after="57"/>
    </w:pPr>
  </w:style>
  <w:style w:type="paragraph" w:styleId="692">
    <w:name w:val="Subtitle"/>
    <w:basedOn w:val="668"/>
    <w:next w:val="668"/>
    <w:link w:val="715"/>
    <w:uiPriority w:val="11"/>
    <w:qFormat/>
    <w:pPr>
      <w:spacing w:before="200" w:after="200"/>
    </w:pPr>
    <w:rPr>
      <w:sz w:val="24"/>
      <w:szCs w:val="24"/>
    </w:rPr>
  </w:style>
  <w:style w:type="paragraph" w:styleId="693">
    <w:name w:val="footnote text"/>
    <w:basedOn w:val="668"/>
    <w:link w:val="848"/>
    <w:uiPriority w:val="99"/>
    <w:semiHidden/>
    <w:unhideWhenUsed/>
    <w:qFormat/>
    <w:pPr>
      <w:spacing w:after="40" w:line="240" w:lineRule="auto"/>
    </w:pPr>
    <w:rPr>
      <w:sz w:val="18"/>
    </w:rPr>
  </w:style>
  <w:style w:type="paragraph" w:styleId="694">
    <w:name w:val="toc 6"/>
    <w:basedOn w:val="668"/>
    <w:next w:val="668"/>
    <w:uiPriority w:val="39"/>
    <w:unhideWhenUsed/>
    <w:qFormat/>
    <w:pPr>
      <w:ind w:left="1417" w:right="0" w:firstLine="0"/>
      <w:spacing w:after="57"/>
    </w:pPr>
  </w:style>
  <w:style w:type="paragraph" w:styleId="695">
    <w:name w:val="table of figures"/>
    <w:basedOn w:val="668"/>
    <w:next w:val="668"/>
    <w:uiPriority w:val="99"/>
    <w:unhideWhenUsed/>
    <w:qFormat/>
    <w:pPr>
      <w:spacing w:after="0" w:afterAutospacing="0"/>
    </w:pPr>
  </w:style>
  <w:style w:type="paragraph" w:styleId="696">
    <w:name w:val="toc 2"/>
    <w:basedOn w:val="668"/>
    <w:next w:val="668"/>
    <w:uiPriority w:val="39"/>
    <w:unhideWhenUsed/>
    <w:qFormat/>
    <w:pPr>
      <w:ind w:left="283" w:right="0" w:firstLine="0"/>
      <w:spacing w:after="57"/>
    </w:pPr>
  </w:style>
  <w:style w:type="paragraph" w:styleId="697">
    <w:name w:val="toc 9"/>
    <w:basedOn w:val="668"/>
    <w:next w:val="668"/>
    <w:uiPriority w:val="39"/>
    <w:unhideWhenUsed/>
    <w:qFormat/>
    <w:pPr>
      <w:ind w:left="2268" w:right="0" w:firstLine="0"/>
      <w:spacing w:after="57"/>
    </w:pPr>
  </w:style>
  <w:style w:type="paragraph" w:styleId="698">
    <w:name w:val="Title"/>
    <w:basedOn w:val="668"/>
    <w:next w:val="668"/>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character" w:styleId="703" w:customStyle="1">
    <w:name w:val="Heading 1 Char"/>
    <w:link w:val="669"/>
    <w:uiPriority w:val="9"/>
    <w:qFormat/>
    <w:rPr>
      <w:rFonts w:ascii="Arial" w:hAnsi="Arial" w:eastAsia="Arial" w:cs="Arial"/>
      <w:sz w:val="40"/>
      <w:szCs w:val="40"/>
    </w:rPr>
  </w:style>
  <w:style w:type="character" w:styleId="704" w:customStyle="1">
    <w:name w:val="Heading 2 Char"/>
    <w:link w:val="670"/>
    <w:uiPriority w:val="9"/>
    <w:qFormat/>
    <w:rPr>
      <w:rFonts w:ascii="Arial" w:hAnsi="Arial" w:eastAsia="Arial" w:cs="Arial"/>
      <w:sz w:val="34"/>
    </w:rPr>
  </w:style>
  <w:style w:type="character" w:styleId="705" w:customStyle="1">
    <w:name w:val="Heading 3 Char"/>
    <w:link w:val="671"/>
    <w:uiPriority w:val="9"/>
    <w:qFormat/>
    <w:rPr>
      <w:rFonts w:ascii="Arial" w:hAnsi="Arial" w:eastAsia="Arial" w:cs="Arial"/>
      <w:sz w:val="30"/>
      <w:szCs w:val="30"/>
    </w:rPr>
  </w:style>
  <w:style w:type="character" w:styleId="706" w:customStyle="1">
    <w:name w:val="Heading 4 Char"/>
    <w:link w:val="672"/>
    <w:uiPriority w:val="9"/>
    <w:qFormat/>
    <w:rPr>
      <w:rFonts w:ascii="Arial" w:hAnsi="Arial" w:eastAsia="Arial" w:cs="Arial"/>
      <w:b/>
      <w:bCs/>
      <w:sz w:val="26"/>
      <w:szCs w:val="26"/>
    </w:rPr>
  </w:style>
  <w:style w:type="character" w:styleId="707" w:customStyle="1">
    <w:name w:val="Heading 5 Char"/>
    <w:link w:val="673"/>
    <w:uiPriority w:val="9"/>
    <w:qFormat/>
    <w:rPr>
      <w:rFonts w:ascii="Arial" w:hAnsi="Arial" w:eastAsia="Arial" w:cs="Arial"/>
      <w:b/>
      <w:bCs/>
      <w:sz w:val="24"/>
      <w:szCs w:val="24"/>
    </w:rPr>
  </w:style>
  <w:style w:type="character" w:styleId="708" w:customStyle="1">
    <w:name w:val="Heading 6 Char"/>
    <w:link w:val="674"/>
    <w:uiPriority w:val="9"/>
    <w:qFormat/>
    <w:rPr>
      <w:rFonts w:ascii="Arial" w:hAnsi="Arial" w:eastAsia="Arial" w:cs="Arial"/>
      <w:b/>
      <w:bCs/>
      <w:sz w:val="22"/>
      <w:szCs w:val="22"/>
    </w:rPr>
  </w:style>
  <w:style w:type="character" w:styleId="709" w:customStyle="1">
    <w:name w:val="Heading 7 Char"/>
    <w:link w:val="675"/>
    <w:uiPriority w:val="9"/>
    <w:qFormat/>
    <w:rPr>
      <w:rFonts w:ascii="Arial" w:hAnsi="Arial" w:eastAsia="Arial" w:cs="Arial"/>
      <w:b/>
      <w:bCs/>
      <w:i/>
      <w:iCs/>
      <w:sz w:val="22"/>
      <w:szCs w:val="22"/>
    </w:rPr>
  </w:style>
  <w:style w:type="character" w:styleId="710" w:customStyle="1">
    <w:name w:val="Heading 8 Char"/>
    <w:link w:val="676"/>
    <w:uiPriority w:val="9"/>
    <w:qFormat/>
    <w:rPr>
      <w:rFonts w:ascii="Arial" w:hAnsi="Arial" w:eastAsia="Arial" w:cs="Arial"/>
      <w:i/>
      <w:iCs/>
      <w:sz w:val="22"/>
      <w:szCs w:val="22"/>
    </w:rPr>
  </w:style>
  <w:style w:type="character" w:styleId="711" w:customStyle="1">
    <w:name w:val="Heading 9 Char"/>
    <w:link w:val="677"/>
    <w:uiPriority w:val="9"/>
    <w:qFormat/>
    <w:rPr>
      <w:rFonts w:ascii="Arial" w:hAnsi="Arial" w:eastAsia="Arial" w:cs="Arial"/>
      <w:i/>
      <w:iCs/>
      <w:sz w:val="21"/>
      <w:szCs w:val="21"/>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Calibri" w:hAnsi="Calibri"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68"/>
    <w:next w:val="668"/>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8"/>
    <w:next w:val="6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Calibri" w:hAnsi="Calibri" w:eastAsia="宋体" w:cs="Times New Roman"/>
    </w:rPr>
  </w:style>
  <w:style w:type="paragraph" w:styleId="851" w:customStyle="1">
    <w:name w:val="标题 11"/>
    <w:basedOn w:val="668"/>
    <w:next w:val="668"/>
    <w:link w:val="863"/>
    <w:uiPriority w:val="0"/>
    <w:qFormat/>
    <w:pPr>
      <w:jc w:val="center"/>
      <w:keepNext/>
      <w:outlineLvl w:val="0"/>
    </w:pPr>
    <w:rPr>
      <w:rFonts w:ascii="楷体_GB2312" w:eastAsia="楷体_GB2312"/>
      <w:sz w:val="28"/>
      <w:szCs w:val="28"/>
    </w:rPr>
  </w:style>
  <w:style w:type="paragraph" w:styleId="852" w:customStyle="1">
    <w:name w:val="标题 21"/>
    <w:basedOn w:val="668"/>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68"/>
    <w:link w:val="865"/>
    <w:uiPriority w:val="0"/>
    <w:qFormat/>
    <w:pPr>
      <w:ind w:firstLine="420"/>
    </w:pPr>
    <w:rPr>
      <w:sz w:val="20"/>
    </w:rPr>
  </w:style>
  <w:style w:type="paragraph" w:styleId="854" w:customStyle="1">
    <w:name w:val="标题 31"/>
    <w:basedOn w:val="668"/>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68"/>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68"/>
    <w:next w:val="853"/>
    <w:link w:val="868"/>
    <w:uiPriority w:val="0"/>
    <w:qFormat/>
    <w:pPr>
      <w:keepNext/>
      <w:outlineLvl w:val="4"/>
    </w:pPr>
    <w:rPr>
      <w:rFonts w:ascii="宋体"/>
      <w:color w:val="000000"/>
      <w:sz w:val="28"/>
      <w:szCs w:val="28"/>
    </w:rPr>
  </w:style>
  <w:style w:type="paragraph" w:styleId="857" w:customStyle="1">
    <w:name w:val="标题 61"/>
    <w:basedOn w:val="668"/>
    <w:next w:val="668"/>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68"/>
    <w:next w:val="668"/>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68"/>
    <w:next w:val="668"/>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68"/>
    <w:next w:val="668"/>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1"/>
    <w:link w:val="668"/>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68"/>
    <w:uiPriority w:val="0"/>
    <w:qFormat/>
    <w:pPr>
      <w:ind w:left="100" w:hanging="200"/>
    </w:pPr>
  </w:style>
  <w:style w:type="paragraph" w:styleId="874" w:customStyle="1">
    <w:name w:val="目录 71"/>
    <w:basedOn w:val="668"/>
    <w:next w:val="668"/>
    <w:uiPriority w:val="0"/>
    <w:semiHidden/>
    <w:qFormat/>
    <w:pPr>
      <w:ind w:left="1260"/>
      <w:jc w:val="left"/>
    </w:pPr>
  </w:style>
  <w:style w:type="paragraph" w:styleId="875" w:customStyle="1">
    <w:name w:val="文档结构图1"/>
    <w:basedOn w:val="668"/>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68"/>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68"/>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68"/>
    <w:next w:val="882"/>
    <w:link w:val="891"/>
    <w:uiPriority w:val="0"/>
    <w:qFormat/>
    <w:rPr>
      <w:rFonts w:ascii="楷体_GB2312" w:hAnsi="Arial" w:eastAsia="楷体_GB2312"/>
      <w:sz w:val="28"/>
      <w:szCs w:val="28"/>
    </w:rPr>
  </w:style>
  <w:style w:type="paragraph" w:styleId="882" w:customStyle="1">
    <w:name w:val="一级条标题"/>
    <w:basedOn w:val="883"/>
    <w:next w:val="88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83" w:customStyle="1">
    <w:name w:val="章标题"/>
    <w:next w:val="88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正文1"/>
    <w:basedOn w:val="885"/>
    <w:next w:val="881"/>
    <w:uiPriority w:val="0"/>
    <w:qFormat/>
  </w:style>
  <w:style w:type="paragraph" w:styleId="885" w:customStyle="1">
    <w:name w:val="正文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目录 11"/>
    <w:basedOn w:val="887"/>
    <w:next w:val="885"/>
    <w:uiPriority w:val="0"/>
    <w:semiHidden/>
    <w:qFormat/>
    <w:pPr>
      <w:jc w:val="left"/>
      <w:spacing w:before="120" w:after="120" w:line="400" w:lineRule="exact"/>
      <w:tabs>
        <w:tab w:val="right" w:pos="8720" w:leader="dot"/>
      </w:tabs>
    </w:pPr>
    <w:rPr>
      <w:rFonts w:ascii="宋体" w:hAnsi="宋体"/>
      <w:caps/>
      <w:sz w:val="24"/>
      <w:szCs w:val="24"/>
    </w:rPr>
  </w:style>
  <w:style w:type="paragraph" w:styleId="887" w:customStyle="1">
    <w:name w:val="正文12"/>
    <w:next w:val="888"/>
    <w:uiPriority w:val="0"/>
    <w:qFormat/>
    <w:pPr>
      <w:jc w:val="both"/>
      <w:widowControl w:val="off"/>
    </w:pPr>
    <w:rPr>
      <w:rFonts w:hint="default" w:ascii="Calibri" w:hAnsi="Calibri" w:eastAsia="Calibri" w:cs="Times New Roman"/>
      <w:sz w:val="21"/>
      <w:szCs w:val="24"/>
      <w:lang w:val="en-US" w:eastAsia="zh-CN" w:bidi="ar-SA"/>
    </w:rPr>
  </w:style>
  <w:style w:type="paragraph" w:styleId="888" w:customStyle="1">
    <w:name w:val="文本块11"/>
    <w:basedOn w:val="887"/>
    <w:uiPriority w:val="0"/>
    <w:qFormat/>
    <w:pPr>
      <w:ind w:left="1440" w:right="1440"/>
      <w:spacing w:after="120"/>
    </w:pPr>
    <w:rPr>
      <w:rFonts w:ascii="Times New Roman" w:hAnsi="Times New Roman" w:eastAsia="宋体"/>
    </w:rPr>
  </w:style>
  <w:style w:type="paragraph" w:styleId="889" w:customStyle="1">
    <w:name w:val="段"/>
    <w:basedOn w:val="884"/>
    <w:next w:val="668"/>
    <w:uiPriority w:val="0"/>
    <w:qFormat/>
    <w:pPr>
      <w:ind w:firstLine="200"/>
      <w:widowControl/>
    </w:pPr>
    <w:rPr>
      <w:rFonts w:ascii="宋体"/>
      <w:sz w:val="20"/>
      <w:szCs w:val="20"/>
    </w:rPr>
  </w:style>
  <w:style w:type="paragraph" w:styleId="890" w:customStyle="1">
    <w:name w:val="正文首行缩进1"/>
    <w:basedOn w:val="668"/>
    <w:next w:val="668"/>
    <w:link w:val="926"/>
    <w:uiPriority w:val="0"/>
    <w:qFormat/>
    <w:pPr>
      <w:ind w:firstLine="200"/>
      <w:spacing w:line="360" w:lineRule="auto"/>
    </w:pPr>
    <w:rPr>
      <w:rFonts w:ascii="仿宋_GB2312" w:eastAsia="仿宋_GB2312"/>
      <w:sz w:val="30"/>
      <w:szCs w:val="30"/>
    </w:rPr>
  </w:style>
  <w:style w:type="character" w:styleId="891" w:customStyle="1">
    <w:name w:val="正文文本 Char"/>
    <w:link w:val="881"/>
    <w:uiPriority w:val="0"/>
    <w:qFormat/>
    <w:rPr>
      <w:rFonts w:ascii="楷体_GB2312" w:hAnsi="Arial" w:eastAsia="楷体_GB2312" w:cs="Times New Roman"/>
      <w:sz w:val="28"/>
      <w:szCs w:val="28"/>
    </w:rPr>
  </w:style>
  <w:style w:type="paragraph" w:styleId="892" w:customStyle="1">
    <w:name w:val="正文文本缩进1"/>
    <w:basedOn w:val="668"/>
    <w:link w:val="893"/>
    <w:uiPriority w:val="0"/>
    <w:qFormat/>
    <w:pPr>
      <w:ind w:firstLine="645"/>
    </w:pPr>
    <w:rPr>
      <w:rFonts w:ascii="楷体_GB2312" w:eastAsia="楷体_GB2312"/>
      <w:sz w:val="32"/>
      <w:szCs w:val="32"/>
    </w:rPr>
  </w:style>
  <w:style w:type="character" w:styleId="893" w:customStyle="1">
    <w:name w:val="正文文本缩进 Char"/>
    <w:link w:val="892"/>
    <w:uiPriority w:val="0"/>
    <w:qFormat/>
    <w:rPr>
      <w:rFonts w:ascii="楷体_GB2312" w:hAnsi="Times New Roman" w:eastAsia="楷体_GB2312" w:cs="Times New Roman"/>
      <w:sz w:val="32"/>
      <w:szCs w:val="32"/>
    </w:rPr>
  </w:style>
  <w:style w:type="paragraph" w:styleId="894" w:customStyle="1">
    <w:name w:val="列表 21"/>
    <w:basedOn w:val="668"/>
    <w:uiPriority w:val="0"/>
    <w:qFormat/>
    <w:pPr>
      <w:ind w:left="100" w:hanging="200"/>
    </w:pPr>
  </w:style>
  <w:style w:type="paragraph" w:styleId="895" w:customStyle="1">
    <w:name w:val="目录 51"/>
    <w:basedOn w:val="668"/>
    <w:next w:val="668"/>
    <w:uiPriority w:val="0"/>
    <w:semiHidden/>
    <w:qFormat/>
    <w:pPr>
      <w:ind w:left="840"/>
      <w:jc w:val="left"/>
    </w:pPr>
  </w:style>
  <w:style w:type="paragraph" w:styleId="896" w:customStyle="1">
    <w:name w:val="目录 31"/>
    <w:basedOn w:val="668"/>
    <w:next w:val="668"/>
    <w:uiPriority w:val="0"/>
    <w:semiHidden/>
    <w:qFormat/>
    <w:pPr>
      <w:ind w:left="420"/>
      <w:jc w:val="left"/>
    </w:pPr>
    <w:rPr>
      <w:i/>
      <w:iCs/>
      <w:szCs w:val="24"/>
    </w:rPr>
  </w:style>
  <w:style w:type="paragraph" w:styleId="897" w:customStyle="1">
    <w:name w:val="纯文本1"/>
    <w:basedOn w:val="668"/>
    <w:link w:val="898"/>
    <w:uiPriority w:val="0"/>
    <w:qFormat/>
    <w:rPr>
      <w:rFonts w:ascii="宋体" w:hAnsi="Courier New"/>
      <w:sz w:val="20"/>
    </w:rPr>
  </w:style>
  <w:style w:type="character" w:styleId="898" w:customStyle="1">
    <w:name w:val="纯文本 Char"/>
    <w:link w:val="897"/>
    <w:uiPriority w:val="0"/>
    <w:qFormat/>
    <w:rPr>
      <w:rFonts w:ascii="宋体" w:hAnsi="Courier New" w:eastAsia="宋体" w:cs="Courier New"/>
      <w:szCs w:val="21"/>
    </w:rPr>
  </w:style>
  <w:style w:type="paragraph" w:styleId="899" w:customStyle="1">
    <w:name w:val="目录 81"/>
    <w:basedOn w:val="668"/>
    <w:next w:val="668"/>
    <w:uiPriority w:val="0"/>
    <w:semiHidden/>
    <w:qFormat/>
    <w:pPr>
      <w:ind w:left="1470"/>
      <w:jc w:val="left"/>
    </w:pPr>
  </w:style>
  <w:style w:type="paragraph" w:styleId="900" w:customStyle="1">
    <w:name w:val="日期1"/>
    <w:basedOn w:val="668"/>
    <w:next w:val="668"/>
    <w:link w:val="901"/>
    <w:uiPriority w:val="0"/>
    <w:qFormat/>
    <w:rPr>
      <w:sz w:val="24"/>
      <w:szCs w:val="24"/>
    </w:rPr>
  </w:style>
  <w:style w:type="character" w:styleId="901" w:customStyle="1">
    <w:name w:val="日期 Char"/>
    <w:link w:val="900"/>
    <w:uiPriority w:val="0"/>
    <w:qFormat/>
    <w:rPr>
      <w:rFonts w:ascii="Times New Roman" w:hAnsi="Times New Roman" w:eastAsia="宋体" w:cs="Times New Roman"/>
      <w:sz w:val="24"/>
      <w:szCs w:val="24"/>
    </w:rPr>
  </w:style>
  <w:style w:type="paragraph" w:styleId="902" w:customStyle="1">
    <w:name w:val="正文文本缩进 21"/>
    <w:basedOn w:val="668"/>
    <w:link w:val="903"/>
    <w:uiPriority w:val="0"/>
    <w:qFormat/>
    <w:pPr>
      <w:ind w:left="630" w:firstLine="645"/>
    </w:pPr>
    <w:rPr>
      <w:rFonts w:ascii="Arial" w:hAnsi="Arial" w:eastAsia="仿宋_GB2312"/>
      <w:sz w:val="32"/>
      <w:szCs w:val="32"/>
    </w:rPr>
  </w:style>
  <w:style w:type="character" w:styleId="903" w:customStyle="1">
    <w:name w:val="正文文本缩进 2 Char"/>
    <w:link w:val="902"/>
    <w:uiPriority w:val="0"/>
    <w:qFormat/>
    <w:rPr>
      <w:rFonts w:ascii="Arial" w:hAnsi="Arial" w:eastAsia="仿宋_GB2312" w:cs="Arial"/>
      <w:sz w:val="32"/>
      <w:szCs w:val="32"/>
    </w:rPr>
  </w:style>
  <w:style w:type="paragraph" w:styleId="904" w:customStyle="1">
    <w:name w:val="批注框文本1"/>
    <w:basedOn w:val="668"/>
    <w:link w:val="905"/>
    <w:uiPriority w:val="0"/>
    <w:semiHidden/>
    <w:qFormat/>
    <w:rPr>
      <w:sz w:val="18"/>
      <w:szCs w:val="18"/>
    </w:rPr>
  </w:style>
  <w:style w:type="character" w:styleId="905" w:customStyle="1">
    <w:name w:val="批注框文本 Char"/>
    <w:link w:val="904"/>
    <w:uiPriority w:val="0"/>
    <w:semiHidden/>
    <w:qFormat/>
    <w:rPr>
      <w:rFonts w:ascii="Times New Roman" w:hAnsi="Times New Roman" w:eastAsia="宋体" w:cs="Times New Roman"/>
      <w:sz w:val="18"/>
      <w:szCs w:val="18"/>
    </w:rPr>
  </w:style>
  <w:style w:type="paragraph" w:styleId="906" w:customStyle="1">
    <w:name w:val="页脚1"/>
    <w:basedOn w:val="668"/>
    <w:link w:val="907"/>
    <w:uiPriority w:val="0"/>
    <w:qFormat/>
    <w:pPr>
      <w:jc w:val="left"/>
      <w:tabs>
        <w:tab w:val="center" w:pos="4153" w:leader="none"/>
        <w:tab w:val="right" w:pos="8306" w:leader="none"/>
      </w:tabs>
    </w:pPr>
    <w:rPr>
      <w:sz w:val="18"/>
      <w:szCs w:val="18"/>
    </w:rPr>
  </w:style>
  <w:style w:type="character" w:styleId="907" w:customStyle="1">
    <w:name w:val="页脚 Char"/>
    <w:link w:val="906"/>
    <w:uiPriority w:val="0"/>
    <w:qFormat/>
    <w:rPr>
      <w:rFonts w:ascii="Times New Roman" w:hAnsi="Times New Roman" w:eastAsia="宋体" w:cs="Times New Roman"/>
      <w:sz w:val="18"/>
      <w:szCs w:val="18"/>
    </w:rPr>
  </w:style>
  <w:style w:type="paragraph" w:styleId="908" w:customStyle="1">
    <w:name w:val="页眉1"/>
    <w:basedOn w:val="668"/>
    <w:link w:val="909"/>
    <w:uiPriority w:val="99"/>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Char"/>
    <w:link w:val="908"/>
    <w:uiPriority w:val="99"/>
    <w:qFormat/>
    <w:rPr>
      <w:rFonts w:ascii="Times New Roman" w:hAnsi="Times New Roman" w:eastAsia="宋体" w:cs="Times New Roman"/>
      <w:sz w:val="18"/>
      <w:szCs w:val="18"/>
    </w:rPr>
  </w:style>
  <w:style w:type="paragraph" w:styleId="910" w:customStyle="1">
    <w:name w:val="目录 41"/>
    <w:basedOn w:val="668"/>
    <w:next w:val="668"/>
    <w:uiPriority w:val="0"/>
    <w:semiHidden/>
    <w:qFormat/>
    <w:pPr>
      <w:ind w:left="630"/>
      <w:jc w:val="left"/>
    </w:pPr>
  </w:style>
  <w:style w:type="paragraph" w:styleId="911" w:customStyle="1">
    <w:name w:val="列表1"/>
    <w:basedOn w:val="668"/>
    <w:uiPriority w:val="0"/>
    <w:qFormat/>
    <w:pPr>
      <w:ind w:left="200" w:hanging="200"/>
    </w:pPr>
  </w:style>
  <w:style w:type="paragraph" w:styleId="912" w:customStyle="1">
    <w:name w:val="目录 61"/>
    <w:basedOn w:val="668"/>
    <w:next w:val="668"/>
    <w:uiPriority w:val="0"/>
    <w:semiHidden/>
    <w:qFormat/>
    <w:pPr>
      <w:ind w:left="1050"/>
      <w:jc w:val="left"/>
    </w:pPr>
  </w:style>
  <w:style w:type="paragraph" w:styleId="913" w:customStyle="1">
    <w:name w:val="正文文本缩进 31"/>
    <w:basedOn w:val="668"/>
    <w:link w:val="914"/>
    <w:uiPriority w:val="0"/>
    <w:qFormat/>
    <w:pPr>
      <w:ind w:left="645" w:firstLine="645"/>
    </w:pPr>
    <w:rPr>
      <w:rFonts w:ascii="Arial" w:hAnsi="Arial" w:eastAsia="仿宋_GB2312"/>
      <w:color w:val="ffff00"/>
      <w:sz w:val="32"/>
      <w:szCs w:val="32"/>
    </w:rPr>
  </w:style>
  <w:style w:type="character" w:styleId="914" w:customStyle="1">
    <w:name w:val="正文文本缩进 3 Char"/>
    <w:link w:val="913"/>
    <w:uiPriority w:val="0"/>
    <w:qFormat/>
    <w:rPr>
      <w:rFonts w:ascii="Arial" w:hAnsi="Arial" w:eastAsia="仿宋_GB2312" w:cs="Arial"/>
      <w:color w:val="ffff00"/>
      <w:sz w:val="32"/>
      <w:szCs w:val="32"/>
    </w:rPr>
  </w:style>
  <w:style w:type="paragraph" w:styleId="915" w:customStyle="1">
    <w:name w:val="图表目录1"/>
    <w:basedOn w:val="668"/>
    <w:next w:val="668"/>
    <w:uiPriority w:val="0"/>
    <w:semiHidden/>
    <w:qFormat/>
    <w:pPr>
      <w:ind w:left="840" w:hanging="420"/>
    </w:pPr>
  </w:style>
  <w:style w:type="paragraph" w:styleId="916" w:customStyle="1">
    <w:name w:val="目录 21"/>
    <w:basedOn w:val="668"/>
    <w:next w:val="668"/>
    <w:uiPriority w:val="0"/>
    <w:semiHidden/>
    <w:qFormat/>
    <w:pPr>
      <w:ind w:left="210"/>
      <w:jc w:val="left"/>
    </w:pPr>
    <w:rPr>
      <w:smallCaps/>
      <w:szCs w:val="24"/>
    </w:rPr>
  </w:style>
  <w:style w:type="paragraph" w:styleId="917" w:customStyle="1">
    <w:name w:val="目录 91"/>
    <w:basedOn w:val="668"/>
    <w:next w:val="668"/>
    <w:uiPriority w:val="0"/>
    <w:semiHidden/>
    <w:qFormat/>
    <w:pPr>
      <w:ind w:left="1680"/>
      <w:jc w:val="left"/>
    </w:pPr>
  </w:style>
  <w:style w:type="paragraph" w:styleId="918" w:customStyle="1">
    <w:name w:val="正文文本 21"/>
    <w:basedOn w:val="668"/>
    <w:link w:val="919"/>
    <w:uiPriority w:val="0"/>
    <w:qFormat/>
    <w:pPr>
      <w:jc w:val="center"/>
      <w:widowControl/>
    </w:pPr>
    <w:rPr>
      <w:rFonts w:ascii="楷体_GB2312" w:eastAsia="楷体_GB2312"/>
      <w:sz w:val="28"/>
      <w:szCs w:val="28"/>
    </w:rPr>
  </w:style>
  <w:style w:type="character" w:styleId="919" w:customStyle="1">
    <w:name w:val="正文文本 2 Char"/>
    <w:link w:val="918"/>
    <w:uiPriority w:val="0"/>
    <w:qFormat/>
    <w:rPr>
      <w:rFonts w:ascii="楷体_GB2312" w:hAnsi="Times New Roman" w:eastAsia="楷体_GB2312" w:cs="Times New Roman"/>
      <w:sz w:val="28"/>
      <w:szCs w:val="28"/>
    </w:rPr>
  </w:style>
  <w:style w:type="paragraph" w:styleId="920" w:customStyle="1">
    <w:name w:val="HTML 预设格式1"/>
    <w:basedOn w:val="668"/>
    <w:link w:val="92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21" w:customStyle="1">
    <w:name w:val="HTML 预设格式 Char"/>
    <w:basedOn w:val="861"/>
    <w:link w:val="920"/>
    <w:uiPriority w:val="99"/>
    <w:semiHidden/>
    <w:qFormat/>
    <w:rPr>
      <w:rFonts w:ascii="宋体" w:hAnsi="宋体" w:cs="宋体"/>
      <w:sz w:val="24"/>
      <w:szCs w:val="24"/>
    </w:rPr>
  </w:style>
  <w:style w:type="paragraph" w:styleId="922"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23" w:customStyle="1">
    <w:name w:val="索引 11"/>
    <w:basedOn w:val="668"/>
    <w:next w:val="668"/>
    <w:uiPriority w:val="0"/>
    <w:semiHidden/>
    <w:qFormat/>
    <w:pPr>
      <w:spacing w:line="240" w:lineRule="atLeast"/>
    </w:pPr>
    <w:rPr>
      <w:b/>
      <w:bCs/>
    </w:rPr>
  </w:style>
  <w:style w:type="paragraph" w:styleId="924" w:customStyle="1">
    <w:name w:val="批注主题1"/>
    <w:basedOn w:val="877"/>
    <w:next w:val="877"/>
    <w:link w:val="925"/>
    <w:uiPriority w:val="0"/>
    <w:semiHidden/>
    <w:qFormat/>
    <w:rPr>
      <w:b/>
      <w:bCs/>
    </w:rPr>
  </w:style>
  <w:style w:type="character" w:styleId="925" w:customStyle="1">
    <w:name w:val="批注主题 Char"/>
    <w:link w:val="924"/>
    <w:uiPriority w:val="0"/>
    <w:semiHidden/>
    <w:qFormat/>
    <w:rPr>
      <w:rFonts w:ascii="Times New Roman" w:hAnsi="Times New Roman" w:eastAsia="宋体" w:cs="Times New Roman"/>
      <w:b/>
      <w:bCs/>
      <w:szCs w:val="21"/>
    </w:rPr>
  </w:style>
  <w:style w:type="character" w:styleId="926" w:customStyle="1">
    <w:name w:val="正文首行缩进 Char"/>
    <w:link w:val="890"/>
    <w:uiPriority w:val="0"/>
    <w:qFormat/>
    <w:rPr>
      <w:rFonts w:ascii="仿宋_GB2312" w:hAnsi="Times New Roman" w:eastAsia="仿宋_GB2312" w:cs="Times New Roman"/>
      <w:sz w:val="30"/>
      <w:szCs w:val="30"/>
    </w:rPr>
  </w:style>
  <w:style w:type="paragraph" w:styleId="927" w:customStyle="1">
    <w:name w:val="正文首行缩进 21"/>
    <w:basedOn w:val="892"/>
    <w:link w:val="928"/>
    <w:uiPriority w:val="0"/>
    <w:qFormat/>
    <w:pPr>
      <w:ind w:firstLine="420"/>
      <w:spacing w:line="360" w:lineRule="auto"/>
    </w:pPr>
    <w:rPr>
      <w:rFonts w:ascii="宋体" w:hAnsi="宋体" w:eastAsia="宋体"/>
      <w:szCs w:val="20"/>
    </w:rPr>
  </w:style>
  <w:style w:type="character" w:styleId="928" w:customStyle="1">
    <w:name w:val="正文首行缩进 2 Char"/>
    <w:link w:val="927"/>
    <w:uiPriority w:val="0"/>
    <w:qFormat/>
    <w:rPr>
      <w:rFonts w:ascii="宋体" w:hAnsi="宋体" w:eastAsia="宋体" w:cs="Times New Roman"/>
      <w:sz w:val="32"/>
      <w:szCs w:val="20"/>
    </w:rPr>
  </w:style>
  <w:style w:type="table" w:styleId="929"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30" w:customStyle="1">
    <w:name w:val="要点1"/>
    <w:link w:val="668"/>
    <w:uiPriority w:val="0"/>
    <w:qFormat/>
    <w:rPr>
      <w:b/>
      <w:bCs/>
    </w:rPr>
  </w:style>
  <w:style w:type="character" w:styleId="931" w:customStyle="1">
    <w:name w:val="页码1"/>
    <w:link w:val="668"/>
    <w:uiPriority w:val="0"/>
    <w:qFormat/>
  </w:style>
  <w:style w:type="character" w:styleId="932" w:customStyle="1">
    <w:name w:val="已访问的超链接1"/>
    <w:link w:val="668"/>
    <w:uiPriority w:val="0"/>
    <w:qFormat/>
    <w:rPr>
      <w:color w:val="800080"/>
      <w:u w:val="single"/>
    </w:rPr>
  </w:style>
  <w:style w:type="character" w:styleId="933" w:customStyle="1">
    <w:name w:val="HTML 打字机1"/>
    <w:link w:val="668"/>
    <w:uiPriority w:val="99"/>
    <w:qFormat/>
    <w:rPr>
      <w:rFonts w:ascii="宋体" w:hAnsi="宋体" w:eastAsia="宋体" w:cs="宋体"/>
      <w:sz w:val="24"/>
      <w:szCs w:val="24"/>
    </w:rPr>
  </w:style>
  <w:style w:type="character" w:styleId="934" w:customStyle="1">
    <w:name w:val="超链接1"/>
    <w:link w:val="668"/>
    <w:uiPriority w:val="0"/>
    <w:qFormat/>
    <w:rPr>
      <w:color w:val="0000ff"/>
      <w:u w:val="single"/>
    </w:rPr>
  </w:style>
  <w:style w:type="character" w:styleId="935" w:customStyle="1">
    <w:name w:val="批注引用1"/>
    <w:link w:val="668"/>
    <w:uiPriority w:val="0"/>
    <w:semiHidden/>
    <w:qFormat/>
    <w:rPr>
      <w:sz w:val="21"/>
      <w:szCs w:val="21"/>
    </w:rPr>
  </w:style>
  <w:style w:type="character" w:styleId="936" w:customStyle="1">
    <w:name w:val="font01"/>
    <w:link w:val="668"/>
    <w:uiPriority w:val="0"/>
    <w:qFormat/>
    <w:rPr>
      <w:rFonts w:ascii="Times New Roman" w:hAnsi="Times New Roman" w:eastAsia="宋体" w:cs="Times New Roman"/>
      <w:sz w:val="21"/>
      <w:szCs w:val="22"/>
      <w:lang w:val="en-US" w:eastAsia="zh-CN" w:bidi="ar-SA"/>
    </w:rPr>
  </w:style>
  <w:style w:type="character" w:styleId="937" w:customStyle="1">
    <w:name w:val="font5 Char"/>
    <w:link w:val="668"/>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lang w:val="en-US" w:eastAsia="zh-CN" w:bidi="ar-SA"/>
    </w:rPr>
  </w:style>
  <w:style w:type="paragraph" w:styleId="939" w:customStyle="1">
    <w:name w:val="二级目录"/>
    <w:next w:val="668"/>
    <w:link w:val="93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668"/>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668"/>
    <w:next w:val="881"/>
    <w:uiPriority w:val="0"/>
    <w:qFormat/>
    <w:pPr>
      <w:spacing w:after="120"/>
    </w:pPr>
    <w:rPr>
      <w:rFonts w:ascii="宋体" w:hAnsi="Arial"/>
      <w:bCs/>
      <w:iCs/>
      <w:szCs w:val="24"/>
    </w:rPr>
  </w:style>
  <w:style w:type="paragraph" w:styleId="943"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customStyle="1">
    <w:name w:val="Char"/>
    <w:basedOn w:val="668"/>
    <w:uiPriority w:val="0"/>
    <w:qFormat/>
    <w:pPr>
      <w:ind w:firstLine="200"/>
      <w:tabs>
        <w:tab w:val="left" w:pos="360" w:leader="none"/>
      </w:tabs>
    </w:pPr>
    <w:rPr>
      <w:sz w:val="28"/>
      <w:szCs w:val="30"/>
    </w:rPr>
  </w:style>
  <w:style w:type="paragraph" w:styleId="946" w:customStyle="1">
    <w:name w:val=" Char"/>
    <w:basedOn w:val="875"/>
    <w:uiPriority w:val="0"/>
    <w:qFormat/>
    <w:rPr>
      <w:rFonts w:ascii="Tahoma" w:hAnsi="Tahoma"/>
      <w:sz w:val="24"/>
      <w:szCs w:val="24"/>
    </w:rPr>
  </w:style>
  <w:style w:type="paragraph" w:styleId="947"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48" w:customStyle="1">
    <w:name w:val="table_lines"/>
    <w:basedOn w:val="668"/>
    <w:uiPriority w:val="0"/>
    <w:qFormat/>
    <w:pPr>
      <w:jc w:val="left"/>
      <w:widowControl/>
    </w:pPr>
    <w:rPr>
      <w:sz w:val="20"/>
      <w:szCs w:val="20"/>
      <w:lang w:val="de-DE" w:eastAsia="de-DE"/>
    </w:rPr>
  </w:style>
  <w:style w:type="paragraph" w:styleId="9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0"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51" w:customStyle="1">
    <w:name w:val=" Char Char Char Char"/>
    <w:basedOn w:val="875"/>
    <w:uiPriority w:val="0"/>
    <w:qFormat/>
    <w:pPr>
      <w:spacing w:line="360" w:lineRule="auto"/>
    </w:pPr>
    <w:rPr>
      <w:rFonts w:ascii="Tahoma" w:hAnsi="Tahoma"/>
      <w:sz w:val="24"/>
      <w:szCs w:val="24"/>
    </w:rPr>
  </w:style>
  <w:style w:type="paragraph" w:styleId="952" w:customStyle="1">
    <w:name w:val="列出段落"/>
    <w:basedOn w:val="668"/>
    <w:uiPriority w:val="99"/>
    <w:qFormat/>
    <w:pPr>
      <w:contextualSpacing/>
      <w:ind w:left="720"/>
      <w:jc w:val="left"/>
      <w:widowControl/>
    </w:pPr>
    <w:rPr>
      <w:rFonts w:ascii="Calibri" w:hAnsi="Calibri"/>
      <w:sz w:val="24"/>
      <w:szCs w:val="24"/>
      <w:lang w:eastAsia="en-US" w:bidi="en-US"/>
    </w:rPr>
  </w:style>
  <w:style w:type="paragraph" w:styleId="953" w:customStyle="1">
    <w:name w:val="4"/>
    <w:basedOn w:val="668"/>
    <w:next w:val="913"/>
    <w:uiPriority w:val="0"/>
    <w:qFormat/>
    <w:pPr>
      <w:ind w:firstLine="420"/>
      <w:spacing w:line="360" w:lineRule="auto"/>
    </w:pPr>
    <w:rPr>
      <w:color w:val="ff0000"/>
      <w:sz w:val="24"/>
      <w:szCs w:val="24"/>
    </w:rPr>
  </w:style>
  <w:style w:type="paragraph" w:styleId="954"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55" w:customStyle="1">
    <w:name w:val=" Char Char Char Char Char Char Char Char Char Char"/>
    <w:basedOn w:val="668"/>
    <w:uiPriority w:val="0"/>
    <w:qFormat/>
    <w:pPr>
      <w:spacing w:line="360" w:lineRule="auto"/>
    </w:pPr>
    <w:rPr>
      <w:sz w:val="24"/>
      <w:szCs w:val="20"/>
    </w:rPr>
  </w:style>
  <w:style w:type="paragraph" w:styleId="956" w:customStyle="1">
    <w:name w:val="样式1"/>
    <w:basedOn w:val="668"/>
    <w:uiPriority w:val="0"/>
    <w:qFormat/>
    <w:pPr>
      <w:numPr>
        <w:ilvl w:val="0"/>
        <w:numId w:val="3"/>
      </w:numPr>
    </w:pPr>
    <w:rPr>
      <w:rFonts w:ascii="宋体" w:hAnsi="宋体"/>
    </w:rPr>
  </w:style>
  <w:style w:type="paragraph" w:styleId="957"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961"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4"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5"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6"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67" w:customStyle="1">
    <w:name w:val="Char Char Char Char"/>
    <w:basedOn w:val="875"/>
    <w:uiPriority w:val="0"/>
    <w:qFormat/>
    <w:pPr>
      <w:spacing w:line="360" w:lineRule="auto"/>
    </w:pPr>
    <w:rPr>
      <w:rFonts w:ascii="Tahoma" w:hAnsi="Tahoma"/>
      <w:sz w:val="24"/>
      <w:szCs w:val="24"/>
    </w:rPr>
  </w:style>
  <w:style w:type="paragraph" w:styleId="968" w:customStyle="1">
    <w:name w:val="table_1stline"/>
    <w:basedOn w:val="668"/>
    <w:uiPriority w:val="0"/>
    <w:qFormat/>
    <w:pPr>
      <w:jc w:val="left"/>
      <w:spacing w:before="120"/>
      <w:widowControl/>
    </w:pPr>
    <w:rPr>
      <w:bCs/>
      <w:sz w:val="20"/>
      <w:szCs w:val="20"/>
      <w:lang w:val="de-DE" w:eastAsia="de-DE"/>
    </w:rPr>
  </w:style>
  <w:style w:type="paragraph" w:styleId="969"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70"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3" w:customStyle="1">
    <w:name w:val="普通文字"/>
    <w:basedOn w:val="668"/>
    <w:next w:val="668"/>
    <w:uiPriority w:val="99"/>
    <w:qFormat/>
    <w:rPr>
      <w:rFonts w:ascii="宋体" w:hAnsi="Times New Roman" w:eastAsia="宋体" w:cs="Times New Roman"/>
      <w:sz w:val="24"/>
      <w:szCs w:val="20"/>
      <w:u w:val="none"/>
    </w:rPr>
  </w:style>
  <w:style w:type="paragraph" w:styleId="974"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character" w:styleId="975" w:customStyle="1">
    <w:name w:val="font81"/>
    <w:basedOn w:val="976"/>
    <w:link w:val="668"/>
    <w:uiPriority w:val="0"/>
    <w:qFormat/>
    <w:rPr>
      <w:rFonts w:ascii="Times New Roman" w:hAnsi="Times New Roman"/>
      <w:sz w:val="21"/>
      <w:szCs w:val="21"/>
      <w:lang w:val="en-US" w:eastAsia="zh-CN" w:bidi="ar-SA"/>
    </w:rPr>
  </w:style>
  <w:style w:type="character" w:styleId="976" w:customStyle="1">
    <w:name w:val="默认段落字体1"/>
    <w:link w:val="668"/>
    <w:uiPriority w:val="1"/>
    <w:unhideWhenUsed/>
    <w:qFormat/>
  </w:style>
  <w:style w:type="character" w:styleId="977" w:customStyle="1">
    <w:name w:val="font71"/>
    <w:basedOn w:val="678"/>
    <w:uiPriority w:val="0"/>
    <w:qFormat/>
    <w:rPr>
      <w:rFonts w:hint="eastAsia" w:ascii="宋体" w:hAnsi="宋体" w:eastAsia="宋体" w:cs="宋体"/>
      <w:color w:val="000000"/>
      <w:sz w:val="22"/>
      <w:szCs w:val="22"/>
      <w:u w:val="none"/>
    </w:rPr>
  </w:style>
  <w:style w:type="character" w:styleId="978" w:customStyle="1">
    <w:name w:val="font161"/>
    <w:basedOn w:val="678"/>
    <w:uiPriority w:val="0"/>
    <w:qFormat/>
    <w:rPr>
      <w:rFonts w:hint="eastAsia" w:ascii="宋体" w:hAnsi="宋体" w:eastAsia="宋体" w:cs="宋体"/>
      <w:color w:val="000000"/>
      <w:sz w:val="22"/>
      <w:szCs w:val="22"/>
      <w:u w:val="none"/>
    </w:rPr>
  </w:style>
  <w:style w:type="paragraph" w:styleId="979" w:customStyle="1">
    <w:name w:val="普通(网站)2"/>
    <w:basedOn w:val="668"/>
    <w:uiPriority w:val="0"/>
    <w:qFormat/>
    <w:pPr>
      <w:spacing w:before="100" w:beforeAutospacing="1" w:after="100" w:afterAutospacing="1"/>
    </w:pPr>
    <w:rPr>
      <w:rFonts w:ascii="宋体" w:hAnsi="宋体" w:cs="宋体"/>
      <w:szCs w:val="24"/>
    </w:rPr>
  </w:style>
  <w:style w:type="numbering" w:styleId="66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9560913d-6fd0-484d-878c-fb59588ec8dd</errorID>
      <errorWord>(</errorWord>
      <group>L1_Format</group>
      <groupName>格式问题</groupName>
      <ability>L2_HalfPunc_CN</ability>
      <abilityName>全半角问题</abilityName>
      <candidateList>
        <item>（</item>
      </candidateList>
      <explain>文本全半角错误。</explain>
      <paraID>4F25B0E2</paraID>
      <start>23</start>
      <end>24</end>
      <status>unmodified</status>
      <modifiedWord/>
      <trackRevisions>false</trackRevisions>
    </reviewItem>
    <reviewItem>
      <errorID>e966a638-c81c-4d37-b39d-5b7c27e14efc</errorID>
      <errorWord>)</errorWord>
      <group>L1_Format</group>
      <groupName>格式问题</groupName>
      <ability>L2_HalfPunc_CN</ability>
      <abilityName>全半角问题</abilityName>
      <candidateList>
        <item>）</item>
      </candidateList>
      <explain>文本全半角错误。</explain>
      <paraID>4F25B0E2</paraID>
      <start>42</start>
      <end>43</end>
      <status>unmodified</status>
      <modifiedWord/>
      <trackRevisions>false</trackRevisions>
    </reviewItem>
    <reviewItem>
      <errorID>eda44f15-e8cd-4416-8c18-d0f030e6000e</errorID>
      <errorWord>(</errorWord>
      <group>L1_Format</group>
      <groupName>格式问题</groupName>
      <ability>L2_HalfPunc_CN</ability>
      <abilityName>全半角问题</abilityName>
      <candidateList>
        <item>（</item>
      </candidateList>
      <explain>文本全半角错误。</explain>
      <paraID>40F042ED</paraID>
      <start>48</start>
      <end>49</end>
      <status>unmodified</status>
      <modifiedWord/>
      <trackRevisions>false</trackRevisions>
    </reviewItem>
    <reviewItem>
      <errorID>8fb4c547-39d8-4481-b49c-95f7c034fd20</errorID>
      <errorWord>)</errorWord>
      <group>L1_Format</group>
      <groupName>格式问题</groupName>
      <ability>L2_HalfPunc_CN</ability>
      <abilityName>全半角问题</abilityName>
      <candidateList>
        <item>）</item>
      </candidateList>
      <explain>文本全半角错误。</explain>
      <paraID>40F042ED</paraID>
      <start>67</start>
      <end>68</end>
      <status>unmodified</status>
      <modifiedWord/>
      <trackRevisions>false</trackRevisions>
    </reviewItem>
    <reviewItem>
      <errorID>51265abe-4ceb-4657-9bf8-98b78340a8e8</errorID>
      <errorWord>(</errorWord>
      <group>L1_Format</group>
      <groupName>格式问题</groupName>
      <ability>L2_HalfPunc_CN</ability>
      <abilityName>全半角问题</abilityName>
      <candidateList>
        <item>（</item>
      </candidateList>
      <explain>文本全半角错误。</explain>
      <paraID>789D988A</paraID>
      <start>18</start>
      <end>19</end>
      <status>unmodified</status>
      <modifiedWord/>
      <trackRevisions>false</trackRevisions>
    </reviewItem>
    <reviewItem>
      <errorID>a9afb8db-02ac-4a01-9d3f-9856499f4d40</errorID>
      <errorWord>)</errorWord>
      <group>L1_Format</group>
      <groupName>格式问题</groupName>
      <ability>L2_HalfPunc_CN</ability>
      <abilityName>全半角问题</abilityName>
      <candidateList>
        <item>）</item>
      </candidateList>
      <explain>文本全半角错误。</explain>
      <paraID>789D988A</paraID>
      <start>37</start>
      <end>38</end>
      <status>unmodified</status>
      <modifiedWord/>
      <trackRevisions>false</trackRevisions>
    </reviewItem>
    <reviewItem>
      <errorID>1a17fa6a-e306-459c-8e10-ed3e65eaea83</errorID>
      <errorWord>(</errorWord>
      <group>L1_Format</group>
      <groupName>格式问题</groupName>
      <ability>L2_HalfPunc_CN</ability>
      <abilityName>全半角问题</abilityName>
      <candidateList>
        <item>（</item>
      </candidateList>
      <explain>文本全半角错误。</explain>
      <paraID>2D0B47CA</paraID>
      <start>25</start>
      <end>26</end>
      <status>unmodified</status>
      <modifiedWord/>
      <trackRevisions>false</trackRevisions>
    </reviewItem>
    <reviewItem>
      <errorID>79943ff6-ae06-4eba-af9f-2ee3139a4734</errorID>
      <errorWord>)</errorWord>
      <group>L1_Format</group>
      <groupName>格式问题</groupName>
      <ability>L2_HalfPunc_CN</ability>
      <abilityName>全半角问题</abilityName>
      <candidateList>
        <item>）</item>
      </candidateList>
      <explain>文本全半角错误。</explain>
      <paraID>2D0B47CA</paraID>
      <start>44</start>
      <end>45</end>
      <status>unmodified</status>
      <modifiedWord/>
      <trackRevisions>false</trackRevisions>
    </reviewItem>
    <reviewItem>
      <errorID>d6497820-4100-4397-95f1-8280a114ebb1</errorID>
      <errorWord>“.</errorWord>
      <group>L1_Punc</group>
      <groupName>标点问题</groupName>
      <ability>L2_Punc_CN</ability>
      <abilityName>标点符号问题</abilityName>
      <candidateList>
        <item>“</item>
      </candidateList>
      <explain/>
      <paraID>70CCF628</paraID>
      <start>145</start>
      <end>147</end>
      <status>unmodified</status>
      <modifiedWord/>
      <trackRevisions>false</trackRevisions>
    </reviewItem>
    <reviewItem>
      <errorID>2b504ab8-b3a1-470b-948c-656040ee1b9a</errorID>
      <errorWord>金额100万</errorWord>
      <group>L1_Word</group>
      <groupName>字词问题</groupName>
      <ability>L2_Typo</ability>
      <abilityName>字词错误</abilityName>
      <candidateList>
        <item>金额100万元</item>
      </candidateList>
      <explain/>
      <paraID>4BABFEFC</paraID>
      <start>42</start>
      <end>48</end>
      <status>unmodified</status>
      <modifiedWord/>
      <trackRevisions>false</trackRevisions>
    </reviewItem>
    <reviewItem>
      <errorID>b24ce152-5c63-45f9-8006-96789b825813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4BABFEFC</paraID>
      <start>67</start>
      <end>76</end>
      <status>unmodified</status>
      <modifiedWord/>
      <trackRevisions>false</trackRevisions>
    </reviewItem>
    <reviewItem>
      <errorID>3e10ed93-54d7-4e58-8742-819574dd7c71</errorID>
      <errorWord>(</errorWord>
      <group>L1_Format</group>
      <groupName>格式问题</groupName>
      <ability>L2_HalfPunc_CN</ability>
      <abilityName>全半角问题</abilityName>
      <candidateList>
        <item>（</item>
      </candidateList>
      <explain>文本全半角错误。</explain>
      <paraID>6F344C9E</paraID>
      <start>29</start>
      <end>30</end>
      <status>unmodified</status>
      <modifiedWord/>
      <trackRevisions>false</trackRevisions>
    </reviewItem>
    <reviewItem>
      <errorID>b393f9ad-87f7-4a71-96a3-34ec01fba6f1</errorID>
      <errorWord>)</errorWord>
      <group>L1_Format</group>
      <groupName>格式问题</groupName>
      <ability>L2_HalfPunc_CN</ability>
      <abilityName>全半角问题</abilityName>
      <candidateList>
        <item>）</item>
      </candidateList>
      <explain>文本全半角错误。</explain>
      <paraID>6F344C9E</paraID>
      <start>48</start>
      <end>49</end>
      <status>unmodified</status>
      <modifiedWord/>
      <trackRevisions>false</trackRevisions>
    </reviewItem>
    <reviewItem>
      <errorID>bdc8baac-ce73-4803-838d-929a29f7103c</errorID>
      <errorWord>(</errorWord>
      <group>L1_Format</group>
      <groupName>格式问题</groupName>
      <ability>L2_HalfPunc_CN</ability>
      <abilityName>全半角问题</abilityName>
      <candidateList>
        <item>（</item>
      </candidateList>
      <explain>文本全半角错误。</explain>
      <paraID>6F344C9E</paraID>
      <start>78</start>
      <end>79</end>
      <status>unmodified</status>
      <modifiedWord/>
      <trackRevisions>false</trackRevisions>
    </reviewItem>
    <reviewItem>
      <errorID>9cf0a74c-b7ff-4e6d-ad3e-6ec3024d5d51</errorID>
      <errorWord>)</errorWord>
      <group>L1_Format</group>
      <groupName>格式问题</groupName>
      <ability>L2_HalfPunc_CN</ability>
      <abilityName>全半角问题</abilityName>
      <candidateList>
        <item>）</item>
      </candidateList>
      <explain>文本全半角错误。</explain>
      <paraID>6F344C9E</paraID>
      <start>97</start>
      <end>98</end>
      <status>unmodified</status>
      <modifiedWord/>
      <trackRevisions>false</trackRevisions>
    </reviewItem>
    <reviewItem>
      <errorID>9ffc808d-8296-40f7-ae34-905e8af30271</errorID>
      <errorWord>(</errorWord>
      <group>L1_Format</group>
      <groupName>格式问题</groupName>
      <ability>L2_HalfPunc_CN</ability>
      <abilityName>全半角问题</abilityName>
      <candidateList>
        <item>（</item>
      </candidateList>
      <explain>文本全半角错误。</explain>
      <paraID>6EA1830D</paraID>
      <start>20</start>
      <end>21</end>
      <status>unmodified</status>
      <modifiedWord/>
      <trackRevisions>false</trackRevisions>
    </reviewItem>
    <reviewItem>
      <errorID>0e8fe008-cab7-4e5a-b982-d184b0d9ff8c</errorID>
      <errorWord>)</errorWord>
      <group>L1_Format</group>
      <groupName>格式问题</groupName>
      <ability>L2_HalfPunc_CN</ability>
      <abilityName>全半角问题</abilityName>
      <candidateList>
        <item>）</item>
      </candidateList>
      <explain>文本全半角错误。</explain>
      <paraID>6EA1830D</paraID>
      <start>39</start>
      <end>40</end>
      <status>unmodified</status>
      <modifiedWord/>
      <trackRevisions>false</trackRevisions>
    </reviewItem>
    <reviewItem>
      <errorID>605ae149-a45c-49f3-9896-e3eeb74e9e20</errorID>
      <errorWord>作</errorWord>
      <group>L1_Word</group>
      <groupName>字词问题</groupName>
      <ability>L2_Typo</ability>
      <abilityName>字词错误</abilityName>
      <candidateList>
        <item>做</item>
      </candidateList>
      <explain>存在发音相同字词的误用。</explain>
      <paraID>1A4398F5</paraID>
      <start>10</start>
      <end>11</end>
      <status>unmodified</status>
      <modifiedWord/>
      <trackRevisions>false</trackRevisions>
    </reviewItem>
    <reviewItem>
      <errorID>a93eaad7-0661-49dd-8836-ccb123537611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118</start>
      <end>121</end>
      <status>unmodified</status>
      <modifiedWord/>
      <trackRevisions>false</trackRevisions>
    </reviewItem>
    <reviewItem>
      <errorID>357781cd-7aa8-440b-9770-c09c5cbed1ae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123</start>
      <end>126</end>
      <status>unmodified</status>
      <modifiedWord/>
      <trackRevisions>false</trackRevisions>
    </reviewItem>
    <reviewItem>
      <errorID>38de248f-f23d-4eab-af4f-4a6c5ce51370</errorID>
      <errorWord>》</errorWord>
      <group>L1_Word</group>
      <groupName>字词问题</groupName>
      <ability>L2_Typo</ability>
      <abilityName>字词错误</abilityName>
      <candidateList>
        <item>》和</item>
      </candidateList>
      <explain/>
      <paraID>752DD96F</paraID>
      <start>129</start>
      <end>130</end>
      <status>unmodified</status>
      <modifiedWord/>
      <trackRevisions>false</trackRevisions>
    </reviewItem>
    <reviewItem>
      <errorID>c3b249d8-2409-482d-90f1-9373ea8fed05</errorID>
      <errorWord>》</errorWord>
      <group>L1_Word</group>
      <groupName>字词问题</groupName>
      <ability>L2_Typo</ability>
      <abilityName>字词错误</abilityName>
      <candidateList>
        <item>》等</item>
      </candidateList>
      <explain/>
      <paraID>752DD96F</paraID>
      <start>156</start>
      <end>157</end>
      <status>unmodified</status>
      <modifiedWord/>
      <trackRevisions>false</trackRevisions>
    </reviewItem>
    <reviewItem>
      <errorID>e06a95d2-c528-4257-a8b7-280558420fbd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754292B2</paraID>
      <start>0</start>
      <end>2</end>
      <status>unmodified</status>
      <modifiedWord/>
      <trackRevisions>false</trackRevisions>
    </reviewItem>
    <reviewItem>
      <errorID>bb47ea29-4d42-427c-96ff-0edd7bc2c7cd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1E4B60B7</paraID>
      <start>0</start>
      <end>2</end>
      <status>unmodified</status>
      <modifiedWord/>
      <trackRevisions>false</trackRevisions>
    </reviewItem>
    <reviewItem>
      <errorID>885b8e6f-8a93-439b-bf32-98db726304ba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1CC7380B</paraID>
      <start>0</start>
      <end>2</end>
      <status>unmodified</status>
      <modifiedWord/>
      <trackRevisions>false</trackRevisions>
    </reviewItem>
    <reviewItem>
      <errorID>67fea434-18f3-4cea-89c2-26f1dc743454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570A8A6A</paraID>
      <start>0</start>
      <end>2</end>
      <status>unmodified</status>
      <modifiedWord/>
      <trackRevisions>false</trackRevisions>
    </reviewItem>
    <reviewItem>
      <errorID>5a729f9c-23a2-4aac-abf0-ab7f18d00280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78FF70F1</paraID>
      <start>0</start>
      <end>2</end>
      <status>unmodified</status>
      <modifiedWord/>
      <trackRevisions>false</trackRevisions>
    </reviewItem>
    <reviewItem>
      <errorID>eacbab87-497c-43e1-8bad-0e259896524a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3107ADFE</paraID>
      <start>0</start>
      <end>2</end>
      <status>unmodified</status>
      <modifiedWord/>
      <trackRevisions>false</trackRevisions>
    </reviewItem>
    <reviewItem>
      <errorID>43c81478-69b0-48fb-823b-f9b12322c4b0</errorID>
      <errorWord>(</errorWord>
      <group>L1_Format</group>
      <groupName>格式问题</groupName>
      <ability>L2_HalfPunc_CN</ability>
      <abilityName>全半角问题</abilityName>
      <candidateList>
        <item>（</item>
      </candidateList>
      <explain>文本全半角错误。</explain>
      <paraID>72A02E94</paraID>
      <start>7</start>
      <end>8</end>
      <status>unmodified</status>
      <modifiedWord/>
      <trackRevisions>false</trackRevisions>
    </reviewItem>
    <reviewItem>
      <errorID>fa86ed40-28cd-4054-84ef-ae2a7f4d6060</errorID>
      <errorWord>)</errorWord>
      <group>L1_Format</group>
      <groupName>格式问题</groupName>
      <ability>L2_HalfPunc_CN</ability>
      <abilityName>全半角问题</abilityName>
      <candidateList>
        <item>）</item>
      </candidateList>
      <explain>文本全半角错误。</explain>
      <paraID>72A02E94</paraID>
      <start>18</start>
      <end>19</end>
      <status>unmodified</status>
      <modifiedWord/>
      <trackRevisions>false</trackRevisions>
    </reviewItem>
    <reviewItem>
      <errorID>d29a50b6-b1cd-4f51-90ba-3a00d18ee96b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66063815</paraID>
      <start>0</start>
      <end>2</end>
      <status>unmodified</status>
      <modifiedWord/>
      <trackRevisions>false</trackRevisions>
    </reviewItem>
    <reviewItem>
      <errorID>99c6688a-018c-499c-b40a-2ce760b457f7</errorID>
      <errorWord>:</errorWord>
      <group>L1_Format</group>
      <groupName>格式问题</groupName>
      <ability>L2_HalfPunc_CN</ability>
      <abilityName>全半角问题</abilityName>
      <candidateList>
        <item>：</item>
      </candidateList>
      <explain>文本全半角错误。</explain>
      <paraID>4BD61E0D</paraID>
      <start>11</start>
      <end>12</end>
      <status>unmodified</status>
      <modifiedWord/>
      <trackRevisions>false</trackRevisions>
    </reviewItem>
    <reviewItem>
      <errorID>4997f455-df29-4c2f-9a0d-d86f5b4e26b7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209D4AA1</paraID>
      <start>0</start>
      <end>2</end>
      <status>unmodified</status>
      <modifiedWord/>
      <trackRevisions>false</trackRevisions>
    </reviewItem>
    <reviewItem>
      <errorID>beaab6fe-ff46-40ef-898a-bafe273fbdc4</errorID>
      <errorWord>提供提供</errorWord>
      <group>L1_Word</group>
      <groupName>字词问题</groupName>
      <ability>L2_Typo</ability>
      <abilityName>字词错误</abilityName>
      <candidateList>
        <item>提供</item>
      </candidateList>
      <explain/>
      <paraID>3A1469A8</paraID>
      <start>10</start>
      <end>12</end>
      <status>modified</status>
      <modifiedWord>提供</modifiedWord>
      <trackRevisions>false</trackRevisions>
    </reviewItem>
    <reviewItem>
      <errorID>2587f3be-a365-42d9-985b-9ecbc6bd2e40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6DDD6DAC</paraID>
      <start>0</start>
      <end>2</end>
      <status>unmodified</status>
      <modifiedWord/>
      <trackRevisions>false</trackRevisions>
    </reviewItem>
    <reviewItem>
      <errorID>50c99b3b-efca-4eab-b722-fc0afc345a66</errorID>
      <errorWord>（</errorWord>
      <group>L1_Punc</group>
      <groupName>标点问题</groupName>
      <ability>L2_Punc_CN</ability>
      <abilityName>标点符号问题</abilityName>
      <candidateList/>
      <explain>同一形式括号套用。</explain>
      <paraID>72B48E1B</paraID>
      <start>113</start>
      <end>114</end>
      <status>unmodified</status>
      <modifiedWord/>
      <trackRevisions>false</trackRevisions>
    </reviewItem>
    <reviewItem>
      <errorID>7758bdda-c8a6-4c05-a6dd-724f2acdc043</errorID>
      <errorWord>）</errorWord>
      <group>L1_Punc</group>
      <groupName>标点问题</groupName>
      <ability>L2_Punc_CN</ability>
      <abilityName>标点符号问题</abilityName>
      <candidateList/>
      <explain>同一形式括号套用。</explain>
      <paraID>72B48E1B</paraID>
      <start>123</start>
      <end>124</end>
      <status>unmodified</status>
      <modifiedWord/>
      <trackRevisions>false</trackRevisions>
    </reviewItem>
    <reviewItem>
      <errorID>e971afd2-fdae-494a-8e44-b84f10882b36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526455EF</paraID>
      <start>0</start>
      <end>2</end>
      <status>unmodified</status>
      <modifiedWord/>
      <trackRevisions>false</trackRevisions>
    </reviewItem>
    <reviewItem>
      <errorID>19f43edd-044c-4c71-9349-1989f8a4e5ad</errorID>
      <errorWord>详实</errorWord>
      <group>L1_Word</group>
      <groupName>字词问题</groupName>
      <ability>L2_Typo</ability>
      <abilityName>字词错误</abilityName>
      <candidateList>
        <item>翔实</item>
      </candidateList>
      <explain/>
      <paraID>1F5EDDE4</paraID>
      <start>7</start>
      <end>9</end>
      <status>unmodified</status>
      <modifiedWord/>
      <trackRevisions>false</trackRevisions>
    </reviewItem>
    <reviewItem>
      <errorID>2cdc69a9-d555-459f-beb5-4a5615231d36</errorID>
      <errorWord>详实</errorWord>
      <group>L1_Word</group>
      <groupName>字词问题</groupName>
      <ability>L2_Typo</ability>
      <abilityName>字词错误</abilityName>
      <candidateList>
        <item>翔实</item>
      </candidateList>
      <explain/>
      <paraID>14C1E1DB</paraID>
      <start>7</start>
      <end>9</end>
      <status>unmodified</status>
      <modifiedWord/>
      <trackRevisions>false</trackRevisions>
    </reviewItem>
    <reviewItem>
      <errorID>4556ab95-4f05-43fb-af98-6176ddc612b9</errorID>
      <errorWord>详实</errorWord>
      <group>L1_Word</group>
      <groupName>字词问题</groupName>
      <ability>L2_Typo</ability>
      <abilityName>字词错误</abilityName>
      <candidateList>
        <item>翔实</item>
      </candidateList>
      <explain/>
      <paraID>394F489B</paraID>
      <start>7</start>
      <end>9</end>
      <status>unmodified</status>
      <modifiedWord/>
      <trackRevisions>false</trackRevisions>
    </reviewItem>
    <reviewItem>
      <errorID>82b3d021-28ca-4187-aeed-8fe76d74d25d</errorID>
      <errorWord>详实</errorWord>
      <group>L1_Word</group>
      <groupName>字词问题</groupName>
      <ability>L2_Typo</ability>
      <abilityName>字词错误</abilityName>
      <candidateList>
        <item>翔实</item>
      </candidateList>
      <explain/>
      <paraID>7D5032CC</paraID>
      <start>7</start>
      <end>9</end>
      <status>unmodified</status>
      <modifiedWord/>
      <trackRevisions>false</trackRevisions>
    </reviewItem>
    <reviewItem>
      <errorID>86253cdd-10e9-40a8-baed-3d223439718e</errorID>
      <errorWord>详实</errorWord>
      <group>L1_Word</group>
      <groupName>字词问题</groupName>
      <ability>L2_Typo</ability>
      <abilityName>字词错误</abilityName>
      <candidateList>
        <item>翔实</item>
      </candidateList>
      <explain/>
      <paraID>16A59071</paraID>
      <start>17</start>
      <end>19</end>
      <status>unmodified</status>
      <modifiedWord/>
      <trackRevisions>false</trackRevisions>
    </reviewItem>
    <reviewItem>
      <errorID>a22aad82-ed91-4fd7-a16e-39e95438c324</errorID>
      <errorWord>证证</errorWord>
      <group>L1_Word</group>
      <groupName>字词问题</groupName>
      <ability>L2_Typo</ability>
      <abilityName>字词错误</abilityName>
      <candidateList>
        <item>证</item>
      </candidateList>
      <explain/>
      <paraID> DF5820B</paraID>
      <start>86</start>
      <end>88</end>
      <status>unmodified</status>
      <modifiedWord/>
      <trackRevisions>false</trackRevisions>
    </reviewItem>
    <reviewItem>
      <errorID>246b23ec-1fd3-400a-b68a-8c4e8ad5496a</errorID>
      <errorWord>(</errorWord>
      <group>L1_Format</group>
      <groupName>格式问题</groupName>
      <ability>L2_HalfPunc_CN</ability>
      <abilityName>全半角问题</abilityName>
      <candidateList>
        <item>（</item>
      </candidateList>
      <explain>文本全半角错误。</explain>
      <paraID>1B2C8C91</paraID>
      <start>23</start>
      <end>24</end>
      <status>unmodified</status>
      <modifiedWord/>
      <trackRevisions>false</trackRevisions>
    </reviewItem>
    <reviewItem>
      <errorID>419167d7-3b38-4461-b941-dcda41794121</errorID>
      <errorWord>)</errorWord>
      <group>L1_Format</group>
      <groupName>格式问题</groupName>
      <ability>L2_HalfPunc_CN</ability>
      <abilityName>全半角问题</abilityName>
      <candidateList>
        <item>）</item>
      </candidateList>
      <explain>文本全半角错误。</explain>
      <paraID>1B2C8C91</paraID>
      <start>42</start>
      <end>43</end>
      <status>unmodified</status>
      <modifiedWord/>
      <trackRevisions>false</trackRevisions>
    </reviewItem>
    <reviewItem>
      <errorID>34b3a419-4b08-47f0-aa0b-1bb4aead4713</errorID>
      <errorWord>按《中华人民共和国</errorWord>
      <group>L1_Political</group>
      <groupName>政治性问题</groupName>
      <ability>L2_Unpolitical</ability>
      <abilityName>政治敏感错误</abilityName>
      <candidateList>
        <item>按照《中华人民共和国</item>
      </candidateList>
      <explain/>
      <paraID>56F6E8C7</paraID>
      <start>22</start>
      <end>31</end>
      <status>unmodified</status>
      <modifiedWord/>
      <trackRevisions>false</trackRevisions>
    </reviewItem>
    <reviewItem>
      <errorID>7bc5dfbe-53d4-4e36-8e21-d84d14480536</errorID>
      <errorWord>(</errorWord>
      <group>L1_Format</group>
      <groupName>格式问题</groupName>
      <ability>L2_HalfPunc_CN</ability>
      <abilityName>全半角问题</abilityName>
      <candidateList>
        <item>（</item>
      </candidateList>
      <explain>文本全半角错误。</explain>
      <paraID>6D350B36</paraID>
      <start>18</start>
      <end>19</end>
      <status>unmodified</status>
      <modifiedWord/>
      <trackRevisions>false</trackRevisions>
    </reviewItem>
    <reviewItem>
      <errorID>16be5de0-54ac-4750-ace1-a3b0af2f71b7</errorID>
      <errorWord>)</errorWord>
      <group>L1_Format</group>
      <groupName>格式问题</groupName>
      <ability>L2_HalfPunc_CN</ability>
      <abilityName>全半角问题</abilityName>
      <candidateList>
        <item>）</item>
      </candidateList>
      <explain>文本全半角错误。</explain>
      <paraID>6D350B36</paraID>
      <start>37</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FA6B2C85-F85C-4891-A3DC-087C7F5E6ED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奚彩杰</cp:lastModifiedBy>
  <cp:revision>74</cp:revision>
  <dcterms:created xsi:type="dcterms:W3CDTF">2023-03-16T02:16:00Z</dcterms:created>
  <dcterms:modified xsi:type="dcterms:W3CDTF">2026-07-15T09:04:08Z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eyJoZGlkIjoiM2IwMjhlODBmYWViMTVmODg2ZTQyNjUxZjk4YTE4OTgiLCJ1c2VySWQiOiI2MDc4NDg1OTEifQ==</vt:lpwstr>
  </property>
  <property fmtid="{D5CDD505-2E9C-101B-9397-08002B2CF9AE}" pid="3" name="KSOProductBuildVer">
    <vt:lpwstr>2052-12.1.0.26895</vt:lpwstr>
  </property>
  <property fmtid="{D5CDD505-2E9C-101B-9397-08002B2CF9AE}" pid="4" name="ICV">
    <vt:lpwstr>22549C6485BB44AA952BCBB4265D17CF_13</vt:lpwstr>
  </property>
</Properties>
</file>