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0"/>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70"/>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0"/>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0"/>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rPr>
        <w:t xml:space="preserve">移动式C形臂X射线机（</w:t>
      </w:r>
      <w:r>
        <w:rPr>
          <w:rFonts w:hint="eastAsia" w:ascii="宋体" w:hAnsi="宋体"/>
          <w:bCs/>
          <w:color w:val="000000"/>
          <w:sz w:val="36"/>
          <w:szCs w:val="36"/>
          <w:highlight w:val="none"/>
        </w:rPr>
        <w:t xml:space="preserve">三维</w:t>
      </w:r>
      <w:r>
        <w:rPr>
          <w:rFonts w:hint="eastAsia" w:ascii="宋体" w:hAnsi="宋体"/>
          <w:bCs/>
          <w:color w:val="000000"/>
          <w:sz w:val="36"/>
          <w:szCs w:val="36"/>
          <w:highlight w:val="none"/>
        </w:rPr>
        <w:t xml:space="preserve">）</w:t>
      </w:r>
      <w:r>
        <w:rPr>
          <w:rFonts w:ascii="宋体" w:hAnsi="宋体"/>
          <w:bCs/>
          <w:color w:val="000000"/>
          <w:sz w:val="36"/>
          <w:szCs w:val="36"/>
          <w:highlight w:val="none"/>
        </w:rPr>
        <w:t xml:space="preserve">采购项目</w:t>
      </w:r>
      <w:r/>
    </w:p>
    <w:p>
      <w:pPr>
        <w:pStyle w:val="1070"/>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w:t>
      </w:r>
      <w:r>
        <w:rPr>
          <w:rFonts w:hint="eastAsia" w:ascii="宋体" w:hAnsi="宋体"/>
          <w:bCs/>
          <w:color w:val="000000"/>
          <w:sz w:val="36"/>
          <w:szCs w:val="36"/>
          <w:highlight w:val="none"/>
        </w:rPr>
        <w:t xml:space="preserve">JSZC-320412-CTZB-G2026-0063</w:t>
      </w:r>
      <w:r>
        <w:rPr>
          <w:rFonts w:ascii="宋体" w:hAnsi="宋体"/>
          <w:bCs/>
          <w:color w:val="000000"/>
          <w:sz w:val="36"/>
          <w:szCs w:val="36"/>
          <w:highlight w:val="none"/>
        </w:rPr>
      </w:r>
      <w:r/>
    </w:p>
    <w:p>
      <w:pPr>
        <w:pStyle w:val="1070"/>
        <w:ind w:left="2832" w:hanging="1900"/>
        <w:jc w:val="left"/>
        <w:spacing w:line="360" w:lineRule="auto"/>
        <w:tabs>
          <w:tab w:val="left" w:pos="3240" w:leader="none"/>
          <w:tab w:val="left" w:pos="3420" w:leader="none"/>
        </w:tabs>
        <w:rPr>
          <w:rFonts w:hint="eastAsia"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常州市武进中医医院</w:t>
      </w:r>
      <w:r>
        <w:rPr>
          <w:rFonts w:hint="eastAsia" w:ascii="宋体" w:hAnsi="宋体"/>
          <w:bCs/>
          <w:color w:val="000000"/>
          <w:sz w:val="36"/>
          <w:szCs w:val="36"/>
          <w:highlight w:val="none"/>
        </w:rPr>
      </w:r>
      <w:r/>
    </w:p>
    <w:p>
      <w:pPr>
        <w:pStyle w:val="1070"/>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70"/>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70"/>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70"/>
        <w:rPr>
          <w:rFonts w:ascii="宋体" w:hAnsi="宋体"/>
          <w:color w:val="000000"/>
          <w:highlight w:val="none"/>
        </w:rPr>
      </w:pPr>
      <w:r>
        <w:rPr>
          <w:rFonts w:ascii="宋体" w:hAnsi="宋体"/>
          <w:color w:val="000000"/>
          <w:highlight w:val="none"/>
        </w:rPr>
      </w:r>
      <w:r/>
    </w:p>
    <w:p>
      <w:pPr>
        <w:pStyle w:val="1070"/>
        <w:rPr>
          <w:rFonts w:ascii="宋体" w:hAnsi="宋体"/>
          <w:color w:val="000000"/>
          <w:highlight w:val="none"/>
        </w:rPr>
      </w:pPr>
      <w:r>
        <w:rPr>
          <w:rFonts w:ascii="宋体" w:hAnsi="宋体"/>
          <w:color w:val="000000"/>
          <w:highlight w:val="none"/>
        </w:rPr>
      </w:r>
      <w:r/>
    </w:p>
    <w:p>
      <w:pPr>
        <w:pStyle w:val="1070"/>
        <w:rPr>
          <w:rFonts w:ascii="宋体" w:hAnsi="宋体"/>
          <w:color w:val="000000"/>
          <w:highlight w:val="none"/>
        </w:rPr>
      </w:pPr>
      <w:r>
        <w:rPr>
          <w:rFonts w:ascii="宋体" w:hAnsi="宋体"/>
          <w:color w:val="000000"/>
          <w:highlight w:val="none"/>
        </w:rPr>
      </w:r>
      <w:r/>
    </w:p>
    <w:p>
      <w:pPr>
        <w:pStyle w:val="1123"/>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6"/>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6"/>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6"/>
          <w:color w:val="000000"/>
          <w:sz w:val="32"/>
          <w:szCs w:val="32"/>
          <w:highlight w:val="none"/>
        </w:rPr>
        <w:t xml:space="preserve">第三章   资</w:t>
      </w:r>
      <w:bookmarkStart w:id="1" w:name="_Hlt100754117"/>
      <w:r>
        <w:rPr>
          <w:rStyle w:val="1146"/>
          <w:color w:val="000000"/>
          <w:sz w:val="32"/>
          <w:szCs w:val="32"/>
          <w:highlight w:val="none"/>
        </w:rPr>
        <w:t xml:space="preserve">格</w:t>
      </w:r>
      <w:bookmarkEnd w:id="1"/>
      <w:r>
        <w:rPr>
          <w:rStyle w:val="1146"/>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6"/>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6"/>
          <w:color w:val="000000"/>
          <w:sz w:val="32"/>
          <w:szCs w:val="32"/>
          <w:highlight w:val="none"/>
        </w:rPr>
        <w:t xml:space="preserve">第五章   采购</w:t>
      </w:r>
      <w:bookmarkStart w:id="2" w:name="_Hlt100754102"/>
      <w:r/>
      <w:bookmarkStart w:id="3" w:name="_Hlt100754103"/>
      <w:r>
        <w:rPr>
          <w:rStyle w:val="1146"/>
          <w:color w:val="000000"/>
          <w:sz w:val="32"/>
          <w:szCs w:val="32"/>
          <w:highlight w:val="none"/>
        </w:rPr>
        <w:t xml:space="preserve">需</w:t>
      </w:r>
      <w:bookmarkEnd w:id="2"/>
      <w:r/>
      <w:bookmarkEnd w:id="3"/>
      <w:r>
        <w:rPr>
          <w:rStyle w:val="1146"/>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6"/>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6"/>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70"/>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常州市武进中医医院移动式C形臂X射线机（</w:t>
      </w:r>
      <w:r>
        <w:rPr>
          <w:rFonts w:hint="eastAsia" w:ascii="仿宋" w:hAnsi="仿宋" w:eastAsia="仿宋"/>
          <w:color w:val="000000"/>
          <w:sz w:val="32"/>
          <w:szCs w:val="32"/>
          <w:highlight w:val="none"/>
        </w:rPr>
        <w:t xml:space="preserve">三维</w:t>
      </w:r>
      <w:r>
        <w:rPr>
          <w:rFonts w:hint="eastAsia" w:ascii="仿宋" w:hAnsi="仿宋" w:eastAsia="仿宋"/>
          <w:color w:val="000000"/>
          <w:sz w:val="32"/>
          <w:szCs w:val="32"/>
          <w:highlight w:val="none"/>
        </w:rPr>
        <w:t xml:space="preserve">）采购项目的潜在投标人应在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ascii="FangSong" w:hAnsi="FangSong" w:eastAsia="FangSong" w:cs="FangSong"/>
          <w:b/>
          <w:color w:val="000000"/>
          <w:sz w:val="32"/>
        </w:rPr>
        <w:t xml:space="preserve">2026年07月24日09点30分（北京时间）</w:t>
      </w:r>
      <w:r>
        <w:rPr>
          <w:rFonts w:hint="eastAsia" w:ascii="仿宋" w:hAnsi="仿宋" w:eastAsia="仿宋"/>
          <w:color w:val="000000"/>
          <w:sz w:val="32"/>
          <w:szCs w:val="32"/>
          <w:highlight w:val="none"/>
        </w:rPr>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2"/>
        <w:ind w:firstLine="643"/>
        <w:jc w:val="left"/>
        <w:spacing w:before="240" w:line="360" w:lineRule="auto"/>
        <w:rPr>
          <w:rFonts w:ascii="仿宋" w:hAnsi="仿宋" w:eastAsia="仿宋"/>
          <w:color w:val="000000"/>
          <w:sz w:val="32"/>
          <w:szCs w:val="32"/>
          <w:highlight w:val="none"/>
        </w:rPr>
      </w:pPr>
      <w:r/>
      <w:bookmarkStart w:id="5" w:name="_Toc35393790"/>
      <w:r/>
      <w:bookmarkStart w:id="6" w:name="_Toc35393621"/>
      <w:r/>
      <w:bookmarkStart w:id="7" w:name="_Toc28359002"/>
      <w:r/>
      <w:bookmarkStart w:id="8" w:name="_Toc28359079"/>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JSZC-320412-CTZB-G2026-0063</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常州市武进中医医院移动式C形臂X射线机（</w:t>
      </w:r>
      <w:r>
        <w:rPr>
          <w:rFonts w:hint="eastAsia" w:ascii="仿宋" w:hAnsi="仿宋" w:eastAsia="仿宋"/>
          <w:color w:val="000000"/>
          <w:sz w:val="32"/>
          <w:szCs w:val="32"/>
          <w:highlight w:val="none"/>
        </w:rPr>
        <w:t xml:space="preserve">三维</w:t>
      </w:r>
      <w:r>
        <w:rPr>
          <w:rFonts w:hint="eastAsia" w:ascii="仿宋" w:hAnsi="仿宋" w:eastAsia="仿宋"/>
          <w:color w:val="000000"/>
          <w:sz w:val="32"/>
          <w:szCs w:val="32"/>
          <w:highlight w:val="none"/>
        </w:rPr>
        <w:t xml:space="preserve">）采购项目</w:t>
      </w:r>
      <w:r>
        <w:rPr>
          <w:rFonts w:ascii="仿宋" w:hAnsi="仿宋" w:eastAsia="仿宋"/>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rPr>
        <w:t xml:space="preserve">300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项目最高限价（如有）：</w:t>
      </w:r>
      <w:r>
        <w:rPr>
          <w:rFonts w:hint="eastAsia" w:ascii="仿宋" w:hAnsi="仿宋" w:eastAsia="仿宋"/>
          <w:color w:val="000000"/>
          <w:sz w:val="32"/>
          <w:szCs w:val="32"/>
          <w:highlight w:val="none"/>
        </w:rPr>
        <w:t xml:space="preserve">300</w:t>
      </w:r>
      <w:r>
        <w:rPr>
          <w:rFonts w:ascii="仿宋" w:hAnsi="仿宋" w:eastAsia="仿宋"/>
          <w:color w:val="000000"/>
          <w:sz w:val="32"/>
          <w:szCs w:val="32"/>
          <w:highlight w:val="none"/>
        </w:rPr>
        <w:t xml:space="preserve">万元</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1"/>
        <w:gridCol w:w="996"/>
        <w:gridCol w:w="4277"/>
      </w:tblGrid>
      <w:tr>
        <w:trPr>
          <w:trHeight w:val="454"/>
        </w:trPr>
        <w:tc>
          <w:tcPr>
            <w:tcW w:w="382"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2"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0"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4" w:type="dxa"/>
            <w:vAlign w:val="center"/>
            <w:textDirection w:val="lrTb"/>
            <w:noWrap w:val="false"/>
          </w:tcPr>
          <w:p>
            <w:pPr>
              <w:pStyle w:val="1070"/>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42" w:type="dxa"/>
            <w:vAlign w:val="center"/>
            <w:textDirection w:val="lrTb"/>
            <w:noWrap w:val="false"/>
          </w:tcPr>
          <w:p>
            <w:pPr>
              <w:pStyle w:val="1070"/>
              <w:jc w:val="center"/>
              <w:rPr>
                <w:rFonts w:hint="eastAsia" w:ascii="仿宋" w:hAnsi="仿宋" w:eastAsia="仿宋"/>
                <w:bCs/>
                <w:color w:val="000000"/>
                <w:sz w:val="32"/>
                <w:szCs w:val="32"/>
                <w:highlight w:val="none"/>
              </w:rPr>
            </w:pPr>
            <w:r>
              <w:rPr>
                <w:rFonts w:hint="eastAsia" w:ascii="仿宋" w:hAnsi="仿宋" w:eastAsia="仿宋"/>
                <w:color w:val="000000"/>
                <w:sz w:val="32"/>
                <w:szCs w:val="32"/>
                <w:highlight w:val="none"/>
              </w:rPr>
              <w:t xml:space="preserve">移动式C形臂X射线机（</w:t>
            </w:r>
            <w:r>
              <w:rPr>
                <w:rFonts w:hint="eastAsia" w:ascii="仿宋" w:hAnsi="仿宋" w:eastAsia="仿宋"/>
                <w:color w:val="000000"/>
                <w:sz w:val="32"/>
                <w:szCs w:val="32"/>
                <w:highlight w:val="none"/>
              </w:rPr>
              <w:t xml:space="preserve">三维）</w:t>
            </w:r>
            <w:r>
              <w:rPr>
                <w:rFonts w:hint="eastAsia" w:ascii="仿宋" w:hAnsi="仿宋" w:eastAsia="仿宋"/>
                <w:bCs/>
                <w:color w:val="000000"/>
                <w:sz w:val="32"/>
                <w:szCs w:val="32"/>
                <w:highlight w:val="none"/>
              </w:rPr>
            </w:r>
            <w:r/>
          </w:p>
        </w:tc>
        <w:tc>
          <w:tcPr>
            <w:tcW w:w="920" w:type="dxa"/>
            <w:vAlign w:val="center"/>
            <w:textDirection w:val="lrTb"/>
            <w:noWrap w:val="false"/>
          </w:tcPr>
          <w:p>
            <w:pPr>
              <w:pStyle w:val="1070"/>
              <w:jc w:val="center"/>
              <w:rPr>
                <w:rFonts w:ascii="仿宋" w:hAnsi="仿宋" w:eastAsia="仿宋"/>
                <w:bCs/>
                <w:color w:val="000000"/>
                <w:sz w:val="32"/>
                <w:szCs w:val="32"/>
                <w:highlight w:val="none"/>
              </w:rPr>
            </w:pPr>
            <w:r>
              <w:rPr>
                <w:rFonts w:hint="eastAsia" w:ascii="仿宋" w:hAnsi="仿宋" w:eastAsia="仿宋"/>
                <w:color w:val="000000"/>
                <w:sz w:val="32"/>
                <w:szCs w:val="32"/>
                <w:highlight w:val="none"/>
              </w:rPr>
              <w:t xml:space="preserve">300</w:t>
            </w:r>
            <w:r>
              <w:rPr>
                <w:rFonts w:ascii="仿宋" w:hAnsi="仿宋" w:eastAsia="仿宋"/>
                <w:bCs/>
                <w:color w:val="000000"/>
                <w:sz w:val="32"/>
                <w:szCs w:val="32"/>
                <w:highlight w:val="none"/>
              </w:rPr>
            </w:r>
            <w:r/>
          </w:p>
        </w:tc>
        <w:tc>
          <w:tcPr>
            <w:tcW w:w="539" w:type="dxa"/>
            <w:vAlign w:val="center"/>
            <w:textDirection w:val="lrTb"/>
            <w:noWrap w:val="false"/>
          </w:tcPr>
          <w:p>
            <w:pPr>
              <w:pStyle w:val="1070"/>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1套</w:t>
            </w:r>
            <w:r>
              <w:rPr>
                <w:rFonts w:ascii="仿宋" w:hAnsi="仿宋" w:eastAsia="仿宋"/>
                <w:bCs/>
                <w:color w:val="000000"/>
                <w:sz w:val="32"/>
                <w:szCs w:val="32"/>
                <w:highlight w:val="none"/>
              </w:rPr>
            </w:r>
            <w:r/>
          </w:p>
        </w:tc>
        <w:tc>
          <w:tcPr>
            <w:tcW w:w="2314" w:type="dxa"/>
            <w:vAlign w:val="center"/>
            <w:textDirection w:val="lrTb"/>
            <w:noWrap w:val="false"/>
          </w:tcPr>
          <w:p>
            <w:pPr>
              <w:pStyle w:val="1070"/>
              <w:jc w:val="center"/>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具体内容包括：设备的制造（采购）、运输、装卸、安装、调试、测试、售后服务、技术培训等，直至通过采购单位及其他相关部门的验收以及质量保修、免费维保等全部工作。</w:t>
            </w:r>
            <w:r>
              <w:rPr>
                <w:rFonts w:ascii="仿宋" w:hAnsi="仿宋" w:eastAsia="仿宋"/>
                <w:color w:val="000000"/>
                <w:sz w:val="32"/>
                <w:szCs w:val="32"/>
                <w:highlight w:val="none"/>
              </w:rPr>
            </w:r>
            <w:r/>
          </w:p>
        </w:tc>
      </w:tr>
    </w:tbl>
    <w:p>
      <w:pPr>
        <w:pStyle w:val="1070"/>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合同履行期限：合同签订后</w:t>
      </w:r>
      <w:r>
        <w:rPr>
          <w:rFonts w:hint="eastAsia" w:ascii="仿宋" w:hAnsi="仿宋" w:eastAsia="仿宋"/>
          <w:color w:val="000000"/>
          <w:sz w:val="32"/>
          <w:szCs w:val="32"/>
          <w:highlight w:val="none"/>
        </w:rPr>
        <w:t xml:space="preserve">30天</w:t>
      </w:r>
      <w:r>
        <w:rPr>
          <w:rFonts w:hint="eastAsia" w:ascii="仿宋" w:hAnsi="仿宋" w:eastAsia="仿宋"/>
          <w:color w:val="000000"/>
          <w:sz w:val="32"/>
          <w:szCs w:val="32"/>
          <w:highlight w:val="none"/>
        </w:rPr>
        <w:t xml:space="preserve">内完成合同范围内所有设备的供货、安装调试。</w:t>
      </w:r>
      <w:r>
        <w:rPr>
          <w:rFonts w:ascii="仿宋" w:hAnsi="仿宋" w:eastAsia="仿宋"/>
          <w:color w:val="000000"/>
          <w:sz w:val="32"/>
          <w:szCs w:val="32"/>
          <w:highlight w:val="none"/>
          <w:u w:val="singl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72"/>
        <w:ind w:firstLine="643"/>
        <w:jc w:val="left"/>
        <w:spacing w:before="0" w:line="360" w:lineRule="auto"/>
        <w:rPr>
          <w:rFonts w:ascii="仿宋" w:hAnsi="仿宋" w:eastAsia="仿宋"/>
          <w:color w:val="000000"/>
          <w:sz w:val="32"/>
          <w:szCs w:val="32"/>
          <w:highlight w:val="none"/>
        </w:rPr>
      </w:pPr>
      <w:r/>
      <w:bookmarkStart w:id="10" w:name="_Toc35393622"/>
      <w:r/>
      <w:bookmarkStart w:id="11" w:name="_Toc35393791"/>
      <w:r/>
      <w:bookmarkStart w:id="12" w:name="_Toc28359080"/>
      <w:r/>
      <w:bookmarkStart w:id="13" w:name="_Toc28359003"/>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bookmarkStart w:id="14" w:name="_Toc28359081"/>
      <w:r/>
      <w:bookmarkStart w:id="15" w:name="_Toc28359004"/>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70"/>
        <w:ind w:firstLine="640"/>
        <w:spacing w:line="360" w:lineRule="auto"/>
        <w:rPr>
          <w:rFonts w:ascii="仿宋" w:hAnsi="仿宋" w:eastAsia="仿宋"/>
          <w:b/>
          <w:color w:val="000000"/>
          <w:sz w:val="32"/>
          <w:szCs w:val="32"/>
          <w:highlight w:val="none"/>
        </w:rPr>
      </w:pPr>
      <w:r>
        <w:rPr>
          <w:rFonts w:ascii="仿宋" w:hAnsi="仿宋" w:eastAsia="仿宋"/>
          <w:color w:val="000000"/>
          <w:sz w:val="32"/>
          <w:szCs w:val="32"/>
          <w:highlight w:val="none"/>
        </w:rPr>
        <w:t xml:space="preserve">□本项目专门面向  □中小 □小微企业  采购。即：</w:t>
      </w:r>
      <w:r>
        <w:rPr>
          <w:rFonts w:ascii="仿宋" w:hAnsi="仿宋" w:eastAsia="仿宋"/>
          <w:b/>
          <w:color w:val="000000"/>
          <w:sz w:val="32"/>
          <w:szCs w:val="32"/>
          <w:highlight w:val="none"/>
        </w:rPr>
        <w:t xml:space="preserve">提供的货物全部由符合政策要求的中小/小微企业制造。</w:t>
      </w:r>
      <w:r>
        <w:rPr>
          <w:rFonts w:ascii="仿宋" w:hAnsi="仿宋" w:eastAsia="仿宋"/>
          <w:b/>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对于预留份额，提供的货物由符合政策要求的中小企业制造、服务由符合政策要求的中小企业承接。</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0"/>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3.3其他特定资格要求：</w:t>
      </w:r>
      <w:r>
        <w:rPr>
          <w:rFonts w:ascii="仿宋" w:hAnsi="仿宋" w:eastAsia="仿宋"/>
          <w:color w:val="000000"/>
          <w:sz w:val="32"/>
          <w:szCs w:val="32"/>
          <w:highlight w:val="none"/>
        </w:rPr>
      </w:r>
      <w:r/>
    </w:p>
    <w:p>
      <w:pPr>
        <w:pStyle w:val="1070"/>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color w:val="000000"/>
          <w:sz w:val="32"/>
          <w:szCs w:val="32"/>
          <w:highlight w:val="none"/>
        </w:rPr>
      </w:pPr>
      <w:r/>
      <w:bookmarkEnd w:id="14"/>
      <w:r/>
      <w:bookmarkEnd w:id="15"/>
      <w:r/>
      <w:bookmarkStart w:id="16" w:name="_Toc35393623"/>
      <w:r/>
      <w:bookmarkStart w:id="17" w:name="_Toc35393792"/>
      <w:r>
        <w:rPr>
          <w:rFonts w:hint="eastAsia" w:ascii="仿宋" w:hAnsi="仿宋" w:eastAsia="仿宋"/>
          <w:b/>
          <w:bCs/>
          <w:color w:val="000000"/>
          <w:sz w:val="32"/>
          <w:szCs w:val="32"/>
          <w:highlight w:val="none"/>
        </w:rPr>
        <w:t xml:space="preserve">（1）满足以下两项中任意一项要求：</w:t>
      </w:r>
      <w:r>
        <w:rPr>
          <w:rFonts w:hint="eastAsia" w:ascii="仿宋" w:hAnsi="仿宋" w:eastAsia="仿宋"/>
          <w:b/>
          <w:bCs/>
          <w:color w:val="000000"/>
          <w:sz w:val="32"/>
          <w:szCs w:val="32"/>
          <w:highlight w:val="none"/>
        </w:rPr>
      </w:r>
      <w:r/>
    </w:p>
    <w:p>
      <w:pPr>
        <w:pStyle w:val="1070"/>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①投标人为所投产品制造商：具有有效期内的医疗器械生产许可证；</w:t>
      </w:r>
      <w:r>
        <w:rPr>
          <w:rFonts w:hint="eastAsia" w:ascii="仿宋" w:hAnsi="仿宋" w:eastAsia="仿宋"/>
          <w:b/>
          <w:bCs/>
          <w:color w:val="000000"/>
          <w:sz w:val="32"/>
          <w:szCs w:val="32"/>
          <w:highlight w:val="none"/>
        </w:rPr>
      </w:r>
      <w:r/>
    </w:p>
    <w:p>
      <w:pPr>
        <w:pStyle w:val="1070"/>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②投标人为所投产品经销商：具有有效期内的医疗器械经营许可证；</w:t>
      </w:r>
      <w:r>
        <w:rPr>
          <w:rFonts w:hint="eastAsia" w:ascii="仿宋" w:hAnsi="仿宋" w:eastAsia="仿宋"/>
          <w:b/>
          <w:bCs/>
          <w:color w:val="000000"/>
          <w:sz w:val="32"/>
          <w:szCs w:val="32"/>
          <w:highlight w:val="none"/>
        </w:rPr>
      </w:r>
      <w:r/>
    </w:p>
    <w:p>
      <w:pPr>
        <w:pStyle w:val="1070"/>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（2）提供所投产品的有效医疗器械注册证；</w:t>
      </w:r>
      <w:r>
        <w:rPr>
          <w:rFonts w:hint="eastAsia" w:ascii="仿宋" w:hAnsi="仿宋" w:eastAsia="仿宋"/>
          <w:b/>
          <w:bCs/>
          <w:color w:val="000000"/>
          <w:sz w:val="32"/>
          <w:szCs w:val="32"/>
          <w:highlight w:val="none"/>
        </w:rPr>
      </w:r>
      <w:r/>
    </w:p>
    <w:p>
      <w:pPr>
        <w:pStyle w:val="1070"/>
        <w:ind w:firstLine="643"/>
        <w:spacing w:line="360" w:lineRule="auto"/>
        <w:tabs>
          <w:tab w:val="left" w:pos="900" w:leader="none"/>
          <w:tab w:val="left" w:pos="1134" w:leader="none"/>
          <w:tab w:val="left" w:pos="1589" w:leader="none"/>
          <w:tab w:val="left" w:pos="5521" w:leader="none"/>
        </w:tabs>
        <w:rPr>
          <w:rFonts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（3）投标人具有有效期内的《辐射安全许可证》。</w:t>
      </w:r>
      <w:r>
        <w:rPr>
          <w:rFonts w:ascii="仿宋" w:hAnsi="仿宋" w:eastAsia="仿宋"/>
          <w:b/>
          <w:bCs/>
          <w:color w:val="000000"/>
          <w:sz w:val="32"/>
          <w:szCs w:val="32"/>
          <w:highlight w:val="none"/>
        </w:rPr>
      </w:r>
      <w:r/>
    </w:p>
    <w:p>
      <w:pPr>
        <w:pStyle w:val="1072"/>
        <w:ind w:firstLine="643"/>
        <w:jc w:val="left"/>
        <w:spacing w:before="0"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ascii="FangSong" w:hAnsi="FangSong" w:eastAsia="FangSong" w:cs="FangSong"/>
          <w:color w:val="000000"/>
          <w:sz w:val="32"/>
        </w:rPr>
        <w:t xml:space="preserve">2026年07月03日至2026年07月10日（北京时间）</w:t>
      </w:r>
      <w:r>
        <w:rPr>
          <w:rFonts w:ascii="仿宋" w:hAnsi="仿宋" w:eastAsia="仿宋"/>
          <w:color w:val="000000"/>
          <w:sz w:val="32"/>
          <w:szCs w:val="32"/>
          <w:highlight w:val="none"/>
          <w:lang w:bidi="ar"/>
        </w:rPr>
      </w:r>
      <w:r>
        <w:rPr>
          <w:rFonts w:hint="eastAsia" w:ascii="仿宋" w:hAnsi="仿宋" w:eastAsia="仿宋"/>
          <w:color w:val="000000"/>
          <w:sz w:val="32"/>
          <w:szCs w:val="32"/>
          <w:highlight w:val="none"/>
          <w:lang w:bidi="ar"/>
        </w:rPr>
        <w:t xml:space="preserve">。</w:t>
      </w:r>
      <w:r>
        <w:rPr>
          <w:rFonts w:ascii="仿宋" w:hAnsi="仿宋" w:eastAsia="仿宋"/>
          <w:color w:val="000000"/>
          <w:sz w:val="32"/>
          <w:szCs w:val="32"/>
          <w:highlight w:val="none"/>
          <w:lang w:bidi="ar"/>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70"/>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70"/>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72"/>
        <w:ind w:firstLine="643"/>
        <w:jc w:val="left"/>
        <w:spacing w:before="0" w:line="360" w:lineRule="auto"/>
        <w:widowControl/>
        <w:rPr>
          <w:rFonts w:ascii="仿宋" w:hAnsi="仿宋" w:eastAsia="仿宋"/>
          <w:color w:val="000000"/>
          <w:sz w:val="32"/>
          <w:szCs w:val="32"/>
          <w:highlight w:val="none"/>
        </w:rPr>
      </w:pPr>
      <w:r/>
      <w:bookmarkStart w:id="18" w:name="_Toc28359082"/>
      <w:r/>
      <w:bookmarkStart w:id="19" w:name="_Toc28359005"/>
      <w:r/>
      <w:bookmarkStart w:id="20" w:name="_Toc35393624"/>
      <w:r/>
      <w:bookmarkStart w:id="21" w:name="_Toc35393793"/>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070"/>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ascii="FangSong" w:hAnsi="FangSong" w:eastAsia="FangSong" w:cs="FangSong"/>
          <w:b/>
          <w:color w:val="000000"/>
          <w:sz w:val="32"/>
        </w:rPr>
        <w:t xml:space="preserve">2026年07月24日09点30分（北京时间）</w:t>
      </w:r>
      <w:r>
        <w:rPr>
          <w:rFonts w:ascii="仿宋" w:hAnsi="仿宋" w:eastAsia="仿宋"/>
          <w:color w:val="000000"/>
          <w:sz w:val="32"/>
          <w:szCs w:val="32"/>
          <w:highlight w:val="none"/>
          <w:lang w:bidi="ar"/>
        </w:rPr>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70"/>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72"/>
        <w:ind w:firstLine="643"/>
        <w:jc w:val="left"/>
        <w:spacing w:before="0" w:line="360" w:lineRule="auto"/>
        <w:rPr>
          <w:rFonts w:ascii="仿宋" w:hAnsi="仿宋" w:eastAsia="仿宋"/>
          <w:color w:val="000000"/>
          <w:sz w:val="32"/>
          <w:szCs w:val="32"/>
          <w:highlight w:val="none"/>
        </w:rPr>
      </w:pPr>
      <w:r/>
      <w:bookmarkStart w:id="22" w:name="_Toc28359007"/>
      <w:r/>
      <w:bookmarkStart w:id="23" w:name="_Toc28359084"/>
      <w:r/>
      <w:bookmarkStart w:id="24" w:name="_Toc35393794"/>
      <w:r/>
      <w:bookmarkStart w:id="25" w:name="_Toc35393625"/>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2"/>
        <w:ind w:firstLine="643"/>
        <w:jc w:val="left"/>
        <w:spacing w:before="0" w:line="360" w:lineRule="auto"/>
        <w:rPr>
          <w:rFonts w:ascii="仿宋" w:hAnsi="仿宋" w:eastAsia="仿宋"/>
          <w:color w:val="000000"/>
          <w:sz w:val="32"/>
          <w:szCs w:val="32"/>
          <w:highlight w:val="none"/>
        </w:rPr>
      </w:pPr>
      <w:r/>
      <w:bookmarkStart w:id="26" w:name="_Toc35393626"/>
      <w:r/>
      <w:bookmarkStart w:id="27" w:name="_Toc35393795"/>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70"/>
        <w:ind w:firstLine="640"/>
        <w:jc w:val="left"/>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2.根据省财政厅《关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70"/>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70"/>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70"/>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2"/>
        <w:ind w:firstLine="643"/>
        <w:jc w:val="left"/>
        <w:spacing w:before="0" w:line="360" w:lineRule="auto"/>
        <w:rPr>
          <w:rFonts w:ascii="仿宋" w:hAnsi="仿宋" w:eastAsia="仿宋"/>
          <w:color w:val="000000"/>
          <w:sz w:val="32"/>
          <w:szCs w:val="32"/>
          <w:highlight w:val="none"/>
        </w:rPr>
      </w:pPr>
      <w:r/>
      <w:bookmarkStart w:id="28" w:name="_Toc28359085"/>
      <w:r/>
      <w:bookmarkStart w:id="29" w:name="_Toc35393627"/>
      <w:r/>
      <w:bookmarkStart w:id="30" w:name="_Toc28359008"/>
      <w:r/>
      <w:bookmarkStart w:id="31" w:name="_Toc35393796"/>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70"/>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bookmarkStart w:id="32" w:name="_Toc28359009"/>
      <w:r/>
      <w:bookmarkStart w:id="33" w:name="_Toc28359086"/>
      <w:r>
        <w:rPr>
          <w:rFonts w:hint="eastAsia" w:ascii="仿宋" w:hAnsi="仿宋" w:eastAsia="仿宋"/>
          <w:color w:val="000000"/>
          <w:sz w:val="32"/>
          <w:szCs w:val="32"/>
          <w:highlight w:val="none"/>
        </w:rPr>
        <w:t xml:space="preserve">名    称：常州市武进中医医院</w:t>
      </w:r>
      <w:r>
        <w:rPr>
          <w:rFonts w:hint="eastAsia" w:ascii="仿宋" w:hAnsi="仿宋" w:eastAsia="仿宋"/>
          <w:color w:val="000000"/>
          <w:sz w:val="32"/>
          <w:szCs w:val="32"/>
          <w:highlight w:val="none"/>
        </w:rPr>
      </w:r>
      <w:r/>
    </w:p>
    <w:p>
      <w:pPr>
        <w:pStyle w:val="1070"/>
        <w:ind w:firstLine="640"/>
        <w:jc w:val="left"/>
        <w:spacing w:line="360" w:lineRule="auto"/>
        <w:tabs>
          <w:tab w:val="left" w:pos="0" w:leader="none"/>
        </w:tabs>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地    址：常州市武进区湖塘镇人民中路699号</w:t>
      </w:r>
      <w:r>
        <w:rPr>
          <w:rFonts w:hint="eastAsia" w:ascii="仿宋" w:hAnsi="仿宋" w:eastAsia="仿宋"/>
          <w:bCs/>
          <w:color w:val="000000"/>
          <w:sz w:val="32"/>
          <w:szCs w:val="32"/>
          <w:highlight w:val="none"/>
        </w:rPr>
      </w:r>
      <w:r/>
    </w:p>
    <w:p>
      <w:pPr>
        <w:pStyle w:val="1070"/>
        <w:ind w:firstLine="640"/>
        <w:jc w:val="left"/>
        <w:spacing w:line="360" w:lineRule="auto"/>
        <w:rPr>
          <w:rFonts w:hint="eastAsia" w:ascii="仿宋" w:hAnsi="仿宋" w:eastAsia="仿宋"/>
          <w:color w:val="000000"/>
          <w:sz w:val="32"/>
          <w:szCs w:val="32"/>
          <w:highlight w:val="none"/>
        </w:rPr>
      </w:pPr>
      <w:r>
        <w:rPr>
          <w:rFonts w:hint="eastAsia" w:ascii="仿宋" w:hAnsi="仿宋" w:eastAsia="仿宋"/>
          <w:bCs/>
          <w:color w:val="000000"/>
          <w:sz w:val="32"/>
          <w:szCs w:val="32"/>
          <w:highlight w:val="none"/>
        </w:rPr>
        <w:t xml:space="preserve">联系方式：</w:t>
      </w:r>
      <w:r>
        <w:rPr>
          <w:rFonts w:hint="eastAsia" w:ascii="仿宋" w:hAnsi="仿宋" w:eastAsia="仿宋" w:cs="宋体"/>
          <w:color w:val="000000"/>
          <w:sz w:val="32"/>
          <w:szCs w:val="32"/>
          <w:highlight w:val="none"/>
        </w:rPr>
        <w:t xml:space="preserve">朱先生 0519-86582925</w:t>
      </w:r>
      <w:r>
        <w:rPr>
          <w:rFonts w:hint="eastAsia" w:ascii="仿宋" w:hAnsi="仿宋" w:eastAsia="仿宋"/>
          <w:color w:val="000000"/>
          <w:sz w:val="32"/>
          <w:szCs w:val="32"/>
          <w:highlight w:val="none"/>
        </w:rPr>
      </w:r>
      <w:r/>
    </w:p>
    <w:p>
      <w:pPr>
        <w:pStyle w:val="1070"/>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bookmarkStart w:id="34" w:name="_Toc28359010"/>
      <w:r/>
      <w:bookmarkStart w:id="35" w:name="_Toc28359087"/>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70"/>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70"/>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项目联系人：彭艳</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24"/>
          <w:highlight w:val="none"/>
        </w:rPr>
      </w:pPr>
      <w:r>
        <w:rPr>
          <w:rFonts w:hint="eastAsia" w:ascii="仿宋" w:hAnsi="仿宋" w:eastAsia="仿宋"/>
          <w:color w:val="000000"/>
          <w:sz w:val="32"/>
          <w:szCs w:val="32"/>
          <w:highlight w:val="none"/>
        </w:rPr>
        <w:t xml:space="preserve">电      话：0519-81580152  81580191  81580192（转分机号6034）</w:t>
      </w:r>
      <w:r>
        <w:rPr>
          <w:rFonts w:ascii="仿宋" w:hAnsi="仿宋" w:eastAsia="仿宋"/>
          <w:color w:val="000000"/>
          <w:sz w:val="24"/>
          <w:highlight w:val="none"/>
        </w:rPr>
      </w:r>
      <w:r/>
    </w:p>
    <w:p>
      <w:pPr>
        <w:pStyle w:val="1070"/>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353873938"/>
      <w:r/>
      <w:bookmarkStart w:id="37" w:name="_Toc353825548"/>
      <w:r/>
      <w:bookmarkStart w:id="38" w:name="_Toc305158854"/>
      <w:r/>
      <w:bookmarkStart w:id="39" w:name="_Toc305158928"/>
      <w:r/>
      <w:bookmarkStart w:id="40" w:name="_Toc150774783"/>
      <w:r/>
      <w:bookmarkStart w:id="41" w:name="_Toc264969275"/>
      <w:r/>
      <w:bookmarkStart w:id="42" w:name="_Toc99301420"/>
      <w:r/>
      <w:bookmarkStart w:id="43" w:name="_Toc265228423"/>
      <w:r/>
      <w:bookmarkStart w:id="44" w:name="_Toc512937850"/>
      <w:r/>
      <w:bookmarkStart w:id="45" w:name="_Toc226965856"/>
      <w:r/>
      <w:bookmarkStart w:id="46" w:name="_Toc127161488"/>
      <w:r/>
      <w:bookmarkStart w:id="47" w:name="_Toc127151777"/>
      <w:r/>
      <w:bookmarkStart w:id="48" w:name="_Toc195842950"/>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72"/>
        <w:spacing w:before="0" w:line="360" w:lineRule="auto"/>
        <w:tabs>
          <w:tab w:val="center" w:pos="4592" w:leader="none"/>
          <w:tab w:val="left" w:pos="7860" w:leader="none"/>
        </w:tabs>
        <w:rPr>
          <w:rFonts w:ascii="宋体" w:hAnsi="宋体" w:eastAsia="宋体"/>
          <w:color w:val="000000"/>
          <w:sz w:val="28"/>
          <w:highlight w:val="none"/>
        </w:rPr>
      </w:pPr>
      <w:r/>
      <w:bookmarkStart w:id="49" w:name="_Toc164608788"/>
      <w:r/>
      <w:bookmarkStart w:id="50" w:name="_Toc151193907"/>
      <w:r/>
      <w:bookmarkStart w:id="51" w:name="_Toc150509270"/>
      <w:r/>
      <w:bookmarkStart w:id="52" w:name="_Toc151193617"/>
      <w:r/>
      <w:bookmarkStart w:id="53" w:name="_Toc151193761"/>
      <w:r/>
      <w:bookmarkStart w:id="54" w:name="_Toc149720812"/>
      <w:r/>
      <w:bookmarkStart w:id="55" w:name="_Toc226965709"/>
      <w:r/>
      <w:bookmarkStart w:id="56" w:name="_Toc142311021"/>
      <w:r/>
      <w:bookmarkStart w:id="57" w:name="_Toc151193689"/>
      <w:r/>
      <w:bookmarkStart w:id="58" w:name="_Toc151193833"/>
      <w:r/>
      <w:bookmarkStart w:id="59" w:name="_Toc164608633"/>
      <w:r/>
      <w:bookmarkStart w:id="60" w:name="_Toc151190146"/>
      <w:r/>
      <w:bookmarkStart w:id="61" w:name="_Toc127151519"/>
      <w:r/>
      <w:bookmarkStart w:id="62" w:name="_Toc520356144"/>
      <w:r/>
      <w:bookmarkStart w:id="63" w:name="_Toc164351613"/>
      <w:r/>
      <w:bookmarkStart w:id="64" w:name="_Toc150480757"/>
      <w:r/>
      <w:bookmarkStart w:id="65" w:name="_Toc226965792"/>
      <w:r/>
      <w:bookmarkStart w:id="66" w:name="_Toc127151720"/>
      <w:r/>
      <w:bookmarkStart w:id="67" w:name="_Toc164229214"/>
      <w:r/>
      <w:bookmarkStart w:id="68" w:name="_Toc195842884"/>
      <w:r/>
      <w:bookmarkStart w:id="69" w:name="_Toc226309763"/>
      <w:r/>
      <w:bookmarkStart w:id="70" w:name="_Toc127161433"/>
      <w:r/>
      <w:bookmarkStart w:id="71" w:name="_Toc226337215"/>
      <w:r/>
      <w:bookmarkStart w:id="72" w:name="_Toc150774724"/>
      <w:r/>
      <w:bookmarkStart w:id="73" w:name="_Toc164229360"/>
      <w:r/>
      <w:bookmarkStart w:id="74" w:name="_Toc150774619"/>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70"/>
        <w:jc w:val="center"/>
        <w:rPr>
          <w:rFonts w:ascii="宋体" w:hAnsi="宋体"/>
          <w:b/>
          <w:color w:val="000000"/>
          <w:sz w:val="28"/>
          <w:szCs w:val="28"/>
          <w:highlight w:val="none"/>
        </w:rPr>
      </w:pPr>
      <w:r>
        <w:rPr>
          <w:rFonts w:ascii="宋体" w:hAnsi="宋体"/>
          <w:b/>
          <w:color w:val="000000"/>
          <w:sz w:val="28"/>
          <w:szCs w:val="28"/>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0"/>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70"/>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70"/>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09"/>
              <w:rPr>
                <w:rFonts w:hAnsi="宋体" w:cs="宋体"/>
                <w:color w:val="000000"/>
                <w:sz w:val="24"/>
                <w:szCs w:val="24"/>
                <w:highlight w:val="none"/>
              </w:rPr>
            </w:pP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09"/>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本项目_01_包为单一产品采购项目。</w:t>
            </w:r>
            <w:r>
              <w:rPr>
                <w:rFonts w:hAnsi="宋体" w:cs="宋体"/>
                <w:color w:val="000000"/>
                <w:sz w:val="24"/>
                <w:szCs w:val="24"/>
                <w:highlight w:val="none"/>
              </w:rPr>
            </w:r>
            <w:r/>
          </w:p>
          <w:p>
            <w:pPr>
              <w:pStyle w:val="1070"/>
              <w:jc w:val="left"/>
              <w:rPr>
                <w:rFonts w:hint="eastAsia" w:ascii="宋体" w:hAnsi="宋体" w:cs="宋体"/>
                <w:color w:val="000000"/>
                <w:sz w:val="24"/>
                <w:highlight w:val="none"/>
              </w:rPr>
            </w:pPr>
            <w:r>
              <w:rPr>
                <w:rFonts w:hAnsi="宋体" w:cs="宋体"/>
                <w:color w:val="000000"/>
                <w:sz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70"/>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09"/>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w:t>
            </w:r>
            <w:r>
              <w:rPr>
                <w:rFonts w:hint="eastAsia" w:ascii="宋体" w:hAnsi="宋体" w:cs="宋体"/>
                <w:b/>
                <w:bCs/>
                <w:color w:val="000000"/>
                <w:sz w:val="24"/>
                <w:highlight w:val="none"/>
              </w:rPr>
              <w:t xml:space="preserve">工业</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070"/>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ascii="Wingdings 2" w:hAnsi="Wingdings 2" w:eastAsia="Wingdings 2" w:cs="Wingdings 2"/>
                <w:color w:val="000000"/>
                <w:sz w:val="24"/>
                <w:highlight w:val="none"/>
              </w:rPr>
              <w:t xml:space="preserve">R</w:t>
            </w:r>
            <w:r>
              <w:rPr>
                <w:rFonts w:hint="eastAsia"/>
                <w:color w:val="000000"/>
                <w:sz w:val="24"/>
                <w:highlight w:val="none"/>
              </w:rPr>
              <w:t xml:space="preserve">适用 </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不适用。</w:t>
            </w:r>
            <w:r>
              <w:rPr>
                <w:rFonts w:hint="eastAsia"/>
                <w:color w:val="000000"/>
                <w:sz w:val="24"/>
                <w:highlight w:val="none"/>
              </w:rPr>
            </w:r>
            <w:r/>
          </w:p>
          <w:p>
            <w:pPr>
              <w:pStyle w:val="1072"/>
              <w:jc w:val="both"/>
              <w:keepLines w:val="0"/>
              <w:keepNext w:val="0"/>
              <w:spacing w:before="0" w:line="360" w:lineRule="exact"/>
              <w:shd w:val="clear" w:color="auto" w:fill="ffffff"/>
              <w:widowControl/>
              <w:rPr>
                <w:rFonts w:hint="eastAsia" w:ascii="宋体" w:hAnsi="宋体" w:cs="宋体"/>
                <w:color w:val="000000"/>
                <w:sz w:val="24"/>
                <w:highlight w:val="none"/>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jc w:val="left"/>
              <w:tabs>
                <w:tab w:val="right" w:pos="732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tab/>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bCs/>
                <w:color w:val="000000"/>
                <w:sz w:val="24"/>
                <w:highlight w:val="none"/>
              </w:rPr>
              <w:t xml:space="preserve">2026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07</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13</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81580192（转分机号6034）；</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■中标人</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b/>
                <w:color w:val="000000"/>
                <w:sz w:val="24"/>
                <w:highlight w:val="none"/>
              </w:rPr>
              <w:t xml:space="preserve">（二）收费标准：</w:t>
            </w:r>
            <w:r>
              <w:rPr>
                <w:rFonts w:hint="eastAsia" w:ascii="宋体" w:hAnsi="宋体" w:cs="宋体"/>
                <w:color w:val="000000"/>
                <w:sz w:val="24"/>
                <w:highlight w:val="none"/>
                <w:lang w:bidi="ar"/>
              </w:rPr>
              <w:t xml:space="preserve">中标人须按其中标金额的0.8%计算并支付中标服务费，该费用应在领取中标通知书时支付至常州市城投建设工程招标有限公司账户。采购代理服务收费按上述计算方法不足人民币3000元的，按人民币3000元收取。</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b/>
                <w:color w:val="000000"/>
                <w:sz w:val="24"/>
                <w:highlight w:val="none"/>
              </w:rPr>
              <w:t xml:space="preserve">（三）缴纳时间：</w:t>
            </w:r>
            <w:r>
              <w:rPr>
                <w:rFonts w:hint="eastAsia" w:ascii="宋体" w:hAnsi="宋体" w:cs="宋体"/>
                <w:color w:val="000000"/>
                <w:sz w:val="24"/>
                <w:highlight w:val="none"/>
              </w:rPr>
              <w:t xml:space="preserve">中标人应在领取中标通知书时将代理费支付至常州市城投建设工程招标有限公司账户。</w:t>
            </w:r>
            <w:r>
              <w:rPr>
                <w:rFonts w:hint="eastAsia" w:ascii="宋体" w:hAnsi="宋体" w:cs="宋体"/>
                <w:color w:val="000000"/>
                <w:sz w:val="24"/>
                <w:highlight w:val="none"/>
              </w:rPr>
            </w:r>
            <w:r/>
          </w:p>
          <w:p>
            <w:pPr>
              <w:pStyle w:val="1070"/>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0"/>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70"/>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70"/>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70"/>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70"/>
        <w:jc w:val="center"/>
        <w:spacing w:before="240" w:after="240"/>
        <w:rPr>
          <w:rFonts w:hint="eastAsia" w:ascii="宋体" w:hAnsi="宋体" w:cs="宋体"/>
          <w:b/>
          <w:color w:val="000000"/>
          <w:sz w:val="28"/>
          <w:szCs w:val="28"/>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Start w:id="75" w:name="_Toc127151517"/>
      <w:r/>
      <w:bookmarkStart w:id="76" w:name="_Toc265228355"/>
      <w:r/>
      <w:bookmarkStart w:id="77" w:name="_Toc353873662"/>
      <w:r/>
      <w:bookmarkStart w:id="78" w:name="_Toc150480755"/>
      <w:r/>
      <w:bookmarkStart w:id="79" w:name="_Toc305158785"/>
      <w:r/>
      <w:bookmarkStart w:id="80" w:name="_Toc226965790"/>
      <w:r/>
      <w:bookmarkStart w:id="81" w:name="_Toc353873932"/>
      <w:r/>
      <w:bookmarkStart w:id="82" w:name="_Toc142311019"/>
      <w:r/>
      <w:bookmarkStart w:id="83" w:name="_Toc305158859"/>
      <w:r/>
      <w:bookmarkStart w:id="84" w:name="_Toc353825542"/>
      <w:r/>
      <w:bookmarkStart w:id="85" w:name="_Toc150774722"/>
      <w:r/>
      <w:bookmarkStart w:id="86" w:name="_Toc195842882"/>
      <w:r/>
      <w:bookmarkStart w:id="87" w:name="_Toc226337213"/>
      <w:r/>
      <w:bookmarkStart w:id="88" w:name="_Toc264969207"/>
      <w:r/>
      <w:bookmarkStart w:id="89" w:name="_Toc127151555"/>
      <w:r/>
      <w:bookmarkStart w:id="90" w:name="_Toc150774760"/>
      <w:r/>
      <w:bookmarkStart w:id="91" w:name="_Toc305158823"/>
      <w:r/>
      <w:bookmarkStart w:id="92" w:name="_Toc226965828"/>
      <w:r/>
      <w:bookmarkStart w:id="93" w:name="_Toc265228393"/>
      <w:r/>
      <w:bookmarkStart w:id="94" w:name="_Toc264969245"/>
      <w:r/>
      <w:bookmarkStart w:id="95" w:name="_Toc305158897"/>
      <w:r/>
      <w:bookmarkStart w:id="96" w:name="_Toc226337251"/>
      <w:r/>
      <w:bookmarkStart w:id="97" w:name="_Toc353873665"/>
      <w:r/>
      <w:bookmarkStart w:id="98" w:name="_Toc353873935"/>
      <w:r/>
      <w:bookmarkStart w:id="99" w:name="_Toc195842920"/>
      <w:r/>
      <w:bookmarkStart w:id="100" w:name="_Toc353825545"/>
      <w:r/>
      <w:bookmarkStart w:id="101" w:name="_Toc150480793"/>
      <w:r/>
      <w:bookmarkStart w:id="102" w:name="_Toc142311057"/>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72"/>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103" w:name="_Toc520356143"/>
      <w:r/>
      <w:bookmarkStart w:id="104" w:name="_Toc127151518"/>
      <w:r>
        <w:rPr>
          <w:rFonts w:hint="eastAsia" w:ascii="宋体" w:hAnsi="宋体" w:eastAsia="宋体" w:cs="宋体"/>
          <w:color w:val="000000"/>
          <w:sz w:val="28"/>
          <w:highlight w:val="none"/>
        </w:rPr>
        <w:tab/>
      </w:r>
      <w:bookmarkStart w:id="105" w:name="_Toc151193760"/>
      <w:r/>
      <w:bookmarkStart w:id="106" w:name="_Toc305158860"/>
      <w:r/>
      <w:bookmarkStart w:id="107" w:name="_Toc150509269"/>
      <w:r/>
      <w:bookmarkStart w:id="108" w:name="_Toc142311020"/>
      <w:r/>
      <w:bookmarkStart w:id="109" w:name="_Toc151193688"/>
      <w:r/>
      <w:bookmarkStart w:id="110" w:name="_Toc150774618"/>
      <w:r/>
      <w:bookmarkStart w:id="111" w:name="_Toc151193906"/>
      <w:r/>
      <w:bookmarkStart w:id="112" w:name="_Toc226309762"/>
      <w:r/>
      <w:bookmarkStart w:id="113" w:name="_Toc151193832"/>
      <w:r/>
      <w:bookmarkStart w:id="114" w:name="_Toc265228356"/>
      <w:r/>
      <w:bookmarkStart w:id="115" w:name="_Toc305158786"/>
      <w:r/>
      <w:bookmarkStart w:id="116" w:name="_Toc226337214"/>
      <w:r/>
      <w:bookmarkStart w:id="117" w:name="_Toc150774723"/>
      <w:r/>
      <w:bookmarkStart w:id="118" w:name="_Toc264969208"/>
      <w:r/>
      <w:bookmarkStart w:id="119" w:name="_Toc151190145"/>
      <w:r/>
      <w:bookmarkStart w:id="120" w:name="_Toc150480756"/>
      <w:r/>
      <w:bookmarkStart w:id="121" w:name="_Toc226965791"/>
      <w:r/>
      <w:bookmarkStart w:id="122" w:name="_Toc151193616"/>
      <w:r/>
      <w:bookmarkStart w:id="123" w:name="_Toc195842883"/>
      <w:r/>
      <w:bookmarkStart w:id="124" w:name="_Toc226965708"/>
      <w:r>
        <w:rPr>
          <w:rFonts w:hint="eastAsia" w:ascii="宋体" w:hAnsi="宋体" w:eastAsia="宋体" w:cs="宋体"/>
          <w:color w:val="000000"/>
          <w:sz w:val="28"/>
          <w:highlight w:val="none"/>
        </w:rPr>
        <w:t xml:space="preserve">一   说  明</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25" w:name="_Toc305158861"/>
      <w:r/>
      <w:bookmarkStart w:id="126" w:name="_Toc264969209"/>
      <w:r/>
      <w:bookmarkStart w:id="127" w:name="_Toc305158787"/>
      <w:r/>
      <w:bookmarkStart w:id="128" w:name="_Toc265228357"/>
      <w:r>
        <w:rPr>
          <w:rFonts w:hint="eastAsia" w:ascii="宋体" w:hAnsi="宋体" w:cs="宋体"/>
          <w:b/>
          <w:color w:val="000000"/>
          <w:sz w:val="24"/>
          <w:highlight w:val="none"/>
        </w:rPr>
        <w:t xml:space="preserve">采购人、采购代理机构、投标人</w:t>
      </w:r>
      <w:bookmarkEnd w:id="125"/>
      <w:r/>
      <w:bookmarkEnd w:id="126"/>
      <w:r/>
      <w:bookmarkEnd w:id="127"/>
      <w:r/>
      <w:bookmarkEnd w:id="128"/>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29" w:name="_Toc265228358"/>
      <w:r/>
      <w:bookmarkStart w:id="130" w:name="_Toc151193762"/>
      <w:r/>
      <w:bookmarkStart w:id="131" w:name="_Toc164351614"/>
      <w:r/>
      <w:bookmarkStart w:id="132" w:name="_Toc264969210"/>
      <w:r/>
      <w:bookmarkStart w:id="133" w:name="_Toc164229215"/>
      <w:r/>
      <w:bookmarkStart w:id="134" w:name="_Toc226965793"/>
      <w:r/>
      <w:bookmarkStart w:id="135" w:name="_Toc226309764"/>
      <w:r/>
      <w:bookmarkStart w:id="136" w:name="_Toc150480758"/>
      <w:r/>
      <w:bookmarkStart w:id="137" w:name="_Toc149720813"/>
      <w:r/>
      <w:bookmarkStart w:id="138" w:name="_Toc150774725"/>
      <w:r/>
      <w:bookmarkStart w:id="139" w:name="_Toc164229361"/>
      <w:r/>
      <w:bookmarkStart w:id="140" w:name="_Toc164608789"/>
      <w:r/>
      <w:bookmarkStart w:id="141" w:name="_Toc195842885"/>
      <w:r/>
      <w:bookmarkStart w:id="142" w:name="_Toc226965710"/>
      <w:r/>
      <w:bookmarkStart w:id="143" w:name="_Toc127151520"/>
      <w:r/>
      <w:bookmarkStart w:id="144" w:name="_Toc127161434"/>
      <w:r/>
      <w:bookmarkStart w:id="145" w:name="_Toc151193908"/>
      <w:r/>
      <w:bookmarkStart w:id="146" w:name="_Toc151193834"/>
      <w:r/>
      <w:bookmarkStart w:id="147" w:name="_Toc142311022"/>
      <w:r/>
      <w:bookmarkStart w:id="148" w:name="_Toc164608634"/>
      <w:r/>
      <w:bookmarkStart w:id="149" w:name="_Toc151190147"/>
      <w:r/>
      <w:bookmarkStart w:id="150" w:name="_Toc151193690"/>
      <w:r/>
      <w:bookmarkStart w:id="151" w:name="_Toc150774620"/>
      <w:r/>
      <w:bookmarkStart w:id="152" w:name="_Toc150509271"/>
      <w:r/>
      <w:bookmarkStart w:id="153" w:name="_Toc305158862"/>
      <w:r/>
      <w:bookmarkStart w:id="154" w:name="_Toc127151721"/>
      <w:r/>
      <w:bookmarkStart w:id="155" w:name="_Toc151193618"/>
      <w:r/>
      <w:bookmarkStart w:id="156" w:name="_Toc305158788"/>
      <w:r/>
      <w:bookmarkStart w:id="157" w:name="_Toc226337216"/>
      <w:r>
        <w:rPr>
          <w:rFonts w:hint="eastAsia" w:ascii="宋体" w:hAnsi="宋体" w:cs="宋体"/>
          <w:b/>
          <w:color w:val="000000"/>
          <w:sz w:val="24"/>
          <w:highlight w:val="none"/>
        </w:rPr>
        <w:t xml:space="preserve">资金来源</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58" w:name="_Toc150774727"/>
      <w:r/>
      <w:bookmarkStart w:id="159" w:name="_Toc127151522"/>
      <w:r/>
      <w:bookmarkStart w:id="160" w:name="_Toc305158864"/>
      <w:r/>
      <w:bookmarkStart w:id="161" w:name="_Toc195842887"/>
      <w:r/>
      <w:bookmarkStart w:id="162" w:name="_Toc150509273"/>
      <w:r/>
      <w:bookmarkStart w:id="163" w:name="_Toc226337218"/>
      <w:r/>
      <w:bookmarkStart w:id="164" w:name="_Toc150774622"/>
      <w:r/>
      <w:bookmarkStart w:id="165" w:name="_Toc264969212"/>
      <w:r/>
      <w:bookmarkStart w:id="166" w:name="_Toc226309766"/>
      <w:r/>
      <w:bookmarkStart w:id="167" w:name="_Toc151193910"/>
      <w:r/>
      <w:bookmarkStart w:id="168" w:name="_Toc151193692"/>
      <w:r/>
      <w:bookmarkStart w:id="169" w:name="_Toc151193836"/>
      <w:r/>
      <w:bookmarkStart w:id="170" w:name="_Toc265228360"/>
      <w:r/>
      <w:bookmarkStart w:id="171" w:name="_Toc520356146"/>
      <w:r/>
      <w:bookmarkStart w:id="172" w:name="_Toc142311024"/>
      <w:r/>
      <w:bookmarkStart w:id="173" w:name="_Toc226965712"/>
      <w:r/>
      <w:bookmarkStart w:id="174" w:name="_Toc151193764"/>
      <w:r/>
      <w:bookmarkStart w:id="175" w:name="_Toc305158790"/>
      <w:r/>
      <w:bookmarkStart w:id="176" w:name="_Toc150480760"/>
      <w:r/>
      <w:bookmarkStart w:id="177" w:name="_Toc151193620"/>
      <w:r/>
      <w:bookmarkStart w:id="178" w:name="_Toc226965795"/>
      <w:r/>
      <w:bookmarkStart w:id="179" w:name="_Toc151190149"/>
      <w:r>
        <w:rPr>
          <w:rFonts w:hint="eastAsia" w:ascii="宋体" w:hAnsi="宋体" w:cs="宋体"/>
          <w:color w:val="000000"/>
          <w:sz w:val="28"/>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2"/>
          <w:numId w:val="9"/>
        </w:numPr>
        <w:ind w:left="0" w:firstLine="480"/>
        <w:spacing w:line="360" w:lineRule="auto"/>
        <w:tabs>
          <w:tab w:val="left" w:pos="1276"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0"/>
        <w:numPr>
          <w:ilvl w:val="3"/>
          <w:numId w:val="9"/>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70"/>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70"/>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70"/>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5"/>
        <w:numPr>
          <w:ilvl w:val="2"/>
          <w:numId w:val="9"/>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2"/>
          <w:numId w:val="9"/>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70"/>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70"/>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107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70"/>
        <w:ind w:firstLine="560"/>
        <w:spacing w:line="360" w:lineRule="auto"/>
        <w:tabs>
          <w:tab w:val="left" w:pos="1080" w:leader="none"/>
        </w:tabs>
        <w:rPr>
          <w:rFonts w:hint="eastAsia" w:ascii="宋体" w:hAnsi="宋体" w:cs="宋体"/>
          <w:color w:val="000000"/>
          <w:sz w:val="28"/>
          <w:highlight w:val="none"/>
        </w:rPr>
      </w:pPr>
      <w:r/>
      <w:bookmarkStart w:id="180" w:name="_1.8_计量单位"/>
      <w:r/>
      <w:bookmarkEnd w:id="180"/>
      <w:r>
        <w:rPr>
          <w:rFonts w:hint="eastAsia" w:ascii="宋体" w:hAnsi="宋体" w:cs="宋体"/>
          <w:color w:val="000000"/>
          <w:sz w:val="28"/>
          <w:highlight w:val="none"/>
        </w:rPr>
      </w:r>
      <w:r/>
    </w:p>
    <w:p>
      <w:pPr>
        <w:pStyle w:val="1072"/>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81" w:name="_Toc164229218"/>
      <w:r/>
      <w:bookmarkStart w:id="182" w:name="_Toc164608637"/>
      <w:r/>
      <w:bookmarkStart w:id="183" w:name="_Toc151193837"/>
      <w:r/>
      <w:bookmarkStart w:id="184" w:name="_Toc520356147"/>
      <w:r/>
      <w:bookmarkStart w:id="185" w:name="_Toc151193693"/>
      <w:r/>
      <w:bookmarkStart w:id="186" w:name="_Toc265228361"/>
      <w:r/>
      <w:bookmarkStart w:id="187" w:name="_Toc150480761"/>
      <w:r/>
      <w:bookmarkStart w:id="188" w:name="_Toc151193911"/>
      <w:r/>
      <w:bookmarkStart w:id="189" w:name="_Toc127151724"/>
      <w:r/>
      <w:bookmarkStart w:id="190" w:name="_Toc142311025"/>
      <w:r/>
      <w:bookmarkStart w:id="191" w:name="_Toc164608792"/>
      <w:r/>
      <w:bookmarkStart w:id="192" w:name="_Toc264969213"/>
      <w:r/>
      <w:bookmarkStart w:id="193" w:name="_Toc226309767"/>
      <w:r/>
      <w:bookmarkStart w:id="194" w:name="_Toc195842888"/>
      <w:r/>
      <w:bookmarkStart w:id="195" w:name="_Toc305158865"/>
      <w:r/>
      <w:bookmarkStart w:id="196" w:name="_Toc226965796"/>
      <w:r/>
      <w:bookmarkStart w:id="197" w:name="_Toc151193765"/>
      <w:r/>
      <w:bookmarkStart w:id="198" w:name="_Toc150774728"/>
      <w:r/>
      <w:bookmarkStart w:id="199" w:name="_Toc164229364"/>
      <w:r/>
      <w:bookmarkStart w:id="200" w:name="_Toc127151523"/>
      <w:r/>
      <w:bookmarkStart w:id="201" w:name="_Toc151193621"/>
      <w:r/>
      <w:bookmarkStart w:id="202" w:name="_Toc150509274"/>
      <w:r/>
      <w:bookmarkStart w:id="203" w:name="_Toc164351617"/>
      <w:r/>
      <w:bookmarkStart w:id="204" w:name="_Toc305158791"/>
      <w:r/>
      <w:bookmarkStart w:id="205" w:name="_Toc226337219"/>
      <w:r/>
      <w:bookmarkStart w:id="206" w:name="_Toc150774623"/>
      <w:r/>
      <w:bookmarkStart w:id="207" w:name="_Toc151190150"/>
      <w:r/>
      <w:bookmarkStart w:id="208" w:name="_Toc149720816"/>
      <w:r/>
      <w:bookmarkStart w:id="209" w:name="_Toc226965713"/>
      <w:r/>
      <w:bookmarkStart w:id="210" w:name="_Toc127161437"/>
      <w:r>
        <w:rPr>
          <w:rFonts w:hint="eastAsia" w:ascii="宋体" w:hAnsi="宋体" w:cs="宋体"/>
          <w:b/>
          <w:color w:val="000000"/>
          <w:sz w:val="24"/>
          <w:highlight w:val="none"/>
        </w:rPr>
        <w:t xml:space="preserve">招标文件构</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2"/>
        <w:ind w:firstLine="562"/>
        <w:spacing w:before="0" w:line="360" w:lineRule="auto"/>
        <w:rPr>
          <w:rFonts w:hint="eastAsia" w:ascii="宋体" w:hAnsi="宋体" w:eastAsia="宋体" w:cs="宋体"/>
          <w:color w:val="000000"/>
          <w:sz w:val="28"/>
          <w:highlight w:val="none"/>
        </w:rPr>
      </w:pPr>
      <w:r/>
      <w:bookmarkStart w:id="211" w:name="_Toc195842891"/>
      <w:r/>
      <w:bookmarkStart w:id="212" w:name="_Toc150774626"/>
      <w:r/>
      <w:bookmarkStart w:id="213" w:name="_Toc151193624"/>
      <w:r/>
      <w:bookmarkStart w:id="214" w:name="_Toc142311028"/>
      <w:r/>
      <w:bookmarkStart w:id="215" w:name="_Toc150774731"/>
      <w:r/>
      <w:bookmarkStart w:id="216" w:name="_Toc520356150"/>
      <w:r/>
      <w:bookmarkStart w:id="217" w:name="_Toc264969216"/>
      <w:r/>
      <w:bookmarkStart w:id="218" w:name="_Toc151193768"/>
      <w:r/>
      <w:bookmarkStart w:id="219" w:name="_Toc226309770"/>
      <w:r/>
      <w:bookmarkStart w:id="220" w:name="_Toc151193840"/>
      <w:r/>
      <w:bookmarkStart w:id="221" w:name="_Toc151193696"/>
      <w:r/>
      <w:bookmarkStart w:id="222" w:name="_Toc150509277"/>
      <w:r/>
      <w:bookmarkStart w:id="223" w:name="_Toc305158868"/>
      <w:r/>
      <w:bookmarkStart w:id="224" w:name="_Toc226965716"/>
      <w:r/>
      <w:bookmarkStart w:id="225" w:name="_Toc265228364"/>
      <w:r/>
      <w:bookmarkStart w:id="226" w:name="_Toc516367020"/>
      <w:r/>
      <w:bookmarkStart w:id="227" w:name="_Toc226337222"/>
      <w:r/>
      <w:bookmarkStart w:id="228" w:name="_Toc305158794"/>
      <w:r/>
      <w:bookmarkStart w:id="229" w:name="_Toc150480764"/>
      <w:r/>
      <w:bookmarkStart w:id="230" w:name="_Toc226965799"/>
      <w:r/>
      <w:bookmarkStart w:id="231" w:name="_Toc151190153"/>
      <w:r/>
      <w:bookmarkStart w:id="232" w:name="_Toc151193914"/>
      <w:r/>
      <w:bookmarkStart w:id="233" w:name="_Toc127151526"/>
      <w:r>
        <w:rPr>
          <w:rFonts w:hint="eastAsia" w:ascii="宋体" w:hAnsi="宋体" w:eastAsia="宋体" w:cs="宋体"/>
          <w:color w:val="000000"/>
          <w:sz w:val="28"/>
          <w:highlight w:val="none"/>
        </w:rPr>
        <w:t xml:space="preserve">三   投标文件</w:t>
      </w:r>
      <w:bookmarkEnd w:id="226"/>
      <w:r>
        <w:rPr>
          <w:rFonts w:hint="eastAsia" w:ascii="宋体" w:hAnsi="宋体" w:eastAsia="宋体" w:cs="宋体"/>
          <w:color w:val="000000"/>
          <w:sz w:val="28"/>
          <w:highlight w:val="none"/>
        </w:rPr>
        <w:t xml:space="preserve">的编制</w:t>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7"/>
      <w:r/>
      <w:bookmarkEnd w:id="228"/>
      <w:r/>
      <w:bookmarkEnd w:id="229"/>
      <w:r/>
      <w:bookmarkEnd w:id="230"/>
      <w:r/>
      <w:bookmarkEnd w:id="231"/>
      <w:r/>
      <w:bookmarkEnd w:id="232"/>
      <w:r/>
      <w:bookmarkEnd w:id="233"/>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34" w:name="_Toc151193915"/>
      <w:r/>
      <w:bookmarkStart w:id="235" w:name="_Toc226965800"/>
      <w:r/>
      <w:bookmarkStart w:id="236" w:name="_Toc151190154"/>
      <w:r/>
      <w:bookmarkStart w:id="237" w:name="_Toc520356151"/>
      <w:r/>
      <w:bookmarkStart w:id="238" w:name="_Toc127151728"/>
      <w:r/>
      <w:bookmarkStart w:id="239" w:name="_Toc195842892"/>
      <w:r/>
      <w:bookmarkStart w:id="240" w:name="_Toc164351621"/>
      <w:r/>
      <w:bookmarkStart w:id="241" w:name="_Toc150480765"/>
      <w:r/>
      <w:bookmarkStart w:id="242" w:name="_Toc164229222"/>
      <w:r/>
      <w:bookmarkStart w:id="243" w:name="_Toc305158869"/>
      <w:r/>
      <w:bookmarkStart w:id="244" w:name="_Toc127151527"/>
      <w:r/>
      <w:bookmarkStart w:id="245" w:name="_Toc264969217"/>
      <w:r/>
      <w:bookmarkStart w:id="246" w:name="_Toc149720820"/>
      <w:r/>
      <w:bookmarkStart w:id="247" w:name="_Toc265228365"/>
      <w:r/>
      <w:bookmarkStart w:id="248" w:name="_Toc226337223"/>
      <w:r/>
      <w:bookmarkStart w:id="249" w:name="_Toc151193769"/>
      <w:r/>
      <w:bookmarkStart w:id="250" w:name="_Toc127161441"/>
      <w:r/>
      <w:bookmarkStart w:id="251" w:name="_Toc226309771"/>
      <w:r/>
      <w:bookmarkStart w:id="252" w:name="_Toc150774732"/>
      <w:r/>
      <w:bookmarkStart w:id="253" w:name="_Toc151193625"/>
      <w:r/>
      <w:bookmarkStart w:id="254" w:name="_Toc226965717"/>
      <w:r/>
      <w:bookmarkStart w:id="255" w:name="_Toc516367021"/>
      <w:r/>
      <w:bookmarkStart w:id="256" w:name="_Toc164608796"/>
      <w:r/>
      <w:bookmarkStart w:id="257" w:name="_Toc150509278"/>
      <w:r/>
      <w:bookmarkStart w:id="258" w:name="_Toc151193697"/>
      <w:r/>
      <w:bookmarkStart w:id="259" w:name="_Toc150774627"/>
      <w:r/>
      <w:bookmarkStart w:id="260" w:name="_Toc151193841"/>
      <w:r/>
      <w:bookmarkStart w:id="261" w:name="_Toc305158795"/>
      <w:r/>
      <w:bookmarkStart w:id="262" w:name="_Toc142311029"/>
      <w:r/>
      <w:bookmarkStart w:id="263" w:name="_Toc164608641"/>
      <w:r/>
      <w:bookmarkStart w:id="264" w:name="_Toc164229368"/>
      <w:r>
        <w:rPr>
          <w:rFonts w:hint="eastAsia" w:ascii="宋体" w:hAnsi="宋体" w:cs="宋体"/>
          <w:b/>
          <w:color w:val="000000"/>
          <w:sz w:val="24"/>
          <w:highlight w:val="none"/>
        </w:rPr>
        <w:t xml:space="preserve">投标范围、投标文件中计量单位的使用</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65" w:name="_Toc164229369"/>
      <w:r/>
      <w:bookmarkStart w:id="266" w:name="_Toc127151528"/>
      <w:r/>
      <w:bookmarkStart w:id="267" w:name="_Toc149720821"/>
      <w:r/>
      <w:bookmarkStart w:id="268" w:name="_Toc127161442"/>
      <w:r/>
      <w:bookmarkStart w:id="269" w:name="_Toc150774733"/>
      <w:r/>
      <w:bookmarkStart w:id="270" w:name="_Toc164608797"/>
      <w:r/>
      <w:bookmarkStart w:id="271" w:name="_Toc265228366"/>
      <w:r/>
      <w:bookmarkStart w:id="272" w:name="_Toc520356152"/>
      <w:r/>
      <w:bookmarkStart w:id="273" w:name="_Toc151190155"/>
      <w:r/>
      <w:bookmarkStart w:id="274" w:name="_Toc305158870"/>
      <w:r/>
      <w:bookmarkStart w:id="275" w:name="_Toc150509279"/>
      <w:r/>
      <w:bookmarkStart w:id="276" w:name="_Toc164229223"/>
      <w:r/>
      <w:bookmarkStart w:id="277" w:name="_Toc151193770"/>
      <w:r/>
      <w:bookmarkStart w:id="278" w:name="_Toc151193626"/>
      <w:r/>
      <w:bookmarkStart w:id="279" w:name="_Toc226337224"/>
      <w:r/>
      <w:bookmarkStart w:id="280" w:name="_Toc226965801"/>
      <w:r/>
      <w:bookmarkStart w:id="281" w:name="_Toc151193842"/>
      <w:r/>
      <w:bookmarkStart w:id="282" w:name="_Toc164608642"/>
      <w:r/>
      <w:bookmarkStart w:id="283" w:name="_Toc164351622"/>
      <w:r/>
      <w:bookmarkStart w:id="284" w:name="_Ref467306676"/>
      <w:r/>
      <w:bookmarkStart w:id="285" w:name="_Toc151193698"/>
      <w:r/>
      <w:bookmarkStart w:id="286" w:name="_Toc142311030"/>
      <w:r/>
      <w:bookmarkStart w:id="287" w:name="_Toc305158796"/>
      <w:r/>
      <w:bookmarkStart w:id="288" w:name="_Toc264969218"/>
      <w:r/>
      <w:bookmarkStart w:id="289" w:name="_Toc127151729"/>
      <w:r/>
      <w:bookmarkStart w:id="290" w:name="_Toc150774628"/>
      <w:r/>
      <w:bookmarkStart w:id="291" w:name="_Toc150480766"/>
      <w:r/>
      <w:bookmarkStart w:id="292" w:name="_Toc226309772"/>
      <w:r/>
      <w:bookmarkStart w:id="293" w:name="_Toc226965718"/>
      <w:r/>
      <w:bookmarkStart w:id="294" w:name="_Toc195842893"/>
      <w:r/>
      <w:bookmarkStart w:id="295" w:name="_Toc151193916"/>
      <w:r/>
      <w:bookmarkStart w:id="296" w:name="_Toc516367022"/>
      <w:r/>
      <w:bookmarkStart w:id="297" w:name="_Ref467306195"/>
      <w:r>
        <w:rPr>
          <w:rFonts w:hint="eastAsia" w:ascii="宋体" w:hAnsi="宋体" w:cs="宋体"/>
          <w:b/>
          <w:color w:val="000000"/>
          <w:sz w:val="24"/>
          <w:highlight w:val="none"/>
        </w:rPr>
        <w:t xml:space="preserve">投标文件</w:t>
      </w:r>
      <w:bookmarkEnd w:id="284"/>
      <w:r/>
      <w:bookmarkEnd w:id="296"/>
      <w:r/>
      <w:bookmarkEnd w:id="297"/>
      <w:r>
        <w:rPr>
          <w:rFonts w:hint="eastAsia" w:ascii="宋体" w:hAnsi="宋体" w:cs="宋体"/>
          <w:b/>
          <w:color w:val="000000"/>
          <w:sz w:val="24"/>
          <w:highlight w:val="none"/>
        </w:rPr>
        <w:t xml:space="preserve">构成</w:t>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5"/>
      <w:r/>
      <w:bookmarkEnd w:id="286"/>
      <w:r/>
      <w:bookmarkEnd w:id="287"/>
      <w:r/>
      <w:bookmarkEnd w:id="288"/>
      <w:r/>
      <w:bookmarkEnd w:id="289"/>
      <w:r/>
      <w:bookmarkEnd w:id="290"/>
      <w:r/>
      <w:bookmarkEnd w:id="291"/>
      <w:r/>
      <w:bookmarkEnd w:id="292"/>
      <w:r/>
      <w:bookmarkEnd w:id="293"/>
      <w:r/>
      <w:bookmarkEnd w:id="294"/>
      <w:r/>
      <w:bookmarkEnd w:id="295"/>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98"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98"/>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99" w:name="_Toc127161444"/>
      <w:r/>
      <w:bookmarkStart w:id="300" w:name="_Toc520356155"/>
      <w:r/>
      <w:bookmarkStart w:id="301" w:name="_Toc150509281"/>
      <w:r/>
      <w:bookmarkStart w:id="302" w:name="_Toc164608799"/>
      <w:r/>
      <w:bookmarkStart w:id="303" w:name="_Toc151190157"/>
      <w:r/>
      <w:bookmarkStart w:id="304" w:name="_Toc150480768"/>
      <w:r/>
      <w:bookmarkStart w:id="305" w:name="_Toc127151530"/>
      <w:r/>
      <w:bookmarkStart w:id="306" w:name="_Toc151193628"/>
      <w:r/>
      <w:bookmarkStart w:id="307" w:name="_Toc142311032"/>
      <w:r/>
      <w:bookmarkStart w:id="308" w:name="_Toc151193844"/>
      <w:r/>
      <w:bookmarkStart w:id="309" w:name="_Toc164229371"/>
      <w:r/>
      <w:bookmarkStart w:id="310" w:name="_Toc150774630"/>
      <w:r/>
      <w:bookmarkStart w:id="311" w:name="_Toc149720823"/>
      <w:r/>
      <w:bookmarkStart w:id="312" w:name="_Toc151193918"/>
      <w:r/>
      <w:bookmarkStart w:id="313" w:name="_Toc151193700"/>
      <w:r/>
      <w:bookmarkStart w:id="314" w:name="_Toc195842895"/>
      <w:r/>
      <w:bookmarkStart w:id="315" w:name="_Toc164608644"/>
      <w:r/>
      <w:bookmarkStart w:id="316" w:name="_Toc127151731"/>
      <w:r/>
      <w:bookmarkStart w:id="317" w:name="_Toc150774735"/>
      <w:r/>
      <w:bookmarkStart w:id="318" w:name="_Toc164229225"/>
      <w:r/>
      <w:bookmarkStart w:id="319" w:name="_Toc164351624"/>
      <w:r/>
      <w:bookmarkStart w:id="320" w:name="_Toc151193772"/>
      <w:r>
        <w:rPr>
          <w:rFonts w:hint="eastAsia" w:ascii="宋体" w:hAnsi="宋体" w:cs="宋体"/>
          <w:b/>
          <w:color w:val="000000"/>
          <w:sz w:val="24"/>
          <w:highlight w:val="none"/>
        </w:rPr>
        <w:t xml:space="preserve">投标报价</w:t>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 </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21" w:name="_Toc127151732"/>
      <w:r/>
      <w:bookmarkStart w:id="322" w:name="_Toc150480769"/>
      <w:r/>
      <w:bookmarkStart w:id="323" w:name="_Toc142311033"/>
      <w:r/>
      <w:bookmarkStart w:id="324" w:name="_Toc164608800"/>
      <w:r/>
      <w:bookmarkStart w:id="325" w:name="_Toc151193919"/>
      <w:r/>
      <w:bookmarkStart w:id="326" w:name="_Toc150774631"/>
      <w:r/>
      <w:bookmarkStart w:id="327" w:name="_Toc151193701"/>
      <w:r/>
      <w:bookmarkStart w:id="328" w:name="_Toc127151531"/>
      <w:r/>
      <w:bookmarkStart w:id="329" w:name="_Toc164351625"/>
      <w:r/>
      <w:bookmarkStart w:id="330" w:name="_Toc151193629"/>
      <w:r/>
      <w:bookmarkStart w:id="331" w:name="_Toc164229372"/>
      <w:r/>
      <w:bookmarkStart w:id="332" w:name="_Toc305158799"/>
      <w:r/>
      <w:bookmarkStart w:id="333" w:name="_Toc151190158"/>
      <w:r/>
      <w:bookmarkStart w:id="334" w:name="_Toc264969221"/>
      <w:r/>
      <w:bookmarkStart w:id="335" w:name="_Toc127161445"/>
      <w:r/>
      <w:bookmarkStart w:id="336" w:name="_Toc226965804"/>
      <w:r/>
      <w:bookmarkStart w:id="337" w:name="_Toc151193845"/>
      <w:r/>
      <w:bookmarkStart w:id="338" w:name="_Toc164229226"/>
      <w:r/>
      <w:bookmarkStart w:id="339" w:name="_Toc226309775"/>
      <w:r/>
      <w:bookmarkStart w:id="340" w:name="_Ref467306513"/>
      <w:r/>
      <w:bookmarkStart w:id="341" w:name="_Toc150774736"/>
      <w:r/>
      <w:bookmarkStart w:id="342" w:name="_Toc149720824"/>
      <w:r/>
      <w:bookmarkStart w:id="343" w:name="_Toc226965721"/>
      <w:r/>
      <w:bookmarkStart w:id="344" w:name="_Toc226337227"/>
      <w:r/>
      <w:bookmarkStart w:id="345" w:name="_Toc151193773"/>
      <w:r/>
      <w:bookmarkStart w:id="346" w:name="_Toc150509282"/>
      <w:r/>
      <w:bookmarkStart w:id="347" w:name="_Toc164608645"/>
      <w:r/>
      <w:bookmarkStart w:id="348" w:name="_Toc305158873"/>
      <w:r/>
      <w:bookmarkStart w:id="349" w:name="_Toc195842896"/>
      <w:r/>
      <w:bookmarkStart w:id="350" w:name="_Toc520356156"/>
      <w:r/>
      <w:bookmarkStart w:id="351" w:name="_Toc265228369"/>
      <w:r>
        <w:rPr>
          <w:rFonts w:hint="eastAsia" w:ascii="宋体" w:hAnsi="宋体" w:cs="宋体"/>
          <w:b/>
          <w:color w:val="000000"/>
          <w:sz w:val="24"/>
          <w:highlight w:val="none"/>
        </w:rPr>
        <w:t xml:space="preserve">投标保证金</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rPr>
          <w:rFonts w:hint="eastAsia" w:ascii="宋体" w:hAnsi="宋体" w:cs="宋体"/>
          <w:b/>
          <w:color w:val="000000"/>
          <w:sz w:val="24"/>
          <w:highlight w:val="none"/>
        </w:rPr>
      </w:r>
      <w:r/>
    </w:p>
    <w:p>
      <w:pPr>
        <w:pStyle w:val="1070"/>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52" w:name="_Toc195842897"/>
      <w:r/>
      <w:bookmarkStart w:id="353" w:name="_Toc150774737"/>
      <w:r/>
      <w:bookmarkStart w:id="354" w:name="_Toc150509283"/>
      <w:r/>
      <w:bookmarkStart w:id="355" w:name="_Toc151190159"/>
      <w:r/>
      <w:bookmarkStart w:id="356" w:name="_Toc127161446"/>
      <w:r/>
      <w:bookmarkStart w:id="357" w:name="_Toc226309776"/>
      <w:r/>
      <w:bookmarkStart w:id="358" w:name="_Toc164229227"/>
      <w:r/>
      <w:bookmarkStart w:id="359" w:name="_Toc164351626"/>
      <w:r/>
      <w:bookmarkStart w:id="360" w:name="_Toc151193774"/>
      <w:r/>
      <w:bookmarkStart w:id="361" w:name="_Toc265228370"/>
      <w:r/>
      <w:bookmarkStart w:id="362" w:name="_Toc151193630"/>
      <w:r/>
      <w:bookmarkStart w:id="363" w:name="_Toc226337228"/>
      <w:r/>
      <w:bookmarkStart w:id="364" w:name="_Toc164229373"/>
      <w:r/>
      <w:bookmarkStart w:id="365" w:name="_Toc305158800"/>
      <w:r/>
      <w:bookmarkStart w:id="366" w:name="_Toc142311034"/>
      <w:r/>
      <w:bookmarkStart w:id="367" w:name="_Toc127151733"/>
      <w:r/>
      <w:bookmarkStart w:id="368" w:name="_Toc305158874"/>
      <w:r/>
      <w:bookmarkStart w:id="369" w:name="_Toc150774632"/>
      <w:r/>
      <w:bookmarkStart w:id="370" w:name="_Toc149720825"/>
      <w:r/>
      <w:bookmarkStart w:id="371" w:name="_Toc226965722"/>
      <w:r/>
      <w:bookmarkStart w:id="372" w:name="_Toc264969222"/>
      <w:r/>
      <w:bookmarkStart w:id="373" w:name="_Toc127151532"/>
      <w:r/>
      <w:bookmarkStart w:id="374" w:name="_Toc151193846"/>
      <w:r/>
      <w:bookmarkStart w:id="375" w:name="_Toc520356157"/>
      <w:r/>
      <w:bookmarkStart w:id="376" w:name="_Toc151193920"/>
      <w:r/>
      <w:bookmarkStart w:id="377" w:name="_Toc226965805"/>
      <w:r/>
      <w:bookmarkStart w:id="378" w:name="_Toc164608801"/>
      <w:r/>
      <w:bookmarkStart w:id="379" w:name="_Toc164608646"/>
      <w:r/>
      <w:bookmarkStart w:id="380" w:name="_Toc151193702"/>
      <w:r/>
      <w:bookmarkStart w:id="381" w:name="_Toc150480770"/>
      <w:r>
        <w:rPr>
          <w:rFonts w:hint="eastAsia" w:ascii="宋体" w:hAnsi="宋体" w:cs="宋体"/>
          <w:b/>
          <w:color w:val="000000"/>
          <w:sz w:val="24"/>
          <w:highlight w:val="none"/>
        </w:rPr>
        <w:t xml:space="preserve">投标有效期</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82" w:name="_Toc226337229"/>
      <w:r/>
      <w:bookmarkStart w:id="383" w:name="_Toc142311035"/>
      <w:r/>
      <w:bookmarkStart w:id="384" w:name="_Toc305158875"/>
      <w:r/>
      <w:bookmarkStart w:id="385" w:name="_Toc226965806"/>
      <w:r/>
      <w:bookmarkStart w:id="386" w:name="_Toc226309777"/>
      <w:r/>
      <w:bookmarkStart w:id="387" w:name="_Toc226965723"/>
      <w:r/>
      <w:bookmarkStart w:id="388" w:name="_Toc164351627"/>
      <w:r/>
      <w:bookmarkStart w:id="389" w:name="_Toc151193921"/>
      <w:r/>
      <w:bookmarkStart w:id="390" w:name="_Toc150509284"/>
      <w:r/>
      <w:bookmarkStart w:id="391" w:name="_Toc264969223"/>
      <w:r/>
      <w:bookmarkStart w:id="392" w:name="_Toc149720826"/>
      <w:r/>
      <w:bookmarkStart w:id="393" w:name="_Toc151193703"/>
      <w:r/>
      <w:bookmarkStart w:id="394" w:name="_Toc150480771"/>
      <w:r/>
      <w:bookmarkStart w:id="395" w:name="_Toc164608802"/>
      <w:r/>
      <w:bookmarkStart w:id="396" w:name="_Toc150774738"/>
      <w:r/>
      <w:bookmarkStart w:id="397" w:name="_Toc151193847"/>
      <w:r/>
      <w:bookmarkStart w:id="398" w:name="_Toc164229374"/>
      <w:r/>
      <w:bookmarkStart w:id="399" w:name="_Toc151193775"/>
      <w:r/>
      <w:bookmarkStart w:id="400" w:name="_Toc127161447"/>
      <w:r/>
      <w:bookmarkStart w:id="401" w:name="_Toc150774633"/>
      <w:r/>
      <w:bookmarkStart w:id="402" w:name="_Toc520356158"/>
      <w:r/>
      <w:bookmarkStart w:id="403" w:name="_Toc265228371"/>
      <w:r/>
      <w:bookmarkStart w:id="404" w:name="_Toc195842898"/>
      <w:r/>
      <w:bookmarkStart w:id="405" w:name="_Toc151193631"/>
      <w:r/>
      <w:bookmarkStart w:id="406" w:name="_Toc305158801"/>
      <w:r/>
      <w:bookmarkStart w:id="407" w:name="_Toc151190160"/>
      <w:r/>
      <w:bookmarkStart w:id="408" w:name="_Toc127151734"/>
      <w:r/>
      <w:bookmarkStart w:id="409" w:name="_Toc164229228"/>
      <w:r/>
      <w:bookmarkStart w:id="410" w:name="_Toc127151533"/>
      <w:r/>
      <w:bookmarkStart w:id="411" w:name="_Toc164608647"/>
      <w:r>
        <w:rPr>
          <w:rFonts w:hint="eastAsia" w:ascii="宋体" w:hAnsi="宋体" w:cs="宋体"/>
          <w:b/>
          <w:color w:val="000000"/>
          <w:sz w:val="24"/>
          <w:highlight w:val="none"/>
        </w:rPr>
        <w:t xml:space="preserve">投标文件的签署</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412" w:name="_Toc151190161"/>
      <w:r/>
      <w:bookmarkStart w:id="413" w:name="_Toc305158876"/>
      <w:r/>
      <w:bookmarkStart w:id="414" w:name="_Toc305158802"/>
      <w:r/>
      <w:bookmarkStart w:id="415" w:name="_Toc265228372"/>
      <w:r/>
      <w:bookmarkStart w:id="416" w:name="_Toc150774739"/>
      <w:r/>
      <w:bookmarkStart w:id="417" w:name="_Toc195842899"/>
      <w:r/>
      <w:bookmarkStart w:id="418" w:name="_Toc151193704"/>
      <w:r/>
      <w:bookmarkStart w:id="419" w:name="_Toc150509285"/>
      <w:r/>
      <w:bookmarkStart w:id="420" w:name="_Toc150774634"/>
      <w:r/>
      <w:bookmarkStart w:id="421" w:name="_Toc226309778"/>
      <w:r/>
      <w:bookmarkStart w:id="422" w:name="_Toc264969224"/>
      <w:r/>
      <w:bookmarkStart w:id="423" w:name="_Toc151193776"/>
      <w:r/>
      <w:bookmarkStart w:id="424" w:name="_Toc142311036"/>
      <w:r/>
      <w:bookmarkStart w:id="425" w:name="_Toc151193632"/>
      <w:r/>
      <w:bookmarkStart w:id="426" w:name="_Toc226337230"/>
      <w:r/>
      <w:bookmarkStart w:id="427" w:name="_Toc520356159"/>
      <w:r/>
      <w:bookmarkStart w:id="428" w:name="_Toc151193848"/>
      <w:r/>
      <w:bookmarkStart w:id="429" w:name="_Toc150480772"/>
      <w:r/>
      <w:bookmarkStart w:id="430" w:name="_Toc226965724"/>
      <w:r/>
      <w:bookmarkStart w:id="431" w:name="_Toc151193922"/>
      <w:r/>
      <w:bookmarkStart w:id="432" w:name="_Toc127151534"/>
      <w:r/>
      <w:bookmarkStart w:id="433" w:name="_Toc226965807"/>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70"/>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2"/>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34" w:name="_Toc151193705"/>
      <w:r/>
      <w:bookmarkStart w:id="435" w:name="_Toc264969225"/>
      <w:r/>
      <w:bookmarkStart w:id="436" w:name="_Toc127151736"/>
      <w:r/>
      <w:bookmarkStart w:id="437" w:name="_Toc127161449"/>
      <w:r/>
      <w:bookmarkStart w:id="438" w:name="_Toc127151535"/>
      <w:r/>
      <w:bookmarkStart w:id="439" w:name="_Toc226965725"/>
      <w:r/>
      <w:bookmarkStart w:id="440" w:name="_Toc150774635"/>
      <w:r/>
      <w:bookmarkStart w:id="441" w:name="_Toc226965808"/>
      <w:r/>
      <w:bookmarkStart w:id="442" w:name="_Toc226337231"/>
      <w:r/>
      <w:bookmarkStart w:id="443" w:name="_Toc164229376"/>
      <w:r/>
      <w:bookmarkStart w:id="444" w:name="_Toc150480773"/>
      <w:r/>
      <w:bookmarkStart w:id="445" w:name="_Toc305158803"/>
      <w:r/>
      <w:bookmarkStart w:id="446" w:name="_Toc151193777"/>
      <w:r/>
      <w:bookmarkStart w:id="447" w:name="_Toc149720828"/>
      <w:r/>
      <w:bookmarkStart w:id="448" w:name="_Toc150509286"/>
      <w:r/>
      <w:bookmarkStart w:id="449" w:name="_Toc520356160"/>
      <w:r/>
      <w:bookmarkStart w:id="450" w:name="_Toc164608804"/>
      <w:r/>
      <w:bookmarkStart w:id="451" w:name="_Toc226309779"/>
      <w:r/>
      <w:bookmarkStart w:id="452" w:name="_Toc164229230"/>
      <w:r/>
      <w:bookmarkStart w:id="453" w:name="_Toc265228373"/>
      <w:r/>
      <w:bookmarkStart w:id="454" w:name="_Toc305158877"/>
      <w:r/>
      <w:bookmarkStart w:id="455" w:name="_Toc164608649"/>
      <w:r/>
      <w:bookmarkStart w:id="456" w:name="_Toc151193849"/>
      <w:r/>
      <w:bookmarkStart w:id="457" w:name="_Toc195842900"/>
      <w:r/>
      <w:bookmarkStart w:id="458" w:name="_Toc142311037"/>
      <w:r/>
      <w:bookmarkStart w:id="459" w:name="_Toc151190162"/>
      <w:r/>
      <w:bookmarkStart w:id="460" w:name="_Toc164351629"/>
      <w:r/>
      <w:bookmarkStart w:id="461" w:name="_Toc150774740"/>
      <w:r/>
      <w:bookmarkStart w:id="462" w:name="_Toc151193923"/>
      <w:r/>
      <w:bookmarkStart w:id="463" w:name="_Toc151193633"/>
      <w:r>
        <w:rPr>
          <w:rFonts w:hint="eastAsia" w:ascii="宋体" w:hAnsi="宋体" w:cs="宋体"/>
          <w:b/>
          <w:color w:val="000000"/>
          <w:sz w:val="24"/>
          <w:highlight w:val="none"/>
        </w:rPr>
        <w:t xml:space="preserve">投标文件的</w:t>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64" w:name="_Toc150774741"/>
      <w:r/>
      <w:bookmarkStart w:id="465" w:name="_Toc150480774"/>
      <w:r/>
      <w:bookmarkStart w:id="466" w:name="_Toc149720829"/>
      <w:r/>
      <w:bookmarkStart w:id="467" w:name="_Toc226309780"/>
      <w:r/>
      <w:bookmarkStart w:id="468" w:name="_Toc164351630"/>
      <w:r/>
      <w:bookmarkStart w:id="469" w:name="_Toc226965809"/>
      <w:r/>
      <w:bookmarkStart w:id="470" w:name="_Toc264969226"/>
      <w:r/>
      <w:bookmarkStart w:id="471" w:name="_Toc127151536"/>
      <w:r/>
      <w:bookmarkStart w:id="472" w:name="_Toc305158878"/>
      <w:r/>
      <w:bookmarkStart w:id="473" w:name="_Toc226965726"/>
      <w:r/>
      <w:bookmarkStart w:id="474" w:name="_Toc164608805"/>
      <w:r/>
      <w:bookmarkStart w:id="475" w:name="_Toc265228374"/>
      <w:r/>
      <w:bookmarkStart w:id="476" w:name="_Toc151193850"/>
      <w:r/>
      <w:bookmarkStart w:id="477" w:name="_Toc151193924"/>
      <w:r/>
      <w:bookmarkStart w:id="478" w:name="_Toc164608650"/>
      <w:r/>
      <w:bookmarkStart w:id="479" w:name="_Toc151193634"/>
      <w:r/>
      <w:bookmarkStart w:id="480" w:name="_Toc151190163"/>
      <w:r/>
      <w:bookmarkStart w:id="481" w:name="_Toc142311038"/>
      <w:r/>
      <w:bookmarkStart w:id="482" w:name="_Toc151193778"/>
      <w:r/>
      <w:bookmarkStart w:id="483" w:name="_Toc127151737"/>
      <w:r/>
      <w:bookmarkStart w:id="484" w:name="_Toc127161450"/>
      <w:r/>
      <w:bookmarkStart w:id="485" w:name="_Toc226337232"/>
      <w:r/>
      <w:bookmarkStart w:id="486" w:name="_Toc164229377"/>
      <w:r/>
      <w:bookmarkStart w:id="487" w:name="_Toc150774636"/>
      <w:r/>
      <w:bookmarkStart w:id="488" w:name="_Toc151193706"/>
      <w:r/>
      <w:bookmarkStart w:id="489" w:name="_Toc195842901"/>
      <w:r/>
      <w:bookmarkStart w:id="490" w:name="_Toc150509287"/>
      <w:r/>
      <w:bookmarkStart w:id="491" w:name="_Toc164229231"/>
      <w:r/>
      <w:bookmarkStart w:id="492" w:name="_Toc520356161"/>
      <w:r/>
      <w:bookmarkStart w:id="493" w:name="_Toc305158804"/>
      <w:r>
        <w:rPr>
          <w:rFonts w:hint="eastAsia" w:ascii="宋体" w:hAnsi="宋体" w:cs="宋体"/>
          <w:b/>
          <w:color w:val="000000"/>
          <w:sz w:val="24"/>
          <w:highlight w:val="none"/>
        </w:rPr>
        <w:t xml:space="preserve">投标截止</w:t>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94" w:name="_Toc151193925"/>
      <w:r/>
      <w:bookmarkStart w:id="495" w:name="_Toc151193707"/>
      <w:r/>
      <w:bookmarkStart w:id="496" w:name="_Toc151190164"/>
      <w:r/>
      <w:bookmarkStart w:id="497" w:name="_Toc195842902"/>
      <w:r/>
      <w:bookmarkStart w:id="498" w:name="_Toc151193635"/>
      <w:r/>
      <w:bookmarkStart w:id="499" w:name="_Toc164229378"/>
      <w:r/>
      <w:bookmarkStart w:id="500" w:name="_Toc164608806"/>
      <w:r/>
      <w:bookmarkStart w:id="501" w:name="_Toc226965810"/>
      <w:r/>
      <w:bookmarkStart w:id="502" w:name="_Toc164351631"/>
      <w:r/>
      <w:bookmarkStart w:id="503" w:name="_Toc520356162"/>
      <w:r/>
      <w:bookmarkStart w:id="504" w:name="_Toc150774637"/>
      <w:r/>
      <w:bookmarkStart w:id="505" w:name="_Toc150509288"/>
      <w:r/>
      <w:bookmarkStart w:id="506" w:name="_Toc151193779"/>
      <w:r/>
      <w:bookmarkStart w:id="507" w:name="_Toc305158879"/>
      <w:r/>
      <w:bookmarkStart w:id="508" w:name="_Toc264969227"/>
      <w:r/>
      <w:bookmarkStart w:id="509" w:name="_Toc149720830"/>
      <w:r/>
      <w:bookmarkStart w:id="510" w:name="_Toc150774742"/>
      <w:r/>
      <w:bookmarkStart w:id="511" w:name="_Toc150480775"/>
      <w:r/>
      <w:bookmarkStart w:id="512" w:name="_Toc226309781"/>
      <w:r/>
      <w:bookmarkStart w:id="513" w:name="_Toc265228375"/>
      <w:r/>
      <w:bookmarkStart w:id="514" w:name="_Toc226337233"/>
      <w:r/>
      <w:bookmarkStart w:id="515" w:name="_Toc226965727"/>
      <w:r/>
      <w:bookmarkStart w:id="516" w:name="_Toc164608651"/>
      <w:r/>
      <w:bookmarkStart w:id="517" w:name="_Toc151193851"/>
      <w:r/>
      <w:bookmarkStart w:id="518" w:name="_Toc127151738"/>
      <w:r/>
      <w:bookmarkStart w:id="519" w:name="_Toc164229232"/>
      <w:r/>
      <w:bookmarkStart w:id="520" w:name="_Toc305158805"/>
      <w:r/>
      <w:bookmarkStart w:id="521" w:name="_Toc142311039"/>
      <w:r/>
      <w:bookmarkStart w:id="522" w:name="_Toc127161451"/>
      <w:r/>
      <w:bookmarkStart w:id="523" w:name="_Toc127151537"/>
      <w:r>
        <w:rPr>
          <w:rFonts w:hint="eastAsia" w:ascii="宋体" w:hAnsi="宋体" w:cs="宋体"/>
          <w:b/>
          <w:color w:val="000000"/>
          <w:sz w:val="24"/>
          <w:highlight w:val="none"/>
        </w:rPr>
        <w:t xml:space="preserve">投标文件的修改与撤回</w:t>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2"/>
        <w:ind w:firstLine="562"/>
        <w:spacing w:before="0" w:line="360" w:lineRule="auto"/>
        <w:rPr>
          <w:rFonts w:hint="eastAsia" w:ascii="宋体" w:hAnsi="宋体" w:eastAsia="宋体" w:cs="宋体"/>
          <w:color w:val="000000"/>
          <w:sz w:val="28"/>
          <w:highlight w:val="none"/>
        </w:rPr>
      </w:pPr>
      <w:r/>
      <w:bookmarkStart w:id="524" w:name="_Toc151193636"/>
      <w:r/>
      <w:bookmarkStart w:id="525" w:name="_Toc151193926"/>
      <w:r/>
      <w:bookmarkStart w:id="526" w:name="_Toc226337234"/>
      <w:r/>
      <w:bookmarkStart w:id="527" w:name="_Toc226965728"/>
      <w:r/>
      <w:bookmarkStart w:id="528" w:name="_Toc305158806"/>
      <w:r/>
      <w:bookmarkStart w:id="529" w:name="_Toc226965811"/>
      <w:r/>
      <w:bookmarkStart w:id="530" w:name="_Toc150774638"/>
      <w:r/>
      <w:bookmarkStart w:id="531" w:name="_Toc150480776"/>
      <w:r/>
      <w:bookmarkStart w:id="532" w:name="_Toc264969228"/>
      <w:r/>
      <w:bookmarkStart w:id="533" w:name="_Toc195842903"/>
      <w:r/>
      <w:bookmarkStart w:id="534" w:name="_Toc151190165"/>
      <w:r/>
      <w:bookmarkStart w:id="535" w:name="_Toc265228376"/>
      <w:r/>
      <w:bookmarkStart w:id="536" w:name="_Toc226309782"/>
      <w:r/>
      <w:bookmarkStart w:id="537" w:name="_Toc127151538"/>
      <w:r/>
      <w:bookmarkStart w:id="538" w:name="_Toc150509289"/>
      <w:r/>
      <w:bookmarkStart w:id="539" w:name="_Toc520356163"/>
      <w:r/>
      <w:bookmarkStart w:id="540" w:name="_Toc151193852"/>
      <w:r/>
      <w:bookmarkStart w:id="541" w:name="_Toc142311040"/>
      <w:r/>
      <w:bookmarkStart w:id="542" w:name="_Toc150774743"/>
      <w:r/>
      <w:bookmarkStart w:id="543" w:name="_Toc151193780"/>
      <w:r/>
      <w:bookmarkStart w:id="544" w:name="_Toc151193708"/>
      <w:r/>
      <w:bookmarkStart w:id="545" w:name="_Toc305158880"/>
      <w:r>
        <w:rPr>
          <w:rFonts w:hint="eastAsia" w:ascii="宋体" w:hAnsi="宋体" w:eastAsia="宋体" w:cs="宋体"/>
          <w:color w:val="000000"/>
          <w:sz w:val="28"/>
          <w:highlight w:val="none"/>
        </w:rPr>
        <w:t xml:space="preserve">五   开标、资格审查及评标</w:t>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46" w:name="_Toc226309783"/>
      <w:r/>
      <w:bookmarkStart w:id="547" w:name="_Toc127151740"/>
      <w:r/>
      <w:bookmarkStart w:id="548" w:name="_Toc151193637"/>
      <w:r/>
      <w:bookmarkStart w:id="549" w:name="_Toc520356164"/>
      <w:r/>
      <w:bookmarkStart w:id="550" w:name="_Toc151190166"/>
      <w:r/>
      <w:bookmarkStart w:id="551" w:name="_Toc164351633"/>
      <w:r/>
      <w:bookmarkStart w:id="552" w:name="_Toc226337235"/>
      <w:r/>
      <w:bookmarkStart w:id="553" w:name="_Toc226965729"/>
      <w:r/>
      <w:bookmarkStart w:id="554" w:name="_Toc150509290"/>
      <w:r/>
      <w:bookmarkStart w:id="555" w:name="_Toc164608653"/>
      <w:r/>
      <w:bookmarkStart w:id="556" w:name="_Toc150774639"/>
      <w:r/>
      <w:bookmarkStart w:id="557" w:name="_Toc164608808"/>
      <w:r/>
      <w:bookmarkStart w:id="558" w:name="_Toc150480777"/>
      <w:r/>
      <w:bookmarkStart w:id="559" w:name="_Toc127161453"/>
      <w:r/>
      <w:bookmarkStart w:id="560" w:name="_Toc151193781"/>
      <w:r/>
      <w:bookmarkStart w:id="561" w:name="_Toc151193709"/>
      <w:r/>
      <w:bookmarkStart w:id="562" w:name="_Toc195842904"/>
      <w:r/>
      <w:bookmarkStart w:id="563" w:name="_Toc127151539"/>
      <w:r/>
      <w:bookmarkStart w:id="564" w:name="_Toc305158807"/>
      <w:r/>
      <w:bookmarkStart w:id="565" w:name="_Toc142311041"/>
      <w:r/>
      <w:bookmarkStart w:id="566" w:name="_Toc151193927"/>
      <w:r/>
      <w:bookmarkStart w:id="567" w:name="_Toc265228377"/>
      <w:r/>
      <w:bookmarkStart w:id="568" w:name="_Toc150774744"/>
      <w:r/>
      <w:bookmarkStart w:id="569" w:name="_Toc149720832"/>
      <w:r/>
      <w:bookmarkStart w:id="570" w:name="_Toc164229234"/>
      <w:r/>
      <w:bookmarkStart w:id="571" w:name="_Toc226965812"/>
      <w:r/>
      <w:bookmarkStart w:id="572" w:name="_Toc264969229"/>
      <w:r/>
      <w:bookmarkStart w:id="573" w:name="_Toc164229380"/>
      <w:r/>
      <w:bookmarkStart w:id="574" w:name="_Toc151193853"/>
      <w:r/>
      <w:bookmarkStart w:id="575" w:name="_Toc305158881"/>
      <w:r>
        <w:rPr>
          <w:rFonts w:hint="eastAsia" w:ascii="宋体" w:hAnsi="宋体" w:cs="宋体"/>
          <w:b/>
          <w:color w:val="000000"/>
          <w:sz w:val="24"/>
          <w:highlight w:val="none"/>
        </w:rPr>
        <w:t xml:space="preserve">开标</w:t>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76"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70"/>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70"/>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76"/>
      <w:r/>
      <w:bookmarkStart w:id="577" w:name="_Toc305158882"/>
      <w:r/>
      <w:bookmarkStart w:id="578" w:name="_Toc164229235"/>
      <w:r/>
      <w:bookmarkStart w:id="579" w:name="_Toc127151741"/>
      <w:r/>
      <w:bookmarkStart w:id="580" w:name="_Toc226309784"/>
      <w:r/>
      <w:bookmarkStart w:id="581" w:name="_Toc151193710"/>
      <w:r/>
      <w:bookmarkStart w:id="582" w:name="_Toc150774640"/>
      <w:r/>
      <w:bookmarkStart w:id="583" w:name="_Toc164608809"/>
      <w:r/>
      <w:bookmarkStart w:id="584" w:name="_Toc226337236"/>
      <w:r/>
      <w:bookmarkStart w:id="585" w:name="_Toc151193638"/>
      <w:r/>
      <w:bookmarkStart w:id="586" w:name="_Toc150480778"/>
      <w:r/>
      <w:bookmarkStart w:id="587" w:name="_Toc226965730"/>
      <w:r/>
      <w:bookmarkStart w:id="588" w:name="_Toc164351634"/>
      <w:r/>
      <w:bookmarkStart w:id="589" w:name="_Toc142311042"/>
      <w:r/>
      <w:bookmarkStart w:id="590" w:name="_Toc149720833"/>
      <w:r/>
      <w:bookmarkStart w:id="591" w:name="_Toc151193782"/>
      <w:r/>
      <w:bookmarkStart w:id="592" w:name="_Toc127161454"/>
      <w:r/>
      <w:bookmarkStart w:id="593" w:name="_Toc151193854"/>
      <w:r/>
      <w:bookmarkStart w:id="594" w:name="_Toc150774745"/>
      <w:r/>
      <w:bookmarkStart w:id="595" w:name="_Toc195842905"/>
      <w:r/>
      <w:bookmarkStart w:id="596" w:name="_Toc150509291"/>
      <w:r/>
      <w:bookmarkStart w:id="597" w:name="_Toc226965813"/>
      <w:r/>
      <w:bookmarkStart w:id="598" w:name="_Toc127151540"/>
      <w:r/>
      <w:bookmarkStart w:id="599" w:name="_Toc305158808"/>
      <w:r/>
      <w:bookmarkStart w:id="600" w:name="_Toc164229381"/>
      <w:r/>
      <w:bookmarkStart w:id="601" w:name="_Toc265228378"/>
      <w:r/>
      <w:bookmarkStart w:id="602" w:name="_Toc151193928"/>
      <w:r/>
      <w:bookmarkStart w:id="603" w:name="_Toc151190167"/>
      <w:r/>
      <w:bookmarkStart w:id="604" w:name="_Toc264969230"/>
      <w:r/>
      <w:bookmarkStart w:id="605" w:name="_Toc164608654"/>
      <w:r>
        <w:rPr>
          <w:rFonts w:hint="eastAsia" w:ascii="宋体" w:hAnsi="宋体" w:cs="宋体"/>
          <w:b/>
          <w:color w:val="000000"/>
          <w:sz w:val="24"/>
          <w:highlight w:val="none"/>
        </w:rPr>
        <w:t xml:space="preserve">评标委员会</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606" w:name="_Toc520356166"/>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606"/>
      <w:r/>
      <w:bookmarkStart w:id="607" w:name="_Toc520356169"/>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70"/>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2"/>
        <w:ind w:firstLine="562"/>
        <w:spacing w:before="0" w:line="360" w:lineRule="auto"/>
        <w:rPr>
          <w:rFonts w:hint="eastAsia" w:ascii="宋体" w:hAnsi="宋体" w:eastAsia="宋体" w:cs="宋体"/>
          <w:color w:val="000000"/>
          <w:sz w:val="28"/>
          <w:highlight w:val="none"/>
        </w:rPr>
      </w:pPr>
      <w:r/>
      <w:bookmarkStart w:id="608" w:name="_Toc305158813"/>
      <w:r/>
      <w:bookmarkStart w:id="609" w:name="_Toc151193859"/>
      <w:r/>
      <w:bookmarkStart w:id="610" w:name="_Toc226965735"/>
      <w:r/>
      <w:bookmarkStart w:id="611" w:name="_Toc151190172"/>
      <w:r/>
      <w:bookmarkStart w:id="612" w:name="_Toc226309789"/>
      <w:r/>
      <w:bookmarkStart w:id="613" w:name="_Toc127151545"/>
      <w:r/>
      <w:bookmarkStart w:id="614" w:name="_Toc150774645"/>
      <w:r/>
      <w:bookmarkStart w:id="615" w:name="_Toc264969235"/>
      <w:r/>
      <w:bookmarkStart w:id="616" w:name="_Toc151193715"/>
      <w:r/>
      <w:bookmarkStart w:id="617" w:name="_Toc226965818"/>
      <w:r/>
      <w:bookmarkStart w:id="618" w:name="_Toc226337241"/>
      <w:r/>
      <w:bookmarkStart w:id="619" w:name="_Toc151193933"/>
      <w:r/>
      <w:bookmarkStart w:id="620" w:name="_Toc150480783"/>
      <w:r/>
      <w:bookmarkStart w:id="621" w:name="_Toc142311047"/>
      <w:r/>
      <w:bookmarkStart w:id="622" w:name="_Toc151193787"/>
      <w:r/>
      <w:bookmarkStart w:id="623" w:name="_Toc150774750"/>
      <w:r/>
      <w:bookmarkStart w:id="624" w:name="_Toc265228383"/>
      <w:r/>
      <w:bookmarkStart w:id="625" w:name="_Toc195842910"/>
      <w:r/>
      <w:bookmarkStart w:id="626" w:name="_Toc150509296"/>
      <w:r/>
      <w:bookmarkStart w:id="627" w:name="_Toc151193643"/>
      <w:r/>
      <w:bookmarkStart w:id="628" w:name="_Toc305158887"/>
      <w:r>
        <w:rPr>
          <w:rFonts w:hint="eastAsia" w:ascii="宋体" w:hAnsi="宋体" w:eastAsia="宋体" w:cs="宋体"/>
          <w:color w:val="000000"/>
          <w:sz w:val="28"/>
          <w:highlight w:val="none"/>
        </w:rPr>
        <w:t xml:space="preserve">六   </w:t>
      </w:r>
      <w:bookmarkEnd w:id="607"/>
      <w:r>
        <w:rPr>
          <w:rFonts w:hint="eastAsia" w:ascii="宋体" w:hAnsi="宋体" w:eastAsia="宋体" w:cs="宋体"/>
          <w:color w:val="000000"/>
          <w:sz w:val="28"/>
          <w:highlight w:val="none"/>
        </w:rPr>
        <w:t xml:space="preserve">确定中标</w:t>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Start w:id="629" w:name="_Toc226309791"/>
      <w:r/>
      <w:bookmarkStart w:id="630" w:name="_Toc151193861"/>
      <w:r/>
      <w:bookmarkStart w:id="631" w:name="_Toc151193935"/>
      <w:r/>
      <w:bookmarkStart w:id="632" w:name="_Toc151190174"/>
      <w:r/>
      <w:bookmarkStart w:id="633" w:name="_Toc226965820"/>
      <w:r/>
      <w:bookmarkStart w:id="634" w:name="_Toc127151547"/>
      <w:r/>
      <w:bookmarkStart w:id="635" w:name="_Toc164229242"/>
      <w:r/>
      <w:bookmarkStart w:id="636" w:name="_Toc264969237"/>
      <w:r/>
      <w:bookmarkStart w:id="637" w:name="_Toc150774647"/>
      <w:r/>
      <w:bookmarkStart w:id="638" w:name="_Toc226965737"/>
      <w:r/>
      <w:bookmarkStart w:id="639" w:name="_Toc265228385"/>
      <w:r/>
      <w:bookmarkStart w:id="640" w:name="_Toc164351641"/>
      <w:r/>
      <w:bookmarkStart w:id="641" w:name="_Toc151193645"/>
      <w:r/>
      <w:bookmarkStart w:id="642" w:name="_Toc127151748"/>
      <w:r/>
      <w:bookmarkStart w:id="643" w:name="_Toc305158889"/>
      <w:r/>
      <w:bookmarkStart w:id="644" w:name="_Toc305158815"/>
      <w:r/>
      <w:bookmarkStart w:id="645" w:name="_Toc142311049"/>
      <w:r/>
      <w:bookmarkStart w:id="646" w:name="_Toc164229388"/>
      <w:r/>
      <w:bookmarkStart w:id="647" w:name="_Toc149720840"/>
      <w:r/>
      <w:bookmarkStart w:id="648" w:name="_Toc164608816"/>
      <w:r/>
      <w:bookmarkStart w:id="649" w:name="_Toc226337243"/>
      <w:r/>
      <w:bookmarkStart w:id="650" w:name="_Toc150480785"/>
      <w:r/>
      <w:bookmarkStart w:id="651" w:name="_Toc164608661"/>
      <w:r/>
      <w:bookmarkStart w:id="652" w:name="_Toc195842912"/>
      <w:r/>
      <w:bookmarkStart w:id="653" w:name="_Toc150774752"/>
      <w:r/>
      <w:bookmarkStart w:id="654" w:name="_Toc151193789"/>
      <w:r/>
      <w:bookmarkStart w:id="655" w:name="_Toc127161461"/>
      <w:r/>
      <w:bookmarkStart w:id="656" w:name="_Toc150509298"/>
      <w:r/>
      <w:bookmarkStart w:id="657" w:name="_Toc151193717"/>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58" w:name="_Toc195842914"/>
      <w:r/>
      <w:bookmarkStart w:id="659" w:name="_Toc150509300"/>
      <w:r/>
      <w:bookmarkStart w:id="660" w:name="_Toc151190176"/>
      <w:r/>
      <w:bookmarkStart w:id="661" w:name="_Toc150774649"/>
      <w:r/>
      <w:bookmarkStart w:id="662" w:name="_Toc226965739"/>
      <w:r/>
      <w:bookmarkStart w:id="663" w:name="_Toc265228387"/>
      <w:r/>
      <w:bookmarkStart w:id="664" w:name="_Toc127151549"/>
      <w:r/>
      <w:bookmarkStart w:id="665" w:name="_Toc305158891"/>
      <w:r/>
      <w:bookmarkStart w:id="666" w:name="_Toc151193719"/>
      <w:r/>
      <w:bookmarkStart w:id="667" w:name="_Toc151193937"/>
      <w:r/>
      <w:bookmarkStart w:id="668" w:name="_Toc164608663"/>
      <w:r/>
      <w:bookmarkStart w:id="669" w:name="_Toc305158817"/>
      <w:r/>
      <w:bookmarkStart w:id="670" w:name="_Toc226337245"/>
      <w:r/>
      <w:bookmarkStart w:id="671" w:name="_Toc164608818"/>
      <w:r/>
      <w:bookmarkStart w:id="672" w:name="_Toc226309793"/>
      <w:r/>
      <w:bookmarkStart w:id="673" w:name="_Ref467306425"/>
      <w:r/>
      <w:bookmarkStart w:id="674" w:name="_Ref467307090"/>
      <w:r/>
      <w:bookmarkStart w:id="675" w:name="_Toc520356176"/>
      <w:r/>
      <w:bookmarkStart w:id="676" w:name="_Toc127151750"/>
      <w:r/>
      <w:bookmarkStart w:id="677" w:name="_Toc164229244"/>
      <w:r/>
      <w:bookmarkStart w:id="678" w:name="_Toc151193647"/>
      <w:r/>
      <w:bookmarkStart w:id="679" w:name="_Toc150480787"/>
      <w:r/>
      <w:bookmarkStart w:id="680" w:name="_Toc142311051"/>
      <w:r/>
      <w:bookmarkStart w:id="681" w:name="_Toc151193791"/>
      <w:r/>
      <w:bookmarkStart w:id="682" w:name="_Toc164351643"/>
      <w:r/>
      <w:bookmarkStart w:id="683" w:name="_Toc151193863"/>
      <w:r/>
      <w:bookmarkStart w:id="684" w:name="_Toc149720842"/>
      <w:r/>
      <w:bookmarkStart w:id="685" w:name="_Toc164229390"/>
      <w:r/>
      <w:bookmarkStart w:id="686" w:name="_Toc150774754"/>
      <w:r/>
      <w:bookmarkStart w:id="687" w:name="_Toc226965822"/>
      <w:r/>
      <w:bookmarkStart w:id="688" w:name="_Toc264969239"/>
      <w:r/>
      <w:bookmarkStart w:id="689" w:name="_Toc127161463"/>
      <w:r>
        <w:rPr>
          <w:rFonts w:hint="eastAsia" w:ascii="宋体" w:hAnsi="宋体" w:cs="宋体"/>
          <w:b/>
          <w:color w:val="000000"/>
          <w:sz w:val="24"/>
          <w:highlight w:val="none"/>
        </w:rPr>
        <w:t xml:space="preserve">中标公告与中标通知书</w:t>
      </w:r>
      <w:bookmarkEnd w:id="665"/>
      <w:r/>
      <w:bookmarkEnd w:id="669"/>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70"/>
        <w:numPr>
          <w:ilvl w:val="2"/>
          <w:numId w:val="8"/>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8"/>
      <w:r/>
      <w:bookmarkEnd w:id="659"/>
      <w:r/>
      <w:bookmarkEnd w:id="660"/>
      <w:r/>
      <w:bookmarkEnd w:id="661"/>
      <w:r/>
      <w:bookmarkEnd w:id="662"/>
      <w:r/>
      <w:bookmarkEnd w:id="663"/>
      <w:r/>
      <w:bookmarkEnd w:id="664"/>
      <w:r/>
      <w:bookmarkEnd w:id="666"/>
      <w:r/>
      <w:bookmarkEnd w:id="667"/>
      <w:r/>
      <w:bookmarkEnd w:id="668"/>
      <w:r/>
      <w:bookmarkEnd w:id="670"/>
      <w:r/>
      <w:bookmarkEnd w:id="671"/>
      <w:r/>
      <w:bookmarkEnd w:id="672"/>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Start w:id="690" w:name="_Ref467306377"/>
      <w:r/>
      <w:bookmarkStart w:id="691" w:name="_Toc164351644"/>
      <w:r/>
      <w:bookmarkStart w:id="692" w:name="_Toc226309794"/>
      <w:r/>
      <w:bookmarkStart w:id="693" w:name="_Toc164608664"/>
      <w:r/>
      <w:bookmarkStart w:id="694" w:name="_Toc151193864"/>
      <w:r/>
      <w:bookmarkStart w:id="695" w:name="_Toc127151550"/>
      <w:r/>
      <w:bookmarkStart w:id="696" w:name="_Toc151190177"/>
      <w:r/>
      <w:bookmarkStart w:id="697" w:name="_Ref467307062"/>
      <w:r/>
      <w:bookmarkStart w:id="698" w:name="_Toc226337246"/>
      <w:r/>
      <w:bookmarkStart w:id="699" w:name="_Toc226965823"/>
      <w:r/>
      <w:bookmarkStart w:id="700" w:name="_Toc305158892"/>
      <w:r/>
      <w:bookmarkStart w:id="701" w:name="_Toc305158818"/>
      <w:r/>
      <w:bookmarkStart w:id="702" w:name="_Toc150774755"/>
      <w:r/>
      <w:bookmarkStart w:id="703" w:name="_Ref467307204"/>
      <w:r/>
      <w:bookmarkStart w:id="704" w:name="_Toc150774650"/>
      <w:r/>
      <w:bookmarkStart w:id="705" w:name="_Toc226965740"/>
      <w:r/>
      <w:bookmarkStart w:id="706" w:name="_Toc265228388"/>
      <w:r/>
      <w:bookmarkStart w:id="707" w:name="_Ref467306978"/>
      <w:r/>
      <w:bookmarkStart w:id="708" w:name="_Toc264969240"/>
      <w:r/>
      <w:bookmarkStart w:id="709" w:name="_Toc151193938"/>
      <w:r/>
      <w:bookmarkStart w:id="710" w:name="_Toc164608819"/>
      <w:r/>
      <w:bookmarkStart w:id="711" w:name="_Toc127151751"/>
      <w:r/>
      <w:bookmarkStart w:id="712" w:name="_Toc151193792"/>
      <w:r/>
      <w:bookmarkStart w:id="713" w:name="_Toc151193648"/>
      <w:r/>
      <w:bookmarkStart w:id="714" w:name="_Toc142311052"/>
      <w:r/>
      <w:bookmarkStart w:id="715" w:name="_Toc164229391"/>
      <w:r/>
      <w:bookmarkStart w:id="716" w:name="_Toc150480788"/>
      <w:r/>
      <w:bookmarkStart w:id="717" w:name="_Toc150509301"/>
      <w:r/>
      <w:bookmarkStart w:id="718" w:name="_Toc151193720"/>
      <w:r/>
      <w:bookmarkStart w:id="719" w:name="_Toc520356175"/>
      <w:r/>
      <w:bookmarkStart w:id="720" w:name="_Toc149720843"/>
      <w:r/>
      <w:bookmarkStart w:id="721" w:name="_Toc164229245"/>
      <w:r/>
      <w:bookmarkStart w:id="722" w:name="_Toc195842915"/>
      <w:r/>
      <w:bookmarkStart w:id="723" w:name="_Toc127161464"/>
      <w:r>
        <w:rPr>
          <w:rFonts w:hint="eastAsia" w:ascii="宋体" w:hAnsi="宋体" w:cs="宋体"/>
          <w:b/>
          <w:color w:val="000000"/>
          <w:sz w:val="24"/>
          <w:highlight w:val="none"/>
        </w:rPr>
        <w:t xml:space="preserve">签订合同</w:t>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73"/>
      <w:r/>
      <w:bookmarkEnd w:id="674"/>
      <w:r/>
      <w:bookmarkEnd w:id="675"/>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70"/>
        <w:numPr>
          <w:ilvl w:val="2"/>
          <w:numId w:val="8"/>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46"/>
          <w:rFonts w:hint="eastAsia" w:ascii="宋体" w:hAnsi="宋体" w:cs="宋体"/>
          <w:color w:val="000000"/>
          <w:highlight w:val="none"/>
        </w:rPr>
        <w:t xml:space="preserve">http://gk</w:t>
      </w:r>
      <w:bookmarkStart w:id="724" w:name="_Hlt100654014"/>
      <w:r>
        <w:rPr>
          <w:rStyle w:val="1146"/>
          <w:rFonts w:hint="eastAsia" w:ascii="宋体" w:hAnsi="宋体" w:cs="宋体"/>
          <w:color w:val="000000"/>
          <w:highlight w:val="none"/>
        </w:rPr>
        <w:t xml:space="preserve">s</w:t>
      </w:r>
      <w:bookmarkEnd w:id="724"/>
      <w:r>
        <w:rPr>
          <w:rStyle w:val="1146"/>
          <w:rFonts w:hint="eastAsia" w:ascii="宋体" w:hAnsi="宋体" w:cs="宋体"/>
          <w:color w:val="000000"/>
          <w:highlight w:val="none"/>
        </w:rPr>
        <w:t xml:space="preserve">.m</w:t>
      </w:r>
      <w:bookmarkStart w:id="725" w:name="_Hlt100653993"/>
      <w:r/>
      <w:bookmarkStart w:id="726" w:name="_Hlt100653994"/>
      <w:r>
        <w:rPr>
          <w:rStyle w:val="1146"/>
          <w:rFonts w:hint="eastAsia" w:ascii="宋体" w:hAnsi="宋体" w:cs="宋体"/>
          <w:color w:val="000000"/>
          <w:highlight w:val="none"/>
        </w:rPr>
        <w:t xml:space="preserve">o</w:t>
      </w:r>
      <w:bookmarkEnd w:id="725"/>
      <w:r/>
      <w:bookmarkEnd w:id="726"/>
      <w:r>
        <w:rPr>
          <w:rStyle w:val="1146"/>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70"/>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0"/>
        <w:jc w:val="center"/>
        <w:spacing w:line="360" w:lineRule="auto"/>
        <w:rPr>
          <w:rFonts w:hint="eastAsia" w:ascii="宋体" w:hAnsi="宋体" w:cs="宋体"/>
          <w:b/>
          <w:color w:val="000000"/>
          <w:sz w:val="36"/>
          <w:szCs w:val="36"/>
          <w:highlight w:val="none"/>
        </w:rPr>
        <w:outlineLvl w:val="0"/>
      </w:pPr>
      <w:r/>
      <w:bookmarkStart w:id="727" w:name="_Toc226337250"/>
      <w:r/>
      <w:bookmarkStart w:id="728" w:name="_Toc305158822"/>
      <w:r/>
      <w:bookmarkStart w:id="729" w:name="_Toc265228392"/>
      <w:r/>
      <w:bookmarkStart w:id="730" w:name="_Toc353825544"/>
      <w:r/>
      <w:bookmarkStart w:id="731" w:name="_Toc305158896"/>
      <w:r/>
      <w:bookmarkStart w:id="732" w:name="_Toc142311056"/>
      <w:r/>
      <w:bookmarkStart w:id="733" w:name="_Toc150774759"/>
      <w:r/>
      <w:bookmarkStart w:id="734" w:name="_Toc150480792"/>
      <w:r/>
      <w:bookmarkStart w:id="735" w:name="_Toc127151554"/>
      <w:r/>
      <w:bookmarkStart w:id="736" w:name="_Toc226965827"/>
      <w:r/>
      <w:bookmarkStart w:id="737" w:name="_Toc353873664"/>
      <w:r/>
      <w:bookmarkStart w:id="738" w:name="_Toc353873934"/>
      <w:r/>
      <w:bookmarkStart w:id="739" w:name="_Toc264969244"/>
      <w:r>
        <w:rPr>
          <w:rFonts w:hint="eastAsia" w:ascii="宋体" w:hAnsi="宋体" w:cs="宋体"/>
          <w:color w:val="000000"/>
          <w:sz w:val="24"/>
          <w:highlight w:val="none"/>
        </w:rPr>
        <w:br w:type="page" w:clear="all"/>
      </w:r>
      <w:bookmarkStart w:id="740" w:name="_Toc99301421"/>
      <w:r>
        <w:rPr>
          <w:rFonts w:hint="eastAsia" w:ascii="宋体" w:hAnsi="宋体" w:cs="宋体"/>
          <w:b/>
          <w:color w:val="000000"/>
          <w:sz w:val="36"/>
          <w:szCs w:val="36"/>
          <w:highlight w:val="none"/>
        </w:rPr>
        <w:t xml:space="preserve">第三章   </w:t>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rPr>
          <w:rFonts w:hint="eastAsia" w:ascii="宋体" w:hAnsi="宋体" w:cs="宋体"/>
          <w:b/>
          <w:color w:val="000000"/>
          <w:sz w:val="36"/>
          <w:szCs w:val="36"/>
          <w:highlight w:val="none"/>
        </w:rPr>
        <w:t xml:space="preserve">资格审查</w:t>
      </w:r>
      <w:bookmarkEnd w:id="740"/>
      <w:r/>
      <w:bookmarkStart w:id="741" w:name="_Toc487900382"/>
      <w:r>
        <w:rPr>
          <w:rFonts w:hint="eastAsia" w:ascii="宋体" w:hAnsi="宋体" w:cs="宋体"/>
          <w:b/>
          <w:color w:val="000000"/>
          <w:sz w:val="36"/>
          <w:szCs w:val="36"/>
          <w:highlight w:val="none"/>
        </w:rPr>
      </w:r>
      <w:r/>
    </w:p>
    <w:p>
      <w:pPr>
        <w:pStyle w:val="1070"/>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42" w:name="_Toc99301422"/>
      <w:r>
        <w:rPr>
          <w:rFonts w:hint="eastAsia" w:ascii="宋体" w:hAnsi="宋体" w:cs="宋体"/>
          <w:b/>
          <w:color w:val="000000"/>
          <w:sz w:val="24"/>
          <w:highlight w:val="none"/>
        </w:rPr>
        <w:t xml:space="preserve">一、资格审查程序</w:t>
      </w:r>
      <w:bookmarkEnd w:id="742"/>
      <w:r>
        <w:rPr>
          <w:rFonts w:hint="eastAsia" w:ascii="宋体" w:hAnsi="宋体" w:cs="宋体"/>
          <w:b/>
          <w:color w:val="000000"/>
          <w:sz w:val="24"/>
          <w:highlight w:val="none"/>
        </w:rPr>
      </w:r>
      <w:r/>
    </w:p>
    <w:p>
      <w:pPr>
        <w:pStyle w:val="1070"/>
        <w:numPr>
          <w:ilvl w:val="0"/>
          <w:numId w:val="11"/>
        </w:numPr>
        <w:ind w:left="0" w:firstLine="480"/>
        <w:spacing w:line="360" w:lineRule="auto"/>
        <w:tabs>
          <w:tab w:val="left" w:pos="284"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284"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284"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284"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70"/>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bookmarkStart w:id="743" w:name="_Hlt487972895"/>
            <w:r/>
            <w:bookmarkEnd w:id="743"/>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70"/>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1992"/>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是否接受联合体投标</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本项目不接受联合体投标时，投标人不得为联合体。</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提供《联合协议》原件的电子件</w:t>
            </w:r>
            <w:r>
              <w:rPr>
                <w:rFonts w:hint="eastAsia" w:ascii="宋体" w:hAnsi="宋体" w:cs="宋体"/>
                <w:color w:val="000000"/>
                <w:sz w:val="24"/>
                <w:highlight w:val="none"/>
              </w:rPr>
            </w:r>
            <w:r/>
          </w:p>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70"/>
        <w:jc w:val="left"/>
        <w:widowControl/>
        <w:rPr>
          <w:rFonts w:hint="eastAsia" w:ascii="宋体" w:hAnsi="宋体" w:cs="宋体"/>
          <w:color w:val="000000"/>
          <w:sz w:val="24"/>
          <w:highlight w:val="none"/>
        </w:rPr>
      </w:pPr>
      <w:r/>
      <w:bookmarkEnd w:id="741"/>
      <w:r/>
      <w:bookmarkStart w:id="744" w:name="_Toc127161490"/>
      <w:r/>
      <w:bookmarkStart w:id="745" w:name="_Toc127151779"/>
      <w:r/>
      <w:bookmarkStart w:id="746" w:name="_Toc353873940"/>
      <w:r/>
      <w:bookmarkStart w:id="747" w:name="_Toc353825550"/>
      <w:r/>
      <w:bookmarkStart w:id="748" w:name="_Toc226965858"/>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0"/>
        <w:jc w:val="center"/>
        <w:spacing w:line="360" w:lineRule="auto"/>
        <w:rPr>
          <w:rFonts w:hint="eastAsia" w:ascii="宋体" w:hAnsi="宋体" w:cs="宋体"/>
          <w:b/>
          <w:color w:val="000000"/>
          <w:sz w:val="36"/>
          <w:szCs w:val="36"/>
          <w:highlight w:val="none"/>
        </w:rPr>
        <w:outlineLvl w:val="0"/>
      </w:pPr>
      <w:r/>
      <w:bookmarkStart w:id="749" w:name="_Toc99301423"/>
      <w:r>
        <w:rPr>
          <w:rFonts w:hint="eastAsia" w:ascii="宋体" w:hAnsi="宋体" w:cs="宋体"/>
          <w:b/>
          <w:color w:val="000000"/>
          <w:sz w:val="36"/>
          <w:szCs w:val="36"/>
          <w:highlight w:val="none"/>
        </w:rPr>
        <w:t xml:space="preserve">第四章   </w:t>
      </w:r>
      <w:bookmarkEnd w:id="744"/>
      <w:r/>
      <w:bookmarkEnd w:id="745"/>
      <w:r/>
      <w:bookmarkEnd w:id="746"/>
      <w:r/>
      <w:bookmarkEnd w:id="747"/>
      <w:r/>
      <w:bookmarkEnd w:id="748"/>
      <w:r/>
      <w:bookmarkStart w:id="750" w:name="_Hlt164229061"/>
      <w:r/>
      <w:bookmarkEnd w:id="750"/>
      <w:r>
        <w:rPr>
          <w:rFonts w:hint="eastAsia" w:ascii="宋体" w:hAnsi="宋体" w:cs="宋体"/>
          <w:b/>
          <w:color w:val="000000"/>
          <w:sz w:val="36"/>
          <w:szCs w:val="36"/>
          <w:highlight w:val="none"/>
        </w:rPr>
        <w:t xml:space="preserve">评标程序、评标方法和评标标准</w:t>
      </w:r>
      <w:bookmarkEnd w:id="749"/>
      <w:r>
        <w:rPr>
          <w:rFonts w:hint="eastAsia" w:ascii="宋体" w:hAnsi="宋体" w:cs="宋体"/>
          <w:b/>
          <w:color w:val="000000"/>
          <w:sz w:val="36"/>
          <w:szCs w:val="36"/>
          <w:highlight w:val="none"/>
        </w:rPr>
      </w:r>
      <w:r/>
    </w:p>
    <w:p>
      <w:pPr>
        <w:pStyle w:val="1070"/>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70"/>
        <w:numPr>
          <w:ilvl w:val="0"/>
          <w:numId w:val="12"/>
        </w:numPr>
        <w:ind w:left="0" w:firstLine="482"/>
        <w:spacing w:line="360" w:lineRule="auto"/>
        <w:tabs>
          <w:tab w:val="left" w:pos="360" w:leader="none"/>
          <w:tab w:val="left" w:pos="851" w:leader="none"/>
          <w:tab w:val="left" w:pos="900" w:leader="none"/>
        </w:tabs>
        <w:rPr>
          <w:rFonts w:hint="eastAsia" w:ascii="宋体" w:hAnsi="宋体" w:cs="宋体"/>
          <w:b/>
          <w:color w:val="000000"/>
          <w:sz w:val="24"/>
          <w:highlight w:val="none"/>
        </w:rPr>
        <w:outlineLvl w:val="1"/>
      </w:pPr>
      <w:r/>
      <w:bookmarkStart w:id="751" w:name="_Toc226337237"/>
      <w:r/>
      <w:bookmarkStart w:id="752" w:name="_Toc151190168"/>
      <w:r/>
      <w:bookmarkStart w:id="753" w:name="_Toc151193639"/>
      <w:r/>
      <w:bookmarkStart w:id="754" w:name="_Toc150480779"/>
      <w:r/>
      <w:bookmarkStart w:id="755" w:name="_Toc151193855"/>
      <w:r/>
      <w:bookmarkStart w:id="756" w:name="_Toc305158809"/>
      <w:r/>
      <w:bookmarkStart w:id="757" w:name="_Toc151193711"/>
      <w:r/>
      <w:bookmarkStart w:id="758" w:name="_Toc195842906"/>
      <w:r/>
      <w:bookmarkStart w:id="759" w:name="_Toc151193783"/>
      <w:r/>
      <w:bookmarkStart w:id="760" w:name="_Toc150774746"/>
      <w:r/>
      <w:bookmarkStart w:id="761" w:name="_Toc164608655"/>
      <w:r/>
      <w:bookmarkStart w:id="762" w:name="_Toc127151742"/>
      <w:r/>
      <w:bookmarkStart w:id="763" w:name="_Toc142311043"/>
      <w:r/>
      <w:bookmarkStart w:id="764" w:name="_Toc150774641"/>
      <w:r/>
      <w:bookmarkStart w:id="765" w:name="_Toc164608810"/>
      <w:r/>
      <w:bookmarkStart w:id="766" w:name="_Toc353825551"/>
      <w:r/>
      <w:bookmarkStart w:id="767" w:name="_Toc353873941"/>
      <w:r/>
      <w:bookmarkStart w:id="768" w:name="_Toc150509292"/>
      <w:r/>
      <w:bookmarkStart w:id="769" w:name="_Toc226309785"/>
      <w:r/>
      <w:bookmarkStart w:id="770" w:name="_Toc265228379"/>
      <w:r/>
      <w:bookmarkStart w:id="771" w:name="_Toc127151541"/>
      <w:r/>
      <w:bookmarkStart w:id="772" w:name="_Toc149720834"/>
      <w:r/>
      <w:bookmarkStart w:id="773" w:name="_Toc164351635"/>
      <w:r/>
      <w:bookmarkStart w:id="774" w:name="_Toc305158883"/>
      <w:r/>
      <w:bookmarkStart w:id="775" w:name="_Toc226965731"/>
      <w:r/>
      <w:bookmarkStart w:id="776" w:name="_Toc127161455"/>
      <w:r/>
      <w:bookmarkStart w:id="777" w:name="_Toc151193929"/>
      <w:r/>
      <w:bookmarkStart w:id="778" w:name="_Toc164229236"/>
      <w:r/>
      <w:bookmarkStart w:id="779" w:name="_Toc164229382"/>
      <w:r/>
      <w:bookmarkStart w:id="780" w:name="_Toc264969231"/>
      <w:r/>
      <w:bookmarkStart w:id="781" w:name="_Toc226965814"/>
      <w:r>
        <w:rPr>
          <w:rFonts w:hint="eastAsia" w:ascii="宋体" w:hAnsi="宋体" w:cs="宋体"/>
          <w:b/>
          <w:color w:val="000000"/>
          <w:sz w:val="24"/>
          <w:highlight w:val="none"/>
        </w:rPr>
        <w:t xml:space="preserve">投标文件的符合性审查</w:t>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993"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70"/>
        <w:numPr>
          <w:ilvl w:val="1"/>
          <w:numId w:val="12"/>
        </w:numPr>
        <w:ind w:left="0" w:firstLine="480"/>
        <w:spacing w:line="360" w:lineRule="auto"/>
        <w:tabs>
          <w:tab w:val="left" w:pos="993"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7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7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70"/>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12"/>
        </w:numPr>
        <w:ind w:left="0" w:firstLine="420"/>
        <w:spacing w:line="360" w:lineRule="auto"/>
        <w:tabs>
          <w:tab w:val="left" w:pos="0" w:leader="none"/>
          <w:tab w:val="left" w:pos="42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070"/>
        <w:numPr>
          <w:ilvl w:val="2"/>
          <w:numId w:val="12"/>
        </w:numPr>
        <w:ind w:left="0" w:firstLine="420"/>
        <w:spacing w:line="360" w:lineRule="auto"/>
        <w:tabs>
          <w:tab w:val="left" w:pos="0" w:leader="none"/>
          <w:tab w:val="left" w:pos="42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070"/>
        <w:numPr>
          <w:ilvl w:val="2"/>
          <w:numId w:val="12"/>
        </w:numPr>
        <w:ind w:left="0" w:firstLine="420"/>
        <w:spacing w:line="360" w:lineRule="auto"/>
        <w:tabs>
          <w:tab w:val="left" w:pos="0" w:leader="none"/>
          <w:tab w:val="left" w:pos="42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070"/>
        <w:numPr>
          <w:ilvl w:val="2"/>
          <w:numId w:val="12"/>
        </w:numPr>
        <w:ind w:left="0" w:firstLine="420"/>
        <w:spacing w:line="360" w:lineRule="auto"/>
        <w:tabs>
          <w:tab w:val="left" w:pos="0" w:leader="none"/>
          <w:tab w:val="left" w:pos="42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070"/>
        <w:numPr>
          <w:ilvl w:val="2"/>
          <w:numId w:val="12"/>
        </w:numPr>
        <w:ind w:left="0" w:firstLine="420"/>
        <w:spacing w:line="360" w:lineRule="auto"/>
        <w:tabs>
          <w:tab w:val="left" w:pos="0" w:leader="none"/>
          <w:tab w:val="left" w:pos="42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070"/>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70"/>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6"/>
      <w:r/>
      <w:bookmarkEnd w:id="767"/>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Toc151193644"/>
      <w:r/>
      <w:bookmarkStart w:id="784" w:name="_Toc195842911"/>
      <w:r/>
      <w:bookmarkStart w:id="785" w:name="_Toc226965819"/>
      <w:r/>
      <w:bookmarkStart w:id="786" w:name="_Toc164608815"/>
      <w:r/>
      <w:bookmarkStart w:id="787" w:name="_Toc151193860"/>
      <w:r/>
      <w:bookmarkStart w:id="788" w:name="_Toc305158888"/>
      <w:r/>
      <w:bookmarkStart w:id="789" w:name="_Toc164608660"/>
      <w:r/>
      <w:bookmarkStart w:id="790" w:name="_Toc150480784"/>
      <w:r/>
      <w:bookmarkStart w:id="791" w:name="_Toc151193934"/>
      <w:r/>
      <w:bookmarkStart w:id="792" w:name="_Toc150774751"/>
      <w:r/>
      <w:bookmarkStart w:id="793" w:name="_Toc164229387"/>
      <w:r/>
      <w:bookmarkStart w:id="794" w:name="_Toc149720839"/>
      <w:r/>
      <w:bookmarkStart w:id="795" w:name="_Toc305158814"/>
      <w:r/>
      <w:bookmarkStart w:id="796" w:name="_Toc151193716"/>
      <w:r/>
      <w:bookmarkStart w:id="797" w:name="_Toc226965736"/>
      <w:r/>
      <w:bookmarkStart w:id="798" w:name="_Ref467307010"/>
      <w:r/>
      <w:bookmarkStart w:id="799" w:name="_Toc151193788"/>
      <w:r/>
      <w:bookmarkStart w:id="800" w:name="_Toc150509297"/>
      <w:r/>
      <w:bookmarkStart w:id="801" w:name="_Toc151190173"/>
      <w:r/>
      <w:bookmarkStart w:id="802" w:name="_Toc127151747"/>
      <w:r/>
      <w:bookmarkStart w:id="803" w:name="_Toc150774646"/>
      <w:r/>
      <w:bookmarkStart w:id="804" w:name="_Toc265228384"/>
      <w:r/>
      <w:bookmarkStart w:id="805" w:name="_Toc520356170"/>
      <w:r/>
      <w:bookmarkStart w:id="806" w:name="_Toc127161460"/>
      <w:r/>
      <w:bookmarkStart w:id="807" w:name="_Toc164351640"/>
      <w:r/>
      <w:bookmarkStart w:id="808" w:name="_Toc264969236"/>
      <w:r/>
      <w:bookmarkStart w:id="809" w:name="_Toc226309790"/>
      <w:r/>
      <w:bookmarkStart w:id="810" w:name="_Toc142311048"/>
      <w:r/>
      <w:bookmarkStart w:id="811" w:name="_Toc127151546"/>
      <w:r/>
      <w:bookmarkStart w:id="812" w:name="_Toc226337242"/>
      <w:r/>
      <w:bookmarkStart w:id="813" w:name="_Toc164229241"/>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09"/>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09"/>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70"/>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70"/>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p>
      <w:pPr>
        <w:pStyle w:val="1070"/>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tbl>
      <w:tblPr>
        <w:tblW w:w="5000"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1371"/>
        <w:gridCol w:w="883"/>
        <w:gridCol w:w="3612"/>
        <w:gridCol w:w="2584"/>
      </w:tblGrid>
      <w:tr>
        <w:trPr>
          <w:trHeight w:val="170"/>
        </w:trPr>
        <w:tc>
          <w:tcPr>
            <w:tcW w:w="451"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738"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475"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944"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391" w:type="dxa"/>
            <w:vAlign w:val="center"/>
            <w:textDirection w:val="lrTb"/>
            <w:noWrap w:val="false"/>
          </w:tcPr>
          <w:p>
            <w:pPr>
              <w:pStyle w:val="1132"/>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451"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1</w:t>
            </w:r>
            <w:r>
              <w:rPr>
                <w:rFonts w:hint="eastAsia" w:ascii="宋体" w:hAnsi="宋体" w:cs="宋体"/>
                <w:b/>
                <w:color w:val="000000"/>
                <w:sz w:val="24"/>
                <w:highlight w:val="none"/>
              </w:rPr>
            </w:r>
            <w:r/>
          </w:p>
        </w:tc>
        <w:tc>
          <w:tcPr>
            <w:tcW w:w="738"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475"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30</w:t>
            </w:r>
            <w:r>
              <w:rPr>
                <w:rFonts w:hint="eastAsia" w:ascii="宋体" w:hAnsi="宋体" w:cs="宋体"/>
                <w:color w:val="000000"/>
                <w:sz w:val="24"/>
                <w:highlight w:val="none"/>
              </w:rPr>
            </w:r>
            <w:r/>
          </w:p>
        </w:tc>
        <w:tc>
          <w:tcPr>
            <w:tcW w:w="1944" w:type="dxa"/>
            <w:vAlign w:val="center"/>
            <w:textDirection w:val="lrTb"/>
            <w:noWrap w:val="false"/>
          </w:tcPr>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1070"/>
              <w:spacing w:line="360" w:lineRule="exact"/>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投标报价得分=（评标基准价/投标报价）*30</w:t>
            </w:r>
            <w:r>
              <w:rPr>
                <w:rFonts w:hint="eastAsia" w:ascii="宋体" w:hAnsi="宋体" w:cs="宋体"/>
                <w:b/>
                <w:color w:val="000000"/>
                <w:sz w:val="24"/>
                <w:highlight w:val="none"/>
              </w:rPr>
            </w:r>
            <w:r/>
          </w:p>
        </w:tc>
        <w:tc>
          <w:tcPr>
            <w:tcW w:w="1391" w:type="dxa"/>
            <w:vAlign w:val="center"/>
            <w:textDirection w:val="lrTb"/>
            <w:noWrap w:val="false"/>
          </w:tcPr>
          <w:p>
            <w:pPr>
              <w:pStyle w:val="107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此处投标报价指经过报价修正，及因落实政府采购政策进行价格调整后的报价，详见第三章《评标方法和评标标准》</w:t>
            </w: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738" w:type="dxa"/>
            <w:vAlign w:val="center"/>
            <w:textDirection w:val="lrTb"/>
            <w:noWrap w:val="false"/>
          </w:tcPr>
          <w:p>
            <w:pPr>
              <w:pStyle w:val="1070"/>
              <w:ind w:firstLine="28"/>
              <w:jc w:val="center"/>
              <w:rPr>
                <w:rFonts w:hint="eastAsia" w:ascii="宋体" w:hAnsi="宋体" w:cs="宋体"/>
                <w:color w:val="000000"/>
                <w:sz w:val="24"/>
                <w:highlight w:val="none"/>
              </w:rPr>
            </w:pPr>
            <w:r>
              <w:rPr>
                <w:rFonts w:ascii="宋体" w:hAnsi="宋体" w:cs="宋体"/>
                <w:color w:val="000000"/>
                <w:sz w:val="24"/>
                <w:highlight w:val="none"/>
              </w:rPr>
              <w:t xml:space="preserve">主观分</w:t>
            </w:r>
            <w:r>
              <w:rPr>
                <w:rFonts w:hint="eastAsia" w:ascii="宋体" w:hAnsi="宋体" w:cs="宋体"/>
                <w:color w:val="000000"/>
                <w:sz w:val="24"/>
                <w:highlight w:val="none"/>
              </w:rPr>
            </w:r>
            <w:r/>
          </w:p>
        </w:tc>
        <w:tc>
          <w:tcPr>
            <w:tcW w:w="475" w:type="dxa"/>
            <w:vAlign w:val="center"/>
            <w:textDirection w:val="lrTb"/>
            <w:noWrap w:val="false"/>
          </w:tcPr>
          <w:p>
            <w:pPr>
              <w:pStyle w:val="1070"/>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33</w:t>
            </w:r>
            <w:r>
              <w:rPr>
                <w:rFonts w:ascii="宋体" w:hAnsi="宋体" w:cs="宋体"/>
                <w:color w:val="000000"/>
                <w:sz w:val="24"/>
                <w:highlight w:val="none"/>
              </w:rPr>
            </w:r>
            <w:r/>
          </w:p>
        </w:tc>
        <w:tc>
          <w:tcPr>
            <w:tcW w:w="1944" w:type="dxa"/>
            <w:vAlign w:val="center"/>
            <w:textDirection w:val="lrTb"/>
            <w:noWrap w:val="false"/>
          </w:tcPr>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91"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0"/>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2.1</w:t>
            </w:r>
            <w:r>
              <w:rPr>
                <w:rFonts w:ascii="宋体" w:hAnsi="宋体" w:cs="宋体"/>
                <w:color w:val="000000"/>
                <w:sz w:val="24"/>
                <w:highlight w:val="none"/>
                <w:lang w:bidi="ar"/>
              </w:rPr>
            </w:r>
            <w:r/>
          </w:p>
        </w:tc>
        <w:tc>
          <w:tcPr>
            <w:tcW w:w="738" w:type="dxa"/>
            <w:vAlign w:val="center"/>
            <w:textDirection w:val="lrTb"/>
            <w:noWrap w:val="false"/>
          </w:tcPr>
          <w:p>
            <w:pPr>
              <w:pStyle w:val="1070"/>
              <w:jc w:val="left"/>
              <w:spacing w:line="360" w:lineRule="exact"/>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项目实施方案</w:t>
            </w:r>
            <w:r>
              <w:rPr>
                <w:rFonts w:hint="eastAsia" w:ascii="宋体" w:hAnsi="宋体" w:cs="宋体"/>
                <w:color w:val="000000"/>
                <w:sz w:val="24"/>
                <w:highlight w:val="none"/>
              </w:rPr>
            </w:r>
            <w:r/>
          </w:p>
        </w:tc>
        <w:tc>
          <w:tcPr>
            <w:tcW w:w="475"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944" w:type="dxa"/>
            <w:vAlign w:val="center"/>
            <w:textDirection w:val="lrTb"/>
            <w:noWrap w:val="false"/>
          </w:tcPr>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投标人提供项目实施方案，包括但不限于项目整体管理方案、人员组织管理及架构设置、项目整体实施进度计划及推进方案等。</w:t>
            </w:r>
            <w:r>
              <w:rPr>
                <w:rFonts w:hint="eastAsia" w:ascii="宋体" w:hAnsi="宋体" w:cs="宋体"/>
                <w:color w:val="000000"/>
                <w:sz w:val="24"/>
                <w:highlight w:val="none"/>
              </w:rPr>
            </w:r>
            <w:r/>
          </w:p>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方案内容全面，详细合理，针对性强，技术保障措施完善，得5分；</w:t>
            </w:r>
            <w:r>
              <w:rPr>
                <w:rFonts w:hint="eastAsia" w:ascii="宋体" w:hAnsi="宋体" w:cs="宋体"/>
                <w:color w:val="000000"/>
                <w:sz w:val="24"/>
                <w:highlight w:val="none"/>
              </w:rPr>
            </w:r>
            <w:r/>
          </w:p>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方案内容较全面合理，针对性一般，技术保障措施较为完善，得3分；</w:t>
            </w:r>
            <w:r>
              <w:rPr>
                <w:rFonts w:hint="eastAsia" w:ascii="宋体" w:hAnsi="宋体" w:cs="宋体"/>
                <w:color w:val="000000"/>
                <w:sz w:val="24"/>
                <w:highlight w:val="none"/>
              </w:rPr>
            </w:r>
            <w:r/>
          </w:p>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方案内容简单，未突出重点，技术保障措施一般，得1分；</w:t>
            </w:r>
            <w:r>
              <w:rPr>
                <w:rFonts w:hint="eastAsia" w:ascii="宋体" w:hAnsi="宋体" w:cs="宋体"/>
                <w:color w:val="000000"/>
                <w:sz w:val="24"/>
                <w:highlight w:val="none"/>
              </w:rPr>
            </w:r>
            <w:r/>
          </w:p>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未提供的不得分。</w:t>
            </w:r>
            <w:r>
              <w:rPr>
                <w:rFonts w:hint="eastAsia" w:ascii="宋体" w:hAnsi="宋体" w:cs="宋体"/>
                <w:color w:val="000000"/>
                <w:sz w:val="24"/>
                <w:highlight w:val="none"/>
              </w:rPr>
            </w:r>
            <w:r/>
          </w:p>
        </w:tc>
        <w:tc>
          <w:tcPr>
            <w:tcW w:w="1391"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0"/>
              <w:jc w:val="left"/>
              <w:spacing w:line="360" w:lineRule="exact"/>
              <w:widowControl/>
              <w:rPr>
                <w:rFonts w:hint="eastAsia" w:ascii="宋体" w:hAnsi="宋体" w:cs="宋体"/>
                <w:color w:val="000000"/>
                <w:sz w:val="24"/>
                <w:highlight w:val="none"/>
                <w:lang w:bidi="ar"/>
              </w:rPr>
            </w:pPr>
            <w:r>
              <w:rPr>
                <w:rFonts w:hint="eastAsia" w:ascii="宋体" w:hAnsi="宋体" w:cs="宋体"/>
                <w:color w:val="000000"/>
                <w:szCs w:val="21"/>
                <w:highlight w:val="none"/>
              </w:rPr>
              <w:t xml:space="preserve">2.2</w:t>
            </w:r>
            <w:r>
              <w:rPr>
                <w:rFonts w:hint="eastAsia" w:ascii="宋体" w:hAnsi="宋体" w:cs="宋体"/>
                <w:color w:val="000000"/>
                <w:sz w:val="24"/>
                <w:highlight w:val="none"/>
                <w:lang w:bidi="ar"/>
              </w:rPr>
            </w:r>
            <w:r/>
          </w:p>
        </w:tc>
        <w:tc>
          <w:tcPr>
            <w:tcW w:w="738" w:type="dxa"/>
            <w:vAlign w:val="center"/>
            <w:textDirection w:val="lrTb"/>
            <w:noWrap w:val="false"/>
          </w:tcPr>
          <w:p>
            <w:pPr>
              <w:pStyle w:val="1070"/>
              <w:jc w:val="left"/>
              <w:spacing w:line="360" w:lineRule="exact"/>
              <w:widowControl/>
              <w:tabs>
                <w:tab w:val="left" w:pos="1200" w:leader="none"/>
              </w:tabs>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运输安装调试方案</w:t>
            </w:r>
            <w:r>
              <w:rPr>
                <w:rFonts w:hint="eastAsia" w:ascii="宋体" w:hAnsi="宋体" w:cs="宋体"/>
                <w:color w:val="000000"/>
                <w:sz w:val="24"/>
                <w:highlight w:val="none"/>
                <w:lang w:bidi="ar"/>
              </w:rPr>
            </w:r>
            <w:r/>
          </w:p>
        </w:tc>
        <w:tc>
          <w:tcPr>
            <w:tcW w:w="475" w:type="dxa"/>
            <w:vAlign w:val="center"/>
            <w:textDirection w:val="lrTb"/>
            <w:noWrap w:val="false"/>
          </w:tcPr>
          <w:p>
            <w:pPr>
              <w:pStyle w:val="1070"/>
              <w:jc w:val="center"/>
              <w:spacing w:line="360" w:lineRule="exact"/>
              <w:widowControl/>
              <w:tabs>
                <w:tab w:val="left" w:pos="1200" w:leader="none"/>
              </w:tabs>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lang w:bidi="ar"/>
              </w:rPr>
            </w:r>
            <w:r/>
          </w:p>
        </w:tc>
        <w:tc>
          <w:tcPr>
            <w:tcW w:w="1944" w:type="dxa"/>
            <w:vAlign w:val="center"/>
            <w:textDirection w:val="lrTb"/>
            <w:noWrap w:val="false"/>
          </w:tcPr>
          <w:p>
            <w:pPr>
              <w:pStyle w:val="1070"/>
              <w:jc w:val="left"/>
              <w:spacing w:line="360" w:lineRule="exact"/>
              <w:widowControl/>
              <w:tabs>
                <w:tab w:val="left" w:pos="1200" w:leader="none"/>
              </w:tabs>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提供针对本项目的运输安装调试方案，包括但不限于设备出库、运输及货物保障、设备安装及初始化调试、设备验收检查流程等。</w:t>
            </w:r>
            <w:r>
              <w:rPr>
                <w:rFonts w:hint="eastAsia" w:ascii="宋体" w:hAnsi="宋体" w:cs="宋体"/>
                <w:color w:val="000000"/>
                <w:sz w:val="24"/>
                <w:highlight w:val="none"/>
                <w:lang w:bidi="ar"/>
              </w:rPr>
            </w:r>
            <w:r/>
          </w:p>
          <w:p>
            <w:pPr>
              <w:pStyle w:val="1070"/>
              <w:jc w:val="left"/>
              <w:spacing w:line="360" w:lineRule="exact"/>
              <w:widowControl/>
              <w:tabs>
                <w:tab w:val="left" w:pos="1200" w:leader="none"/>
              </w:tabs>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方案内容全面，详细合理，针对性强，技术保障措施完善，得5分；</w:t>
            </w:r>
            <w:r>
              <w:rPr>
                <w:rFonts w:hint="eastAsia" w:ascii="宋体" w:hAnsi="宋体" w:cs="宋体"/>
                <w:color w:val="000000"/>
                <w:sz w:val="24"/>
                <w:highlight w:val="none"/>
                <w:lang w:bidi="ar"/>
              </w:rPr>
            </w:r>
            <w:r/>
          </w:p>
          <w:p>
            <w:pPr>
              <w:pStyle w:val="1070"/>
              <w:jc w:val="left"/>
              <w:spacing w:line="360" w:lineRule="exact"/>
              <w:widowControl/>
              <w:tabs>
                <w:tab w:val="left" w:pos="1200" w:leader="none"/>
              </w:tabs>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方案内容较全面合理，针对性一般，技术保障措施较为完善，得3分；</w:t>
            </w:r>
            <w:r>
              <w:rPr>
                <w:rFonts w:hint="eastAsia" w:ascii="宋体" w:hAnsi="宋体" w:cs="宋体"/>
                <w:color w:val="000000"/>
                <w:sz w:val="24"/>
                <w:highlight w:val="none"/>
                <w:lang w:bidi="ar"/>
              </w:rPr>
            </w:r>
            <w:r/>
          </w:p>
          <w:p>
            <w:pPr>
              <w:pStyle w:val="1070"/>
              <w:jc w:val="left"/>
              <w:spacing w:line="360" w:lineRule="exact"/>
              <w:widowControl/>
              <w:tabs>
                <w:tab w:val="left" w:pos="1200" w:leader="none"/>
              </w:tabs>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方案内容简单，未突出重点，技术保障措施一般，得1分；</w:t>
            </w:r>
            <w:r>
              <w:rPr>
                <w:rFonts w:hint="eastAsia" w:ascii="宋体" w:hAnsi="宋体" w:cs="宋体"/>
                <w:color w:val="000000"/>
                <w:sz w:val="24"/>
                <w:highlight w:val="none"/>
                <w:lang w:bidi="ar"/>
              </w:rPr>
            </w:r>
            <w:r/>
          </w:p>
          <w:p>
            <w:pPr>
              <w:pStyle w:val="1070"/>
              <w:jc w:val="left"/>
              <w:spacing w:line="360" w:lineRule="exact"/>
              <w:widowControl/>
              <w:tabs>
                <w:tab w:val="left" w:pos="1200" w:leader="none"/>
              </w:tabs>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未提供的不得分。</w:t>
            </w:r>
            <w:r>
              <w:rPr>
                <w:rFonts w:hint="eastAsia" w:ascii="宋体" w:hAnsi="宋体" w:cs="宋体"/>
                <w:color w:val="000000"/>
                <w:sz w:val="24"/>
                <w:highlight w:val="none"/>
                <w:lang w:bidi="ar"/>
              </w:rPr>
            </w:r>
            <w:r/>
          </w:p>
        </w:tc>
        <w:tc>
          <w:tcPr>
            <w:tcW w:w="1391"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0"/>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2.3</w:t>
            </w:r>
            <w:r>
              <w:rPr>
                <w:rFonts w:ascii="宋体" w:hAnsi="宋体" w:cs="宋体"/>
                <w:color w:val="000000"/>
                <w:sz w:val="24"/>
                <w:highlight w:val="none"/>
                <w:lang w:bidi="ar"/>
              </w:rPr>
            </w:r>
            <w:r/>
          </w:p>
        </w:tc>
        <w:tc>
          <w:tcPr>
            <w:tcW w:w="738" w:type="dxa"/>
            <w:vAlign w:val="center"/>
            <w:textDirection w:val="lrTb"/>
            <w:noWrap w:val="false"/>
          </w:tcPr>
          <w:p>
            <w:pPr>
              <w:pStyle w:val="1132"/>
              <w:jc w:val="center"/>
              <w:spacing w:before="0" w:beforeAutospacing="0" w:after="0" w:afterAutospacing="0" w:line="360" w:lineRule="exact"/>
              <w:widowControl w:val="off"/>
              <w:rPr>
                <w:rFonts w:hint="eastAsia"/>
                <w:color w:val="000000"/>
                <w:highlight w:val="none"/>
              </w:rPr>
            </w:pPr>
            <w:r>
              <w:rPr>
                <w:rFonts w:hint="eastAsia"/>
                <w:color w:val="000000"/>
                <w:highlight w:val="none"/>
              </w:rPr>
              <w:t xml:space="preserve">产品质量保障方案</w:t>
            </w:r>
            <w:r>
              <w:rPr>
                <w:rFonts w:hint="eastAsia"/>
                <w:color w:val="000000"/>
                <w:highlight w:val="none"/>
              </w:rPr>
            </w:r>
            <w:r/>
          </w:p>
        </w:tc>
        <w:tc>
          <w:tcPr>
            <w:tcW w:w="475"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944" w:type="dxa"/>
            <w:vAlign w:val="center"/>
            <w:textDirection w:val="lrTb"/>
            <w:noWrap w:val="false"/>
          </w:tcPr>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投标人提供产品质量保障方案，包括货物质量保证、货物检验标准、货物来源渠道等。</w:t>
            </w:r>
            <w:r>
              <w:rPr>
                <w:rFonts w:hint="eastAsia"/>
                <w:color w:val="000000"/>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color w:val="000000"/>
                <w:highlight w:val="none"/>
              </w:rPr>
            </w:r>
            <w:r/>
          </w:p>
        </w:tc>
        <w:tc>
          <w:tcPr>
            <w:tcW w:w="1391"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0"/>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2.4</w:t>
            </w:r>
            <w:r>
              <w:rPr>
                <w:rFonts w:ascii="宋体" w:hAnsi="宋体" w:cs="宋体"/>
                <w:color w:val="000000"/>
                <w:sz w:val="24"/>
                <w:highlight w:val="none"/>
                <w:lang w:bidi="ar"/>
              </w:rPr>
            </w:r>
            <w:r/>
          </w:p>
        </w:tc>
        <w:tc>
          <w:tcPr>
            <w:tcW w:w="738"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培训方案</w:t>
            </w:r>
            <w:r>
              <w:rPr>
                <w:rFonts w:hint="eastAsia" w:ascii="宋体" w:hAnsi="宋体" w:cs="宋体"/>
                <w:color w:val="000000"/>
                <w:sz w:val="24"/>
                <w:highlight w:val="none"/>
              </w:rPr>
            </w:r>
            <w:r/>
          </w:p>
        </w:tc>
        <w:tc>
          <w:tcPr>
            <w:tcW w:w="475" w:type="dxa"/>
            <w:vAlign w:val="center"/>
            <w:textDirection w:val="lrTb"/>
            <w:noWrap w:val="false"/>
          </w:tcPr>
          <w:p>
            <w:pPr>
              <w:pStyle w:val="1070"/>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4</w:t>
            </w:r>
            <w:r>
              <w:rPr>
                <w:rFonts w:hint="eastAsia" w:ascii="宋体" w:hAnsi="宋体" w:eastAsia="宋体" w:cs="宋体"/>
                <w:color w:val="000000"/>
                <w:sz w:val="24"/>
                <w:highlight w:val="none"/>
                <w:lang w:eastAsia="zh-CN"/>
              </w:rPr>
            </w:r>
            <w:r/>
          </w:p>
        </w:tc>
        <w:tc>
          <w:tcPr>
            <w:tcW w:w="1944" w:type="dxa"/>
            <w:vAlign w:val="center"/>
            <w:textDirection w:val="lrTb"/>
            <w:noWrap w:val="false"/>
          </w:tcPr>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投标人培训方案情况比较：包括培训计划的内容、方式、时间、人次数等。</w:t>
            </w:r>
            <w:r>
              <w:rPr>
                <w:rFonts w:hint="eastAsia"/>
                <w:color w:val="000000"/>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培训方案详细具体，可行性高，优于项目需求的得</w:t>
            </w:r>
            <w:r>
              <w:rPr>
                <w:rFonts w:hint="eastAsia"/>
                <w:color w:val="000000"/>
                <w:highlight w:val="none"/>
                <w:lang w:val="en-US" w:eastAsia="zh-CN"/>
              </w:rPr>
              <w:t xml:space="preserve">4</w:t>
            </w:r>
            <w:r>
              <w:rPr>
                <w:rFonts w:hint="eastAsia"/>
                <w:color w:val="000000"/>
                <w:highlight w:val="none"/>
              </w:rPr>
              <w:t xml:space="preserve">分；</w:t>
            </w:r>
            <w:r>
              <w:rPr>
                <w:rFonts w:hint="eastAsia"/>
                <w:color w:val="000000"/>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培训方案较为详细具体，可行性较高，满足项目需求的得</w:t>
            </w:r>
            <w:r>
              <w:rPr>
                <w:rFonts w:hint="eastAsia"/>
                <w:color w:val="000000"/>
                <w:highlight w:val="none"/>
                <w:lang w:val="en-US" w:eastAsia="zh-CN"/>
              </w:rPr>
              <w:t xml:space="preserve">2.5</w:t>
            </w:r>
            <w:r>
              <w:rPr>
                <w:rFonts w:hint="eastAsia"/>
                <w:color w:val="000000"/>
                <w:highlight w:val="none"/>
              </w:rPr>
              <w:t xml:space="preserve">分；</w:t>
            </w:r>
            <w:r>
              <w:rPr>
                <w:rFonts w:hint="eastAsia"/>
                <w:color w:val="000000"/>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培训方案不够详细具体，可行性较低，不能完全满足项目需求的得1分；</w:t>
            </w:r>
            <w:r>
              <w:rPr>
                <w:rFonts w:hint="eastAsia"/>
                <w:color w:val="000000"/>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不提供不得分。</w:t>
            </w:r>
            <w:r>
              <w:rPr>
                <w:rFonts w:hint="eastAsia"/>
                <w:color w:val="000000"/>
                <w:highlight w:val="none"/>
              </w:rPr>
            </w:r>
            <w:r/>
          </w:p>
        </w:tc>
        <w:tc>
          <w:tcPr>
            <w:tcW w:w="1391"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0"/>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2.5</w:t>
            </w:r>
            <w:r>
              <w:rPr>
                <w:rFonts w:ascii="宋体" w:hAnsi="宋体" w:cs="宋体"/>
                <w:color w:val="000000"/>
                <w:sz w:val="24"/>
                <w:highlight w:val="none"/>
                <w:lang w:bidi="ar"/>
              </w:rPr>
            </w:r>
            <w:r/>
          </w:p>
        </w:tc>
        <w:tc>
          <w:tcPr>
            <w:tcW w:w="738"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售后服务管理体系方案</w:t>
            </w:r>
            <w:r>
              <w:rPr>
                <w:rFonts w:hint="eastAsia" w:ascii="宋体" w:hAnsi="宋体" w:cs="宋体"/>
                <w:color w:val="000000"/>
                <w:sz w:val="24"/>
                <w:highlight w:val="none"/>
              </w:rPr>
            </w:r>
            <w:r/>
          </w:p>
        </w:tc>
        <w:tc>
          <w:tcPr>
            <w:tcW w:w="475" w:type="dxa"/>
            <w:vAlign w:val="center"/>
            <w:textDirection w:val="lrTb"/>
            <w:noWrap w:val="false"/>
          </w:tcPr>
          <w:p>
            <w:pPr>
              <w:pStyle w:val="1070"/>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4</w:t>
            </w:r>
            <w:r>
              <w:rPr>
                <w:rFonts w:hint="eastAsia" w:ascii="宋体" w:hAnsi="宋体" w:eastAsia="宋体" w:cs="宋体"/>
                <w:color w:val="000000"/>
                <w:sz w:val="24"/>
                <w:highlight w:val="none"/>
                <w:lang w:eastAsia="zh-CN"/>
              </w:rPr>
            </w:r>
            <w:r/>
          </w:p>
        </w:tc>
        <w:tc>
          <w:tcPr>
            <w:tcW w:w="1944" w:type="dxa"/>
            <w:vAlign w:val="center"/>
            <w:textDirection w:val="lrTb"/>
            <w:noWrap w:val="false"/>
          </w:tcPr>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供应商针对本项目制定售后服务管理体系方案，包括售后服务人员、服务机制、响应时间、故障解决等。</w:t>
            </w:r>
            <w:r>
              <w:rPr>
                <w:rFonts w:hint="eastAsia"/>
                <w:color w:val="000000"/>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方案详细，可操作性强，完全满足项目需要的，得</w:t>
            </w:r>
            <w:r>
              <w:rPr>
                <w:rFonts w:hint="eastAsia"/>
                <w:color w:val="000000"/>
                <w:highlight w:val="none"/>
                <w:lang w:val="en-US" w:eastAsia="zh-CN"/>
              </w:rPr>
              <w:t xml:space="preserve">4</w:t>
            </w:r>
            <w:r>
              <w:rPr>
                <w:rFonts w:hint="eastAsia"/>
                <w:color w:val="000000"/>
                <w:highlight w:val="none"/>
              </w:rPr>
              <w:t xml:space="preserve">分；</w:t>
            </w:r>
            <w:r>
              <w:rPr>
                <w:rFonts w:hint="eastAsia"/>
                <w:color w:val="000000"/>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方案较详细，可操作性较强，基本满足项目需求，略有欠缺需要完善的，得</w:t>
            </w:r>
            <w:r>
              <w:rPr>
                <w:rFonts w:hint="eastAsia"/>
                <w:color w:val="000000"/>
                <w:highlight w:val="none"/>
                <w:lang w:val="en-US" w:eastAsia="zh-CN"/>
              </w:rPr>
              <w:t xml:space="preserve">2.5</w:t>
            </w:r>
            <w:r>
              <w:rPr>
                <w:rFonts w:hint="eastAsia"/>
                <w:color w:val="000000"/>
                <w:highlight w:val="none"/>
              </w:rPr>
              <w:t xml:space="preserve">分；</w:t>
            </w:r>
            <w:r>
              <w:rPr>
                <w:rFonts w:hint="eastAsia"/>
                <w:color w:val="000000"/>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方案不够详细，可操作性一般，不能较好满足项目需要的</w:t>
            </w:r>
            <w:r>
              <w:rPr>
                <w:rFonts w:hint="eastAsia"/>
                <w:color w:val="000000"/>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得1分；</w:t>
            </w:r>
            <w:r>
              <w:rPr>
                <w:rFonts w:hint="eastAsia"/>
                <w:color w:val="000000"/>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不提供不得分。</w:t>
            </w:r>
            <w:r>
              <w:rPr>
                <w:rFonts w:hint="eastAsia"/>
                <w:color w:val="000000"/>
                <w:highlight w:val="none"/>
              </w:rPr>
            </w:r>
            <w:r/>
          </w:p>
        </w:tc>
        <w:tc>
          <w:tcPr>
            <w:tcW w:w="1391"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0"/>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2.6</w:t>
            </w:r>
            <w:r>
              <w:rPr>
                <w:rFonts w:hint="eastAsia" w:ascii="宋体" w:hAnsi="宋体" w:cs="宋体"/>
                <w:color w:val="000000"/>
                <w:sz w:val="24"/>
                <w:highlight w:val="none"/>
                <w:lang w:bidi="ar"/>
              </w:rPr>
            </w:r>
            <w:r/>
          </w:p>
        </w:tc>
        <w:tc>
          <w:tcPr>
            <w:tcW w:w="738" w:type="dxa"/>
            <w:vAlign w:val="center"/>
            <w:textDirection w:val="lrTb"/>
            <w:noWrap w:val="false"/>
          </w:tcPr>
          <w:p>
            <w:pPr>
              <w:pStyle w:val="1132"/>
              <w:jc w:val="center"/>
              <w:spacing w:before="0" w:beforeAutospacing="0" w:after="0" w:afterAutospacing="0" w:line="360" w:lineRule="exact"/>
              <w:widowControl w:val="off"/>
              <w:rPr>
                <w:rFonts w:hint="eastAsia"/>
                <w:color w:val="000000"/>
                <w:highlight w:val="none"/>
              </w:rPr>
            </w:pPr>
            <w:r>
              <w:rPr>
                <w:rFonts w:hint="eastAsia"/>
                <w:color w:val="000000"/>
                <w:highlight w:val="none"/>
              </w:rPr>
              <w:t xml:space="preserve">质保期满后的维修成本方案</w:t>
            </w:r>
            <w:r>
              <w:rPr>
                <w:rFonts w:hint="eastAsia"/>
                <w:color w:val="000000"/>
                <w:highlight w:val="none"/>
              </w:rPr>
            </w:r>
            <w:r/>
          </w:p>
        </w:tc>
        <w:tc>
          <w:tcPr>
            <w:tcW w:w="475" w:type="dxa"/>
            <w:vAlign w:val="center"/>
            <w:textDirection w:val="lrTb"/>
            <w:noWrap w:val="false"/>
          </w:tcPr>
          <w:p>
            <w:pPr>
              <w:pStyle w:val="1070"/>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4</w:t>
            </w:r>
            <w:r>
              <w:rPr>
                <w:rFonts w:hint="eastAsia" w:ascii="宋体" w:hAnsi="宋体" w:eastAsia="宋体" w:cs="宋体"/>
                <w:color w:val="000000"/>
                <w:sz w:val="24"/>
                <w:highlight w:val="none"/>
                <w:lang w:eastAsia="zh-CN"/>
              </w:rPr>
            </w:r>
            <w:r/>
          </w:p>
        </w:tc>
        <w:tc>
          <w:tcPr>
            <w:tcW w:w="1944" w:type="dxa"/>
            <w:vAlign w:val="center"/>
            <w:textDirection w:val="lrTb"/>
            <w:noWrap w:val="false"/>
          </w:tcPr>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质保期满后的维修成本方案，包括出保后全保的价格、设备配件价格、维修（技术）服务费、维修完成时间、维修质量的保障措施等：</w:t>
            </w:r>
            <w:r>
              <w:rPr>
                <w:rFonts w:hint="eastAsia"/>
                <w:color w:val="000000"/>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方案包含的要点齐全无缺漏项、内容与要点相符、内容完善且能够适用于本项目的得</w:t>
            </w:r>
            <w:r>
              <w:rPr>
                <w:rFonts w:hint="eastAsia"/>
                <w:color w:val="000000"/>
                <w:highlight w:val="none"/>
                <w:lang w:val="en-US" w:eastAsia="zh-CN"/>
              </w:rPr>
              <w:t xml:space="preserve">4</w:t>
            </w:r>
            <w:r>
              <w:rPr>
                <w:rFonts w:hint="eastAsia"/>
                <w:color w:val="000000"/>
                <w:highlight w:val="none"/>
              </w:rPr>
              <w:t xml:space="preserve">分；方案所包含的要点齐全、内容与要点相符，但仅有纲要内容简略，未展开阐述的得</w:t>
            </w:r>
            <w:r>
              <w:rPr>
                <w:rFonts w:hint="eastAsia"/>
                <w:color w:val="000000"/>
                <w:highlight w:val="none"/>
                <w:lang w:val="en-US" w:eastAsia="zh-CN"/>
              </w:rPr>
              <w:t xml:space="preserve">2.5</w:t>
            </w:r>
            <w:r>
              <w:rPr>
                <w:rFonts w:hint="eastAsia"/>
                <w:color w:val="000000"/>
                <w:highlight w:val="none"/>
              </w:rPr>
              <w:t xml:space="preserve">分；方案所包含的要点有缺漏或内容存在错误的得1分，未提供的不得分。</w:t>
            </w:r>
            <w:r>
              <w:rPr>
                <w:rFonts w:hint="eastAsia"/>
                <w:color w:val="000000"/>
                <w:highlight w:val="none"/>
              </w:rPr>
            </w:r>
            <w:r/>
          </w:p>
        </w:tc>
        <w:tc>
          <w:tcPr>
            <w:tcW w:w="1391"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0"/>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2.7</w:t>
            </w:r>
            <w:r>
              <w:rPr>
                <w:rFonts w:ascii="宋体" w:hAnsi="宋体" w:cs="宋体"/>
                <w:color w:val="000000"/>
                <w:sz w:val="24"/>
                <w:highlight w:val="none"/>
                <w:lang w:bidi="ar"/>
              </w:rPr>
            </w:r>
            <w:r/>
          </w:p>
        </w:tc>
        <w:tc>
          <w:tcPr>
            <w:tcW w:w="738" w:type="dxa"/>
            <w:vAlign w:val="center"/>
            <w:textDirection w:val="lrTb"/>
            <w:noWrap w:val="false"/>
          </w:tcPr>
          <w:p>
            <w:pPr>
              <w:pStyle w:val="1132"/>
              <w:jc w:val="center"/>
              <w:spacing w:before="0" w:beforeAutospacing="0" w:after="0" w:afterAutospacing="0" w:line="360" w:lineRule="exact"/>
              <w:widowControl w:val="off"/>
              <w:rPr>
                <w:color w:val="000000"/>
                <w:highlight w:val="none"/>
              </w:rPr>
            </w:pPr>
            <w:r>
              <w:rPr>
                <w:color w:val="000000"/>
                <w:highlight w:val="none"/>
              </w:rPr>
              <w:t xml:space="preserve">投标设备整体配置</w:t>
            </w:r>
            <w:r>
              <w:rPr>
                <w:color w:val="000000"/>
                <w:highlight w:val="none"/>
              </w:rPr>
            </w:r>
            <w:r/>
          </w:p>
          <w:p>
            <w:pPr>
              <w:pStyle w:val="1132"/>
              <w:jc w:val="center"/>
              <w:spacing w:before="0" w:beforeAutospacing="0" w:after="0" w:afterAutospacing="0" w:line="360" w:lineRule="exact"/>
              <w:widowControl w:val="off"/>
              <w:rPr>
                <w:color w:val="000000"/>
                <w:highlight w:val="none"/>
              </w:rPr>
            </w:pPr>
            <w:r>
              <w:rPr>
                <w:color w:val="000000"/>
                <w:highlight w:val="none"/>
              </w:rPr>
              <w:t xml:space="preserve">情况比较</w:t>
            </w:r>
            <w:r>
              <w:rPr>
                <w:color w:val="000000"/>
                <w:highlight w:val="none"/>
              </w:rPr>
            </w:r>
            <w:r/>
          </w:p>
        </w:tc>
        <w:tc>
          <w:tcPr>
            <w:tcW w:w="475" w:type="dxa"/>
            <w:vAlign w:val="center"/>
            <w:textDirection w:val="lrTb"/>
            <w:noWrap w:val="false"/>
          </w:tcPr>
          <w:p>
            <w:pPr>
              <w:pStyle w:val="1070"/>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1944" w:type="dxa"/>
            <w:vAlign w:val="center"/>
            <w:textDirection w:val="lrTb"/>
            <w:noWrap w:val="false"/>
          </w:tcPr>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根据所投标产品性能稳定性、质量可靠性等方面进行综合评审：</w:t>
            </w:r>
            <w:r>
              <w:rPr>
                <w:rFonts w:hint="eastAsia"/>
                <w:color w:val="000000"/>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投标产品性能稳定、质量可靠的，得3分；性能稳定性、质量可靠性较高的，得2分；性能稳定性差、质量可靠性低的，得1分。</w:t>
            </w:r>
            <w:r>
              <w:rPr>
                <w:rFonts w:hint="eastAsia"/>
                <w:color w:val="000000"/>
                <w:highlight w:val="none"/>
              </w:rPr>
            </w:r>
            <w:r/>
          </w:p>
        </w:tc>
        <w:tc>
          <w:tcPr>
            <w:tcW w:w="1391"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738"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475" w:type="dxa"/>
            <w:vAlign w:val="center"/>
            <w:textDirection w:val="lrTb"/>
            <w:noWrap w:val="false"/>
          </w:tcPr>
          <w:p>
            <w:pPr>
              <w:pStyle w:val="1070"/>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40</w:t>
            </w:r>
            <w:r>
              <w:rPr>
                <w:rFonts w:ascii="宋体" w:hAnsi="宋体" w:eastAsia="宋体" w:cs="宋体"/>
                <w:color w:val="000000"/>
                <w:sz w:val="24"/>
                <w:highlight w:val="none"/>
                <w:lang w:val="en-US" w:eastAsia="zh-CN"/>
              </w:rPr>
            </w:r>
            <w:r/>
          </w:p>
        </w:tc>
        <w:tc>
          <w:tcPr>
            <w:tcW w:w="1944" w:type="dxa"/>
            <w:vAlign w:val="center"/>
            <w:textDirection w:val="lrTb"/>
            <w:noWrap w:val="false"/>
          </w:tcPr>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91"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w:t>
            </w:r>
            <w:r>
              <w:rPr>
                <w:rFonts w:hint="eastAsia" w:ascii="宋体" w:hAnsi="宋体" w:cs="宋体"/>
                <w:color w:val="000000"/>
                <w:sz w:val="24"/>
                <w:highlight w:val="none"/>
              </w:rPr>
            </w:r>
            <w:r/>
          </w:p>
        </w:tc>
        <w:tc>
          <w:tcPr>
            <w:tcW w:w="738"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技术部分</w:t>
            </w:r>
            <w:r>
              <w:rPr>
                <w:rFonts w:hint="eastAsia" w:ascii="宋体" w:hAnsi="宋体" w:cs="宋体"/>
                <w:color w:val="000000"/>
                <w:sz w:val="24"/>
                <w:highlight w:val="none"/>
              </w:rPr>
            </w:r>
            <w:r/>
          </w:p>
        </w:tc>
        <w:tc>
          <w:tcPr>
            <w:tcW w:w="475" w:type="dxa"/>
            <w:vAlign w:val="center"/>
            <w:textDirection w:val="lrTb"/>
            <w:noWrap w:val="false"/>
          </w:tcPr>
          <w:p>
            <w:pPr>
              <w:pStyle w:val="1070"/>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4</w:t>
            </w:r>
            <w:r>
              <w:rPr>
                <w:rFonts w:hint="eastAsia" w:ascii="宋体" w:hAnsi="宋体" w:eastAsia="宋体" w:cs="宋体"/>
                <w:color w:val="000000"/>
                <w:sz w:val="24"/>
                <w:highlight w:val="none"/>
                <w:lang w:eastAsia="zh-CN"/>
              </w:rPr>
            </w:r>
            <w:r/>
          </w:p>
        </w:tc>
        <w:tc>
          <w:tcPr>
            <w:tcW w:w="1944" w:type="dxa"/>
            <w:vAlign w:val="center"/>
            <w:textDirection w:val="lrTb"/>
            <w:noWrap w:val="false"/>
          </w:tcPr>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技术要求的符合性，即对提供货物的技术参数、配置、性能是否符合或优于招标文件要求进行评价。符合技术要求的得3</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分；采购技术要求中带“▲”参数为重要参数，每有一项负偏离的，扣3分；其他参数为一般参数，每有一项负偏离的，扣</w:t>
            </w:r>
            <w:r>
              <w:rPr>
                <w:rFonts w:hint="eastAsia" w:ascii="宋体" w:hAnsi="宋体" w:cs="宋体"/>
                <w:color w:val="000000"/>
                <w:sz w:val="24"/>
                <w:highlight w:val="none"/>
                <w:lang w:val="en-US" w:eastAsia="zh-CN" w:bidi="ar"/>
              </w:rPr>
              <w:t xml:space="preserve">0.25</w:t>
            </w:r>
            <w:r>
              <w:rPr>
                <w:rFonts w:hint="eastAsia" w:ascii="宋体" w:hAnsi="宋体" w:cs="宋体"/>
                <w:color w:val="000000"/>
                <w:sz w:val="24"/>
                <w:highlight w:val="none"/>
                <w:lang w:bidi="ar"/>
              </w:rPr>
              <w:t xml:space="preserve">分；扣完为止。</w:t>
            </w:r>
            <w:r>
              <w:rPr>
                <w:rFonts w:hint="eastAsia" w:ascii="宋体" w:hAnsi="宋体" w:cs="宋体"/>
                <w:color w:val="000000"/>
                <w:sz w:val="24"/>
                <w:highlight w:val="none"/>
              </w:rPr>
            </w:r>
            <w:r/>
          </w:p>
        </w:tc>
        <w:tc>
          <w:tcPr>
            <w:tcW w:w="1391" w:type="dxa"/>
            <w:vAlign w:val="center"/>
            <w:textDirection w:val="lrTb"/>
            <w:noWrap w:val="false"/>
          </w:tcPr>
          <w:p>
            <w:pPr>
              <w:pStyle w:val="1070"/>
              <w:spacing w:line="360" w:lineRule="auto"/>
              <w:widowControl/>
              <w:tabs>
                <w:tab w:val="left" w:pos="1200" w:leader="none"/>
              </w:tabs>
              <w:rPr>
                <w:rFonts w:ascii="宋体" w:hAnsi="宋体" w:cs="宋体"/>
                <w:b/>
                <w:color w:val="000000"/>
                <w:sz w:val="24"/>
                <w:highlight w:val="none"/>
                <w:lang w:bidi="ar"/>
              </w:rPr>
            </w:pPr>
            <w:r>
              <w:rPr>
                <w:rFonts w:hint="eastAsia" w:ascii="宋体" w:hAnsi="宋体" w:cs="宋体"/>
                <w:b/>
                <w:color w:val="000000"/>
                <w:sz w:val="24"/>
                <w:highlight w:val="none"/>
                <w:lang w:bidi="ar"/>
              </w:rPr>
              <w:t xml:space="preserve">备注1：提供技术参数的证明材料包括但不限于（投标产品注册证及附件、技术白皮书、产品彩页、产品说明书、认证证书、检测/检验报告、功能截图等技术支持性文件资料(如技术支持性文件资料非中文版本的，请同时提供中文翻译版)，未提供或提供的证明材料不符合要求视为负偏离。 </w:t>
            </w:r>
            <w:r>
              <w:rPr>
                <w:rFonts w:ascii="宋体" w:hAnsi="宋体" w:cs="宋体"/>
                <w:b/>
                <w:color w:val="000000"/>
                <w:sz w:val="24"/>
                <w:highlight w:val="none"/>
                <w:lang w:bidi="ar"/>
              </w:rPr>
            </w:r>
            <w:r/>
          </w:p>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b/>
                <w:color w:val="000000"/>
                <w:sz w:val="24"/>
                <w:highlight w:val="none"/>
                <w:lang w:bidi="ar"/>
              </w:rPr>
              <w:t xml:space="preserve">备注2：完全复制招标文件技术参数要求的，评标小组有权视为所有技术参数负偏离，文字描述、国标、定制尺寸的技术指标除外。</w:t>
            </w: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3.2</w:t>
            </w:r>
            <w:r>
              <w:rPr>
                <w:rFonts w:hint="eastAsia" w:ascii="宋体" w:hAnsi="宋体" w:cs="宋体"/>
                <w:color w:val="000000"/>
                <w:sz w:val="24"/>
                <w:highlight w:val="none"/>
              </w:rPr>
            </w:r>
            <w:r/>
          </w:p>
        </w:tc>
        <w:tc>
          <w:tcPr>
            <w:tcW w:w="738"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业绩</w:t>
            </w:r>
            <w:r>
              <w:rPr>
                <w:rFonts w:hint="eastAsia" w:ascii="宋体" w:hAnsi="宋体" w:cs="宋体"/>
                <w:color w:val="000000"/>
                <w:sz w:val="24"/>
                <w:highlight w:val="none"/>
              </w:rPr>
            </w:r>
            <w:r/>
          </w:p>
        </w:tc>
        <w:tc>
          <w:tcPr>
            <w:tcW w:w="475"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1944" w:type="dxa"/>
            <w:vAlign w:val="center"/>
            <w:textDirection w:val="lrTb"/>
            <w:noWrap w:val="false"/>
          </w:tcPr>
          <w:p>
            <w:pPr>
              <w:pStyle w:val="1132"/>
              <w:spacing w:before="0" w:beforeAutospacing="0" w:after="0" w:afterAutospacing="0" w:line="360" w:lineRule="exact"/>
              <w:widowControl w:val="off"/>
              <w:rPr>
                <w:rFonts w:hint="eastAsia"/>
                <w:b/>
                <w:color w:val="000000"/>
                <w:highlight w:val="none"/>
              </w:rPr>
            </w:pPr>
            <w:r/>
            <w:bookmarkStart w:id="814" w:name="OLE_LINK22"/>
            <w:r>
              <w:rPr>
                <w:rFonts w:hint="eastAsia"/>
                <w:color w:val="000000"/>
                <w:highlight w:val="none"/>
                <w:lang w:bidi="ar"/>
              </w:rPr>
              <w:t xml:space="preserve">提供</w:t>
            </w:r>
            <w:r>
              <w:rPr>
                <w:rFonts w:hint="eastAsia"/>
                <w:b/>
                <w:bCs/>
                <w:color w:val="000000"/>
                <w:highlight w:val="none"/>
                <w:lang w:bidi="ar"/>
              </w:rPr>
              <w:t xml:space="preserve">投标人</w:t>
            </w:r>
            <w:r>
              <w:rPr>
                <w:rFonts w:hint="eastAsia"/>
                <w:b/>
                <w:bCs/>
                <w:color w:val="000000"/>
                <w:highlight w:val="none"/>
                <w:lang w:val="zh-CN" w:bidi="ar"/>
              </w:rPr>
              <w:t xml:space="preserve">或者制造商(含制造商其他代理商)</w:t>
            </w:r>
            <w:r>
              <w:rPr>
                <w:rFonts w:hint="eastAsia"/>
                <w:color w:val="000000"/>
                <w:highlight w:val="none"/>
                <w:lang w:bidi="ar"/>
              </w:rPr>
              <w:t xml:space="preserve">自2023年1月1日以来在国内的销售合同</w:t>
            </w:r>
            <w:r>
              <w:rPr>
                <w:rFonts w:hint="eastAsia"/>
                <w:b/>
                <w:color w:val="000000"/>
                <w:highlight w:val="none"/>
                <w:lang w:bidi="ar"/>
              </w:rPr>
              <w:t xml:space="preserve">（合同内产品必须与投标产品为同品牌同型号）</w:t>
            </w:r>
            <w:r>
              <w:rPr>
                <w:rFonts w:hint="eastAsia"/>
                <w:color w:val="000000"/>
                <w:highlight w:val="none"/>
                <w:lang w:bidi="ar"/>
              </w:rPr>
              <w:t xml:space="preserve">，每提供一份有效合同得1分，最多得2分。</w:t>
            </w:r>
            <w:bookmarkEnd w:id="814"/>
            <w:r>
              <w:rPr>
                <w:rFonts w:hint="eastAsia"/>
                <w:b/>
                <w:color w:val="000000"/>
                <w:highlight w:val="none"/>
              </w:rPr>
            </w:r>
            <w:r/>
          </w:p>
        </w:tc>
        <w:tc>
          <w:tcPr>
            <w:tcW w:w="1391" w:type="dxa"/>
            <w:vAlign w:val="center"/>
            <w:textDirection w:val="lrTb"/>
            <w:noWrap w:val="false"/>
          </w:tcPr>
          <w:p>
            <w:pPr>
              <w:pStyle w:val="1132"/>
              <w:spacing w:before="0" w:beforeAutospacing="0" w:after="0" w:afterAutospacing="0" w:line="360" w:lineRule="exact"/>
              <w:widowControl w:val="off"/>
              <w:rPr>
                <w:rFonts w:hint="eastAsia"/>
                <w:color w:val="000000"/>
                <w:highlight w:val="none"/>
                <w:lang w:bidi="ar"/>
              </w:rPr>
            </w:pPr>
            <w:r>
              <w:rPr>
                <w:rFonts w:hint="eastAsia"/>
                <w:color w:val="000000"/>
                <w:highlight w:val="none"/>
                <w:lang w:bidi="ar"/>
              </w:rPr>
              <w:t xml:space="preserve">1、提供合同复印件；</w:t>
            </w:r>
            <w:r>
              <w:rPr>
                <w:rFonts w:hint="eastAsia"/>
                <w:color w:val="000000"/>
                <w:highlight w:val="none"/>
                <w:lang w:bidi="ar"/>
              </w:rPr>
            </w:r>
            <w:r/>
          </w:p>
          <w:p>
            <w:pPr>
              <w:pStyle w:val="1132"/>
              <w:spacing w:before="0" w:beforeAutospacing="0" w:after="0" w:afterAutospacing="0" w:line="360" w:lineRule="exact"/>
              <w:widowControl w:val="off"/>
              <w:rPr>
                <w:rFonts w:hint="eastAsia"/>
                <w:color w:val="000000"/>
                <w:highlight w:val="none"/>
                <w:lang w:bidi="ar"/>
              </w:rPr>
            </w:pPr>
            <w:r>
              <w:rPr>
                <w:rFonts w:hint="eastAsia"/>
                <w:color w:val="000000"/>
                <w:highlight w:val="none"/>
                <w:lang w:bidi="ar"/>
              </w:rPr>
              <w:t xml:space="preserve">2、时间以合同签订时间为准；</w:t>
            </w:r>
            <w:r>
              <w:rPr>
                <w:rFonts w:hint="eastAsia"/>
                <w:color w:val="000000"/>
                <w:highlight w:val="none"/>
                <w:lang w:bidi="ar"/>
              </w:rPr>
            </w:r>
            <w:r/>
          </w:p>
          <w:p>
            <w:pPr>
              <w:pStyle w:val="1132"/>
              <w:spacing w:before="0" w:beforeAutospacing="0" w:after="0" w:afterAutospacing="0" w:line="360" w:lineRule="exact"/>
              <w:widowControl w:val="off"/>
              <w:rPr>
                <w:rFonts w:hint="eastAsia"/>
                <w:color w:val="000000"/>
                <w:highlight w:val="none"/>
                <w:lang w:bidi="ar"/>
              </w:rPr>
            </w:pPr>
            <w:r>
              <w:rPr>
                <w:rFonts w:hint="eastAsia"/>
                <w:color w:val="000000"/>
                <w:highlight w:val="none"/>
                <w:lang w:bidi="ar"/>
              </w:rPr>
              <w:t xml:space="preserve">3、合同甲方应为最终实际使用合同标的的一方。</w:t>
            </w:r>
            <w:r>
              <w:rPr>
                <w:rFonts w:hint="eastAsia"/>
                <w:color w:val="000000"/>
                <w:highlight w:val="none"/>
                <w:lang w:bidi="ar"/>
              </w:rPr>
            </w:r>
            <w:r/>
          </w:p>
        </w:tc>
      </w:tr>
      <w:tr>
        <w:trPr>
          <w:trHeight w:val="170"/>
        </w:trPr>
        <w:tc>
          <w:tcPr>
            <w:tcW w:w="451" w:type="dxa"/>
            <w:vAlign w:val="center"/>
            <w:textDirection w:val="lrTb"/>
            <w:noWrap w:val="false"/>
          </w:tcPr>
          <w:p>
            <w:pPr>
              <w:pStyle w:val="1070"/>
              <w:jc w:val="left"/>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3.3</w:t>
            </w:r>
            <w:r>
              <w:rPr>
                <w:rFonts w:ascii="宋体" w:hAnsi="宋体" w:cs="宋体"/>
                <w:color w:val="000000"/>
                <w:sz w:val="24"/>
                <w:highlight w:val="none"/>
                <w:lang w:bidi="ar"/>
              </w:rPr>
            </w:r>
            <w:r/>
          </w:p>
        </w:tc>
        <w:tc>
          <w:tcPr>
            <w:tcW w:w="738" w:type="dxa"/>
            <w:vAlign w:val="center"/>
            <w:textDirection w:val="lrTb"/>
            <w:noWrap w:val="false"/>
          </w:tcPr>
          <w:p>
            <w:pPr>
              <w:pStyle w:val="1070"/>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免费质保期</w:t>
            </w:r>
            <w:r>
              <w:rPr>
                <w:rFonts w:ascii="宋体" w:hAnsi="宋体" w:cs="宋体"/>
                <w:color w:val="000000"/>
                <w:sz w:val="24"/>
                <w:highlight w:val="none"/>
                <w:lang w:bidi="ar"/>
              </w:rPr>
            </w:r>
            <w:r/>
          </w:p>
        </w:tc>
        <w:tc>
          <w:tcPr>
            <w:tcW w:w="475" w:type="dxa"/>
            <w:vAlign w:val="center"/>
            <w:textDirection w:val="lrTb"/>
            <w:noWrap w:val="false"/>
          </w:tcPr>
          <w:p>
            <w:pPr>
              <w:pStyle w:val="1070"/>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bidi="ar"/>
              </w:rPr>
            </w:r>
            <w:r/>
          </w:p>
        </w:tc>
        <w:tc>
          <w:tcPr>
            <w:tcW w:w="1944" w:type="dxa"/>
            <w:vAlign w:val="center"/>
            <w:textDirection w:val="lrTb"/>
            <w:noWrap w:val="false"/>
          </w:tcPr>
          <w:p>
            <w:pPr>
              <w:pStyle w:val="1132"/>
              <w:spacing w:before="0" w:beforeAutospacing="0" w:after="0" w:afterAutospacing="0" w:line="360" w:lineRule="exact"/>
              <w:widowControl w:val="off"/>
              <w:rPr>
                <w:color w:val="000000"/>
                <w:highlight w:val="none"/>
                <w:lang w:bidi="ar"/>
              </w:rPr>
            </w:pPr>
            <w:r>
              <w:rPr>
                <w:rFonts w:hint="eastAsia"/>
                <w:color w:val="000000"/>
                <w:highlight w:val="none"/>
              </w:rPr>
              <w:t xml:space="preserve">投标产品的免费质保期满足招标文件要求的基础上，免费质保期整体延长1年得1分，最高得</w:t>
            </w:r>
            <w:r>
              <w:rPr>
                <w:color w:val="000000"/>
                <w:highlight w:val="none"/>
              </w:rPr>
              <w:t xml:space="preserve">3</w:t>
            </w:r>
            <w:r>
              <w:rPr>
                <w:rFonts w:hint="eastAsia"/>
                <w:color w:val="000000"/>
                <w:highlight w:val="none"/>
              </w:rPr>
              <w:t xml:space="preserve">分。</w:t>
            </w:r>
            <w:r>
              <w:rPr>
                <w:color w:val="000000"/>
                <w:highlight w:val="none"/>
                <w:lang w:bidi="ar"/>
              </w:rPr>
            </w:r>
            <w:r/>
          </w:p>
        </w:tc>
        <w:tc>
          <w:tcPr>
            <w:tcW w:w="1391" w:type="dxa"/>
            <w:vAlign w:val="center"/>
            <w:textDirection w:val="lrTb"/>
            <w:noWrap w:val="false"/>
          </w:tcPr>
          <w:p>
            <w:pPr>
              <w:pStyle w:val="1132"/>
              <w:spacing w:before="0" w:beforeAutospacing="0" w:after="0" w:afterAutospacing="0" w:line="360" w:lineRule="exact"/>
              <w:widowControl w:val="off"/>
              <w:rPr>
                <w:rFonts w:hint="eastAsia"/>
                <w:color w:val="000000"/>
                <w:highlight w:val="none"/>
                <w:lang w:bidi="ar"/>
              </w:rPr>
            </w:pPr>
            <w:r>
              <w:rPr>
                <w:rFonts w:hint="eastAsia"/>
                <w:b/>
                <w:color w:val="000000"/>
                <w:highlight w:val="none"/>
              </w:rPr>
              <w:t xml:space="preserve">提供质保服务承诺书</w:t>
            </w:r>
            <w:r>
              <w:rPr>
                <w:rFonts w:hint="eastAsia"/>
                <w:color w:val="000000"/>
                <w:highlight w:val="none"/>
                <w:lang w:bidi="ar"/>
              </w:rPr>
            </w:r>
            <w:r/>
          </w:p>
        </w:tc>
      </w:tr>
      <w:tr>
        <w:trPr>
          <w:trHeight w:val="170"/>
        </w:trPr>
        <w:tc>
          <w:tcPr>
            <w:tcW w:w="451"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3.4</w:t>
            </w:r>
            <w:r>
              <w:rPr>
                <w:rFonts w:hint="eastAsia" w:ascii="宋体" w:hAnsi="宋体" w:cs="宋体"/>
                <w:color w:val="000000"/>
                <w:sz w:val="24"/>
                <w:highlight w:val="none"/>
              </w:rPr>
            </w:r>
            <w:r/>
          </w:p>
        </w:tc>
        <w:tc>
          <w:tcPr>
            <w:tcW w:w="738"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政府采购政策功能性得分</w:t>
            </w:r>
            <w:r>
              <w:rPr>
                <w:rFonts w:hint="eastAsia" w:ascii="宋体" w:hAnsi="宋体" w:cs="宋体"/>
                <w:color w:val="000000"/>
                <w:sz w:val="24"/>
                <w:highlight w:val="none"/>
              </w:rPr>
            </w:r>
            <w:r/>
          </w:p>
        </w:tc>
        <w:tc>
          <w:tcPr>
            <w:tcW w:w="475"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944" w:type="dxa"/>
            <w:vAlign w:val="center"/>
            <w:textDirection w:val="lrTb"/>
            <w:noWrap w:val="false"/>
          </w:tcPr>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r>
              <w:rPr>
                <w:rFonts w:hint="eastAsia"/>
                <w:color w:val="000000"/>
                <w:highlight w:val="none"/>
              </w:rPr>
            </w:r>
            <w:r/>
          </w:p>
        </w:tc>
        <w:tc>
          <w:tcPr>
            <w:tcW w:w="1391"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209"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475"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196" w:type="dxa"/>
            <w:vAlign w:val="center"/>
            <w:textDirection w:val="lrTb"/>
            <w:noWrap w:val="false"/>
          </w:tcPr>
          <w:p>
            <w:pPr>
              <w:pStyle w:val="1070"/>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70"/>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70"/>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5" w:name="_Toc99301424"/>
      <w:r>
        <w:rPr>
          <w:rFonts w:ascii="宋体" w:hAnsi="宋体"/>
          <w:b/>
          <w:color w:val="000000"/>
          <w:sz w:val="36"/>
          <w:szCs w:val="36"/>
          <w:highlight w:val="none"/>
        </w:rPr>
        <w:t xml:space="preserve">第五章   采购需求</w:t>
      </w:r>
      <w:bookmarkEnd w:id="815"/>
      <w:r>
        <w:rPr>
          <w:rFonts w:ascii="宋体" w:hAnsi="宋体"/>
          <w:b/>
          <w:color w:val="000000"/>
          <w:sz w:val="36"/>
          <w:szCs w:val="36"/>
          <w:highlight w:val="none"/>
        </w:rPr>
      </w:r>
      <w:r/>
    </w:p>
    <w:p>
      <w:pPr>
        <w:pStyle w:val="1070"/>
        <w:jc w:val="center"/>
        <w:spacing w:line="360" w:lineRule="auto"/>
        <w:rPr>
          <w:rFonts w:ascii="宋体" w:hAnsi="宋体" w:cs="宋体"/>
          <w:b/>
          <w:i/>
          <w:iCs/>
          <w:color w:val="000000"/>
          <w:sz w:val="24"/>
          <w:highlight w:val="none"/>
          <w:lang w:bidi="ar"/>
        </w:rPr>
      </w:pPr>
      <w:r>
        <w:rPr>
          <w:rFonts w:hint="eastAsia" w:ascii="宋体" w:hAnsi="宋体" w:cs="宋体"/>
          <w:b/>
          <w:i/>
          <w:iCs/>
          <w:color w:val="000000"/>
          <w:sz w:val="24"/>
          <w:highlight w:val="none"/>
          <w:lang w:bidi="ar"/>
        </w:rPr>
        <w:t xml:space="preserve">（标注“★”项条款为实质性要求，必须响应并满足，否则投标无效）</w:t>
      </w:r>
      <w:r>
        <w:rPr>
          <w:rFonts w:ascii="宋体" w:hAnsi="宋体" w:cs="宋体"/>
          <w:b/>
          <w:i/>
          <w:iCs/>
          <w:color w:val="000000"/>
          <w:sz w:val="24"/>
          <w:highlight w:val="none"/>
          <w:lang w:bidi="ar"/>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一、项目概况</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本项目为常州市武进中医医院移动式C形臂X射线机（三维）采购项目，具体内容包括：设备的制造（采购）、运输、装卸、安装、调试、测试、售后服务、技术培训等，直至通过采购单位及其他相关部门的验收以及质量保修、免费维保等全部工作。</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二、基本要求</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cs="宋体"/>
          <w:color w:val="000000"/>
          <w:sz w:val="24"/>
          <w:highlight w:val="none"/>
          <w:lang w:bidi="ar"/>
        </w:rPr>
      </w:r>
      <w:r/>
    </w:p>
    <w:p>
      <w:pPr>
        <w:pStyle w:val="1070"/>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人应为该项目充分准备相关服务方案：①项目实施方案，包括但不限于项目整体管理方案、人员组织管理及架构设置、项目整体实施进度计划及推进方案等。②运输安装调试方案，包括但不限于设备出库、运输及货物保障、设备安装及初始化调试、设备验收检查流程等③产品质量保障方案，包括货物质量保证、货物检验标准、货物来源渠道等。④培训方案，包括培训计划的内容、方式、时间、人次数等。⑤售后服务管理体系方案，包括售后服务人员、服务机制、响应时间、故障解决等</w:t>
      </w:r>
      <w:r>
        <w:rPr>
          <w:rFonts w:hint="eastAsia" w:ascii="宋体" w:hAnsi="宋体" w:cs="宋体"/>
          <w:color w:val="000000"/>
          <w:sz w:val="24"/>
          <w:highlight w:val="none"/>
          <w:lang w:val="zh-CN" w:bidi="ar"/>
        </w:rPr>
        <w:t xml:space="preserve">。</w:t>
      </w:r>
      <w:r>
        <w:rPr>
          <w:rFonts w:hint="eastAsia" w:ascii="宋体" w:hAnsi="宋体" w:cs="宋体"/>
          <w:color w:val="000000"/>
          <w:sz w:val="24"/>
          <w:highlight w:val="none"/>
          <w:lang w:bidi="ar"/>
        </w:rPr>
        <w:t xml:space="preserve">⑥质保期满后的维修成本方案，包括出保后全保的价格、设备配件价格、维修（技术）服务费、维修完成时间、维修质量的保障措施等</w:t>
      </w:r>
      <w:r>
        <w:rPr>
          <w:rFonts w:hint="eastAsia" w:ascii="宋体" w:hAnsi="宋体" w:cs="宋体"/>
          <w:color w:val="000000"/>
          <w:sz w:val="24"/>
          <w:highlight w:val="none"/>
          <w:lang w:val="zh-CN" w:bidi="ar"/>
        </w:rPr>
        <w:t xml:space="preserve">。</w:t>
      </w:r>
      <w:r>
        <w:rPr>
          <w:rFonts w:hint="eastAsia" w:ascii="宋体" w:hAnsi="宋体" w:cs="宋体"/>
          <w:color w:val="000000"/>
          <w:sz w:val="24"/>
          <w:highlight w:val="none"/>
          <w:lang w:bidi="ar"/>
        </w:rPr>
        <w:t xml:space="preserve">⑦投标设备整体配置情况比较，</w:t>
      </w:r>
      <w:r>
        <w:rPr>
          <w:rFonts w:hint="eastAsia" w:ascii="宋体" w:hAnsi="宋体" w:cs="宋体"/>
          <w:color w:val="000000"/>
          <w:sz w:val="24"/>
          <w:highlight w:val="none"/>
        </w:rPr>
        <w:t xml:space="preserve">投标产品性能稳定性、质量可靠性等。</w:t>
      </w:r>
      <w:r>
        <w:rPr>
          <w:rFonts w:hint="eastAsia" w:ascii="宋体" w:hAnsi="宋体" w:cs="宋体"/>
          <w:color w:val="000000"/>
          <w:sz w:val="24"/>
          <w:highlight w:val="none"/>
          <w:lang w:bidi="ar"/>
        </w:rPr>
      </w:r>
      <w:r/>
    </w:p>
    <w:p>
      <w:pPr>
        <w:pStyle w:val="1165"/>
        <w:contextualSpacing/>
        <w:ind w:left="-2" w:firstLine="482"/>
        <w:jc w:val="left"/>
        <w:spacing w:line="360" w:lineRule="auto"/>
        <w:tabs>
          <w:tab w:val="left" w:pos="567" w:leader="none"/>
        </w:tabs>
        <w:rPr>
          <w:rFonts w:ascii="宋体" w:hAnsi="宋体"/>
          <w:color w:val="000000"/>
          <w:sz w:val="24"/>
          <w:szCs w:val="24"/>
          <w:highlight w:val="none"/>
        </w:rPr>
      </w:pPr>
      <w:r>
        <w:rPr>
          <w:rFonts w:hint="eastAsia" w:ascii="宋体" w:hAnsi="宋体" w:cs="宋体"/>
          <w:b/>
          <w:color w:val="000000"/>
          <w:sz w:val="24"/>
          <w:highlight w:val="none"/>
          <w:lang w:bidi="ar"/>
        </w:rPr>
        <w:t xml:space="preserve">三、采购清单</w:t>
      </w:r>
      <w:r>
        <w:rPr>
          <w:rFonts w:ascii="宋体" w:hAnsi="宋体"/>
          <w:color w:val="000000"/>
          <w:sz w:val="24"/>
          <w:szCs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9"/>
        <w:gridCol w:w="3540"/>
        <w:gridCol w:w="1132"/>
        <w:gridCol w:w="3397"/>
      </w:tblGrid>
      <w:tr>
        <w:trPr>
          <w:trHeight w:val="170"/>
        </w:trPr>
        <w:tc>
          <w:tcPr>
            <w:tcW w:w="656"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包号</w:t>
            </w:r>
            <w:r>
              <w:rPr>
                <w:rFonts w:hint="eastAsia" w:ascii="宋体" w:hAnsi="宋体" w:cs="宋体"/>
                <w:color w:val="000000"/>
                <w:sz w:val="24"/>
                <w:highlight w:val="none"/>
              </w:rPr>
            </w:r>
            <w:r/>
          </w:p>
        </w:tc>
        <w:tc>
          <w:tcPr>
            <w:tcW w:w="1905"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设备名称</w:t>
            </w:r>
            <w:r>
              <w:rPr>
                <w:rFonts w:hint="eastAsia" w:ascii="宋体" w:hAnsi="宋体" w:cs="宋体"/>
                <w:color w:val="000000"/>
                <w:sz w:val="24"/>
                <w:highlight w:val="none"/>
              </w:rPr>
            </w:r>
            <w:r/>
          </w:p>
        </w:tc>
        <w:tc>
          <w:tcPr>
            <w:tcW w:w="609"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数量</w:t>
            </w:r>
            <w:r>
              <w:rPr>
                <w:rFonts w:hint="eastAsia" w:ascii="宋体" w:hAnsi="宋体" w:cs="宋体"/>
                <w:color w:val="000000"/>
                <w:sz w:val="24"/>
                <w:highlight w:val="none"/>
              </w:rPr>
            </w:r>
            <w:r/>
          </w:p>
        </w:tc>
        <w:tc>
          <w:tcPr>
            <w:tcW w:w="1828"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备注</w:t>
            </w:r>
            <w:r>
              <w:rPr>
                <w:rFonts w:hint="eastAsia" w:ascii="宋体" w:hAnsi="宋体" w:cs="宋体"/>
                <w:color w:val="000000"/>
                <w:sz w:val="24"/>
                <w:highlight w:val="none"/>
              </w:rPr>
            </w:r>
            <w:r/>
          </w:p>
        </w:tc>
      </w:tr>
      <w:tr>
        <w:trPr>
          <w:trHeight w:val="170"/>
        </w:trPr>
        <w:tc>
          <w:tcPr>
            <w:tcW w:w="656"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905"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移动式C形臂X射线机</w:t>
            </w:r>
            <w:r>
              <w:rPr>
                <w:rFonts w:hint="eastAsia" w:ascii="宋体" w:hAnsi="宋体" w:cs="宋体"/>
                <w:color w:val="000000"/>
                <w:sz w:val="24"/>
                <w:highlight w:val="none"/>
                <w:lang w:bidi="ar"/>
              </w:rPr>
              <w:t xml:space="preserve">（三维）</w:t>
            </w:r>
            <w:r>
              <w:rPr>
                <w:rFonts w:hint="eastAsia" w:ascii="宋体" w:hAnsi="宋体" w:cs="宋体"/>
                <w:color w:val="000000"/>
                <w:sz w:val="24"/>
                <w:highlight w:val="none"/>
              </w:rPr>
            </w:r>
            <w:r/>
          </w:p>
        </w:tc>
        <w:tc>
          <w:tcPr>
            <w:tcW w:w="609"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1套</w:t>
            </w:r>
            <w:r>
              <w:rPr>
                <w:rFonts w:hint="eastAsia" w:ascii="宋体" w:hAnsi="宋体" w:cs="宋体"/>
                <w:color w:val="000000"/>
                <w:sz w:val="24"/>
                <w:highlight w:val="none"/>
              </w:rPr>
            </w:r>
            <w:r/>
          </w:p>
        </w:tc>
        <w:tc>
          <w:tcPr>
            <w:tcW w:w="1828" w:type="dxa"/>
            <w:vAlign w:val="center"/>
            <w:textDirection w:val="lrTb"/>
            <w:noWrap w:val="false"/>
          </w:tcPr>
          <w:p>
            <w:pPr>
              <w:pStyle w:val="1070"/>
              <w:jc w:val="center"/>
              <w:spacing w:line="360" w:lineRule="exact"/>
              <w:rPr>
                <w:rFonts w:ascii="宋体" w:hAnsi="宋体" w:cs="宋体"/>
                <w:color w:val="000000"/>
                <w:sz w:val="24"/>
                <w:highlight w:val="none"/>
              </w:rPr>
            </w:pPr>
            <w:r>
              <w:rPr>
                <w:rFonts w:hint="eastAsia" w:ascii="宋体" w:hAnsi="宋体" w:cs="宋体"/>
                <w:color w:val="000000"/>
                <w:sz w:val="24"/>
                <w:highlight w:val="none"/>
                <w:lang w:bidi="ar"/>
              </w:rPr>
              <w:t xml:space="preserve">不接受进口产品</w:t>
            </w:r>
            <w:r>
              <w:rPr>
                <w:rFonts w:ascii="宋体" w:hAnsi="宋体" w:cs="宋体"/>
                <w:color w:val="000000"/>
                <w:sz w:val="24"/>
                <w:highlight w:val="none"/>
              </w:rPr>
            </w:r>
            <w:r/>
          </w:p>
        </w:tc>
      </w:tr>
    </w:tbl>
    <w:p>
      <w:pPr>
        <w:pStyle w:val="1165"/>
        <w:contextualSpacing/>
        <w:ind w:left="-2" w:firstLine="482"/>
        <w:jc w:val="left"/>
        <w:spacing w:line="360" w:lineRule="auto"/>
        <w:tabs>
          <w:tab w:val="left" w:pos="567" w:leader="none"/>
        </w:tabs>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四、技术要求</w:t>
      </w:r>
      <w:r>
        <w:rPr>
          <w:rFonts w:hint="eastAsia" w:ascii="宋体" w:hAnsi="宋体" w:cs="宋体"/>
          <w:b/>
          <w:color w:val="000000"/>
          <w:sz w:val="24"/>
          <w:highlight w:val="none"/>
          <w:lang w:bidi="ar"/>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1、功能需求</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1.1、多功能高端大平板C型臂，适用于高难度复杂骨科成像，具备透视及摄影功能。</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2、主要技术参数</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2.1、C型臂架构</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bCs/>
          <w:color w:val="000000"/>
          <w:sz w:val="24"/>
          <w:highlight w:val="none"/>
        </w:rPr>
        <w:t xml:space="preserve">2.1.1、垂直升降≥450mm（不接受以机械固有偏差概念响应参数要求）；</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2.1.2、水平移动≥200mm（不接受以机械固有偏差概念响应参数要求）；</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2.1.3、沿轨道旋转≥140°；</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bCs/>
          <w:color w:val="000000"/>
          <w:sz w:val="24"/>
          <w:highlight w:val="none"/>
        </w:rPr>
        <w:t xml:space="preserve">2.1.4、轴向旋转≥±220°，电动旋转（不接受以机械固有偏差概念响应参数要求）；</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2.1.5、影像增强器到焦点距离≥1160mm；</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bCs/>
          <w:color w:val="000000"/>
          <w:sz w:val="24"/>
          <w:highlight w:val="none"/>
        </w:rPr>
        <w:t xml:space="preserve">2.1.6、 C臂开口径≥850mm且C臂深度≥730 mm（不接受以机械固有偏差概念响应参数要求）；</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2.1.7、C形臂方位运动电磁阀控制开关≥4个；</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2.2、X线发生器</w:t>
      </w:r>
      <w:r>
        <w:rPr>
          <w:rFonts w:hint="eastAsia" w:ascii="宋体" w:hAnsi="宋体" w:cs="宋体"/>
          <w:bCs/>
          <w:color w:val="000000"/>
          <w:sz w:val="24"/>
          <w:highlight w:val="none"/>
        </w:rPr>
      </w:r>
      <w:r/>
    </w:p>
    <w:p>
      <w:pPr>
        <w:pStyle w:val="1070"/>
        <w:ind w:firstLine="482"/>
        <w:spacing w:line="360" w:lineRule="auto"/>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w:t>
      </w:r>
      <w:r>
        <w:rPr>
          <w:rFonts w:hint="eastAsia" w:ascii="宋体" w:hAnsi="宋体" w:cs="宋体"/>
          <w:b/>
          <w:bCs/>
          <w:i/>
          <w:iCs/>
          <w:color w:val="000000"/>
          <w:sz w:val="24"/>
          <w:highlight w:val="none"/>
        </w:rPr>
        <w:t xml:space="preserve">2.2.1、为达到肥胖患者高清图像的手术需求，最大输出功率≥15KW；</w:t>
      </w:r>
      <w:r>
        <w:rPr>
          <w:rFonts w:hint="eastAsia" w:ascii="宋体" w:hAnsi="宋体" w:cs="宋体"/>
          <w:b/>
          <w:bCs/>
          <w:i/>
          <w:i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2.2.2、发生器频率≥50KHZ高频/多脉冲处理器控制；</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2.2.3、为达到肥胖患者高清图像的手术需求，透视最大电流≥100mA；</w:t>
      </w:r>
      <w:r>
        <w:rPr>
          <w:rFonts w:hint="eastAsia" w:ascii="宋体" w:hAnsi="宋体" w:cs="宋体"/>
          <w:bCs/>
          <w:color w:val="000000"/>
          <w:sz w:val="24"/>
          <w:highlight w:val="none"/>
        </w:rPr>
      </w:r>
      <w:r/>
    </w:p>
    <w:p>
      <w:pPr>
        <w:pStyle w:val="1070"/>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2.2.4、最大脉冲频率≥30帧/秒；</w:t>
      </w:r>
      <w:r>
        <w:rPr>
          <w:rFonts w:ascii="宋体" w:hAnsi="宋体" w:cs="宋体"/>
          <w:bCs/>
          <w:color w:val="000000"/>
          <w:sz w:val="24"/>
          <w:highlight w:val="none"/>
        </w:rPr>
        <w:t xml:space="preserve"> </w:t>
      </w:r>
      <w:r>
        <w:rPr>
          <w:rFonts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2.2.5、最小脉冲频率≤0.5帧/秒；</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2.2.6、单幅点片最大电流≥100mA；</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2.2.7、最小曝光时间≤5ms；</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2.3、球管</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2.3.1、球管类型：旋转阳极；</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2.3.2、球管双焦点，大焦点≤0.6mm，</w:t>
      </w:r>
      <w:r>
        <w:rPr>
          <w:rFonts w:ascii="宋体" w:hAnsi="宋体" w:cs="宋体"/>
          <w:bCs/>
          <w:color w:val="000000"/>
          <w:sz w:val="24"/>
          <w:highlight w:val="none"/>
        </w:rPr>
        <w:t xml:space="preserve">小焦点≤0.3mm</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bCs/>
          <w:color w:val="000000"/>
          <w:sz w:val="24"/>
          <w:highlight w:val="none"/>
        </w:rPr>
        <w:t xml:space="preserve">2.3.3、为达到连续多台手术要求，保证球管连续工作不停机，阳极热容量≥360KHU；</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bCs/>
          <w:color w:val="000000"/>
          <w:sz w:val="24"/>
          <w:highlight w:val="none"/>
        </w:rPr>
        <w:t xml:space="preserve">2.3.4、阳极散热率≥90KHU/min；</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bCs/>
          <w:color w:val="000000"/>
          <w:sz w:val="24"/>
          <w:highlight w:val="none"/>
        </w:rPr>
        <w:t xml:space="preserve">2.3.5、球管转速≥6000转/分钟；</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bCs/>
          <w:color w:val="000000"/>
          <w:sz w:val="24"/>
          <w:highlight w:val="none"/>
        </w:rPr>
        <w:t xml:space="preserve">2.3.6、为达到连续多台手术要求，保证球管连续工作不停机，球管热容量≥2.5MHU；</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2.4、平板探测器</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2.4.1、平板成像大小≥30cm*30cm；</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bCs/>
          <w:color w:val="000000"/>
          <w:sz w:val="24"/>
          <w:highlight w:val="none"/>
        </w:rPr>
        <w:t xml:space="preserve">2.4.2、平板材质CMOS；</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2.4.3、像素尺寸≤152µm；</w:t>
      </w:r>
      <w:r>
        <w:rPr>
          <w:rFonts w:hint="eastAsia" w:ascii="宋体" w:hAnsi="宋体" w:cs="宋体"/>
          <w:bCs/>
          <w:color w:val="000000"/>
          <w:sz w:val="24"/>
          <w:highlight w:val="none"/>
        </w:rPr>
      </w:r>
      <w:r/>
    </w:p>
    <w:p>
      <w:pPr>
        <w:pStyle w:val="1070"/>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2.4.4、数字图像旋转角度≥±360°；</w:t>
      </w:r>
      <w:r>
        <w:rPr>
          <w:rFonts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2.4.5、平板放大等级≥3级；</w:t>
      </w:r>
      <w:r>
        <w:rPr>
          <w:rFonts w:hint="eastAsia" w:ascii="宋体" w:hAnsi="宋体" w:cs="宋体"/>
          <w:bCs/>
          <w:color w:val="000000"/>
          <w:sz w:val="24"/>
          <w:highlight w:val="none"/>
        </w:rPr>
      </w:r>
      <w:r/>
    </w:p>
    <w:p>
      <w:pPr>
        <w:pStyle w:val="1070"/>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2.4.6、DQE≥72%；</w:t>
      </w:r>
      <w:r>
        <w:rPr>
          <w:rFonts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2.5、准直器及滤线栅</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2.5.1、狭缝准直器非对称调节；</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2.5.2、无射线数字图像旋转；</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2.5.3、滤线栅栅比≤1/15；</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2.5.4、滤线栅密度≥70线/厘米；</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2.5.5、滤线栅可拆卸；</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2.6、监视器</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2.6.1、监视器≥19”TFT高分辨率医用显示器2台；</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2.6.2、最大亮度≥650cd/cm2；</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2.6.3、可视角度≥±178°；</w:t>
      </w:r>
      <w:r>
        <w:rPr>
          <w:rFonts w:hint="eastAsia" w:ascii="宋体" w:hAnsi="宋体" w:cs="宋体"/>
          <w:bCs/>
          <w:color w:val="000000"/>
          <w:sz w:val="24"/>
          <w:highlight w:val="none"/>
        </w:rPr>
      </w:r>
      <w:r/>
    </w:p>
    <w:p>
      <w:pPr>
        <w:pStyle w:val="1070"/>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2.6.4、监视器可旋转，方便不同角度观察影像(注明旋转角度)≥240°；</w:t>
      </w:r>
      <w:r>
        <w:rPr>
          <w:rFonts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2.6.5、对环境光亮度自动补偿功能；</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2.7、二维数字图像处理</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2.7.1、图象左右翻转、上下翻转、旋转、黑白翻转（负片）功能；实时边缘增强功能；实时自动、手动窗位调整功能；实时动态降噪功能；实时去除运动伪影功能；实时金属修正功能；实时软组织修正功能；</w:t>
      </w:r>
      <w:r>
        <w:rPr>
          <w:rFonts w:hint="eastAsia" w:ascii="宋体" w:hAnsi="宋体" w:cs="宋体"/>
          <w:bCs/>
          <w:color w:val="000000"/>
          <w:sz w:val="24"/>
          <w:highlight w:val="none"/>
        </w:rPr>
      </w:r>
      <w:r/>
    </w:p>
    <w:p>
      <w:pPr>
        <w:pStyle w:val="1070"/>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2.8、图像资料存储系统</w:t>
      </w:r>
      <w:r>
        <w:rPr>
          <w:rFonts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2.8.1、CD/DVD刻录功能；</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2.8.2、Dicom发送、打印、工作表及MPPS功能；</w:t>
      </w:r>
      <w:r>
        <w:rPr>
          <w:rFonts w:hint="eastAsia" w:ascii="宋体" w:hAnsi="宋体" w:cs="宋体"/>
          <w:bCs/>
          <w:color w:val="000000"/>
          <w:sz w:val="24"/>
          <w:highlight w:val="none"/>
        </w:rPr>
      </w:r>
      <w:r/>
    </w:p>
    <w:p>
      <w:pPr>
        <w:pStyle w:val="1070"/>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2.8.3、存贮图像容量（内置工作站硬盘存储）≥300000幅；</w:t>
      </w:r>
      <w:r>
        <w:rPr>
          <w:rFonts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2.8.4、具备USB导出功能；</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2.9、操控部件</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2.9.1、触摸屏控制面板尺寸≥12英寸；</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2.9.2、触摸屏控制面板分辨率≥1280x800 Pixels；</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2.9.3、同屏触控登记功能；同屏触控图像后处理功能；曝光参数设定功能；</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2.9.4、触摸屏上可与台车显示器同步显示图像；</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2.9.5、C臂和显示器推车上均具备同屏触摸控制装置；</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2.10、其他</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2.10.1、具备激光定位灯；</w:t>
      </w:r>
      <w:r>
        <w:rPr>
          <w:rFonts w:hint="eastAsia" w:ascii="宋体" w:hAnsi="宋体" w:cs="宋体"/>
          <w:bCs/>
          <w:color w:val="000000"/>
          <w:sz w:val="24"/>
          <w:highlight w:val="none"/>
        </w:rPr>
      </w:r>
      <w:r/>
    </w:p>
    <w:p>
      <w:pPr>
        <w:pStyle w:val="107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2.10.2、曝光剂量显示功能。</w:t>
      </w:r>
      <w:r>
        <w:rPr>
          <w:rFonts w:hint="eastAsia" w:ascii="宋体" w:hAnsi="宋体" w:cs="宋体"/>
          <w:bCs/>
          <w:color w:val="000000"/>
          <w:sz w:val="24"/>
          <w:highlight w:val="none"/>
        </w:rPr>
      </w:r>
      <w:r/>
    </w:p>
    <w:p>
      <w:pPr>
        <w:pStyle w:val="1070"/>
        <w:ind w:firstLine="482"/>
        <w:spacing w:line="360" w:lineRule="auto"/>
        <w:rPr>
          <w:rFonts w:hint="eastAsia" w:ascii="宋体" w:hAnsi="宋体" w:cs="宋体"/>
          <w:b/>
          <w:bCs w:val="0"/>
          <w:i/>
          <w:iCs/>
          <w:color w:val="000000"/>
          <w:sz w:val="24"/>
          <w:highlight w:val="none"/>
        </w:rPr>
      </w:pPr>
      <w:r>
        <w:rPr>
          <w:rFonts w:hint="eastAsia" w:ascii="宋体" w:hAnsi="宋体" w:cs="宋体"/>
          <w:b/>
          <w:bCs w:val="0"/>
          <w:i/>
          <w:iCs/>
          <w:color w:val="000000"/>
          <w:sz w:val="24"/>
          <w:highlight w:val="none"/>
        </w:rPr>
        <w:t xml:space="preserve">★2.11、配置要求</w:t>
      </w:r>
      <w:r>
        <w:rPr>
          <w:rFonts w:hint="eastAsia" w:ascii="宋体" w:hAnsi="宋体" w:cs="宋体"/>
          <w:b/>
          <w:bCs w:val="0"/>
          <w:i/>
          <w:iCs/>
          <w:color w:val="000000"/>
          <w:sz w:val="24"/>
          <w:highlight w:val="none"/>
        </w:rPr>
      </w:r>
      <w:r/>
    </w:p>
    <w:p>
      <w:pPr>
        <w:pStyle w:val="1070"/>
        <w:ind w:firstLine="482"/>
        <w:spacing w:line="360" w:lineRule="auto"/>
        <w:rPr>
          <w:rFonts w:hint="eastAsia" w:ascii="宋体" w:hAnsi="宋体" w:cs="宋体"/>
          <w:b/>
          <w:bCs w:val="0"/>
          <w:i/>
          <w:iCs/>
          <w:color w:val="000000"/>
          <w:sz w:val="24"/>
          <w:highlight w:val="none"/>
        </w:rPr>
      </w:pPr>
      <w:r>
        <w:rPr>
          <w:rFonts w:hint="eastAsia" w:ascii="宋体" w:hAnsi="宋体" w:cs="宋体"/>
          <w:b/>
          <w:bCs w:val="0"/>
          <w:i/>
          <w:iCs/>
          <w:color w:val="000000"/>
          <w:sz w:val="24"/>
          <w:highlight w:val="none"/>
          <w:lang w:val="en-US" w:eastAsia="zh-CN"/>
        </w:rPr>
        <w:t xml:space="preserve">2.11.1 </w:t>
      </w:r>
      <w:r>
        <w:rPr>
          <w:rFonts w:hint="eastAsia" w:ascii="宋体" w:hAnsi="宋体" w:cs="宋体"/>
          <w:b/>
          <w:bCs w:val="0"/>
          <w:i/>
          <w:iCs/>
          <w:color w:val="000000"/>
          <w:sz w:val="24"/>
          <w:highlight w:val="none"/>
        </w:rPr>
        <w:t xml:space="preserve">骨科手术床一台</w:t>
      </w:r>
      <w:r>
        <w:rPr>
          <w:rFonts w:hint="eastAsia" w:ascii="宋体" w:hAnsi="宋体" w:cs="宋体"/>
          <w:b/>
          <w:bCs w:val="0"/>
          <w:i/>
          <w:iCs/>
          <w:color w:val="000000"/>
          <w:sz w:val="24"/>
          <w:highlight w:val="none"/>
        </w:rPr>
      </w:r>
      <w:r/>
    </w:p>
    <w:p>
      <w:pPr>
        <w:pStyle w:val="1070"/>
        <w:ind w:left="420"/>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五、报价方式</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六、交货期及交货地点</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1、交货日期：合同签订后</w:t>
      </w:r>
      <w:r>
        <w:rPr>
          <w:rFonts w:hint="eastAsia" w:ascii="宋体" w:hAnsi="宋体" w:cs="宋体"/>
          <w:color w:val="000000"/>
          <w:sz w:val="24"/>
          <w:highlight w:val="none"/>
          <w:lang w:bidi="ar"/>
        </w:rPr>
        <w:t xml:space="preserve">30天</w:t>
      </w:r>
      <w:r>
        <w:rPr>
          <w:rFonts w:hint="eastAsia" w:ascii="宋体" w:hAnsi="宋体" w:cs="宋体"/>
          <w:color w:val="000000"/>
          <w:sz w:val="24"/>
          <w:highlight w:val="none"/>
          <w:lang w:bidi="ar"/>
        </w:rPr>
        <w:t xml:space="preserve">内完成合同范围内所有设备的供货、安装调试。</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中标人负责将货物运到常州市武进中医医院（常州市钟楼区丁香路16号），由中标人负责办理运输和装卸等，费用由中标人负责，由采购人组织验收，检验不合格或不符合质量要求，中标人除无条件退货、返工外，还应承担采购人的一切损失。</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七、验收标准</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1.产</w:t>
      </w:r>
      <w:r>
        <w:rPr>
          <w:rFonts w:hint="eastAsia" w:ascii="宋体" w:hAnsi="宋体" w:cs="宋体"/>
          <w:color w:val="000000"/>
          <w:sz w:val="24"/>
          <w:highlight w:val="none"/>
        </w:rPr>
        <w:t xml:space="preserve">品到达交货地点后，采购人和中标单位在2日内共同检验产品数量、质量等状况，由中标单位负责并承担相关费用，采购人应积极配合。中标单位进行安装调试并经过性能测试后，由采购人组织联合验收小组验收。采购人在组织履约验收前，可根据项目特点制定验收方案，明确履约验收的时间、方式、程序等内容，并可根据项目特点对服务期内的服务实施情况进行分期考核。综合考核情况和服务效果进行验收。本项目验收分为初验和终验两个阶段，初验：设备供货、安装调试完成后十五个工作日内；终验：设备稳定运行一年后。中标人应根据验收方案内容做好相应配合工作。</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2.对产品的外观或质量问题，采购人应在发现和应当发现之日起30日内向中标单位提出书面异议，中标单位在接到书面异议后，应当在2日内负责处理。采购人逾期提出的，对所交产品视为符合合同的规定。</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3.经双方共同验收，产品性能参数达不到采购合同要求的，采购人可以拒收，并可以解除合同。</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八、质保期及售后服务</w:t>
      </w:r>
      <w:r>
        <w:rPr>
          <w:rFonts w:hint="eastAsia" w:ascii="宋体" w:hAnsi="宋体" w:cs="宋体"/>
          <w:b/>
          <w:color w:val="000000"/>
          <w:sz w:val="24"/>
          <w:highlight w:val="none"/>
        </w:rPr>
      </w:r>
      <w:r/>
    </w:p>
    <w:p>
      <w:pPr>
        <w:pStyle w:val="1070"/>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（一）质保期：</w:t>
      </w:r>
      <w:r>
        <w:rPr>
          <w:rFonts w:hint="eastAsia" w:ascii="宋体" w:hAnsi="宋体" w:cs="宋体"/>
          <w:b/>
          <w:color w:val="000000"/>
          <w:sz w:val="24"/>
          <w:highlight w:val="none"/>
          <w:lang w:bidi="ar"/>
        </w:rPr>
      </w:r>
      <w:r/>
    </w:p>
    <w:p>
      <w:pPr>
        <w:pStyle w:val="1070"/>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投标人报价时须承诺所供货物免费质保期</w:t>
      </w:r>
      <w:r>
        <w:rPr>
          <w:rFonts w:hint="eastAsia" w:ascii="宋体" w:hAnsi="宋体" w:cs="宋体"/>
          <w:b/>
          <w:color w:val="000000"/>
          <w:sz w:val="24"/>
          <w:highlight w:val="none"/>
          <w:lang w:bidi="ar"/>
        </w:rPr>
        <w:t xml:space="preserve">不少于3年</w:t>
      </w:r>
      <w:r>
        <w:rPr>
          <w:rFonts w:hint="eastAsia" w:ascii="宋体" w:hAnsi="宋体" w:cs="宋体"/>
          <w:color w:val="000000"/>
          <w:sz w:val="24"/>
          <w:highlight w:val="none"/>
          <w:lang w:bidi="ar"/>
        </w:rPr>
        <w:t xml:space="preserve">（自验收报告签字确认日起，开始进入质保期）。中标单位对质保期内所发生的设备维护、维修、更换等一切费用负责。提供设备关键配件清单（包括但不限于名称、型号、参考价格等）</w:t>
      </w:r>
      <w:r>
        <w:rPr>
          <w:rFonts w:hint="eastAsia" w:ascii="宋体" w:hAnsi="宋体" w:cs="宋体"/>
          <w:color w:val="000000"/>
          <w:sz w:val="24"/>
          <w:highlight w:val="none"/>
          <w:lang w:bidi="ar"/>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（二）售后服务</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质保期内免费更换零配件（人为损坏除外），质保期满后实行终身有偿维修保养。投标人接到保修请求，维修应在2小时内响应，24小时内维修人员到达现场，排除故障；48小时内解决故障问题，恢复设备正常使用。必要时应向采购人提供应急备用设备。质保期后，中标人提供终生服务，保证零配件的供给。</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质保期结束，不能视为中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 投标人应按照国家有关法律法规和“三包”规定以及响应文件中的“售后服务承诺”提供服务。</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4.因投标人所提供的产品，造成采购人设备损坏或其他损失，以及其他第三方损失的，一经核实，投标人必须赔偿采购人或第三方因此造成的所有损失。</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5.投标人所提供货物必须是全新未使用的并符合国家有关技术标准。</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6.投标人应在交付货物的同时向采购人提供产品全套随机资料一套（包括但不限于含产品合格证书、使用维护说明书、验收报告书、原厂保修单等）。根据采购人要求免费提供并安装操作应用软件。</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7.终身提供应用技术服务，设备出现故障时保证24小时内服务维修响应。</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8.质保期过后，</w:t>
      </w:r>
      <w:r>
        <w:rPr>
          <w:rFonts w:hint="eastAsia" w:ascii="宋体" w:hAnsi="宋体" w:cs="宋体"/>
          <w:color w:val="000000"/>
          <w:sz w:val="24"/>
          <w:highlight w:val="none"/>
        </w:rPr>
        <w:t xml:space="preserve">投标人提供能完善的后续服务，保证零配件的供给。</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9.备件要求：</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（1）投标人应设置备件库，存入所有必须的备件，保证必要时可以及时供应技术及维修服务。</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（2）投标人应配置工程技术人员，随时提供开箱验货、安装、调试或维修等服务。</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（三）人员培训</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2.对采购人员工进行设备安全培训。</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3.中标人应免费提供一定数量的培训资料。</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九、付款方式（以合同签订为准）</w:t>
      </w:r>
      <w:r>
        <w:rPr>
          <w:rFonts w:hint="eastAsia" w:ascii="宋体" w:hAnsi="宋体" w:cs="宋体"/>
          <w:b/>
          <w:color w:val="000000"/>
          <w:sz w:val="24"/>
          <w:highlight w:val="none"/>
        </w:rPr>
      </w:r>
      <w:r/>
    </w:p>
    <w:p>
      <w:pPr>
        <w:pStyle w:val="1165"/>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设备安装调试正常、验收合格三十个工作日内支付合同总价的90%，剩余10%的货款于一年后的十个工作日内全部付清。如不能通过验收及达不到正常运行要求，停止设备付款。</w:t>
      </w:r>
      <w:r>
        <w:rPr>
          <w:rFonts w:ascii="宋体" w:hAnsi="宋体"/>
          <w:color w:val="000000"/>
          <w:sz w:val="24"/>
          <w:szCs w:val="24"/>
          <w:highlight w:val="none"/>
        </w:rPr>
      </w:r>
      <w:r/>
    </w:p>
    <w:p>
      <w:pPr>
        <w:pStyle w:val="1070"/>
        <w:jc w:val="left"/>
        <w:widowControl/>
        <w:rPr>
          <w:rFonts w:ascii="宋体" w:hAnsi="宋体"/>
          <w:b/>
          <w:color w:val="000000"/>
          <w:sz w:val="36"/>
          <w:szCs w:val="36"/>
          <w:highlight w:val="none"/>
        </w:rPr>
      </w:pP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bookmarkStart w:id="816" w:name="_Toc99301425"/>
      <w:r>
        <w:rPr>
          <w:rFonts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t xml:space="preserve">第六章   拟签订的合同文本</w:t>
      </w:r>
      <w:bookmarkEnd w:id="816"/>
      <w:r>
        <w:rPr>
          <w:rFonts w:ascii="宋体" w:hAnsi="宋体"/>
          <w:b/>
          <w:color w:val="000000"/>
          <w:sz w:val="36"/>
          <w:szCs w:val="36"/>
          <w:highlight w:val="none"/>
        </w:rPr>
      </w:r>
      <w:r/>
    </w:p>
    <w:p>
      <w:pPr>
        <w:pStyle w:val="1109"/>
        <w:spacing w:line="360" w:lineRule="auto"/>
        <w:rPr>
          <w:rFonts w:hAnsi="宋体" w:cs="宋体"/>
          <w:color w:val="000000"/>
          <w:sz w:val="24"/>
          <w:szCs w:val="24"/>
          <w:highlight w:val="none"/>
        </w:rPr>
      </w:pPr>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1109"/>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供应商（</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1084"/>
        <w:ind w:firstLine="528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110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6"/>
        <w:gridCol w:w="1105"/>
        <w:gridCol w:w="1624"/>
        <w:gridCol w:w="1194"/>
        <w:gridCol w:w="1425"/>
        <w:gridCol w:w="1874"/>
      </w:tblGrid>
      <w:tr>
        <w:trPr/>
        <w:tc>
          <w:tcPr>
            <w:tcW w:w="1112"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设备名称</w:t>
            </w:r>
            <w:r>
              <w:rPr>
                <w:rFonts w:ascii="宋体" w:hAnsi="宋体"/>
                <w:color w:val="000000"/>
                <w:sz w:val="24"/>
                <w:highlight w:val="none"/>
              </w:rPr>
            </w:r>
            <w:r/>
          </w:p>
        </w:tc>
        <w:tc>
          <w:tcPr>
            <w:tcW w:w="595"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品牌</w:t>
            </w:r>
            <w:r>
              <w:rPr>
                <w:rFonts w:ascii="宋体" w:hAnsi="宋体"/>
                <w:color w:val="000000"/>
                <w:sz w:val="24"/>
                <w:highlight w:val="none"/>
              </w:rPr>
            </w:r>
            <w:r/>
          </w:p>
        </w:tc>
        <w:tc>
          <w:tcPr>
            <w:tcW w:w="874"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规格型号</w:t>
            </w:r>
            <w:r>
              <w:rPr>
                <w:rFonts w:ascii="宋体" w:hAnsi="宋体"/>
                <w:color w:val="000000"/>
                <w:sz w:val="24"/>
                <w:highlight w:val="none"/>
              </w:rPr>
            </w:r>
            <w:r/>
          </w:p>
        </w:tc>
        <w:tc>
          <w:tcPr>
            <w:tcW w:w="643"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数  量</w:t>
            </w:r>
            <w:r>
              <w:rPr>
                <w:rFonts w:ascii="宋体" w:hAnsi="宋体"/>
                <w:color w:val="000000"/>
                <w:sz w:val="24"/>
                <w:highlight w:val="none"/>
              </w:rPr>
            </w:r>
            <w:r/>
          </w:p>
        </w:tc>
        <w:tc>
          <w:tcPr>
            <w:tcW w:w="767"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单价（元）</w:t>
            </w:r>
            <w:r>
              <w:rPr>
                <w:rFonts w:ascii="宋体" w:hAnsi="宋体"/>
                <w:color w:val="000000"/>
                <w:sz w:val="24"/>
                <w:highlight w:val="none"/>
              </w:rPr>
            </w:r>
            <w:r/>
          </w:p>
        </w:tc>
        <w:tc>
          <w:tcPr>
            <w:tcW w:w="1006"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成交总价（元）</w:t>
            </w:r>
            <w:r>
              <w:rPr>
                <w:rFonts w:ascii="宋体" w:hAnsi="宋体"/>
                <w:color w:val="000000"/>
                <w:sz w:val="24"/>
                <w:highlight w:val="none"/>
              </w:rPr>
            </w:r>
            <w:r/>
          </w:p>
        </w:tc>
      </w:tr>
      <w:tr>
        <w:trPr>
          <w:trHeight w:val="600"/>
        </w:trPr>
        <w:tc>
          <w:tcPr>
            <w:tcW w:w="1112" w:type="dxa"/>
            <w:vAlign w:val="center"/>
            <w:textDirection w:val="lrTb"/>
            <w:noWrap w:val="false"/>
          </w:tcPr>
          <w:p>
            <w:pPr>
              <w:pStyle w:val="1070"/>
              <w:jc w:val="center"/>
              <w:spacing w:line="360" w:lineRule="exact"/>
              <w:rPr>
                <w:rFonts w:hint="eastAsia" w:ascii="宋体" w:hAnsi="宋体"/>
                <w:b/>
                <w:color w:val="000000"/>
                <w:sz w:val="24"/>
                <w:highlight w:val="none"/>
              </w:rPr>
            </w:pPr>
            <w:r>
              <w:rPr>
                <w:rFonts w:hint="eastAsia" w:ascii="宋体" w:hAnsi="宋体"/>
                <w:b/>
                <w:color w:val="000000"/>
                <w:sz w:val="24"/>
                <w:highlight w:val="none"/>
              </w:rPr>
            </w:r>
            <w:r/>
          </w:p>
        </w:tc>
        <w:tc>
          <w:tcPr>
            <w:tcW w:w="595" w:type="dxa"/>
            <w:vAlign w:val="center"/>
            <w:textDirection w:val="lrTb"/>
            <w:noWrap w:val="false"/>
          </w:tcPr>
          <w:p>
            <w:pPr>
              <w:pStyle w:val="1070"/>
              <w:jc w:val="center"/>
              <w:spacing w:line="360" w:lineRule="exact"/>
              <w:rPr>
                <w:rFonts w:ascii="宋体" w:hAnsi="宋体"/>
                <w:b/>
                <w:color w:val="000000"/>
                <w:sz w:val="24"/>
                <w:highlight w:val="none"/>
              </w:rPr>
            </w:pPr>
            <w:r>
              <w:rPr>
                <w:rFonts w:ascii="宋体" w:hAnsi="宋体"/>
                <w:b/>
                <w:color w:val="000000"/>
                <w:sz w:val="24"/>
                <w:highlight w:val="none"/>
              </w:rPr>
            </w:r>
            <w:r/>
          </w:p>
        </w:tc>
        <w:tc>
          <w:tcPr>
            <w:tcW w:w="874" w:type="dxa"/>
            <w:vAlign w:val="center"/>
            <w:textDirection w:val="lrTb"/>
            <w:noWrap w:val="false"/>
          </w:tcPr>
          <w:p>
            <w:pPr>
              <w:pStyle w:val="1070"/>
              <w:jc w:val="center"/>
              <w:spacing w:line="360" w:lineRule="exact"/>
              <w:rPr>
                <w:rFonts w:ascii="宋体" w:hAnsi="宋体"/>
                <w:b/>
                <w:color w:val="000000"/>
                <w:sz w:val="24"/>
                <w:highlight w:val="none"/>
              </w:rPr>
            </w:pPr>
            <w:r>
              <w:rPr>
                <w:rFonts w:ascii="宋体" w:hAnsi="宋体"/>
                <w:b/>
                <w:color w:val="000000"/>
                <w:sz w:val="24"/>
                <w:highlight w:val="none"/>
              </w:rPr>
            </w:r>
            <w:r/>
          </w:p>
        </w:tc>
        <w:tc>
          <w:tcPr>
            <w:tcW w:w="643" w:type="dxa"/>
            <w:vAlign w:val="center"/>
            <w:textDirection w:val="lrTb"/>
            <w:noWrap w:val="false"/>
          </w:tcPr>
          <w:p>
            <w:pPr>
              <w:pStyle w:val="1070"/>
              <w:jc w:val="center"/>
              <w:spacing w:line="360" w:lineRule="exact"/>
              <w:rPr>
                <w:rFonts w:ascii="宋体" w:hAnsi="宋体"/>
                <w:b/>
                <w:color w:val="000000"/>
                <w:sz w:val="24"/>
                <w:highlight w:val="none"/>
              </w:rPr>
            </w:pPr>
            <w:r>
              <w:rPr>
                <w:rFonts w:ascii="宋体" w:hAnsi="宋体"/>
                <w:b/>
                <w:color w:val="000000"/>
                <w:sz w:val="24"/>
                <w:highlight w:val="none"/>
              </w:rPr>
            </w:r>
            <w:r/>
          </w:p>
        </w:tc>
        <w:tc>
          <w:tcPr>
            <w:tcW w:w="767" w:type="dxa"/>
            <w:vAlign w:val="center"/>
            <w:textDirection w:val="lrTb"/>
            <w:noWrap w:val="false"/>
          </w:tcPr>
          <w:p>
            <w:pPr>
              <w:pStyle w:val="1070"/>
              <w:jc w:val="center"/>
              <w:spacing w:line="360" w:lineRule="exact"/>
              <w:rPr>
                <w:rFonts w:ascii="宋体" w:hAnsi="宋体"/>
                <w:b/>
                <w:color w:val="000000"/>
                <w:sz w:val="24"/>
                <w:highlight w:val="none"/>
              </w:rPr>
            </w:pPr>
            <w:r>
              <w:rPr>
                <w:rFonts w:ascii="宋体" w:hAnsi="宋体"/>
                <w:b/>
                <w:color w:val="000000"/>
                <w:sz w:val="24"/>
                <w:highlight w:val="none"/>
              </w:rPr>
            </w:r>
            <w:r/>
          </w:p>
        </w:tc>
        <w:tc>
          <w:tcPr>
            <w:tcW w:w="1006" w:type="dxa"/>
            <w:vAlign w:val="center"/>
            <w:textDirection w:val="lrTb"/>
            <w:noWrap w:val="false"/>
          </w:tcPr>
          <w:p>
            <w:pPr>
              <w:pStyle w:val="1070"/>
              <w:jc w:val="center"/>
              <w:spacing w:line="360" w:lineRule="exact"/>
              <w:rPr>
                <w:rFonts w:ascii="宋体" w:hAnsi="宋体"/>
                <w:b/>
                <w:color w:val="000000"/>
                <w:sz w:val="24"/>
                <w:highlight w:val="none"/>
              </w:rPr>
            </w:pPr>
            <w:r>
              <w:rPr>
                <w:rFonts w:ascii="宋体" w:hAnsi="宋体"/>
                <w:b/>
                <w:color w:val="000000"/>
                <w:sz w:val="24"/>
                <w:highlight w:val="none"/>
              </w:rPr>
            </w:r>
            <w:r/>
          </w:p>
        </w:tc>
      </w:tr>
      <w:tr>
        <w:trPr/>
        <w:tc>
          <w:tcPr>
            <w:gridSpan w:val="6"/>
            <w:tcW w:w="9288" w:type="dxa"/>
            <w:vAlign w:val="center"/>
            <w:textDirection w:val="lrTb"/>
            <w:noWrap w:val="false"/>
          </w:tcPr>
          <w:p>
            <w:pPr>
              <w:pStyle w:val="1070"/>
              <w:jc w:val="left"/>
              <w:spacing w:line="360" w:lineRule="exact"/>
              <w:widowControl/>
              <w:rPr>
                <w:rFonts w:ascii="宋体" w:hAnsi="宋体"/>
                <w:color w:val="000000"/>
                <w:sz w:val="24"/>
                <w:highlight w:val="none"/>
              </w:rPr>
            </w:pPr>
            <w:r>
              <w:rPr>
                <w:rFonts w:ascii="宋体" w:hAnsi="宋体"/>
                <w:color w:val="000000"/>
                <w:sz w:val="24"/>
                <w:highlight w:val="none"/>
              </w:rPr>
              <w:t xml:space="preserve">总价（大写）：</w:t>
            </w:r>
            <w:r>
              <w:rPr>
                <w:rFonts w:ascii="宋体" w:hAnsi="宋体"/>
                <w:b/>
                <w:color w:val="000000"/>
                <w:sz w:val="24"/>
                <w:highlight w:val="none"/>
              </w:rPr>
              <w:t xml:space="preserve">人民币  万   仟  佰  圆整</w:t>
            </w:r>
            <w:r>
              <w:rPr>
                <w:rFonts w:ascii="宋体" w:hAnsi="宋体"/>
                <w:color w:val="000000"/>
                <w:sz w:val="24"/>
                <w:highlight w:val="none"/>
              </w:rPr>
            </w:r>
            <w:r/>
          </w:p>
        </w:tc>
      </w:tr>
    </w:tbl>
    <w:p>
      <w:pPr>
        <w:pStyle w:val="110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109"/>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w:t>
      </w:r>
      <w:r>
        <w:rPr>
          <w:rFonts w:hAnsi="宋体" w:cs="宋体"/>
          <w:b/>
          <w:color w:val="000000"/>
          <w:sz w:val="24"/>
          <w:szCs w:val="24"/>
          <w:highlight w:val="none"/>
        </w:rPr>
        <w:t xml:space="preserve">元（小写       ）。 </w:t>
      </w:r>
      <w:r>
        <w:rPr>
          <w:rFonts w:hAnsi="宋体" w:cs="宋体"/>
          <w:b/>
          <w:color w:val="000000"/>
          <w:sz w:val="24"/>
          <w:szCs w:val="24"/>
          <w:highlight w:val="none"/>
        </w:rPr>
      </w:r>
      <w:r/>
    </w:p>
    <w:p>
      <w:pPr>
        <w:pStyle w:val="1070"/>
        <w:ind w:firstLine="480"/>
        <w:spacing w:line="360" w:lineRule="auto"/>
        <w:tabs>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本合同总价款包括</w:t>
      </w:r>
      <w:r>
        <w:rPr>
          <w:rFonts w:hint="eastAsia" w:ascii="宋体" w:hAnsi="宋体" w:cs="宋体"/>
          <w:color w:val="000000"/>
          <w:sz w:val="24"/>
          <w:highlight w:val="none"/>
        </w:rPr>
        <w:t xml:space="preserve">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rPr>
          <w:rFonts w:ascii="宋体" w:hAnsi="宋体" w:cs="宋体"/>
          <w:color w:val="000000"/>
          <w:sz w:val="24"/>
          <w:highlight w:val="none"/>
        </w:rPr>
      </w:r>
      <w:r/>
    </w:p>
    <w:p>
      <w:pPr>
        <w:pStyle w:val="110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组成本合同的有关文件</w:t>
      </w:r>
      <w:r>
        <w:rPr>
          <w:rFonts w:hAnsi="宋体" w:cs="宋体"/>
          <w:b/>
          <w:color w:val="000000"/>
          <w:sz w:val="24"/>
          <w:szCs w:val="24"/>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（1）招标采购文件（编号：   ）           （2）乙方提供的投标文件； </w:t>
      </w:r>
      <w:r>
        <w:rPr>
          <w:rFonts w:hAnsi="宋体" w:cs="宋体"/>
          <w:color w:val="000000"/>
          <w:sz w:val="24"/>
          <w:szCs w:val="24"/>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（3）中标通知书；                        （4）甲乙双方商定的其他文件等。</w:t>
      </w:r>
      <w:r>
        <w:rPr>
          <w:rFonts w:hAnsi="宋体" w:cs="宋体"/>
          <w:color w:val="000000"/>
          <w:sz w:val="24"/>
          <w:szCs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第四条 权利保证</w:t>
      </w:r>
      <w:r>
        <w:rPr>
          <w:rFonts w:ascii="宋体" w:hAnsi="宋体" w:cs="宋体"/>
          <w:b/>
          <w:color w:val="000000"/>
          <w:sz w:val="24"/>
          <w:highlight w:val="none"/>
        </w:rPr>
      </w:r>
      <w:r/>
    </w:p>
    <w:p>
      <w:pPr>
        <w:pStyle w:val="1070"/>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rPr>
        <w:t xml:space="preserve">、著作权、商标权等知识产权的起诉。</w:t>
      </w:r>
      <w:r>
        <w:rPr>
          <w:rFonts w:hint="eastAsia" w:ascii="宋体" w:hAnsi="宋体" w:cs="宋体"/>
          <w:color w:val="000000"/>
          <w:sz w:val="24"/>
          <w:highlight w:val="none"/>
        </w:rPr>
        <w:t xml:space="preserve">一旦出现侵权、索赔或诉讼，乙方应承担全部责任，同时甲方有权解除本合同。</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第五条 质量保证</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1.乙方所提供的货物的技术规格应与招标文件规定的技术规格及所附的“技术规格响应表”相一致；若技术性能无特殊说明，则按国家有关部门最新颁布的标准及规范为准。</w:t>
      </w:r>
      <w:r>
        <w:rPr>
          <w:rFonts w:ascii="宋体" w:hAnsi="宋体" w:cs="宋体"/>
          <w:color w:val="000000"/>
          <w:sz w:val="24"/>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sz w:val="24"/>
          <w:szCs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第六条 包装要求</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2.每一包装单元内应附详细的装箱单和质量合格凭证。</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3.乙方保证货物不存在危及人身及财产安全的产品缺陷，否则应承担全部法律责任。</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第七条 交货和验收</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1.乙方应当在合同签订后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天内将货物安装调试完毕交付甲方正常使用，地点由甲方指定。招标文件有约定的，从其约定。</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3.货物的到货验收包括：生产厂家名称、品牌、型号、规格、数量、外观质量、配置及货物包装是否完好。</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a.重新调试直至合格为止；</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b.要求乙方对货物进行免费更换，然后重新调试直至合格为止。</w:t>
      </w:r>
      <w:r>
        <w:rPr>
          <w:rFonts w:ascii="宋体" w:hAnsi="宋体" w:cs="宋体"/>
          <w:color w:val="000000"/>
          <w:sz w:val="24"/>
          <w:highlight w:val="none"/>
        </w:rPr>
      </w:r>
      <w:r/>
    </w:p>
    <w:p>
      <w:pPr>
        <w:pStyle w:val="1109"/>
        <w:ind w:firstLine="480"/>
        <w:spacing w:line="360" w:lineRule="auto"/>
        <w:rPr>
          <w:rFonts w:hAnsi="宋体" w:cs="宋体"/>
          <w:b/>
          <w:color w:val="000000"/>
          <w:sz w:val="24"/>
          <w:szCs w:val="24"/>
          <w:highlight w:val="none"/>
        </w:rPr>
      </w:pPr>
      <w:r>
        <w:rPr>
          <w:rFonts w:hAnsi="宋体" w:cs="宋体"/>
          <w:color w:val="000000"/>
          <w:sz w:val="24"/>
          <w:szCs w:val="24"/>
          <w:highlight w:val="none"/>
        </w:rPr>
        <w:t xml:space="preserve">甲方因乙方原因所产生的所有费用均由乙方负担。</w:t>
      </w:r>
      <w:r>
        <w:rPr>
          <w:rFonts w:hAnsi="宋体" w:cs="宋体"/>
          <w:b/>
          <w:color w:val="000000"/>
          <w:sz w:val="24"/>
          <w:szCs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第八条 合同款结算及支付</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3.结算原则：固定总价</w:t>
      </w:r>
      <w:r>
        <w:rPr>
          <w:rFonts w:ascii="宋体" w:hAnsi="宋体" w:cs="宋体"/>
          <w:color w:val="000000"/>
          <w:sz w:val="24"/>
          <w:highlight w:val="none"/>
        </w:rPr>
      </w:r>
      <w:r/>
    </w:p>
    <w:p>
      <w:pPr>
        <w:pStyle w:val="1165"/>
        <w:contextualSpacing/>
        <w:ind w:firstLine="480"/>
        <w:jc w:val="left"/>
        <w:spacing w:line="360" w:lineRule="auto"/>
        <w:rPr>
          <w:rFonts w:hint="eastAsia" w:ascii="宋体" w:hAnsi="宋体"/>
          <w:color w:val="000000"/>
          <w:sz w:val="24"/>
          <w:szCs w:val="24"/>
          <w:highlight w:val="none"/>
        </w:rPr>
      </w:pPr>
      <w:r>
        <w:rPr>
          <w:rFonts w:hint="eastAsia" w:ascii="宋体" w:hAnsi="宋体" w:cs="宋体"/>
          <w:color w:val="000000"/>
          <w:sz w:val="24"/>
          <w:highlight w:val="none"/>
        </w:rPr>
        <w:t xml:space="preserve">4.付款方式：</w:t>
      </w:r>
      <w:r>
        <w:rPr>
          <w:rFonts w:hint="eastAsia" w:ascii="宋体" w:hAnsi="宋体"/>
          <w:color w:val="000000"/>
          <w:sz w:val="24"/>
          <w:szCs w:val="24"/>
          <w:highlight w:val="none"/>
        </w:rPr>
        <w:t xml:space="preserve">设备安装调试正常、验收合格三十个工作日内支付合同总价的90%，剩余10%的货款于一年后的十个工作日内全部付清。如不能通过验收及达不到正常运行要求，停止设备付款。</w:t>
      </w:r>
      <w:r>
        <w:rPr>
          <w:rFonts w:hint="eastAsia" w:ascii="宋体" w:hAnsi="宋体"/>
          <w:color w:val="000000"/>
          <w:sz w:val="24"/>
          <w:szCs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第九条 伴随服务／售后服务</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2.除前款规定外，乙方还应提供下列服务：</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（1）货物的现场安装、调试或启动监督；</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（2）就货物的安装、启动、运行及维护等对甲方人员进行免费培训。</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3.若招标文件中不包含有关伴随服务或售后服务的承诺，双方作如下约定：</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 所购货物按乙方投标承诺提供免费维护和质量保证，保修费用计入总价。</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 保修期内，乙方负责对其提供的货物整机进行维修和系统维护，不再收取任何费用，但不可抗力（如火灾、雷击等）造成的故障除外。</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 货物故障报修的响应时间按乙方投标承诺执行。</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3.5 若货物故障在检修工作小时后仍无法排除，乙方应在小时内免费提供不低于故障货物规格型号档次的备用货物供甲方使用，直至故障货物修复。</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3.6 所有货物保修服务方式均为乙方上门保修，即由乙方派员到货物使用现场维修，由此产生的一切费用均由乙方承担。</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3.7 保修期后的货物维护由双方协商再定。</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 本项目免费保修期为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年。自产品验收合格之日起计算。</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第十条 违约责任</w:t>
      </w:r>
      <w:r>
        <w:rPr>
          <w:rFonts w:ascii="宋体" w:hAnsi="宋体" w:cs="宋体"/>
          <w:b/>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如乙方不能按时交付货物的，每逾期1天，乙方向甲方偿付合同总额5‰的违约金；乙方逾期交付货物超过10天（含10天），甲方有权解除合同，同时有权要求乙方按照合同总价5%的标准支付违约金，解除合同的通知自到达之日生效。</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2.乙方所交付的货物品种、型号、规格不符合合同规定的，甲方有权拒收，同时有权解除合同，解除合同的通知自到达之日生效。</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在乙方承诺的或国家规定的质量保证期内（取两者中最长的期限），如经乙方两次维修或更换，货物仍不能达到合同约定的质量标准、运行效果的，甲方有权要求退货，乙方应退回全部货款，同时甲方有权按照本条第1点向乙方主张违约金，若仍不足以弥补甲方损失，则乙方还须赔偿甲方因此遭受的所有损失。</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4.乙方未按本合同的规定和“服务承诺”提供伴随服务/售后服务的，甲方有权提前解除本合同，同时乙方应按合同总价款的5 %向甲方承担违约责任。</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乙方投标属虚假承诺，或经权威部门监测提供的货物不能满足招标文件要求，或是由于乙方的过错造成合同无法继续履行的，应向甲方支付不少于合同总价30%违约金，若该违约金不足以弥补甲方损失，则应当赔偿甲方所有损失，包括不限于甲方为了维护权利所花费的诉讼费，保全费，保全保险费，律师费，交通费等费用。</w:t>
      </w:r>
      <w:r>
        <w:rPr>
          <w:rFonts w:hint="eastAsia" w:ascii="宋体" w:hAnsi="宋体" w:cs="宋体"/>
          <w:color w:val="000000"/>
          <w:sz w:val="24"/>
          <w:highlight w:val="none"/>
        </w:rPr>
      </w:r>
      <w:r/>
    </w:p>
    <w:p>
      <w:pPr>
        <w:pStyle w:val="1070"/>
        <w:ind w:firstLine="480"/>
        <w:spacing w:line="360" w:lineRule="auto"/>
        <w:rPr>
          <w:rFonts w:ascii="宋体" w:hAnsi="宋体"/>
          <w:color w:val="000000"/>
          <w:sz w:val="24"/>
          <w:highlight w:val="none"/>
        </w:rPr>
      </w:pPr>
      <w:r>
        <w:rPr>
          <w:rFonts w:hint="eastAsia" w:ascii="宋体" w:hAnsi="宋体" w:cs="宋体"/>
          <w:color w:val="000000"/>
          <w:sz w:val="24"/>
          <w:highlight w:val="none"/>
        </w:rPr>
        <w:t xml:space="preserve">7.其他未尽事宜，以《中华人民共和国民法典》等有关法律法规规定为准，无相关规定的，双方协商解决。</w:t>
      </w:r>
      <w:r>
        <w:rPr>
          <w:rFonts w:ascii="宋体" w:hAnsi="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第十一条 合同的变更和终止</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第十二条 合同的转让</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第十三条 不可抗力</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1070"/>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第十四条 质量问题或缺陷的索赔</w:t>
      </w:r>
      <w:r>
        <w:rPr>
          <w:rFonts w:ascii="宋体" w:hAnsi="宋体" w:cs="宋体"/>
          <w:b/>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乙方交付货物后，甲方发现货物的质量与合同内容不符或证</w:t>
      </w:r>
      <w:r>
        <w:rPr>
          <w:rFonts w:hint="eastAsia" w:ascii="宋体" w:hAnsi="宋体" w:cs="宋体"/>
          <w:color w:val="000000"/>
          <w:sz w:val="24"/>
          <w:highlight w:val="none"/>
        </w:rPr>
        <w:t xml:space="preserve">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同时甲方有权按照合同总额5%标准向乙方主张违约金。若上述违约金不足以弥补甲方直接损失和间接损失，则乙方应赔偿甲方所有损失。</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甲方因主张上述权利而支出的所有合理费用，包括但不限于律师费、诉讼费、鉴定费、差旅费、保函费等，均由乙方承担。</w:t>
      </w:r>
      <w:r>
        <w:rPr>
          <w:rFonts w:hint="eastAsia"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第十五条 争议的解决</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2.因履行本合同引起的或与本合同有关的争议，甲、乙双方应首先通过友好协商解决，如果协商不能解决争议，则采取以下第（ ）种方式解决争议：</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（1）向甲方所在地有人民法院提起诉讼；</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3、在法院审理和仲裁期间，除有争议部分外，本合同其他部分应继续履行。</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第十六条 诚实信用 </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第十七条 合同生效及其他</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ascii="宋体" w:hAnsi="宋体" w:cs="宋体"/>
          <w:color w:val="000000"/>
          <w:sz w:val="24"/>
          <w:highlight w:val="none"/>
        </w:rPr>
      </w:r>
      <w:r/>
    </w:p>
    <w:p>
      <w:pPr>
        <w:pStyle w:val="1070"/>
        <w:jc w:val="left"/>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0"/>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7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107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委托代理人：          法定代表人：     委托代理人：                            </w:t>
      </w:r>
      <w:r>
        <w:rPr>
          <w:rFonts w:ascii="宋体" w:hAnsi="宋体" w:cs="宋体"/>
          <w:color w:val="000000"/>
          <w:sz w:val="24"/>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传真：                电话：            传真：</w:t>
      </w:r>
      <w:r>
        <w:rPr>
          <w:rFonts w:ascii="宋体" w:hAnsi="宋体" w:cs="宋体"/>
          <w:color w:val="000000"/>
          <w:sz w:val="24"/>
          <w:highlight w:val="none"/>
        </w:rPr>
      </w:r>
      <w:r/>
    </w:p>
    <w:p>
      <w:pPr>
        <w:pStyle w:val="1070"/>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                              开户银行：        账号：    </w:t>
      </w:r>
      <w:r>
        <w:rPr>
          <w:rFonts w:hint="eastAsia" w:ascii="宋体" w:hAnsi="宋体" w:cs="宋体"/>
          <w:color w:val="000000"/>
          <w:sz w:val="24"/>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7" w:name="_Toc99301426"/>
      <w:r>
        <w:rPr>
          <w:rFonts w:ascii="宋体" w:hAnsi="宋体"/>
          <w:b/>
          <w:color w:val="000000"/>
          <w:sz w:val="36"/>
          <w:szCs w:val="36"/>
          <w:highlight w:val="none"/>
        </w:rPr>
        <w:t xml:space="preserve">第七章   投标文件格式</w:t>
      </w:r>
      <w:bookmarkEnd w:id="817"/>
      <w:r>
        <w:rPr>
          <w:rFonts w:ascii="宋体" w:hAnsi="宋体"/>
          <w:b/>
          <w:color w:val="000000"/>
          <w:sz w:val="36"/>
          <w:szCs w:val="36"/>
          <w:highlight w:val="none"/>
        </w:rPr>
      </w:r>
      <w:r/>
    </w:p>
    <w:p>
      <w:pPr>
        <w:pStyle w:val="1070"/>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0"/>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0"/>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70"/>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70"/>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70"/>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70"/>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0"/>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70"/>
        <w:jc w:val="left"/>
        <w:keepLines/>
        <w:keepNext/>
        <w:spacing w:before="120" w:line="300" w:lineRule="auto"/>
        <w:rPr>
          <w:rFonts w:ascii="宋体" w:hAnsi="宋体"/>
          <w:b/>
          <w:color w:val="000000"/>
          <w:sz w:val="30"/>
          <w:szCs w:val="20"/>
          <w:highlight w:val="none"/>
        </w:rPr>
        <w:outlineLvl w:val="1"/>
      </w:pPr>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70"/>
        <w:rPr>
          <w:rFonts w:ascii="宋体" w:hAnsi="宋体"/>
          <w:b/>
          <w:color w:val="000000"/>
          <w:spacing w:val="20"/>
          <w:szCs w:val="21"/>
          <w:highlight w:val="none"/>
        </w:rPr>
      </w:pPr>
      <w:r>
        <w:rPr>
          <w:rFonts w:ascii="宋体" w:hAnsi="宋体"/>
          <w:b/>
          <w:color w:val="000000"/>
          <w:spacing w:val="20"/>
          <w:szCs w:val="21"/>
          <w:highlight w:val="none"/>
        </w:rPr>
      </w:r>
      <w:r/>
    </w:p>
    <w:p>
      <w:pPr>
        <w:pStyle w:val="1070"/>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70"/>
        <w:jc w:val="center"/>
        <w:rPr>
          <w:rFonts w:ascii="宋体" w:hAnsi="宋体"/>
          <w:color w:val="000000"/>
          <w:szCs w:val="21"/>
          <w:highlight w:val="none"/>
        </w:rPr>
      </w:pPr>
      <w:r>
        <w:rPr>
          <w:rFonts w:ascii="宋体" w:hAnsi="宋体"/>
          <w:color w:val="000000"/>
          <w:szCs w:val="21"/>
          <w:highlight w:val="none"/>
        </w:rPr>
      </w:r>
      <w:r/>
    </w:p>
    <w:p>
      <w:pPr>
        <w:pStyle w:val="1070"/>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70"/>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0"/>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0"/>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0"/>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0"/>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0"/>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0"/>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0"/>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0"/>
        <w:jc w:val="center"/>
        <w:rPr>
          <w:rFonts w:ascii="宋体" w:hAnsi="宋体"/>
          <w:b/>
          <w:color w:val="000000"/>
          <w:sz w:val="32"/>
          <w:szCs w:val="32"/>
          <w:highlight w:val="none"/>
        </w:rPr>
      </w:pPr>
      <w:r>
        <w:rPr>
          <w:rFonts w:ascii="宋体" w:hAnsi="宋体"/>
          <w:b/>
          <w:color w:val="000000"/>
          <w:sz w:val="32"/>
          <w:szCs w:val="32"/>
          <w:highlight w:val="none"/>
        </w:rPr>
      </w:r>
      <w:r/>
    </w:p>
    <w:p>
      <w:pPr>
        <w:pStyle w:val="1070"/>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70"/>
        <w:rPr>
          <w:rFonts w:ascii="宋体" w:hAnsi="宋体"/>
          <w:b/>
          <w:color w:val="000000"/>
          <w:highlight w:val="none"/>
        </w:rPr>
      </w:pPr>
      <w:r>
        <w:rPr>
          <w:rFonts w:ascii="宋体" w:hAnsi="宋体"/>
          <w:b/>
          <w:color w:val="000000"/>
          <w:highlight w:val="none"/>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3"/>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70"/>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0"/>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84"/>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                                            投标人：（加盖公章）</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                                           法定代表人（或单位负责人）签字或盖章：</w:t>
      </w:r>
      <w:r>
        <w:rPr>
          <w:rFonts w:hAnsi="宋体"/>
          <w:color w:val="000000"/>
          <w:highlight w:val="none"/>
        </w:rPr>
      </w:r>
      <w:r/>
    </w:p>
    <w:p>
      <w:pPr>
        <w:pStyle w:val="1084"/>
        <w:ind w:firstLine="492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7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70"/>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70"/>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2-1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70"/>
        <w:spacing w:line="360" w:lineRule="auto"/>
        <w:rPr>
          <w:rFonts w:ascii="宋体" w:hAnsi="宋体"/>
          <w:b/>
          <w:color w:val="000000"/>
          <w:sz w:val="24"/>
          <w:highlight w:val="none"/>
        </w:rPr>
        <w:outlineLvl w:val="2"/>
      </w:pP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70"/>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3-1其他特定资格要求</w:t>
      </w:r>
      <w:r>
        <w:rPr>
          <w:rFonts w:hint="eastAsia" w:ascii="宋体" w:hAnsi="宋体"/>
          <w:b/>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jc w:val="left"/>
        <w:keepLines/>
        <w:keepNext/>
        <w:spacing w:before="120" w:line="300" w:lineRule="auto"/>
        <w:rPr>
          <w:rFonts w:hint="eastAsia" w:ascii="宋体" w:hAnsi="宋体"/>
          <w:b/>
          <w:color w:val="000000"/>
          <w:sz w:val="32"/>
          <w:szCs w:val="32"/>
          <w:highlight w:val="none"/>
        </w:rPr>
        <w:outlineLvl w:val="1"/>
      </w:pPr>
      <w:r>
        <w:rPr>
          <w:rFonts w:ascii="宋体" w:hAnsi="宋体"/>
          <w:color w:val="000000"/>
          <w:sz w:val="24"/>
          <w:szCs w:val="20"/>
          <w:highlight w:val="none"/>
        </w:rPr>
        <w:br w:type="page" w:clear="all"/>
      </w:r>
      <w:r>
        <w:rPr>
          <w:rFonts w:ascii="宋体" w:hAnsi="宋体"/>
          <w:b/>
          <w:color w:val="000000"/>
          <w:spacing w:val="20"/>
          <w:sz w:val="24"/>
          <w:highlight w:val="none"/>
        </w:rPr>
        <w:t xml:space="preserve">二、商务技术文件格式</w:t>
      </w:r>
      <w:bookmarkStart w:id="818" w:name="_Toc195842921"/>
      <w:r/>
      <w:bookmarkStart w:id="819" w:name="_Toc480942349"/>
      <w:r/>
      <w:bookmarkStart w:id="820" w:name="_Toc520356217"/>
      <w:r/>
      <w:bookmarkStart w:id="821" w:name="_Toc226965829"/>
      <w:r/>
      <w:bookmarkStart w:id="822" w:name="_Toc226309800"/>
      <w:r/>
      <w:bookmarkStart w:id="823" w:name="_Toc142311058"/>
      <w:r/>
      <w:bookmarkStart w:id="824" w:name="_Ref467988698"/>
      <w:r/>
      <w:bookmarkStart w:id="825" w:name="_Toc150774761"/>
      <w:r/>
      <w:bookmarkStart w:id="826" w:name="_Toc226965746"/>
      <w:r/>
      <w:bookmarkStart w:id="827" w:name="_Toc226337252"/>
      <w:r/>
      <w:bookmarkStart w:id="828" w:name="_Toc127151556"/>
      <w:r/>
      <w:bookmarkStart w:id="829" w:name="_Toc150480794"/>
      <w:r>
        <w:rPr>
          <w:rFonts w:hint="eastAsia" w:ascii="宋体" w:hAnsi="宋体"/>
          <w:b/>
          <w:color w:val="000000"/>
          <w:sz w:val="32"/>
          <w:szCs w:val="32"/>
          <w:highlight w:val="none"/>
        </w:rPr>
      </w:r>
      <w:r/>
    </w:p>
    <w:p>
      <w:pPr>
        <w:pStyle w:val="1070"/>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70"/>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0"/>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70"/>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70"/>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70"/>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70"/>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70"/>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70"/>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70"/>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70"/>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70"/>
        <w:jc w:val="left"/>
        <w:widowControl/>
        <w:rPr>
          <w:rFonts w:hint="eastAsia" w:ascii="宋体" w:hAnsi="宋体"/>
          <w:b/>
          <w:color w:val="000000"/>
          <w:sz w:val="24"/>
          <w:highlight w:val="none"/>
        </w:rPr>
      </w:pPr>
      <w:r/>
      <w:bookmarkStart w:id="830" w:name="_Hlt520356243"/>
      <w:r/>
      <w:bookmarkEnd w:id="830"/>
      <w:r/>
      <w:bookmarkStart w:id="831" w:name="_Hlt520355938"/>
      <w:r/>
      <w:bookmarkEnd w:id="831"/>
      <w:r>
        <w:rPr>
          <w:rFonts w:ascii="宋体" w:hAnsi="宋体"/>
          <w:color w:val="000000"/>
          <w:sz w:val="24"/>
          <w:highlight w:val="none"/>
        </w:rPr>
        <w:br w:type="page" w:clear="all"/>
      </w:r>
      <w:r>
        <w:rPr>
          <w:rFonts w:hint="eastAsia" w:ascii="宋体" w:hAnsi="宋体"/>
          <w:b/>
          <w:color w:val="000000"/>
          <w:sz w:val="24"/>
          <w:highlight w:val="none"/>
        </w:rPr>
      </w:r>
      <w:r/>
    </w:p>
    <w:p>
      <w:pPr>
        <w:pStyle w:val="1070"/>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ascii="宋体" w:hAnsi="宋体"/>
          <w:color w:val="000000"/>
          <w:sz w:val="24"/>
          <w:highlight w:val="none"/>
        </w:rPr>
      </w:r>
      <w:r/>
    </w:p>
    <w:p>
      <w:pPr>
        <w:pStyle w:val="1101"/>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0"/>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0"/>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70"/>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3"/>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70"/>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70"/>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7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7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49"/>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70"/>
        <w:spacing w:line="400" w:lineRule="exact"/>
        <w:rPr>
          <w:rFonts w:ascii="宋体" w:hAnsi="宋体" w:cs="宋体"/>
          <w:color w:val="000000"/>
          <w:sz w:val="24"/>
          <w:highlight w:val="none"/>
        </w:rPr>
      </w:pPr>
      <w:r>
        <w:rPr>
          <w:rFonts w:ascii="宋体" w:hAnsi="宋体" w:cs="宋体"/>
          <w:color w:val="000000"/>
          <w:sz w:val="24"/>
          <w:highlight w:val="none"/>
        </w:rPr>
      </w:r>
      <w:r/>
    </w:p>
    <w:p>
      <w:pPr>
        <w:pStyle w:val="1101"/>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01"/>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7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7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7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23"/>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0"/>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70"/>
        <w:ind w:firstLine="640"/>
        <w:rPr>
          <w:rFonts w:ascii="宋体" w:hAnsi="宋体"/>
          <w:color w:val="000000"/>
          <w:highlight w:val="none"/>
        </w:rPr>
      </w:pPr>
      <w:r>
        <w:rPr>
          <w:rFonts w:ascii="宋体" w:hAnsi="宋体"/>
          <w:color w:val="000000"/>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18"/>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bookmarkStart w:id="832" w:name="_Hlt520343000"/>
      <w:r/>
      <w:bookmarkEnd w:id="832"/>
      <w:r/>
      <w:bookmarkStart w:id="833" w:name="_Hlt520350918"/>
      <w:r/>
      <w:bookmarkEnd w:id="833"/>
      <w:r/>
      <w:bookmarkStart w:id="834" w:name="_Hlt520355504"/>
      <w:r/>
      <w:bookmarkEnd w:id="834"/>
      <w:r/>
      <w:bookmarkStart w:id="835" w:name="_Hlt520273711"/>
      <w:r/>
      <w:bookmarkEnd w:id="835"/>
      <w:r/>
      <w:bookmarkStart w:id="836" w:name="_Hlt520274407"/>
      <w:r/>
      <w:bookmarkEnd w:id="836"/>
      <w:r/>
      <w:bookmarkStart w:id="837" w:name="_Hlt520274065"/>
      <w:r/>
      <w:bookmarkEnd w:id="837"/>
      <w:r/>
      <w:bookmarkStart w:id="838" w:name="_Hlt520343392"/>
      <w:r/>
      <w:bookmarkEnd w:id="838"/>
      <w:r/>
      <w:bookmarkStart w:id="839" w:name="_Hlt520274121"/>
      <w:r/>
      <w:bookmarkEnd w:id="839"/>
      <w:r/>
      <w:bookmarkStart w:id="840" w:name="_Hlt520274393"/>
      <w:r/>
      <w:bookmarkEnd w:id="840"/>
      <w:r/>
      <w:bookmarkStart w:id="841" w:name="_Hlt520271212"/>
      <w:r/>
      <w:bookmarkEnd w:id="841"/>
      <w:r/>
      <w:bookmarkStart w:id="842" w:name="_Toc305158825"/>
      <w:r/>
      <w:bookmarkStart w:id="843" w:name="_Ref467988705"/>
      <w:r/>
      <w:bookmarkStart w:id="844" w:name="_Toc226337253"/>
      <w:r/>
      <w:bookmarkStart w:id="845" w:name="_Toc226309801"/>
      <w:r/>
      <w:bookmarkStart w:id="846" w:name="_Toc195842922"/>
      <w:r/>
      <w:bookmarkStart w:id="847" w:name="_Toc265228395"/>
      <w:r/>
      <w:bookmarkStart w:id="848" w:name="_Toc150774762"/>
      <w:r/>
      <w:bookmarkStart w:id="849" w:name="_Toc142311059"/>
      <w:r/>
      <w:bookmarkStart w:id="850" w:name="_Toc150480795"/>
      <w:r/>
      <w:bookmarkStart w:id="851" w:name="_Toc127151557"/>
      <w:r/>
      <w:bookmarkStart w:id="852" w:name="_Toc305158899"/>
      <w:r/>
      <w:bookmarkStart w:id="853" w:name="_Toc226965747"/>
      <w:r/>
      <w:bookmarkStart w:id="854" w:name="_Toc520356218"/>
      <w:r/>
      <w:bookmarkStart w:id="855" w:name="_Toc480942350"/>
      <w:r/>
      <w:bookmarkStart w:id="856" w:name="_Toc226965830"/>
      <w:r/>
      <w:bookmarkStart w:id="857" w:name="_Toc264969247"/>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0"/>
        <w:jc w:val="center"/>
        <w:spacing w:line="360" w:lineRule="exact"/>
        <w:rPr>
          <w:rFonts w:ascii="宋体" w:hAnsi="宋体"/>
          <w:b/>
          <w:color w:val="000000"/>
          <w:sz w:val="36"/>
          <w:szCs w:val="36"/>
          <w:highlight w:val="none"/>
        </w:rPr>
      </w:pPr>
      <w:r/>
      <w:bookmarkStart w:id="858" w:name="_Toc265228396"/>
      <w:r/>
      <w:bookmarkStart w:id="859" w:name="_Toc226965831"/>
      <w:r/>
      <w:bookmarkStart w:id="860" w:name="_Toc226309802"/>
      <w:r/>
      <w:bookmarkStart w:id="861" w:name="_Toc264969248"/>
      <w:r/>
      <w:bookmarkStart w:id="862" w:name="_Toc164608672"/>
      <w:r/>
      <w:bookmarkStart w:id="863" w:name="_Toc226965748"/>
      <w:r/>
      <w:bookmarkStart w:id="864" w:name="_Toc305158900"/>
      <w:r/>
      <w:bookmarkStart w:id="865" w:name="_Toc305158826"/>
      <w:r/>
      <w:bookmarkStart w:id="866" w:name="_Toc164608827"/>
      <w:r/>
      <w:bookmarkStart w:id="867" w:name="_Toc195842923"/>
      <w:r/>
      <w:bookmarkStart w:id="868" w:name="_Toc226337254"/>
      <w:r>
        <w:rPr>
          <w:rFonts w:hint="eastAsia" w:ascii="宋体" w:hAnsi="宋体"/>
          <w:b/>
          <w:color w:val="000000"/>
          <w:sz w:val="36"/>
          <w:szCs w:val="36"/>
          <w:highlight w:val="none"/>
        </w:rPr>
        <w:t xml:space="preserve">开标一览表</w:t>
      </w:r>
      <w:bookmarkEnd w:id="858"/>
      <w:r/>
      <w:bookmarkEnd w:id="859"/>
      <w:r/>
      <w:bookmarkEnd w:id="860"/>
      <w:r/>
      <w:bookmarkEnd w:id="861"/>
      <w:r/>
      <w:bookmarkEnd w:id="862"/>
      <w:r/>
      <w:bookmarkEnd w:id="863"/>
      <w:r/>
      <w:bookmarkEnd w:id="864"/>
      <w:r/>
      <w:bookmarkEnd w:id="865"/>
      <w:r/>
      <w:bookmarkEnd w:id="866"/>
      <w:r/>
      <w:bookmarkEnd w:id="867"/>
      <w:r/>
      <w:bookmarkEnd w:id="868"/>
      <w:r>
        <w:rPr>
          <w:rFonts w:ascii="宋体" w:hAnsi="宋体"/>
          <w:b/>
          <w:color w:val="000000"/>
          <w:sz w:val="36"/>
          <w:szCs w:val="36"/>
          <w:highlight w:val="none"/>
        </w:rPr>
      </w:r>
      <w:r/>
    </w:p>
    <w:p>
      <w:pPr>
        <w:pStyle w:val="1070"/>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0"/>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70"/>
        <w:jc w:val="left"/>
        <w:rPr>
          <w:rFonts w:ascii="宋体" w:hAnsi="宋体"/>
          <w:color w:val="000000"/>
          <w:sz w:val="24"/>
          <w:highlight w:val="none"/>
        </w:rPr>
      </w:pPr>
      <w:r>
        <w:rPr>
          <w:rFonts w:ascii="宋体" w:hAnsi="宋体"/>
          <w:color w:val="000000"/>
          <w:sz w:val="24"/>
          <w:highlight w:val="none"/>
        </w:rPr>
      </w:r>
      <w:r/>
    </w:p>
    <w:p>
      <w:pPr>
        <w:pStyle w:val="1070"/>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70"/>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bookmarkStart w:id="869" w:name="_Toc226309803"/>
      <w:r/>
      <w:bookmarkStart w:id="870" w:name="_Toc305158901"/>
      <w:r/>
      <w:bookmarkStart w:id="871" w:name="_Toc195842924"/>
      <w:r/>
      <w:bookmarkStart w:id="872" w:name="_Toc265228397"/>
      <w:r/>
      <w:bookmarkStart w:id="873" w:name="_Toc127151558"/>
      <w:r/>
      <w:bookmarkStart w:id="874" w:name="_Toc150480796"/>
      <w:r/>
      <w:bookmarkStart w:id="875" w:name="_Toc226965832"/>
      <w:r/>
      <w:bookmarkStart w:id="876" w:name="_Toc226337255"/>
      <w:r/>
      <w:bookmarkStart w:id="877" w:name="_Toc305158827"/>
      <w:r/>
      <w:bookmarkStart w:id="878" w:name="_Toc142311060"/>
      <w:r/>
      <w:bookmarkStart w:id="879" w:name="_Toc264969249"/>
      <w:r/>
      <w:bookmarkStart w:id="880" w:name="_Toc150774763"/>
      <w:r/>
      <w:bookmarkStart w:id="881" w:name="_Toc226965749"/>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0"/>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70"/>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70"/>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9"/>
            <w:tcW w:w="8688" w:type="dxa"/>
            <w:vAlign w:val="center"/>
            <w:textDirection w:val="lrTb"/>
            <w:noWrap w:val="false"/>
          </w:tcPr>
          <w:p>
            <w:pPr>
              <w:pStyle w:val="1070"/>
              <w:jc w:val="left"/>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本采购包中提供的符合本国产品标准的产品成本之和占该采购包提供的全部产品成本之和的比例为***%。</w:t>
            </w:r>
            <w:r>
              <w:rPr>
                <w:rFonts w:ascii="宋体" w:hAnsi="宋体" w:cs="Arial"/>
                <w:color w:val="000000"/>
                <w:sz w:val="24"/>
                <w:highlight w:val="none"/>
              </w:rPr>
            </w:r>
            <w:r/>
          </w:p>
        </w:tc>
      </w:tr>
    </w:tbl>
    <w:p>
      <w:pPr>
        <w:pStyle w:val="1070"/>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0"/>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70"/>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70"/>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70"/>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70"/>
        <w:spacing w:before="25" w:after="25"/>
        <w:rPr>
          <w:rFonts w:ascii="宋体" w:hAnsi="宋体"/>
          <w:color w:val="000000"/>
          <w:sz w:val="24"/>
          <w:highlight w:val="none"/>
          <w:lang w:val="zh-CN"/>
        </w:rPr>
      </w:pPr>
      <w:r>
        <w:rPr>
          <w:rFonts w:ascii="宋体" w:hAnsi="宋体"/>
          <w:color w:val="000000"/>
          <w:sz w:val="24"/>
          <w:highlight w:val="none"/>
          <w:lang w:val="zh-CN"/>
        </w:rPr>
        <w:t xml:space="preserve">  </w:t>
      </w:r>
      <w:r>
        <w:rPr>
          <w:rFonts w:hint="eastAsia" w:ascii="宋体" w:hAnsi="宋体"/>
          <w:color w:val="000000"/>
          <w:sz w:val="24"/>
          <w:highlight w:val="none"/>
        </w:rPr>
        <w:t xml:space="preserve"> </w:t>
      </w:r>
      <w:r>
        <w:rPr>
          <w:rFonts w:ascii="宋体" w:hAnsi="宋体"/>
          <w:color w:val="000000"/>
          <w:sz w:val="24"/>
          <w:highlight w:val="none"/>
          <w:lang w:val="zh-CN"/>
        </w:rPr>
        <w:t xml:space="preserve"> </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rPr>
      </w:pPr>
      <w:r>
        <w:rPr>
          <w:rFonts w:ascii="宋体" w:hAnsi="宋体"/>
          <w:color w:val="000000"/>
          <w:sz w:val="24"/>
          <w:highlight w:val="none"/>
        </w:rPr>
      </w:r>
      <w:r/>
    </w:p>
    <w:p>
      <w:pPr>
        <w:pStyle w:val="1070"/>
        <w:spacing w:before="25" w:after="25" w:line="360" w:lineRule="auto"/>
        <w:rPr>
          <w:rFonts w:ascii="宋体" w:hAnsi="宋体"/>
          <w:color w:val="000000"/>
          <w:sz w:val="24"/>
          <w:highlight w:val="none"/>
        </w:rPr>
      </w:pPr>
      <w:r>
        <w:rPr>
          <w:rFonts w:ascii="宋体" w:hAnsi="宋体"/>
          <w:color w:val="000000"/>
          <w:sz w:val="24"/>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0"/>
        <w:spacing w:line="360" w:lineRule="auto"/>
        <w:rPr>
          <w:rFonts w:ascii="宋体" w:hAnsi="宋体"/>
          <w:b/>
          <w:color w:val="000000"/>
          <w:sz w:val="24"/>
          <w:szCs w:val="20"/>
          <w:highlight w:val="none"/>
        </w:rPr>
        <w:outlineLvl w:val="2"/>
      </w:pPr>
      <w:r>
        <w:rPr>
          <w:rFonts w:ascii="宋体" w:hAnsi="宋体"/>
          <w:b/>
          <w:i/>
          <w:color w:val="000000"/>
          <w:sz w:val="24"/>
          <w:highlight w:val="none"/>
        </w:rPr>
        <w:br w:type="page" w:clear="all"/>
      </w:r>
      <w:bookmarkStart w:id="882" w:name="_Toc127151562"/>
      <w:r/>
      <w:bookmarkStart w:id="883" w:name="_Toc226965752"/>
      <w:r/>
      <w:bookmarkStart w:id="884" w:name="_Toc305158830"/>
      <w:r/>
      <w:bookmarkStart w:id="885" w:name="_Toc226309806"/>
      <w:r/>
      <w:bookmarkStart w:id="886" w:name="_Toc195842927"/>
      <w:r/>
      <w:bookmarkStart w:id="887" w:name="_Toc226965835"/>
      <w:r/>
      <w:bookmarkStart w:id="888" w:name="_Toc305158904"/>
      <w:r/>
      <w:bookmarkStart w:id="889" w:name="_Toc150480798"/>
      <w:r/>
      <w:bookmarkStart w:id="890" w:name="_Toc226337258"/>
      <w:r/>
      <w:bookmarkStart w:id="891" w:name="_Toc265228400"/>
      <w:r/>
      <w:bookmarkStart w:id="892" w:name="_Toc142311062"/>
      <w:r/>
      <w:bookmarkStart w:id="893" w:name="_Toc150774765"/>
      <w:r/>
      <w:bookmarkStart w:id="894" w:name="_Toc264969252"/>
      <w:r/>
      <w:bookmarkStart w:id="895" w:name="_Toc264969251"/>
      <w:r/>
      <w:bookmarkStart w:id="896" w:name="_Toc265228399"/>
      <w:r/>
      <w:bookmarkStart w:id="897" w:name="_Toc226337257"/>
      <w:r/>
      <w:bookmarkStart w:id="898" w:name="_Toc226309805"/>
      <w:r/>
      <w:bookmarkStart w:id="899" w:name="_Toc127151561"/>
      <w:r/>
      <w:bookmarkStart w:id="900" w:name="_Toc142311061"/>
      <w:r/>
      <w:bookmarkStart w:id="901" w:name="_Toc195842926"/>
      <w:r/>
      <w:bookmarkStart w:id="902" w:name="_Toc305158829"/>
      <w:r/>
      <w:bookmarkStart w:id="903" w:name="_Toc226965751"/>
      <w:r/>
      <w:bookmarkStart w:id="904" w:name="_Toc150774764"/>
      <w:r/>
      <w:bookmarkStart w:id="905" w:name="_Toc305158903"/>
      <w:r/>
      <w:bookmarkStart w:id="906" w:name="_Toc150480797"/>
      <w:r/>
      <w:bookmarkStart w:id="907" w:name="_Toc226965834"/>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0"/>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7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0"/>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0"/>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0"/>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0"/>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bl>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70"/>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70"/>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70"/>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项目采购需求</w:t>
            </w:r>
            <w:r>
              <w:rPr>
                <w:rFonts w:ascii="宋体" w:hAnsi="宋体"/>
                <w:b/>
                <w:color w:val="000000"/>
                <w:sz w:val="24"/>
                <w:highlight w:val="none"/>
              </w:rPr>
              <w:t xml:space="preserve">的偏离情况（请进行勾选）：</w:t>
            </w:r>
            <w:r>
              <w:rPr>
                <w:rFonts w:ascii="宋体" w:hAnsi="宋体"/>
                <w:b/>
                <w:color w:val="000000"/>
                <w:sz w:val="24"/>
                <w:highlight w:val="none"/>
              </w:rPr>
            </w:r>
            <w:r/>
          </w:p>
          <w:p>
            <w:pPr>
              <w:pStyle w:val="1070"/>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0"/>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1053"/>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bl>
    <w:p>
      <w:pPr>
        <w:pStyle w:val="1070"/>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70"/>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70"/>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6"/>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0"/>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70"/>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70"/>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70"/>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1070"/>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1070"/>
        <w:numPr>
          <w:ilvl w:val="0"/>
          <w:numId w:val="14"/>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u w:val="single"/>
        </w:rPr>
        <w:t xml:space="preserve">工业</w:t>
      </w:r>
      <w:r>
        <w:rPr>
          <w:rFonts w:ascii="宋体" w:hAnsi="宋体"/>
          <w:i/>
          <w:color w:val="000000"/>
          <w:sz w:val="24"/>
          <w:highlight w:val="none"/>
          <w:u w:val="single"/>
        </w:rPr>
        <w:t xml:space="preserve">）行业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0"/>
        <w:numPr>
          <w:ilvl w:val="0"/>
          <w:numId w:val="14"/>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u w:val="single"/>
        </w:rPr>
        <w:t xml:space="preserve">工业</w:t>
      </w:r>
      <w:r>
        <w:rPr>
          <w:rFonts w:ascii="宋体" w:hAnsi="宋体"/>
          <w:i/>
          <w:color w:val="000000"/>
          <w:sz w:val="24"/>
          <w:highlight w:val="none"/>
          <w:u w:val="single"/>
        </w:rPr>
        <w:t xml:space="preserve">）行业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0"/>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70"/>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70"/>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1070"/>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0"/>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0"/>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70"/>
        <w:ind w:firstLine="420"/>
        <w:jc w:val="left"/>
        <w:rPr>
          <w:rFonts w:ascii="宋体" w:hAnsi="宋体"/>
          <w:color w:val="000000"/>
          <w:sz w:val="24"/>
          <w:highlight w:val="none"/>
        </w:rPr>
      </w:pPr>
      <w:r>
        <w:rPr>
          <w:rFonts w:ascii="宋体" w:hAnsi="宋体"/>
          <w:color w:val="000000"/>
          <w:sz w:val="24"/>
          <w:highlight w:val="none"/>
        </w:rPr>
      </w:r>
      <w:r/>
    </w:p>
    <w:p>
      <w:pPr>
        <w:pStyle w:val="1070"/>
        <w:spacing w:line="360" w:lineRule="auto"/>
        <w:rPr>
          <w:rFonts w:ascii="宋体" w:hAnsi="宋体"/>
          <w:color w:val="000000"/>
          <w:sz w:val="24"/>
          <w:highlight w:val="none"/>
        </w:rPr>
      </w:pPr>
      <w:r>
        <w:rPr>
          <w:rFonts w:ascii="宋体" w:hAnsi="宋体"/>
          <w:color w:val="000000"/>
          <w:sz w:val="24"/>
          <w:highlight w:val="none"/>
        </w:rPr>
      </w:r>
      <w:r/>
    </w:p>
    <w:p>
      <w:pPr>
        <w:pStyle w:val="1070"/>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1070"/>
        <w:jc w:val="center"/>
        <w:spacing w:before="240" w:after="240" w:line="360" w:lineRule="auto"/>
        <w:rPr>
          <w:rFonts w:ascii="宋体" w:hAnsi="宋体"/>
          <w:color w:val="000000"/>
          <w:sz w:val="36"/>
          <w:szCs w:val="36"/>
          <w:highlight w:val="none"/>
        </w:rPr>
      </w:pP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70"/>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0"/>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70"/>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70"/>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70"/>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0"/>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0"/>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70"/>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70"/>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10  关于符合本国产品标准的声明函</w:t>
      </w:r>
      <w:r>
        <w:rPr>
          <w:rFonts w:hint="eastAsia" w:ascii="方正魏碑_GBK" w:hAnsi="方正魏碑_GBK" w:eastAsia="方正魏碑_GBK" w:cs="方正魏碑_GBK"/>
          <w:b/>
          <w:color w:val="000000"/>
          <w:sz w:val="24"/>
          <w:highlight w:val="none"/>
        </w:rPr>
        <w:t xml:space="preserve">（采购包号：**）</w:t>
      </w:r>
      <w:r>
        <w:rPr>
          <w:rFonts w:ascii="宋体" w:hAnsi="宋体"/>
          <w:color w:val="000000"/>
          <w:sz w:val="24"/>
          <w:szCs w:val="20"/>
          <w:highlight w:val="none"/>
        </w:rPr>
      </w:r>
      <w:r/>
    </w:p>
    <w:p>
      <w:pPr>
        <w:pStyle w:val="1132"/>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2"/>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132"/>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1145"/>
          <w:rFonts w:hint="eastAsia" w:ascii="方正魏碑_GBK" w:hAnsi="方正魏碑_GBK" w:eastAsia="方正魏碑_GBK" w:cs="方正魏碑_GBK"/>
          <w:color w:val="000000"/>
          <w:highlight w:val="none"/>
          <w:u w:val="single"/>
          <w:shd w:val="clear" w:color="auto" w:fill="ffffff"/>
        </w:rPr>
        <w:t xml:space="preserve">（产品名称1）</w:t>
      </w:r>
      <w:r>
        <w:rPr>
          <w:rStyle w:val="1145"/>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145"/>
          <w:rFonts w:hint="eastAsia" w:ascii="方正魏碑_GBK" w:hAnsi="方正魏碑_GBK" w:eastAsia="方正魏碑_GBK" w:cs="方正魏碑_GBK"/>
          <w:color w:val="000000"/>
          <w:highlight w:val="none"/>
          <w:u w:val="single"/>
          <w:shd w:val="clear" w:color="auto" w:fill="ffffff"/>
        </w:rPr>
        <w:t xml:space="preserve">（厂名）</w:t>
      </w:r>
      <w:r>
        <w:rPr>
          <w:rStyle w:val="1145"/>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145"/>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145"/>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5"/>
          <w:rFonts w:hint="eastAsia" w:ascii="方正魏碑_GBK" w:hAnsi="方正魏碑_GBK" w:eastAsia="方正魏碑_GBK" w:cs="方正魏碑_GBK"/>
          <w:color w:val="000000"/>
          <w:highlight w:val="none"/>
          <w:u w:val="single"/>
          <w:shd w:val="clear" w:color="auto" w:fill="ffffff"/>
        </w:rPr>
        <w:t xml:space="preserve">（规定</w:t>
      </w:r>
      <w:r>
        <w:rPr>
          <w:rStyle w:val="1145"/>
          <w:rFonts w:ascii="方正魏碑_GBK" w:hAnsi="方正魏碑_GBK" w:eastAsia="方正魏碑_GBK" w:cs="方正魏碑_GBK"/>
          <w:color w:val="000000"/>
          <w:highlight w:val="none"/>
          <w:u w:val="single"/>
          <w:shd w:val="clear" w:color="auto" w:fill="ffffff"/>
        </w:rPr>
        <w:t xml:space="preserve">比例</w:t>
      </w:r>
      <w:r>
        <w:rPr>
          <w:rStyle w:val="1145"/>
          <w:rFonts w:hint="eastAsia" w:ascii="方正魏碑_GBK" w:hAnsi="方正魏碑_GBK" w:eastAsia="方正魏碑_GBK" w:cs="方正魏碑_GBK"/>
          <w:color w:val="000000"/>
          <w:highlight w:val="none"/>
          <w:u w:val="single"/>
          <w:shd w:val="clear" w:color="auto" w:fill="ffffff"/>
        </w:rPr>
        <w:t xml:space="preserve">）</w:t>
      </w:r>
      <w:r>
        <w:rPr>
          <w:rStyle w:val="1145"/>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145"/>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5"/>
          <w:rFonts w:hint="eastAsia" w:ascii="方正魏碑_GBK" w:hAnsi="方正魏碑_GBK" w:eastAsia="方正魏碑_GBK" w:cs="方正魏碑_GBK"/>
          <w:color w:val="000000"/>
          <w:highlight w:val="none"/>
          <w:u w:val="single"/>
          <w:shd w:val="clear" w:color="auto" w:fill="ffffff"/>
        </w:rPr>
        <w:t xml:space="preserve">（关键</w:t>
      </w:r>
      <w:r>
        <w:rPr>
          <w:rStyle w:val="1145"/>
          <w:rFonts w:ascii="方正魏碑_GBK" w:hAnsi="方正魏碑_GBK" w:eastAsia="方正魏碑_GBK" w:cs="方正魏碑_GBK"/>
          <w:color w:val="000000"/>
          <w:highlight w:val="none"/>
          <w:u w:val="single"/>
          <w:shd w:val="clear" w:color="auto" w:fill="ffffff"/>
        </w:rPr>
        <w:t xml:space="preserve">组件</w:t>
      </w:r>
      <w:r>
        <w:rPr>
          <w:rStyle w:val="1145"/>
          <w:rFonts w:hint="eastAsia" w:ascii="方正魏碑_GBK" w:hAnsi="方正魏碑_GBK" w:eastAsia="方正魏碑_GBK" w:cs="方正魏碑_GBK"/>
          <w:color w:val="000000"/>
          <w:highlight w:val="none"/>
          <w:u w:val="single"/>
          <w:shd w:val="clear" w:color="auto" w:fill="ffffff"/>
        </w:rPr>
        <w:t xml:space="preserve">）</w:t>
      </w:r>
      <w:r>
        <w:rPr>
          <w:rStyle w:val="1145"/>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145"/>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5"/>
          <w:rFonts w:hint="eastAsia" w:ascii="方正魏碑_GBK" w:hAnsi="方正魏碑_GBK" w:eastAsia="方正魏碑_GBK" w:cs="方正魏碑_GBK"/>
          <w:color w:val="000000"/>
          <w:highlight w:val="none"/>
          <w:u w:val="single"/>
          <w:shd w:val="clear" w:color="auto" w:fill="ffffff"/>
        </w:rPr>
        <w:t xml:space="preserve">（关键工序）</w:t>
      </w:r>
      <w:r>
        <w:rPr>
          <w:rStyle w:val="1145"/>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2"/>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1145"/>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145"/>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145"/>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145"/>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5"/>
          <w:rFonts w:hint="eastAsia" w:ascii="方正魏碑_GBK" w:hAnsi="方正魏碑_GBK" w:eastAsia="方正魏碑_GBK" w:cs="方正魏碑_GBK"/>
          <w:color w:val="000000"/>
          <w:highlight w:val="none"/>
          <w:u w:val="single"/>
          <w:shd w:val="clear" w:color="auto" w:fill="ffffff"/>
        </w:rPr>
        <w:t xml:space="preserve">（规定</w:t>
      </w:r>
      <w:r>
        <w:rPr>
          <w:rStyle w:val="1145"/>
          <w:rFonts w:ascii="方正魏碑_GBK" w:hAnsi="方正魏碑_GBK" w:eastAsia="方正魏碑_GBK" w:cs="方正魏碑_GBK"/>
          <w:color w:val="000000"/>
          <w:highlight w:val="none"/>
          <w:u w:val="single"/>
          <w:shd w:val="clear" w:color="auto" w:fill="ffffff"/>
        </w:rPr>
        <w:t xml:space="preserve">比例</w:t>
      </w:r>
      <w:r>
        <w:rPr>
          <w:rStyle w:val="1145"/>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145"/>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45"/>
          <w:rFonts w:hint="eastAsia" w:ascii="方正魏碑_GBK" w:hAnsi="方正魏碑_GBK" w:eastAsia="方正魏碑_GBK" w:cs="方正魏碑_GBK"/>
          <w:color w:val="000000"/>
          <w:highlight w:val="none"/>
          <w:u w:val="single"/>
          <w:shd w:val="clear" w:color="auto" w:fill="ffffff"/>
        </w:rPr>
        <w:t xml:space="preserve">（关键</w:t>
      </w:r>
      <w:r>
        <w:rPr>
          <w:rStyle w:val="1145"/>
          <w:rFonts w:ascii="方正魏碑_GBK" w:hAnsi="方正魏碑_GBK" w:eastAsia="方正魏碑_GBK" w:cs="方正魏碑_GBK"/>
          <w:color w:val="000000"/>
          <w:highlight w:val="none"/>
          <w:u w:val="single"/>
          <w:shd w:val="clear" w:color="auto" w:fill="ffffff"/>
        </w:rPr>
        <w:t xml:space="preserve">组件</w:t>
      </w:r>
      <w:r>
        <w:rPr>
          <w:rStyle w:val="1145"/>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145"/>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45"/>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2"/>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132"/>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132"/>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2"/>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132"/>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132"/>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132"/>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132"/>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132"/>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132"/>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132"/>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1132"/>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1070"/>
        <w:rPr>
          <w:rFonts w:ascii="方正魏碑_GBK" w:hAnsi="方正魏碑_GBK" w:eastAsia="方正魏碑_GBK" w:cs="方正魏碑_GBK"/>
          <w:color w:val="000000"/>
          <w:highlight w:val="none"/>
        </w:rPr>
      </w:pPr>
      <w:r>
        <w:rPr>
          <w:rFonts w:hint="eastAsia" w:ascii="宋体" w:hAnsi="宋体"/>
          <w:b/>
          <w:color w:val="000000"/>
          <w:sz w:val="24"/>
          <w:highlight w:val="none"/>
        </w:rPr>
        <w:br w:type="page" w:clear="all"/>
      </w:r>
      <w:r>
        <w:rPr>
          <w:rFonts w:ascii="方正魏碑_GBK" w:hAnsi="方正魏碑_GBK" w:eastAsia="方正魏碑_GBK" w:cs="方正魏碑_GBK"/>
          <w:color w:val="000000"/>
          <w:highlight w:val="none"/>
        </w:rPr>
      </w:r>
      <w:r/>
    </w:p>
    <w:p>
      <w:pPr>
        <w:pStyle w:val="1070"/>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11</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70"/>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70"/>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12  参加本项目人员一览表</w:t>
      </w:r>
      <w:r>
        <w:rPr>
          <w:rFonts w:ascii="宋体" w:hAnsi="宋体"/>
          <w:b/>
          <w:color w:val="000000"/>
          <w:sz w:val="24"/>
          <w:highlight w:val="none"/>
        </w:rPr>
      </w:r>
      <w:r/>
    </w:p>
    <w:p>
      <w:pPr>
        <w:pStyle w:val="107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0"/>
        <w:spacing w:line="360" w:lineRule="auto"/>
        <w:rPr>
          <w:rFonts w:ascii="宋体" w:hAnsi="宋体"/>
          <w:color w:val="000000"/>
          <w:sz w:val="22"/>
          <w:highlight w:val="none"/>
        </w:rPr>
      </w:pPr>
      <w:r>
        <w:rPr>
          <w:rFonts w:ascii="宋体" w:hAnsi="宋体"/>
          <w:color w:val="000000"/>
          <w:sz w:val="22"/>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70"/>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70"/>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70"/>
        <w:spacing w:line="360" w:lineRule="auto"/>
        <w:rPr>
          <w:rFonts w:ascii="宋体" w:hAnsi="宋体"/>
          <w:color w:val="000000"/>
          <w:sz w:val="24"/>
          <w:highlight w:val="none"/>
        </w:rPr>
      </w:pPr>
      <w:r>
        <w:rPr>
          <w:rFonts w:ascii="宋体" w:hAnsi="宋体"/>
          <w:color w:val="000000"/>
          <w:sz w:val="24"/>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08" w:name="_Toc288738397"/>
      <w:r/>
      <w:bookmarkStart w:id="909" w:name="_Toc288738839"/>
      <w:r>
        <w:rPr>
          <w:rFonts w:hint="eastAsia" w:ascii="宋体" w:hAnsi="宋体"/>
          <w:b/>
          <w:color w:val="000000"/>
          <w:sz w:val="24"/>
          <w:highlight w:val="none"/>
        </w:rPr>
        <w:t xml:space="preserve">13  相关业绩案例一览表</w:t>
      </w:r>
      <w:r>
        <w:rPr>
          <w:rFonts w:ascii="宋体" w:hAnsi="宋体"/>
          <w:b/>
          <w:color w:val="000000"/>
          <w:sz w:val="24"/>
          <w:szCs w:val="20"/>
          <w:highlight w:val="none"/>
        </w:rPr>
      </w:r>
      <w:r/>
    </w:p>
    <w:p>
      <w:pPr>
        <w:pStyle w:val="1070"/>
        <w:rPr>
          <w:rFonts w:ascii="宋体" w:hAnsi="宋体"/>
          <w:color w:val="000000"/>
          <w:sz w:val="24"/>
          <w:szCs w:val="20"/>
          <w:highlight w:val="none"/>
        </w:rPr>
      </w:pPr>
      <w:r>
        <w:rPr>
          <w:rFonts w:ascii="宋体" w:hAnsi="宋体"/>
          <w:color w:val="000000"/>
          <w:sz w:val="24"/>
          <w:szCs w:val="20"/>
          <w:highlight w:val="none"/>
        </w:rPr>
      </w:r>
      <w:r/>
    </w:p>
    <w:p>
      <w:pPr>
        <w:pStyle w:val="1070"/>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08"/>
      <w:r/>
      <w:bookmarkEnd w:id="909"/>
      <w:r>
        <w:rPr>
          <w:rFonts w:ascii="宋体" w:hAnsi="宋体"/>
          <w:b/>
          <w:color w:val="000000"/>
          <w:sz w:val="32"/>
          <w:szCs w:val="32"/>
          <w:highlight w:val="none"/>
        </w:rPr>
      </w:r>
      <w:r/>
    </w:p>
    <w:p>
      <w:pPr>
        <w:pStyle w:val="1070"/>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70"/>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70"/>
        <w:spacing w:line="360" w:lineRule="auto"/>
        <w:rPr>
          <w:rFonts w:ascii="宋体" w:hAnsi="宋体" w:cs="宋体"/>
          <w:color w:val="000000"/>
          <w:sz w:val="24"/>
          <w:highlight w:val="none"/>
        </w:rPr>
      </w:pPr>
      <w:r>
        <w:rPr>
          <w:rFonts w:ascii="宋体" w:hAnsi="宋体" w:cs="宋体"/>
          <w:color w:val="000000"/>
          <w:sz w:val="24"/>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1070"/>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1070"/>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1070"/>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15  </w:t>
      </w:r>
      <w:r>
        <w:rPr>
          <w:rFonts w:ascii="宋体" w:hAnsi="宋体"/>
          <w:b/>
          <w:color w:val="000000"/>
          <w:sz w:val="24"/>
          <w:highlight w:val="none"/>
        </w:rPr>
        <w:t xml:space="preserve">招标文件要求提供或投标人认为应附的其他材料</w:t>
      </w:r>
      <w:r>
        <w:rPr>
          <w:rFonts w:ascii="宋体" w:hAnsi="宋体"/>
          <w:b/>
          <w:color w:val="000000"/>
          <w:sz w:val="24"/>
          <w:szCs w:val="20"/>
          <w:highlight w:val="none"/>
        </w:rPr>
      </w:r>
      <w:r/>
    </w:p>
    <w:p>
      <w:pPr>
        <w:pStyle w:val="1070"/>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70"/>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FangSong">
    <w:panose1 w:val="02010609060101010101"/>
  </w:font>
  <w:font w:name="CESI黑体-GB2312">
    <w:panose1 w:val="020B0503020202020204"/>
  </w:font>
  <w:font w:name="仿宋">
    <w:panose1 w:val="02010609060101010101"/>
  </w:font>
  <w:font w:name="Wingdings">
    <w:panose1 w:val="05000000000000000000"/>
  </w:font>
  <w:font w:name="华文楷体">
    <w:panose1 w:val="02010600040101010101"/>
  </w:font>
  <w:font w:name="Tahoma">
    <w:panose1 w:val="020B0604030504040204"/>
  </w:font>
  <w:font w:name="Calibri">
    <w:panose1 w:val="020F0502020204030204"/>
  </w:font>
  <w:font w:name="ˎ̥">
    <w:panose1 w:val="020B0503020202020204"/>
  </w:font>
  <w:font w:name="FangSong_GB2312">
    <w:panose1 w:val="02010609060101010101"/>
  </w:font>
  <w:font w:name="Symbol">
    <w:panose1 w:val="05050102010706020507"/>
  </w:font>
  <w:font w:name="Courier New">
    <w:panose1 w:val="02070309020205020404"/>
  </w:font>
  <w:font w:name="华文中宋">
    <w:panose1 w:val="0201060004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KaiTi_GB2312">
    <w:panose1 w:val="0201060906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ind w:right="360"/>
      <w:tabs>
        <w:tab w:val="center" w:pos="4153" w:leader="none"/>
        <w:tab w:val="right" w:pos="8306" w:leader="none"/>
      </w:tabs>
      <w:rPr>
        <w:rStyle w:val="1143"/>
      </w:rPr>
      <w:framePr w:wrap="around" w:vAnchor="text" w:hAnchor="margin" w:y="1"/>
    </w:pPr>
    <w:r>
      <w:rPr>
        <w:rStyle w:val="1143"/>
      </w:rPr>
    </w:r>
    <w:r/>
  </w:p>
  <w:p>
    <w:pPr>
      <w:pStyle w:val="1118"/>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3"/>
      </w:rPr>
      <w:framePr w:wrap="around" w:vAnchor="text" w:hAnchor="margin" w:xAlign="center" w:y="1"/>
    </w:pPr>
    <w:r>
      <w:fldChar w:fldCharType="begin"/>
    </w:r>
    <w:r>
      <w:rPr>
        <w:rStyle w:val="1143"/>
      </w:rPr>
      <w:instrText xml:space="preserve">PAGE  </w:instrText>
    </w:r>
    <w:r>
      <w:fldChar w:fldCharType="end"/>
    </w:r>
    <w:r>
      <w:rPr>
        <w:rStyle w:val="1143"/>
      </w:rPr>
    </w:r>
    <w:r/>
  </w:p>
  <w:p>
    <w:pPr>
      <w:pStyle w:val="1118"/>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3"/>
      </w:rPr>
      <w:framePr w:wrap="around" w:vAnchor="text" w:hAnchor="margin" w:xAlign="right" w:y="1"/>
    </w:pPr>
    <w:r>
      <w:rPr>
        <w:rStyle w:val="1143"/>
      </w:rPr>
    </w:r>
    <w:r/>
  </w:p>
  <w:p>
    <w:pPr>
      <w:pStyle w:val="1118"/>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3"/>
      </w:rPr>
      <w:framePr w:wrap="around" w:vAnchor="text" w:hAnchor="margin" w:xAlign="right" w:y="1"/>
    </w:pPr>
    <w:r>
      <w:rPr>
        <w:rStyle w:val="1143"/>
      </w:rPr>
      <w:fldChar w:fldCharType="begin"/>
    </w:r>
    <w:r>
      <w:rPr>
        <w:rStyle w:val="1143"/>
      </w:rPr>
      <w:instrText xml:space="preserve">PAGE  </w:instrText>
    </w:r>
    <w:r>
      <w:rPr>
        <w:rStyle w:val="1143"/>
      </w:rPr>
      <w:fldChar w:fldCharType="end"/>
    </w:r>
    <w:r>
      <w:rPr>
        <w:rStyle w:val="1143"/>
      </w:rPr>
    </w:r>
    <w:r/>
  </w:p>
  <w:p>
    <w:pPr>
      <w:pStyle w:val="1118"/>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3"/>
      </w:rPr>
      <w:framePr w:wrap="around" w:vAnchor="text" w:hAnchor="margin" w:xAlign="right" w:y="1"/>
    </w:pPr>
    <w:r>
      <w:rPr>
        <w:rStyle w:val="1143"/>
      </w:rPr>
      <w:fldChar w:fldCharType="begin"/>
    </w:r>
    <w:r>
      <w:rPr>
        <w:rStyle w:val="1143"/>
      </w:rPr>
      <w:instrText xml:space="preserve">PAGE  </w:instrText>
    </w:r>
    <w:r>
      <w:rPr>
        <w:rStyle w:val="1143"/>
      </w:rPr>
      <w:fldChar w:fldCharType="end"/>
    </w:r>
    <w:r>
      <w:rPr>
        <w:rStyle w:val="1143"/>
      </w:rPr>
    </w:r>
    <w:r/>
  </w:p>
  <w:p>
    <w:pPr>
      <w:pStyle w:val="1118"/>
      <w:ind w:right="360"/>
      <w:tabs>
        <w:tab w:val="center" w:pos="4153" w:leader="none"/>
        <w:tab w:val="right" w:pos="8306" w:leader="none"/>
      </w:tabs>
    </w:pPr>
    <w:r/>
    <w:r/>
  </w:p>
  <w:p>
    <w:pPr>
      <w:pStyle w:val="107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p>
    <w:pPr>
      <w:pStyle w:val="107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0"/>
        <w:ind w:left="4941" w:hanging="1140"/>
        <w:tabs>
          <w:tab w:val="num" w:pos="4941" w:leader="none"/>
        </w:tabs>
      </w:pPr>
      <w:rPr>
        <w:rFonts w:hint="eastAsia"/>
      </w:rPr>
    </w:lvl>
    <w:lvl w:ilvl="1">
      <w:start w:val="1"/>
      <w:numFmt w:val="lowerLetter"/>
      <w:isLgl w:val="false"/>
      <w:suff w:val="tab"/>
      <w:lvlText w:val="%2)"/>
      <w:lvlJc w:val="left"/>
      <w:pPr>
        <w:pStyle w:val="1070"/>
        <w:ind w:left="4641" w:hanging="420"/>
        <w:tabs>
          <w:tab w:val="num" w:pos="4641" w:leader="none"/>
        </w:tabs>
      </w:pPr>
    </w:lvl>
    <w:lvl w:ilvl="2">
      <w:start w:val="1"/>
      <w:numFmt w:val="lowerRoman"/>
      <w:isLgl w:val="false"/>
      <w:suff w:val="tab"/>
      <w:lvlText w:val="%3."/>
      <w:lvlJc w:val="right"/>
      <w:pPr>
        <w:pStyle w:val="1070"/>
        <w:ind w:left="5061" w:hanging="420"/>
        <w:tabs>
          <w:tab w:val="num" w:pos="5061" w:leader="none"/>
        </w:tabs>
      </w:pPr>
    </w:lvl>
    <w:lvl w:ilvl="3">
      <w:start w:val="1"/>
      <w:numFmt w:val="decimal"/>
      <w:isLgl w:val="false"/>
      <w:suff w:val="tab"/>
      <w:lvlText w:val="%4."/>
      <w:lvlJc w:val="left"/>
      <w:pPr>
        <w:pStyle w:val="1070"/>
        <w:ind w:left="5481" w:hanging="420"/>
        <w:tabs>
          <w:tab w:val="num" w:pos="5481" w:leader="none"/>
        </w:tabs>
      </w:pPr>
    </w:lvl>
    <w:lvl w:ilvl="4">
      <w:start w:val="1"/>
      <w:numFmt w:val="lowerLetter"/>
      <w:isLgl w:val="false"/>
      <w:suff w:val="tab"/>
      <w:lvlText w:val="%5)"/>
      <w:lvlJc w:val="left"/>
      <w:pPr>
        <w:pStyle w:val="1070"/>
        <w:ind w:left="5901" w:hanging="420"/>
        <w:tabs>
          <w:tab w:val="num" w:pos="5901" w:leader="none"/>
        </w:tabs>
      </w:pPr>
    </w:lvl>
    <w:lvl w:ilvl="5">
      <w:start w:val="1"/>
      <w:numFmt w:val="lowerRoman"/>
      <w:isLgl w:val="false"/>
      <w:suff w:val="tab"/>
      <w:lvlText w:val="%6."/>
      <w:lvlJc w:val="right"/>
      <w:pPr>
        <w:pStyle w:val="1070"/>
        <w:ind w:left="6321" w:hanging="420"/>
        <w:tabs>
          <w:tab w:val="num" w:pos="6321" w:leader="none"/>
        </w:tabs>
      </w:pPr>
    </w:lvl>
    <w:lvl w:ilvl="6">
      <w:start w:val="1"/>
      <w:numFmt w:val="decimal"/>
      <w:isLgl w:val="false"/>
      <w:suff w:val="tab"/>
      <w:lvlText w:val="%7."/>
      <w:lvlJc w:val="left"/>
      <w:pPr>
        <w:pStyle w:val="1070"/>
        <w:ind w:left="6741" w:hanging="420"/>
        <w:tabs>
          <w:tab w:val="num" w:pos="6741" w:leader="none"/>
        </w:tabs>
      </w:pPr>
    </w:lvl>
    <w:lvl w:ilvl="7">
      <w:start w:val="1"/>
      <w:numFmt w:val="lowerLetter"/>
      <w:isLgl w:val="false"/>
      <w:suff w:val="tab"/>
      <w:lvlText w:val="%8)"/>
      <w:lvlJc w:val="left"/>
      <w:pPr>
        <w:pStyle w:val="1070"/>
        <w:ind w:left="7161" w:hanging="420"/>
        <w:tabs>
          <w:tab w:val="num" w:pos="7161" w:leader="none"/>
        </w:tabs>
      </w:pPr>
    </w:lvl>
    <w:lvl w:ilvl="8">
      <w:start w:val="1"/>
      <w:numFmt w:val="lowerRoman"/>
      <w:isLgl w:val="false"/>
      <w:suff w:val="tab"/>
      <w:lvlText w:val="%9."/>
      <w:lvlJc w:val="right"/>
      <w:pPr>
        <w:pStyle w:val="1070"/>
        <w:ind w:left="7581" w:hanging="420"/>
        <w:tabs>
          <w:tab w:val="num" w:pos="7581" w:leader="none"/>
        </w:tabs>
      </w:pPr>
    </w:lvl>
  </w:abstractNum>
  <w:abstractNum w:abstractNumId="1">
    <w:multiLevelType w:val="hybridMultilevel"/>
    <w:lvl w:ilvl="0">
      <w:start w:val="1"/>
      <w:numFmt w:val="decimal"/>
      <w:pStyle w:val="1179"/>
      <w:isLgl w:val="false"/>
      <w:suff w:val="tab"/>
      <w:lvlText w:val="%1."/>
      <w:lvlJc w:val="left"/>
      <w:pPr>
        <w:pStyle w:val="1070"/>
        <w:ind w:left="420" w:hanging="420"/>
      </w:pPr>
    </w:lvl>
    <w:lvl w:ilvl="1">
      <w:start w:val="1"/>
      <w:numFmt w:val="decimal"/>
      <w:isLgl w:val="false"/>
      <w:suff w:val="tab"/>
      <w:lvlText w:val="（%2）"/>
      <w:lvlJc w:val="left"/>
      <w:pPr>
        <w:pStyle w:val="1070"/>
        <w:ind w:left="1140" w:hanging="720"/>
        <w:tabs>
          <w:tab w:val="num" w:pos="1140" w:leader="none"/>
        </w:tabs>
      </w:pPr>
      <w:rPr>
        <w:rFonts w:hint="eastAsia"/>
      </w:r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2">
    <w:multiLevelType w:val="hybridMultilevel"/>
    <w:lvl w:ilvl="0">
      <w:start w:val="1"/>
      <w:numFmt w:val="lowerLetter"/>
      <w:pStyle w:val="1254"/>
      <w:isLgl w:val="false"/>
      <w:suff w:val="tab"/>
      <w:lvlText w:val="%1)"/>
      <w:lvlJc w:val="left"/>
      <w:pPr>
        <w:pStyle w:val="1070"/>
        <w:ind w:left="902" w:hanging="420"/>
      </w:pPr>
      <w:rPr>
        <w:color w:val="000000"/>
      </w:rPr>
    </w:lvl>
    <w:lvl w:ilvl="1">
      <w:start w:val="1"/>
      <w:numFmt w:val="lowerLetter"/>
      <w:isLgl w:val="false"/>
      <w:suff w:val="tab"/>
      <w:lvlText w:val="%2)"/>
      <w:lvlJc w:val="left"/>
      <w:pPr>
        <w:pStyle w:val="1070"/>
        <w:ind w:left="1322" w:hanging="420"/>
      </w:pPr>
    </w:lvl>
    <w:lvl w:ilvl="2">
      <w:start w:val="1"/>
      <w:numFmt w:val="lowerRoman"/>
      <w:isLgl w:val="false"/>
      <w:suff w:val="tab"/>
      <w:lvlText w:val="%3."/>
      <w:lvlJc w:val="right"/>
      <w:pPr>
        <w:pStyle w:val="1070"/>
        <w:ind w:left="1742" w:hanging="420"/>
      </w:pPr>
    </w:lvl>
    <w:lvl w:ilvl="3">
      <w:start w:val="1"/>
      <w:numFmt w:val="decimal"/>
      <w:isLgl w:val="false"/>
      <w:suff w:val="tab"/>
      <w:lvlText w:val="%4."/>
      <w:lvlJc w:val="left"/>
      <w:pPr>
        <w:pStyle w:val="1070"/>
        <w:ind w:left="2162" w:hanging="420"/>
      </w:pPr>
    </w:lvl>
    <w:lvl w:ilvl="4">
      <w:start w:val="1"/>
      <w:numFmt w:val="lowerLetter"/>
      <w:isLgl w:val="false"/>
      <w:suff w:val="tab"/>
      <w:lvlText w:val="%5)"/>
      <w:lvlJc w:val="left"/>
      <w:pPr>
        <w:pStyle w:val="1070"/>
        <w:ind w:left="2582" w:hanging="420"/>
      </w:pPr>
    </w:lvl>
    <w:lvl w:ilvl="5">
      <w:start w:val="1"/>
      <w:numFmt w:val="lowerRoman"/>
      <w:isLgl w:val="false"/>
      <w:suff w:val="tab"/>
      <w:lvlText w:val="%6."/>
      <w:lvlJc w:val="right"/>
      <w:pPr>
        <w:pStyle w:val="1070"/>
        <w:ind w:left="3002" w:hanging="420"/>
      </w:pPr>
    </w:lvl>
    <w:lvl w:ilvl="6">
      <w:start w:val="1"/>
      <w:numFmt w:val="decimal"/>
      <w:isLgl w:val="false"/>
      <w:suff w:val="tab"/>
      <w:lvlText w:val="%7."/>
      <w:lvlJc w:val="left"/>
      <w:pPr>
        <w:pStyle w:val="1070"/>
        <w:ind w:left="3422" w:hanging="420"/>
      </w:pPr>
    </w:lvl>
    <w:lvl w:ilvl="7">
      <w:start w:val="1"/>
      <w:numFmt w:val="lowerLetter"/>
      <w:isLgl w:val="false"/>
      <w:suff w:val="tab"/>
      <w:lvlText w:val="%8)"/>
      <w:lvlJc w:val="left"/>
      <w:pPr>
        <w:pStyle w:val="1070"/>
        <w:ind w:left="3842" w:hanging="420"/>
      </w:pPr>
    </w:lvl>
    <w:lvl w:ilvl="8">
      <w:start w:val="1"/>
      <w:numFmt w:val="lowerRoman"/>
      <w:isLgl w:val="false"/>
      <w:suff w:val="tab"/>
      <w:lvlText w:val="%9."/>
      <w:lvlJc w:val="right"/>
      <w:pPr>
        <w:pStyle w:val="1070"/>
        <w:ind w:left="4262" w:hanging="420"/>
      </w:pPr>
    </w:lvl>
  </w:abstractNum>
  <w:abstractNum w:abstractNumId="3">
    <w:multiLevelType w:val="hybridMultilevel"/>
    <w:lvl w:ilvl="0">
      <w:start w:val="1"/>
      <w:numFmt w:val="decimal"/>
      <w:pStyle w:val="1224"/>
      <w:isLgl w:val="false"/>
      <w:suff w:val="tab"/>
      <w:lvlText w:val="%1."/>
      <w:lvlJc w:val="left"/>
      <w:pPr>
        <w:pStyle w:val="107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3"/>
      <w:isLgl w:val="false"/>
      <w:suff w:val="nothing"/>
      <w:lvlText w:val="%1　"/>
      <w:lvlJc w:val="left"/>
      <w:pPr>
        <w:pStyle w:val="107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0"/>
        <w:ind w:left="-25" w:firstLine="0"/>
      </w:pPr>
      <w:rPr>
        <w:rFonts w:ascii="Times New Roman" w:hAnsi="Times New Roman" w:eastAsia="黑体"/>
        <w:b/>
        <w:i w:val="0"/>
        <w:sz w:val="28"/>
      </w:rPr>
    </w:lvl>
    <w:lvl w:ilvl="3">
      <w:start w:val="1"/>
      <w:numFmt w:val="decimal"/>
      <w:pStyle w:val="1209"/>
      <w:isLgl w:val="false"/>
      <w:suff w:val="nothing"/>
      <w:lvlText w:val="%1.%2.%3.%4　"/>
      <w:lvlJc w:val="left"/>
      <w:pPr>
        <w:pStyle w:val="107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0"/>
        <w:ind w:left="-25" w:firstLine="0"/>
      </w:pPr>
      <w:rPr>
        <w:rFonts w:ascii="Times New Roman" w:hAnsi="Times New Roman" w:eastAsia="宋体"/>
        <w:b/>
        <w:i w:val="0"/>
        <w:sz w:val="28"/>
      </w:rPr>
    </w:lvl>
    <w:lvl w:ilvl="6">
      <w:start w:val="1"/>
      <w:numFmt w:val="lowerLetter"/>
      <w:pStyle w:val="1230"/>
      <w:isLgl w:val="false"/>
      <w:suff w:val="tab"/>
      <w:lvlText w:val="%7) "/>
      <w:lvlJc w:val="left"/>
      <w:pPr>
        <w:pStyle w:val="1070"/>
        <w:ind w:left="-125" w:firstLine="400"/>
        <w:tabs>
          <w:tab w:val="num" w:pos="635" w:leader="none"/>
        </w:tabs>
      </w:pPr>
      <w:rPr>
        <w:rFonts w:ascii="Times New Roman" w:hAnsi="Times New Roman" w:eastAsia="宋体"/>
        <w:b/>
        <w:i w:val="0"/>
        <w:color w:val="000000"/>
        <w:sz w:val="28"/>
        <w:u w:val="none"/>
      </w:rPr>
    </w:lvl>
    <w:lvl w:ilvl="7">
      <w:start w:val="1"/>
      <w:numFmt w:val="decimal"/>
      <w:pStyle w:val="1193"/>
      <w:isLgl w:val="false"/>
      <w:suff w:val="tab"/>
      <w:lvlText w:val="%8) "/>
      <w:lvlJc w:val="left"/>
      <w:pPr>
        <w:pStyle w:val="107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0"/>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0"/>
        <w:ind w:left="768" w:hanging="360"/>
        <w:tabs>
          <w:tab w:val="num" w:pos="768" w:leader="none"/>
        </w:tabs>
      </w:pPr>
      <w:rPr>
        <w:rFonts w:hint="eastAsia"/>
      </w:rPr>
    </w:lvl>
    <w:lvl w:ilvl="1">
      <w:start w:val="1"/>
      <w:numFmt w:val="decimal"/>
      <w:pStyle w:val="1211"/>
      <w:isLgl w:val="false"/>
      <w:suff w:val="tab"/>
      <w:lvlText w:val="%2、"/>
      <w:lvlJc w:val="left"/>
      <w:pPr>
        <w:pStyle w:val="1070"/>
        <w:ind w:left="1188" w:hanging="360"/>
        <w:tabs>
          <w:tab w:val="num" w:pos="1188" w:leader="none"/>
        </w:tabs>
      </w:pPr>
      <w:rPr>
        <w:rFonts w:hint="eastAsia"/>
      </w:rPr>
    </w:lvl>
    <w:lvl w:ilvl="2">
      <w:start w:val="1"/>
      <w:numFmt w:val="decimal"/>
      <w:isLgl w:val="false"/>
      <w:suff w:val="tab"/>
      <w:lvlText w:val="（%3）"/>
      <w:lvlJc w:val="left"/>
      <w:pPr>
        <w:pStyle w:val="1070"/>
        <w:ind w:left="1968" w:hanging="720"/>
        <w:tabs>
          <w:tab w:val="num" w:pos="1968" w:leader="none"/>
        </w:tabs>
      </w:pPr>
      <w:rPr>
        <w:rFonts w:hint="eastAsia"/>
        <w:u w:val="none"/>
      </w:rPr>
    </w:lvl>
    <w:lvl w:ilvl="3">
      <w:start w:val="1"/>
      <w:numFmt w:val="decimal"/>
      <w:isLgl w:val="false"/>
      <w:suff w:val="tab"/>
      <w:lvlText w:val="%4."/>
      <w:lvlJc w:val="left"/>
      <w:pPr>
        <w:pStyle w:val="1070"/>
        <w:ind w:left="2088" w:hanging="420"/>
        <w:tabs>
          <w:tab w:val="num" w:pos="2088" w:leader="none"/>
        </w:tabs>
      </w:pPr>
    </w:lvl>
    <w:lvl w:ilvl="4">
      <w:start w:val="1"/>
      <w:numFmt w:val="lowerLetter"/>
      <w:isLgl w:val="false"/>
      <w:suff w:val="tab"/>
      <w:lvlText w:val="%5)"/>
      <w:lvlJc w:val="left"/>
      <w:pPr>
        <w:pStyle w:val="1070"/>
        <w:ind w:left="2508" w:hanging="420"/>
        <w:tabs>
          <w:tab w:val="num" w:pos="2508" w:leader="none"/>
        </w:tabs>
      </w:pPr>
    </w:lvl>
    <w:lvl w:ilvl="5">
      <w:start w:val="1"/>
      <w:numFmt w:val="lowerRoman"/>
      <w:isLgl w:val="false"/>
      <w:suff w:val="tab"/>
      <w:lvlText w:val="%6."/>
      <w:lvlJc w:val="right"/>
      <w:pPr>
        <w:pStyle w:val="1070"/>
        <w:ind w:left="2928" w:hanging="420"/>
        <w:tabs>
          <w:tab w:val="num" w:pos="2928" w:leader="none"/>
        </w:tabs>
      </w:pPr>
    </w:lvl>
    <w:lvl w:ilvl="6">
      <w:start w:val="1"/>
      <w:numFmt w:val="decimal"/>
      <w:isLgl w:val="false"/>
      <w:suff w:val="tab"/>
      <w:lvlText w:val="%7."/>
      <w:lvlJc w:val="left"/>
      <w:pPr>
        <w:pStyle w:val="1070"/>
        <w:ind w:left="3348" w:hanging="420"/>
        <w:tabs>
          <w:tab w:val="num" w:pos="3348" w:leader="none"/>
        </w:tabs>
      </w:pPr>
    </w:lvl>
    <w:lvl w:ilvl="7">
      <w:start w:val="1"/>
      <w:numFmt w:val="lowerLetter"/>
      <w:isLgl w:val="false"/>
      <w:suff w:val="tab"/>
      <w:lvlText w:val="%8)"/>
      <w:lvlJc w:val="left"/>
      <w:pPr>
        <w:pStyle w:val="1070"/>
        <w:ind w:left="3768" w:hanging="420"/>
        <w:tabs>
          <w:tab w:val="num" w:pos="3768" w:leader="none"/>
        </w:tabs>
      </w:pPr>
    </w:lvl>
    <w:lvl w:ilvl="8">
      <w:start w:val="1"/>
      <w:numFmt w:val="lowerRoman"/>
      <w:isLgl w:val="false"/>
      <w:suff w:val="tab"/>
      <w:lvlText w:val="%9."/>
      <w:lvlJc w:val="right"/>
      <w:pPr>
        <w:pStyle w:val="1070"/>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0"/>
        <w:ind w:left="900" w:hanging="900"/>
        <w:tabs>
          <w:tab w:val="num" w:pos="900" w:leader="none"/>
        </w:tabs>
      </w:pPr>
      <w:rPr>
        <w:rFonts w:hint="eastAsia"/>
        <w:b/>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7">
    <w:multiLevelType w:val="hybridMultilevel"/>
    <w:lvl w:ilvl="0">
      <w:start w:val="1"/>
      <w:numFmt w:val="decimal"/>
      <w:pStyle w:val="1178"/>
      <w:isLgl w:val="false"/>
      <w:suff w:val="tab"/>
      <w:lvlText w:val="%1)"/>
      <w:lvlJc w:val="left"/>
      <w:pPr>
        <w:pStyle w:val="1070"/>
        <w:ind w:left="420" w:hanging="420"/>
      </w:p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8">
    <w:multiLevelType w:val="hybridMultilevel"/>
    <w:lvl w:ilvl="0">
      <w:start w:val="1"/>
      <w:numFmt w:val="decimal"/>
      <w:pStyle w:val="1279"/>
      <w:isLgl w:val="false"/>
      <w:suff w:val="tab"/>
      <w:lvlText w:val="%1"/>
      <w:lvlJc w:val="left"/>
      <w:pPr>
        <w:pStyle w:val="1070"/>
        <w:ind w:left="680" w:hanging="680"/>
      </w:pPr>
      <w:rPr>
        <w:rFonts w:hint="eastAsia" w:ascii="宋体" w:hAnsi="宋体" w:eastAsia="宋体"/>
      </w:rPr>
    </w:lvl>
    <w:lvl w:ilvl="1">
      <w:start w:val="1"/>
      <w:numFmt w:val="decimal"/>
      <w:pStyle w:val="1280"/>
      <w:isLgl w:val="false"/>
      <w:suff w:val="tab"/>
      <w:lvlText w:val="%1.%2"/>
      <w:lvlJc w:val="left"/>
      <w:pPr>
        <w:pStyle w:val="1070"/>
        <w:ind w:left="851" w:hanging="851"/>
      </w:pPr>
      <w:rPr>
        <w:rFonts w:hint="eastAsia" w:ascii="宋体" w:hAnsi="宋体" w:eastAsia="宋体"/>
        <w:color w:val="000000"/>
      </w:rPr>
    </w:lvl>
    <w:lvl w:ilvl="2">
      <w:start w:val="1"/>
      <w:numFmt w:val="decimal"/>
      <w:pStyle w:val="1281"/>
      <w:isLgl w:val="false"/>
      <w:suff w:val="tab"/>
      <w:lvlText w:val="%1.%2.%3"/>
      <w:lvlJc w:val="left"/>
      <w:pPr>
        <w:pStyle w:val="1070"/>
        <w:ind w:left="851" w:hanging="851"/>
      </w:pPr>
      <w:rPr>
        <w:rFonts w:hint="eastAsia"/>
      </w:rPr>
    </w:lvl>
    <w:lvl w:ilvl="3">
      <w:start w:val="1"/>
      <w:numFmt w:val="decimal"/>
      <w:isLgl w:val="false"/>
      <w:suff w:val="tab"/>
      <w:lvlText w:val="%1.%2.%3.%4"/>
      <w:lvlJc w:val="left"/>
      <w:pPr>
        <w:pStyle w:val="1070"/>
        <w:ind w:left="680" w:hanging="680"/>
      </w:pPr>
      <w:rPr>
        <w:rFonts w:hint="eastAsia"/>
      </w:rPr>
    </w:lvl>
    <w:lvl w:ilvl="4">
      <w:start w:val="1"/>
      <w:numFmt w:val="decimal"/>
      <w:isLgl w:val="false"/>
      <w:suff w:val="tab"/>
      <w:lvlText w:val="%1.%2.%3.%4.%5"/>
      <w:lvlJc w:val="left"/>
      <w:pPr>
        <w:pStyle w:val="1070"/>
        <w:ind w:left="680" w:hanging="680"/>
      </w:pPr>
      <w:rPr>
        <w:rFonts w:hint="eastAsia"/>
      </w:rPr>
    </w:lvl>
    <w:lvl w:ilvl="5">
      <w:start w:val="1"/>
      <w:numFmt w:val="decimal"/>
      <w:isLgl w:val="false"/>
      <w:suff w:val="tab"/>
      <w:lvlText w:val="%1.%2.%3.%4.%5.%6"/>
      <w:lvlJc w:val="left"/>
      <w:pPr>
        <w:pStyle w:val="1070"/>
        <w:ind w:left="680" w:hanging="680"/>
      </w:pPr>
      <w:rPr>
        <w:rFonts w:hint="eastAsia"/>
      </w:rPr>
    </w:lvl>
    <w:lvl w:ilvl="6">
      <w:start w:val="1"/>
      <w:numFmt w:val="decimal"/>
      <w:isLgl w:val="false"/>
      <w:suff w:val="tab"/>
      <w:lvlText w:val="%1.%2.%3.%4.%5.%6.%7"/>
      <w:lvlJc w:val="left"/>
      <w:pPr>
        <w:pStyle w:val="1070"/>
        <w:ind w:left="680" w:hanging="680"/>
      </w:pPr>
      <w:rPr>
        <w:rFonts w:hint="eastAsia"/>
      </w:rPr>
    </w:lvl>
    <w:lvl w:ilvl="7">
      <w:start w:val="1"/>
      <w:numFmt w:val="decimal"/>
      <w:isLgl w:val="false"/>
      <w:suff w:val="tab"/>
      <w:lvlText w:val="%1.%2.%3.%4.%5.%6.%7.%8"/>
      <w:lvlJc w:val="left"/>
      <w:pPr>
        <w:pStyle w:val="1070"/>
        <w:ind w:left="680" w:hanging="680"/>
      </w:pPr>
      <w:rPr>
        <w:rFonts w:hint="eastAsia"/>
      </w:rPr>
    </w:lvl>
    <w:lvl w:ilvl="8">
      <w:start w:val="1"/>
      <w:numFmt w:val="decimal"/>
      <w:isLgl w:val="false"/>
      <w:suff w:val="tab"/>
      <w:lvlText w:val="%1.%2.%3.%4.%5.%6.%7.%8.%9"/>
      <w:lvlJc w:val="left"/>
      <w:pPr>
        <w:pStyle w:val="1070"/>
        <w:ind w:left="680" w:hanging="680"/>
      </w:pPr>
      <w:rPr>
        <w:rFonts w:hint="eastAsia"/>
      </w:rPr>
    </w:lvl>
  </w:abstractNum>
  <w:abstractNum w:abstractNumId="9">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0"/>
        <w:ind w:left="205" w:hanging="322"/>
      </w:pPr>
      <w:rPr>
        <w:rFonts w:ascii="仿宋" w:hAnsi="仿宋" w:eastAsia="仿宋" w:cs="仿宋"/>
        <w:spacing w:val="-46"/>
        <w:sz w:val="30"/>
        <w:szCs w:val="30"/>
      </w:r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13">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2">
    <w:name w:val="Heading 1"/>
    <w:basedOn w:val="1070"/>
    <w:next w:val="1070"/>
    <w:link w:val="893"/>
    <w:uiPriority w:val="9"/>
    <w:qFormat/>
    <w:pPr>
      <w:keepLines/>
      <w:keepNext/>
      <w:spacing w:before="480" w:after="200"/>
      <w:outlineLvl w:val="0"/>
    </w:pPr>
    <w:rPr>
      <w:rFonts w:ascii="Arial" w:hAnsi="Arial" w:eastAsia="Arial" w:cs="Arial"/>
      <w:sz w:val="40"/>
      <w:szCs w:val="40"/>
    </w:rPr>
  </w:style>
  <w:style w:type="character" w:styleId="893">
    <w:name w:val="Heading 1 Char"/>
    <w:link w:val="892"/>
    <w:uiPriority w:val="9"/>
    <w:rPr>
      <w:rFonts w:ascii="Arial" w:hAnsi="Arial" w:eastAsia="Arial" w:cs="Arial"/>
      <w:sz w:val="40"/>
      <w:szCs w:val="40"/>
    </w:rPr>
  </w:style>
  <w:style w:type="paragraph" w:styleId="894">
    <w:name w:val="Heading 2"/>
    <w:basedOn w:val="1070"/>
    <w:next w:val="1070"/>
    <w:link w:val="895"/>
    <w:uiPriority w:val="9"/>
    <w:unhideWhenUsed/>
    <w:qFormat/>
    <w:pPr>
      <w:keepLines/>
      <w:keepNext/>
      <w:spacing w:before="360" w:after="200"/>
      <w:outlineLvl w:val="1"/>
    </w:pPr>
    <w:rPr>
      <w:rFonts w:ascii="Arial" w:hAnsi="Arial" w:eastAsia="Arial" w:cs="Arial"/>
      <w:sz w:val="34"/>
    </w:rPr>
  </w:style>
  <w:style w:type="character" w:styleId="895">
    <w:name w:val="Heading 2 Char"/>
    <w:link w:val="894"/>
    <w:uiPriority w:val="9"/>
    <w:rPr>
      <w:rFonts w:ascii="Arial" w:hAnsi="Arial" w:eastAsia="Arial" w:cs="Arial"/>
      <w:sz w:val="34"/>
    </w:rPr>
  </w:style>
  <w:style w:type="paragraph" w:styleId="896">
    <w:name w:val="Heading 3"/>
    <w:basedOn w:val="1070"/>
    <w:next w:val="1070"/>
    <w:link w:val="897"/>
    <w:uiPriority w:val="9"/>
    <w:unhideWhenUsed/>
    <w:qFormat/>
    <w:pPr>
      <w:keepLines/>
      <w:keepNext/>
      <w:spacing w:before="320" w:after="200"/>
      <w:outlineLvl w:val="2"/>
    </w:pPr>
    <w:rPr>
      <w:rFonts w:ascii="Arial" w:hAnsi="Arial" w:eastAsia="Arial" w:cs="Arial"/>
      <w:sz w:val="30"/>
      <w:szCs w:val="30"/>
    </w:rPr>
  </w:style>
  <w:style w:type="character" w:styleId="897">
    <w:name w:val="Heading 3 Char"/>
    <w:link w:val="896"/>
    <w:uiPriority w:val="9"/>
    <w:rPr>
      <w:rFonts w:ascii="Arial" w:hAnsi="Arial" w:eastAsia="Arial" w:cs="Arial"/>
      <w:sz w:val="30"/>
      <w:szCs w:val="30"/>
    </w:rPr>
  </w:style>
  <w:style w:type="paragraph" w:styleId="898">
    <w:name w:val="Heading 4"/>
    <w:basedOn w:val="1070"/>
    <w:next w:val="1070"/>
    <w:link w:val="899"/>
    <w:uiPriority w:val="9"/>
    <w:unhideWhenUsed/>
    <w:qFormat/>
    <w:pPr>
      <w:keepLines/>
      <w:keepNext/>
      <w:spacing w:before="320" w:after="200"/>
      <w:outlineLvl w:val="3"/>
    </w:pPr>
    <w:rPr>
      <w:rFonts w:ascii="Arial" w:hAnsi="Arial" w:eastAsia="Arial" w:cs="Arial"/>
      <w:b/>
      <w:bCs/>
      <w:sz w:val="26"/>
      <w:szCs w:val="26"/>
    </w:rPr>
  </w:style>
  <w:style w:type="character" w:styleId="899">
    <w:name w:val="Heading 4 Char"/>
    <w:link w:val="898"/>
    <w:uiPriority w:val="9"/>
    <w:rPr>
      <w:rFonts w:ascii="Arial" w:hAnsi="Arial" w:eastAsia="Arial" w:cs="Arial"/>
      <w:b/>
      <w:bCs/>
      <w:sz w:val="26"/>
      <w:szCs w:val="26"/>
    </w:rPr>
  </w:style>
  <w:style w:type="paragraph" w:styleId="900">
    <w:name w:val="Heading 5"/>
    <w:basedOn w:val="1070"/>
    <w:next w:val="1070"/>
    <w:link w:val="901"/>
    <w:uiPriority w:val="9"/>
    <w:unhideWhenUsed/>
    <w:qFormat/>
    <w:pPr>
      <w:keepLines/>
      <w:keepNext/>
      <w:spacing w:before="320" w:after="200"/>
      <w:outlineLvl w:val="4"/>
    </w:pPr>
    <w:rPr>
      <w:rFonts w:ascii="Arial" w:hAnsi="Arial" w:eastAsia="Arial" w:cs="Arial"/>
      <w:b/>
      <w:bCs/>
      <w:sz w:val="24"/>
      <w:szCs w:val="24"/>
    </w:rPr>
  </w:style>
  <w:style w:type="character" w:styleId="901">
    <w:name w:val="Heading 5 Char"/>
    <w:link w:val="900"/>
    <w:uiPriority w:val="9"/>
    <w:rPr>
      <w:rFonts w:ascii="Arial" w:hAnsi="Arial" w:eastAsia="Arial" w:cs="Arial"/>
      <w:b/>
      <w:bCs/>
      <w:sz w:val="24"/>
      <w:szCs w:val="24"/>
    </w:rPr>
  </w:style>
  <w:style w:type="paragraph" w:styleId="902">
    <w:name w:val="Heading 6"/>
    <w:basedOn w:val="1070"/>
    <w:next w:val="1070"/>
    <w:link w:val="903"/>
    <w:uiPriority w:val="9"/>
    <w:unhideWhenUsed/>
    <w:qFormat/>
    <w:pPr>
      <w:keepLines/>
      <w:keepNext/>
      <w:spacing w:before="320" w:after="200"/>
      <w:outlineLvl w:val="5"/>
    </w:pPr>
    <w:rPr>
      <w:rFonts w:ascii="Arial" w:hAnsi="Arial" w:eastAsia="Arial" w:cs="Arial"/>
      <w:b/>
      <w:bCs/>
      <w:sz w:val="22"/>
      <w:szCs w:val="22"/>
    </w:rPr>
  </w:style>
  <w:style w:type="character" w:styleId="903">
    <w:name w:val="Heading 6 Char"/>
    <w:link w:val="902"/>
    <w:uiPriority w:val="9"/>
    <w:rPr>
      <w:rFonts w:ascii="Arial" w:hAnsi="Arial" w:eastAsia="Arial" w:cs="Arial"/>
      <w:b/>
      <w:bCs/>
      <w:sz w:val="22"/>
      <w:szCs w:val="22"/>
    </w:rPr>
  </w:style>
  <w:style w:type="paragraph" w:styleId="904">
    <w:name w:val="Heading 7"/>
    <w:basedOn w:val="1070"/>
    <w:next w:val="1070"/>
    <w:link w:val="905"/>
    <w:uiPriority w:val="9"/>
    <w:unhideWhenUsed/>
    <w:qFormat/>
    <w:pPr>
      <w:keepLines/>
      <w:keepNext/>
      <w:spacing w:before="320" w:after="200"/>
      <w:outlineLvl w:val="6"/>
    </w:pPr>
    <w:rPr>
      <w:rFonts w:ascii="Arial" w:hAnsi="Arial" w:eastAsia="Arial" w:cs="Arial"/>
      <w:b/>
      <w:bCs/>
      <w:i/>
      <w:iCs/>
      <w:sz w:val="22"/>
      <w:szCs w:val="22"/>
    </w:rPr>
  </w:style>
  <w:style w:type="character" w:styleId="905">
    <w:name w:val="Heading 7 Char"/>
    <w:link w:val="904"/>
    <w:uiPriority w:val="9"/>
    <w:rPr>
      <w:rFonts w:ascii="Arial" w:hAnsi="Arial" w:eastAsia="Arial" w:cs="Arial"/>
      <w:b/>
      <w:bCs/>
      <w:i/>
      <w:iCs/>
      <w:sz w:val="22"/>
      <w:szCs w:val="22"/>
    </w:rPr>
  </w:style>
  <w:style w:type="paragraph" w:styleId="906">
    <w:name w:val="Heading 8"/>
    <w:basedOn w:val="1070"/>
    <w:next w:val="1070"/>
    <w:link w:val="907"/>
    <w:uiPriority w:val="9"/>
    <w:unhideWhenUsed/>
    <w:qFormat/>
    <w:pPr>
      <w:keepLines/>
      <w:keepNext/>
      <w:spacing w:before="320" w:after="200"/>
      <w:outlineLvl w:val="7"/>
    </w:pPr>
    <w:rPr>
      <w:rFonts w:ascii="Arial" w:hAnsi="Arial" w:eastAsia="Arial" w:cs="Arial"/>
      <w:i/>
      <w:iCs/>
      <w:sz w:val="22"/>
      <w:szCs w:val="22"/>
    </w:rPr>
  </w:style>
  <w:style w:type="character" w:styleId="907">
    <w:name w:val="Heading 8 Char"/>
    <w:link w:val="906"/>
    <w:uiPriority w:val="9"/>
    <w:rPr>
      <w:rFonts w:ascii="Arial" w:hAnsi="Arial" w:eastAsia="Arial" w:cs="Arial"/>
      <w:i/>
      <w:iCs/>
      <w:sz w:val="22"/>
      <w:szCs w:val="22"/>
    </w:rPr>
  </w:style>
  <w:style w:type="paragraph" w:styleId="908">
    <w:name w:val="Heading 9"/>
    <w:basedOn w:val="1070"/>
    <w:next w:val="1070"/>
    <w:link w:val="909"/>
    <w:uiPriority w:val="9"/>
    <w:unhideWhenUsed/>
    <w:qFormat/>
    <w:pPr>
      <w:keepLines/>
      <w:keepNext/>
      <w:spacing w:before="320" w:after="200"/>
      <w:outlineLvl w:val="8"/>
    </w:pPr>
    <w:rPr>
      <w:rFonts w:ascii="Arial" w:hAnsi="Arial" w:eastAsia="Arial" w:cs="Arial"/>
      <w:i/>
      <w:iCs/>
      <w:sz w:val="21"/>
      <w:szCs w:val="21"/>
    </w:rPr>
  </w:style>
  <w:style w:type="character" w:styleId="909">
    <w:name w:val="Heading 9 Char"/>
    <w:link w:val="908"/>
    <w:uiPriority w:val="9"/>
    <w:rPr>
      <w:rFonts w:ascii="Arial" w:hAnsi="Arial" w:eastAsia="Arial" w:cs="Arial"/>
      <w:i/>
      <w:iCs/>
      <w:sz w:val="21"/>
      <w:szCs w:val="21"/>
    </w:rPr>
  </w:style>
  <w:style w:type="paragraph" w:styleId="910">
    <w:name w:val="List Paragraph"/>
    <w:basedOn w:val="1070"/>
    <w:uiPriority w:val="34"/>
    <w:qFormat/>
    <w:pPr>
      <w:contextualSpacing/>
      <w:ind w:left="720"/>
    </w:pPr>
  </w:style>
  <w:style w:type="paragraph" w:styleId="911">
    <w:name w:val="No Spacing"/>
    <w:uiPriority w:val="1"/>
    <w:qFormat/>
    <w:pPr>
      <w:spacing w:before="0" w:after="0" w:line="240" w:lineRule="auto"/>
    </w:pPr>
  </w:style>
  <w:style w:type="paragraph" w:styleId="912">
    <w:name w:val="Title"/>
    <w:basedOn w:val="1070"/>
    <w:next w:val="1070"/>
    <w:link w:val="913"/>
    <w:uiPriority w:val="10"/>
    <w:qFormat/>
    <w:pPr>
      <w:contextualSpacing/>
      <w:spacing w:before="300" w:after="200"/>
    </w:pPr>
    <w:rPr>
      <w:sz w:val="48"/>
      <w:szCs w:val="48"/>
    </w:rPr>
  </w:style>
  <w:style w:type="character" w:styleId="913">
    <w:name w:val="Title Char"/>
    <w:link w:val="912"/>
    <w:uiPriority w:val="10"/>
    <w:rPr>
      <w:sz w:val="48"/>
      <w:szCs w:val="48"/>
    </w:rPr>
  </w:style>
  <w:style w:type="paragraph" w:styleId="914">
    <w:name w:val="Subtitle"/>
    <w:basedOn w:val="1070"/>
    <w:next w:val="1070"/>
    <w:link w:val="915"/>
    <w:uiPriority w:val="11"/>
    <w:qFormat/>
    <w:pPr>
      <w:spacing w:before="200" w:after="200"/>
    </w:pPr>
    <w:rPr>
      <w:sz w:val="24"/>
      <w:szCs w:val="24"/>
    </w:rPr>
  </w:style>
  <w:style w:type="character" w:styleId="915">
    <w:name w:val="Subtitle Char"/>
    <w:link w:val="914"/>
    <w:uiPriority w:val="11"/>
    <w:rPr>
      <w:sz w:val="24"/>
      <w:szCs w:val="24"/>
    </w:rPr>
  </w:style>
  <w:style w:type="paragraph" w:styleId="916">
    <w:name w:val="Quote"/>
    <w:basedOn w:val="1070"/>
    <w:next w:val="1070"/>
    <w:link w:val="917"/>
    <w:uiPriority w:val="29"/>
    <w:qFormat/>
    <w:pPr>
      <w:ind w:left="720" w:right="720"/>
    </w:pPr>
    <w:rPr>
      <w:i/>
    </w:rPr>
  </w:style>
  <w:style w:type="character" w:styleId="917">
    <w:name w:val="Quote Char"/>
    <w:link w:val="916"/>
    <w:uiPriority w:val="29"/>
    <w:rPr>
      <w:i/>
    </w:rPr>
  </w:style>
  <w:style w:type="paragraph" w:styleId="918">
    <w:name w:val="Intense Quote"/>
    <w:basedOn w:val="1070"/>
    <w:next w:val="1070"/>
    <w:link w:val="9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name w:val="Intense Quote Char"/>
    <w:link w:val="918"/>
    <w:uiPriority w:val="30"/>
    <w:rPr>
      <w:i/>
    </w:rPr>
  </w:style>
  <w:style w:type="paragraph" w:styleId="920">
    <w:name w:val="Header"/>
    <w:basedOn w:val="1070"/>
    <w:link w:val="921"/>
    <w:uiPriority w:val="99"/>
    <w:unhideWhenUsed/>
    <w:pPr>
      <w:spacing w:after="0" w:line="240" w:lineRule="auto"/>
      <w:tabs>
        <w:tab w:val="center" w:pos="7143" w:leader="none"/>
        <w:tab w:val="right" w:pos="14287" w:leader="none"/>
      </w:tabs>
    </w:pPr>
  </w:style>
  <w:style w:type="character" w:styleId="921">
    <w:name w:val="Header Char"/>
    <w:link w:val="920"/>
    <w:uiPriority w:val="99"/>
  </w:style>
  <w:style w:type="paragraph" w:styleId="922">
    <w:name w:val="Footer"/>
    <w:basedOn w:val="1070"/>
    <w:link w:val="925"/>
    <w:uiPriority w:val="99"/>
    <w:unhideWhenUsed/>
    <w:pPr>
      <w:spacing w:after="0" w:line="240" w:lineRule="auto"/>
      <w:tabs>
        <w:tab w:val="center" w:pos="7143" w:leader="none"/>
        <w:tab w:val="right" w:pos="14287" w:leader="none"/>
      </w:tabs>
    </w:pPr>
  </w:style>
  <w:style w:type="character" w:styleId="923">
    <w:name w:val="Footer Char"/>
    <w:link w:val="922"/>
    <w:uiPriority w:val="99"/>
  </w:style>
  <w:style w:type="paragraph" w:styleId="924">
    <w:name w:val="Caption"/>
    <w:basedOn w:val="1070"/>
    <w:next w:val="1070"/>
    <w:uiPriority w:val="35"/>
    <w:semiHidden/>
    <w:unhideWhenUsed/>
    <w:qFormat/>
    <w:pPr>
      <w:spacing w:line="276" w:lineRule="auto"/>
    </w:pPr>
    <w:rPr>
      <w:b/>
      <w:bCs/>
      <w:color w:val="4f81bd" w:themeColor="accent1"/>
      <w:sz w:val="18"/>
      <w:szCs w:val="18"/>
    </w:rPr>
  </w:style>
  <w:style w:type="character" w:styleId="925">
    <w:name w:val="Caption Char"/>
    <w:basedOn w:val="924"/>
    <w:link w:val="922"/>
    <w:uiPriority w:val="99"/>
  </w:style>
  <w:style w:type="table" w:styleId="9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2">
    <w:name w:val="Hyperlink"/>
    <w:uiPriority w:val="99"/>
    <w:unhideWhenUsed/>
    <w:rPr>
      <w:color w:val="0000ff" w:themeColor="hyperlink"/>
      <w:u w:val="single"/>
    </w:rPr>
  </w:style>
  <w:style w:type="paragraph" w:styleId="1053">
    <w:name w:val="footnote text"/>
    <w:basedOn w:val="1070"/>
    <w:link w:val="1054"/>
    <w:uiPriority w:val="99"/>
    <w:semiHidden/>
    <w:unhideWhenUsed/>
    <w:pPr>
      <w:spacing w:after="40" w:line="240" w:lineRule="auto"/>
    </w:pPr>
    <w:rPr>
      <w:sz w:val="18"/>
    </w:rPr>
  </w:style>
  <w:style w:type="character" w:styleId="1054">
    <w:name w:val="Footnote Text Char"/>
    <w:link w:val="1053"/>
    <w:uiPriority w:val="99"/>
    <w:rPr>
      <w:sz w:val="18"/>
    </w:rPr>
  </w:style>
  <w:style w:type="character" w:styleId="1055">
    <w:name w:val="footnote reference"/>
    <w:uiPriority w:val="99"/>
    <w:unhideWhenUsed/>
    <w:rPr>
      <w:vertAlign w:val="superscript"/>
    </w:rPr>
  </w:style>
  <w:style w:type="paragraph" w:styleId="1056">
    <w:name w:val="endnote text"/>
    <w:basedOn w:val="1070"/>
    <w:link w:val="1057"/>
    <w:uiPriority w:val="99"/>
    <w:semiHidden/>
    <w:unhideWhenUsed/>
    <w:pPr>
      <w:spacing w:after="0" w:line="240" w:lineRule="auto"/>
    </w:pPr>
    <w:rPr>
      <w:sz w:val="20"/>
    </w:rPr>
  </w:style>
  <w:style w:type="character" w:styleId="1057">
    <w:name w:val="Endnote Text Char"/>
    <w:link w:val="1056"/>
    <w:uiPriority w:val="99"/>
    <w:rPr>
      <w:sz w:val="20"/>
    </w:rPr>
  </w:style>
  <w:style w:type="character" w:styleId="1058">
    <w:name w:val="endnote reference"/>
    <w:uiPriority w:val="99"/>
    <w:semiHidden/>
    <w:unhideWhenUsed/>
    <w:rPr>
      <w:vertAlign w:val="superscript"/>
    </w:rPr>
  </w:style>
  <w:style w:type="paragraph" w:styleId="1059">
    <w:name w:val="toc 1"/>
    <w:basedOn w:val="1070"/>
    <w:next w:val="1070"/>
    <w:uiPriority w:val="39"/>
    <w:unhideWhenUsed/>
    <w:pPr>
      <w:ind w:left="0" w:right="0" w:firstLine="0"/>
      <w:spacing w:after="57"/>
    </w:pPr>
  </w:style>
  <w:style w:type="paragraph" w:styleId="1060">
    <w:name w:val="toc 2"/>
    <w:basedOn w:val="1070"/>
    <w:next w:val="1070"/>
    <w:uiPriority w:val="39"/>
    <w:unhideWhenUsed/>
    <w:pPr>
      <w:ind w:left="283" w:right="0" w:firstLine="0"/>
      <w:spacing w:after="57"/>
    </w:pPr>
  </w:style>
  <w:style w:type="paragraph" w:styleId="1061">
    <w:name w:val="toc 3"/>
    <w:basedOn w:val="1070"/>
    <w:next w:val="1070"/>
    <w:uiPriority w:val="39"/>
    <w:unhideWhenUsed/>
    <w:pPr>
      <w:ind w:left="567" w:right="0" w:firstLine="0"/>
      <w:spacing w:after="57"/>
    </w:pPr>
  </w:style>
  <w:style w:type="paragraph" w:styleId="1062">
    <w:name w:val="toc 4"/>
    <w:basedOn w:val="1070"/>
    <w:next w:val="1070"/>
    <w:uiPriority w:val="39"/>
    <w:unhideWhenUsed/>
    <w:pPr>
      <w:ind w:left="850" w:right="0" w:firstLine="0"/>
      <w:spacing w:after="57"/>
    </w:pPr>
  </w:style>
  <w:style w:type="paragraph" w:styleId="1063">
    <w:name w:val="toc 5"/>
    <w:basedOn w:val="1070"/>
    <w:next w:val="1070"/>
    <w:uiPriority w:val="39"/>
    <w:unhideWhenUsed/>
    <w:pPr>
      <w:ind w:left="1134" w:right="0" w:firstLine="0"/>
      <w:spacing w:after="57"/>
    </w:pPr>
  </w:style>
  <w:style w:type="paragraph" w:styleId="1064">
    <w:name w:val="toc 6"/>
    <w:basedOn w:val="1070"/>
    <w:next w:val="1070"/>
    <w:uiPriority w:val="39"/>
    <w:unhideWhenUsed/>
    <w:pPr>
      <w:ind w:left="1417" w:right="0" w:firstLine="0"/>
      <w:spacing w:after="57"/>
    </w:pPr>
  </w:style>
  <w:style w:type="paragraph" w:styleId="1065">
    <w:name w:val="toc 7"/>
    <w:basedOn w:val="1070"/>
    <w:next w:val="1070"/>
    <w:uiPriority w:val="39"/>
    <w:unhideWhenUsed/>
    <w:pPr>
      <w:ind w:left="1701" w:right="0" w:firstLine="0"/>
      <w:spacing w:after="57"/>
    </w:pPr>
  </w:style>
  <w:style w:type="paragraph" w:styleId="1066">
    <w:name w:val="toc 8"/>
    <w:basedOn w:val="1070"/>
    <w:next w:val="1070"/>
    <w:uiPriority w:val="39"/>
    <w:unhideWhenUsed/>
    <w:pPr>
      <w:ind w:left="1984" w:right="0" w:firstLine="0"/>
      <w:spacing w:after="57"/>
    </w:pPr>
  </w:style>
  <w:style w:type="paragraph" w:styleId="1067">
    <w:name w:val="toc 9"/>
    <w:basedOn w:val="1070"/>
    <w:next w:val="1070"/>
    <w:uiPriority w:val="39"/>
    <w:unhideWhenUsed/>
    <w:pPr>
      <w:ind w:left="2268" w:right="0" w:firstLine="0"/>
      <w:spacing w:after="57"/>
    </w:pPr>
  </w:style>
  <w:style w:type="paragraph" w:styleId="1068">
    <w:name w:val="TOC Heading"/>
    <w:uiPriority w:val="39"/>
    <w:unhideWhenUsed/>
  </w:style>
  <w:style w:type="paragraph" w:styleId="1069">
    <w:name w:val="table of figures"/>
    <w:basedOn w:val="1070"/>
    <w:next w:val="1070"/>
    <w:uiPriority w:val="99"/>
    <w:unhideWhenUsed/>
    <w:pPr>
      <w:spacing w:after="0" w:afterAutospacing="0"/>
    </w:pPr>
  </w:style>
  <w:style w:type="paragraph" w:styleId="1070" w:default="1">
    <w:name w:val="Normal"/>
    <w:next w:val="1070"/>
    <w:link w:val="1070"/>
    <w:qFormat/>
    <w:pPr>
      <w:jc w:val="both"/>
      <w:widowControl w:val="off"/>
    </w:pPr>
    <w:rPr>
      <w:sz w:val="21"/>
      <w:szCs w:val="24"/>
      <w:lang w:val="en-US" w:eastAsia="zh-CN" w:bidi="ar-SA"/>
    </w:rPr>
  </w:style>
  <w:style w:type="paragraph" w:styleId="1071">
    <w:name w:val="标题 1"/>
    <w:basedOn w:val="1070"/>
    <w:next w:val="1070"/>
    <w:link w:val="1082"/>
    <w:qFormat/>
    <w:pPr>
      <w:jc w:val="center"/>
      <w:keepLines/>
      <w:keepNext/>
      <w:spacing w:before="240" w:after="120" w:line="300" w:lineRule="auto"/>
      <w:outlineLvl w:val="0"/>
    </w:pPr>
    <w:rPr>
      <w:rFonts w:ascii="宋体"/>
      <w:b/>
      <w:sz w:val="32"/>
      <w:szCs w:val="20"/>
    </w:rPr>
  </w:style>
  <w:style w:type="paragraph" w:styleId="1072">
    <w:name w:val="标题 2"/>
    <w:basedOn w:val="1070"/>
    <w:next w:val="1084"/>
    <w:link w:val="1083"/>
    <w:qFormat/>
    <w:pPr>
      <w:jc w:val="center"/>
      <w:keepLines/>
      <w:keepNext/>
      <w:spacing w:before="120" w:line="300" w:lineRule="auto"/>
      <w:outlineLvl w:val="1"/>
    </w:pPr>
    <w:rPr>
      <w:rFonts w:ascii="Arial" w:hAnsi="Arial" w:eastAsia="黑体"/>
      <w:b/>
      <w:sz w:val="30"/>
      <w:szCs w:val="20"/>
    </w:rPr>
  </w:style>
  <w:style w:type="paragraph" w:styleId="1073">
    <w:name w:val="标题 3"/>
    <w:basedOn w:val="1070"/>
    <w:next w:val="1070"/>
    <w:link w:val="1086"/>
    <w:qFormat/>
    <w:pPr>
      <w:jc w:val="left"/>
      <w:keepLines/>
      <w:keepNext/>
      <w:spacing w:before="360" w:after="120"/>
      <w:outlineLvl w:val="2"/>
    </w:pPr>
    <w:rPr>
      <w:rFonts w:ascii="宋体"/>
      <w:b/>
      <w:sz w:val="24"/>
      <w:szCs w:val="20"/>
      <w:u w:val="single"/>
    </w:rPr>
  </w:style>
  <w:style w:type="paragraph" w:styleId="1074">
    <w:name w:val="标题 4"/>
    <w:basedOn w:val="1070"/>
    <w:next w:val="1070"/>
    <w:link w:val="1087"/>
    <w:qFormat/>
    <w:pPr>
      <w:keepLines/>
      <w:keepNext/>
      <w:spacing w:before="280" w:after="290" w:line="376" w:lineRule="atLeast"/>
      <w:outlineLvl w:val="3"/>
    </w:pPr>
    <w:rPr>
      <w:rFonts w:ascii="Arial" w:hAnsi="Arial" w:eastAsia="黑体"/>
      <w:b/>
      <w:sz w:val="28"/>
      <w:szCs w:val="20"/>
    </w:rPr>
  </w:style>
  <w:style w:type="paragraph" w:styleId="1075">
    <w:name w:val="标题 5"/>
    <w:basedOn w:val="1070"/>
    <w:next w:val="1070"/>
    <w:link w:val="1088"/>
    <w:qFormat/>
    <w:pPr>
      <w:keepLines/>
      <w:keepNext/>
      <w:spacing w:before="280" w:after="290" w:line="376" w:lineRule="atLeast"/>
      <w:outlineLvl w:val="4"/>
    </w:pPr>
    <w:rPr>
      <w:b/>
      <w:sz w:val="28"/>
      <w:szCs w:val="20"/>
    </w:rPr>
  </w:style>
  <w:style w:type="paragraph" w:styleId="1076">
    <w:name w:val="标题 6"/>
    <w:basedOn w:val="1070"/>
    <w:next w:val="1070"/>
    <w:link w:val="1089"/>
    <w:qFormat/>
    <w:pPr>
      <w:keepLines/>
      <w:keepNext/>
      <w:spacing w:before="240" w:after="64" w:line="320" w:lineRule="atLeast"/>
      <w:outlineLvl w:val="5"/>
    </w:pPr>
    <w:rPr>
      <w:rFonts w:ascii="Arial" w:hAnsi="Arial" w:eastAsia="黑体"/>
      <w:b/>
      <w:sz w:val="24"/>
      <w:szCs w:val="20"/>
    </w:rPr>
  </w:style>
  <w:style w:type="paragraph" w:styleId="1077">
    <w:name w:val="标题 7"/>
    <w:basedOn w:val="1070"/>
    <w:next w:val="1070"/>
    <w:link w:val="1090"/>
    <w:qFormat/>
    <w:pPr>
      <w:keepLines/>
      <w:keepNext/>
      <w:spacing w:before="240" w:after="64" w:line="320" w:lineRule="atLeast"/>
      <w:outlineLvl w:val="6"/>
    </w:pPr>
    <w:rPr>
      <w:b/>
      <w:sz w:val="24"/>
      <w:szCs w:val="20"/>
    </w:rPr>
  </w:style>
  <w:style w:type="paragraph" w:styleId="1078">
    <w:name w:val="标题 8"/>
    <w:basedOn w:val="1070"/>
    <w:next w:val="1070"/>
    <w:link w:val="1091"/>
    <w:qFormat/>
    <w:pPr>
      <w:keepLines/>
      <w:keepNext/>
      <w:spacing w:before="240" w:after="64" w:line="320" w:lineRule="atLeast"/>
      <w:outlineLvl w:val="7"/>
    </w:pPr>
    <w:rPr>
      <w:rFonts w:ascii="Arial" w:hAnsi="Arial" w:eastAsia="黑体"/>
      <w:sz w:val="24"/>
      <w:szCs w:val="20"/>
    </w:rPr>
  </w:style>
  <w:style w:type="paragraph" w:styleId="1079">
    <w:name w:val="标题 9"/>
    <w:basedOn w:val="1070"/>
    <w:next w:val="1070"/>
    <w:link w:val="1092"/>
    <w:qFormat/>
    <w:pPr>
      <w:keepLines/>
      <w:keepNext/>
      <w:spacing w:before="240" w:after="64" w:line="320" w:lineRule="atLeast"/>
      <w:outlineLvl w:val="8"/>
    </w:pPr>
    <w:rPr>
      <w:rFonts w:ascii="Arial" w:hAnsi="Arial" w:eastAsia="黑体"/>
      <w:szCs w:val="20"/>
    </w:rPr>
  </w:style>
  <w:style w:type="character" w:styleId="1080">
    <w:name w:val="默认段落字体"/>
    <w:next w:val="1080"/>
    <w:link w:val="1070"/>
    <w:uiPriority w:val="1"/>
    <w:unhideWhenUsed/>
    <w:qFormat/>
  </w:style>
  <w:style w:type="table" w:styleId="1081">
    <w:name w:val="普通表格"/>
    <w:next w:val="1081"/>
    <w:link w:val="1070"/>
    <w:uiPriority w:val="99"/>
    <w:unhideWhenUsed/>
    <w:qFormat/>
    <w:tblPr/>
  </w:style>
  <w:style w:type="character" w:styleId="1082">
    <w:name w:val="标题 1 字符"/>
    <w:next w:val="1082"/>
    <w:link w:val="1071"/>
    <w:qFormat/>
    <w:rPr>
      <w:rFonts w:ascii="宋体"/>
      <w:b/>
      <w:sz w:val="32"/>
    </w:rPr>
  </w:style>
  <w:style w:type="character" w:styleId="1083">
    <w:name w:val="标题 2 字符"/>
    <w:next w:val="1083"/>
    <w:link w:val="1072"/>
    <w:qFormat/>
    <w:rPr>
      <w:rFonts w:ascii="Arial" w:hAnsi="Arial" w:eastAsia="黑体"/>
      <w:b/>
      <w:sz w:val="30"/>
      <w:lang w:val="en-US" w:eastAsia="zh-CN" w:bidi="ar-SA"/>
    </w:rPr>
  </w:style>
  <w:style w:type="paragraph" w:styleId="1084">
    <w:name w:val="正文缩进"/>
    <w:basedOn w:val="1070"/>
    <w:next w:val="1084"/>
    <w:link w:val="1085"/>
    <w:uiPriority w:val="99"/>
    <w:qFormat/>
    <w:pPr>
      <w:ind w:firstLine="420"/>
      <w:jc w:val="left"/>
    </w:pPr>
    <w:rPr>
      <w:rFonts w:ascii="宋体"/>
      <w:sz w:val="24"/>
    </w:rPr>
  </w:style>
  <w:style w:type="character" w:styleId="1085">
    <w:name w:val="正文缩进 字符1"/>
    <w:next w:val="1085"/>
    <w:link w:val="1084"/>
    <w:qFormat/>
    <w:rPr>
      <w:rFonts w:ascii="宋体" w:eastAsia="宋体"/>
      <w:sz w:val="24"/>
      <w:szCs w:val="24"/>
      <w:lang w:val="en-US" w:eastAsia="zh-CN" w:bidi="ar-SA"/>
    </w:rPr>
  </w:style>
  <w:style w:type="character" w:styleId="1086">
    <w:name w:val="标题 3 字符"/>
    <w:next w:val="1086"/>
    <w:link w:val="1073"/>
    <w:qFormat/>
    <w:rPr>
      <w:rFonts w:ascii="宋体" w:eastAsia="宋体"/>
      <w:b/>
      <w:sz w:val="24"/>
      <w:u w:val="single"/>
      <w:lang w:val="en-US" w:eastAsia="zh-CN" w:bidi="ar-SA"/>
    </w:rPr>
  </w:style>
  <w:style w:type="character" w:styleId="1087">
    <w:name w:val="标题 4 字符"/>
    <w:next w:val="1087"/>
    <w:link w:val="1074"/>
    <w:qFormat/>
    <w:rPr>
      <w:rFonts w:ascii="Arial" w:hAnsi="Arial" w:eastAsia="黑体"/>
      <w:b/>
      <w:sz w:val="28"/>
    </w:rPr>
  </w:style>
  <w:style w:type="character" w:styleId="1088">
    <w:name w:val="标题 5 字符"/>
    <w:next w:val="1088"/>
    <w:link w:val="1075"/>
    <w:qFormat/>
    <w:rPr>
      <w:b/>
      <w:sz w:val="28"/>
    </w:rPr>
  </w:style>
  <w:style w:type="character" w:styleId="1089">
    <w:name w:val="标题 6 字符"/>
    <w:next w:val="1089"/>
    <w:link w:val="1076"/>
    <w:qFormat/>
    <w:rPr>
      <w:rFonts w:ascii="Arial" w:hAnsi="Arial" w:eastAsia="黑体"/>
      <w:b/>
      <w:sz w:val="24"/>
    </w:rPr>
  </w:style>
  <w:style w:type="character" w:styleId="1090">
    <w:name w:val="标题 7 字符"/>
    <w:next w:val="1090"/>
    <w:link w:val="1077"/>
    <w:qFormat/>
    <w:rPr>
      <w:b/>
      <w:sz w:val="24"/>
    </w:rPr>
  </w:style>
  <w:style w:type="character" w:styleId="1091">
    <w:name w:val="标题 8 字符"/>
    <w:next w:val="1091"/>
    <w:link w:val="1078"/>
    <w:qFormat/>
    <w:rPr>
      <w:rFonts w:ascii="Arial" w:hAnsi="Arial" w:eastAsia="黑体"/>
      <w:sz w:val="24"/>
    </w:rPr>
  </w:style>
  <w:style w:type="character" w:styleId="1092">
    <w:name w:val="标题 9 字符"/>
    <w:next w:val="1092"/>
    <w:link w:val="1079"/>
    <w:qFormat/>
    <w:rPr>
      <w:rFonts w:ascii="Arial" w:hAnsi="Arial" w:eastAsia="黑体"/>
      <w:sz w:val="21"/>
    </w:rPr>
  </w:style>
  <w:style w:type="paragraph" w:styleId="1093">
    <w:name w:val="目录 7"/>
    <w:basedOn w:val="1070"/>
    <w:next w:val="1070"/>
    <w:link w:val="1070"/>
    <w:qFormat/>
    <w:pPr>
      <w:ind w:left="2520"/>
    </w:pPr>
  </w:style>
  <w:style w:type="paragraph" w:styleId="1094">
    <w:name w:val="题注"/>
    <w:basedOn w:val="1070"/>
    <w:next w:val="1070"/>
    <w:link w:val="1070"/>
    <w:qFormat/>
    <w:pPr>
      <w:spacing w:line="480" w:lineRule="auto"/>
    </w:pPr>
    <w:rPr>
      <w:rFonts w:ascii="华文中宋" w:hAnsi="华文中宋" w:eastAsia="华文中宋"/>
      <w:sz w:val="36"/>
      <w:szCs w:val="20"/>
    </w:rPr>
  </w:style>
  <w:style w:type="paragraph" w:styleId="1095">
    <w:name w:val="文档结构图"/>
    <w:basedOn w:val="1070"/>
    <w:next w:val="1095"/>
    <w:link w:val="1096"/>
    <w:qFormat/>
    <w:pPr>
      <w:shd w:val="clear" w:color="auto" w:fill="000080"/>
    </w:pPr>
  </w:style>
  <w:style w:type="character" w:styleId="1096">
    <w:name w:val="文档结构图 字符"/>
    <w:next w:val="1096"/>
    <w:link w:val="1095"/>
    <w:qFormat/>
    <w:rPr>
      <w:sz w:val="21"/>
      <w:szCs w:val="24"/>
      <w:shd w:val="clear" w:color="auto" w:fill="000080"/>
    </w:rPr>
  </w:style>
  <w:style w:type="paragraph" w:styleId="1097">
    <w:name w:val="批注文字"/>
    <w:basedOn w:val="1070"/>
    <w:next w:val="1097"/>
    <w:link w:val="1098"/>
    <w:uiPriority w:val="99"/>
    <w:qFormat/>
    <w:pPr>
      <w:jc w:val="left"/>
    </w:pPr>
  </w:style>
  <w:style w:type="character" w:styleId="1098">
    <w:name w:val="批注文字 字符1"/>
    <w:next w:val="1098"/>
    <w:link w:val="1097"/>
    <w:uiPriority w:val="99"/>
    <w:qFormat/>
    <w:rPr>
      <w:sz w:val="21"/>
      <w:szCs w:val="24"/>
    </w:rPr>
  </w:style>
  <w:style w:type="paragraph" w:styleId="1099">
    <w:name w:val="正文文本 3"/>
    <w:basedOn w:val="1070"/>
    <w:next w:val="1099"/>
    <w:link w:val="1100"/>
    <w:qFormat/>
    <w:pPr>
      <w:spacing w:after="120"/>
    </w:pPr>
    <w:rPr>
      <w:sz w:val="16"/>
      <w:szCs w:val="16"/>
    </w:rPr>
  </w:style>
  <w:style w:type="character" w:styleId="1100">
    <w:name w:val="正文文本 3 字符"/>
    <w:next w:val="1100"/>
    <w:link w:val="1099"/>
    <w:qFormat/>
    <w:rPr>
      <w:sz w:val="16"/>
      <w:szCs w:val="16"/>
    </w:rPr>
  </w:style>
  <w:style w:type="paragraph" w:styleId="1101">
    <w:name w:val="正文文本"/>
    <w:basedOn w:val="1070"/>
    <w:next w:val="1101"/>
    <w:link w:val="1102"/>
    <w:qFormat/>
    <w:pPr>
      <w:spacing w:before="120" w:line="22" w:lineRule="atLeast"/>
      <w:tabs>
        <w:tab w:val="left" w:pos="567" w:leader="none"/>
      </w:tabs>
    </w:pPr>
    <w:rPr>
      <w:rFonts w:ascii="宋体" w:hAnsi="宋体"/>
      <w:sz w:val="24"/>
    </w:rPr>
  </w:style>
  <w:style w:type="character" w:styleId="1102">
    <w:name w:val="正文文本 字符1"/>
    <w:next w:val="1102"/>
    <w:link w:val="1101"/>
    <w:qFormat/>
    <w:rPr>
      <w:rFonts w:ascii="宋体" w:hAnsi="宋体"/>
      <w:sz w:val="24"/>
      <w:szCs w:val="24"/>
    </w:rPr>
  </w:style>
  <w:style w:type="paragraph" w:styleId="1103">
    <w:name w:val="正文文本缩进"/>
    <w:basedOn w:val="1070"/>
    <w:next w:val="1103"/>
    <w:link w:val="1104"/>
    <w:qFormat/>
    <w:pPr>
      <w:ind w:firstLine="570"/>
      <w:spacing w:line="360" w:lineRule="auto"/>
    </w:pPr>
    <w:rPr>
      <w:sz w:val="24"/>
    </w:rPr>
  </w:style>
  <w:style w:type="character" w:styleId="1104">
    <w:name w:val="正文文本缩进 字符"/>
    <w:next w:val="1104"/>
    <w:link w:val="1103"/>
    <w:qFormat/>
    <w:rPr>
      <w:rFonts w:eastAsia="宋体"/>
      <w:sz w:val="24"/>
      <w:szCs w:val="24"/>
      <w:lang w:val="en-US" w:eastAsia="zh-CN" w:bidi="ar-SA"/>
    </w:rPr>
  </w:style>
  <w:style w:type="paragraph" w:styleId="1105">
    <w:name w:val="列表 2"/>
    <w:basedOn w:val="1070"/>
    <w:next w:val="1105"/>
    <w:link w:val="1070"/>
    <w:qFormat/>
    <w:pPr>
      <w:ind w:left="100" w:hanging="200"/>
    </w:pPr>
  </w:style>
  <w:style w:type="paragraph" w:styleId="1106">
    <w:name w:val="文本块"/>
    <w:basedOn w:val="1070"/>
    <w:next w:val="1106"/>
    <w:link w:val="1070"/>
    <w:qFormat/>
    <w:pPr>
      <w:ind w:left="480" w:right="-341" w:firstLine="513"/>
      <w:widowControl/>
    </w:pPr>
    <w:rPr>
      <w:sz w:val="24"/>
      <w:szCs w:val="20"/>
    </w:rPr>
  </w:style>
  <w:style w:type="paragraph" w:styleId="1107">
    <w:name w:val="目录 5"/>
    <w:basedOn w:val="1070"/>
    <w:next w:val="1070"/>
    <w:link w:val="1070"/>
    <w:qFormat/>
    <w:pPr>
      <w:ind w:left="1680"/>
    </w:pPr>
  </w:style>
  <w:style w:type="paragraph" w:styleId="1108">
    <w:name w:val="目录 3"/>
    <w:basedOn w:val="1070"/>
    <w:next w:val="1070"/>
    <w:link w:val="1070"/>
    <w:uiPriority w:val="39"/>
    <w:qFormat/>
    <w:pPr>
      <w:ind w:left="840"/>
    </w:pPr>
  </w:style>
  <w:style w:type="paragraph" w:styleId="1109">
    <w:name w:val="纯文本"/>
    <w:basedOn w:val="1070"/>
    <w:next w:val="1109"/>
    <w:link w:val="1110"/>
    <w:uiPriority w:val="99"/>
    <w:qFormat/>
    <w:rPr>
      <w:rFonts w:hint="eastAsia" w:ascii="宋体" w:hAnsi="Courier New"/>
      <w:szCs w:val="20"/>
    </w:rPr>
  </w:style>
  <w:style w:type="character" w:styleId="1110">
    <w:name w:val="纯文本 字符2"/>
    <w:next w:val="1110"/>
    <w:link w:val="1109"/>
    <w:qFormat/>
    <w:rPr>
      <w:rFonts w:hint="eastAsia" w:ascii="宋体" w:hAnsi="Courier New" w:eastAsia="宋体" w:cs="宋体"/>
      <w:sz w:val="21"/>
    </w:rPr>
  </w:style>
  <w:style w:type="paragraph" w:styleId="1111">
    <w:name w:val="目录 8"/>
    <w:basedOn w:val="1070"/>
    <w:next w:val="1070"/>
    <w:link w:val="1070"/>
    <w:qFormat/>
    <w:pPr>
      <w:ind w:left="2940"/>
    </w:pPr>
  </w:style>
  <w:style w:type="paragraph" w:styleId="1112">
    <w:name w:val="日期"/>
    <w:basedOn w:val="1070"/>
    <w:next w:val="1070"/>
    <w:link w:val="1113"/>
    <w:qFormat/>
    <w:pPr>
      <w:ind w:left="100"/>
    </w:pPr>
    <w:rPr>
      <w:rFonts w:ascii="FangSong_GB2312" w:hAnsi="宋体" w:eastAsia="FangSong_GB2312"/>
      <w:color w:val="000000"/>
      <w:sz w:val="24"/>
    </w:rPr>
  </w:style>
  <w:style w:type="character" w:styleId="1113">
    <w:name w:val="日期 字符"/>
    <w:next w:val="1113"/>
    <w:link w:val="1112"/>
    <w:qFormat/>
    <w:rPr>
      <w:rFonts w:ascii="FangSong_GB2312" w:hAnsi="宋体" w:eastAsia="FangSong_GB2312"/>
      <w:color w:val="000000"/>
      <w:sz w:val="24"/>
      <w:szCs w:val="24"/>
    </w:rPr>
  </w:style>
  <w:style w:type="paragraph" w:styleId="1114">
    <w:name w:val="正文文本缩进 2"/>
    <w:basedOn w:val="1070"/>
    <w:next w:val="1114"/>
    <w:link w:val="1115"/>
    <w:qFormat/>
    <w:pPr>
      <w:ind w:firstLine="480"/>
    </w:pPr>
    <w:rPr>
      <w:rFonts w:ascii="FangSong_GB2312" w:eastAsia="FangSong_GB2312"/>
      <w:sz w:val="24"/>
    </w:rPr>
  </w:style>
  <w:style w:type="character" w:styleId="1115">
    <w:name w:val="正文文本缩进 2 字符"/>
    <w:next w:val="1115"/>
    <w:link w:val="1114"/>
    <w:qFormat/>
    <w:rPr>
      <w:rFonts w:ascii="FangSong_GB2312" w:eastAsia="FangSong_GB2312"/>
      <w:sz w:val="24"/>
      <w:szCs w:val="24"/>
    </w:rPr>
  </w:style>
  <w:style w:type="paragraph" w:styleId="1116">
    <w:name w:val="批注框文本"/>
    <w:basedOn w:val="1070"/>
    <w:next w:val="1116"/>
    <w:link w:val="1117"/>
    <w:qFormat/>
    <w:rPr>
      <w:sz w:val="18"/>
      <w:szCs w:val="18"/>
    </w:rPr>
  </w:style>
  <w:style w:type="character" w:styleId="1117">
    <w:name w:val="批注框文本 字符"/>
    <w:next w:val="1117"/>
    <w:link w:val="1116"/>
    <w:qFormat/>
    <w:rPr>
      <w:sz w:val="18"/>
      <w:szCs w:val="18"/>
    </w:rPr>
  </w:style>
  <w:style w:type="paragraph" w:styleId="1118">
    <w:name w:val="页脚"/>
    <w:basedOn w:val="1070"/>
    <w:next w:val="1118"/>
    <w:link w:val="1119"/>
    <w:uiPriority w:val="99"/>
    <w:qFormat/>
    <w:pPr>
      <w:jc w:val="left"/>
      <w:tabs>
        <w:tab w:val="center" w:pos="4153" w:leader="none"/>
        <w:tab w:val="right" w:pos="8306" w:leader="none"/>
      </w:tabs>
    </w:pPr>
    <w:rPr>
      <w:rFonts w:ascii="宋体"/>
      <w:sz w:val="18"/>
      <w:szCs w:val="20"/>
    </w:rPr>
  </w:style>
  <w:style w:type="character" w:styleId="1119">
    <w:name w:val="页脚 字符"/>
    <w:next w:val="1119"/>
    <w:link w:val="1118"/>
    <w:uiPriority w:val="99"/>
    <w:qFormat/>
    <w:rPr>
      <w:rFonts w:ascii="宋体" w:eastAsia="宋体"/>
      <w:sz w:val="18"/>
      <w:lang w:val="en-US" w:eastAsia="zh-CN" w:bidi="ar-SA"/>
    </w:rPr>
  </w:style>
  <w:style w:type="paragraph" w:styleId="1120">
    <w:name w:val="寄信人地址"/>
    <w:basedOn w:val="1070"/>
    <w:next w:val="1120"/>
    <w:link w:val="1070"/>
    <w:qFormat/>
    <w:pPr>
      <w:jc w:val="both"/>
      <w:spacing w:after="0" w:line="240" w:lineRule="auto"/>
      <w:widowControl w:val="off"/>
    </w:pPr>
    <w:rPr>
      <w:rFonts w:ascii="Arial" w:hAnsi="Arial" w:eastAsia="宋体" w:cs="Times New Roman"/>
      <w:sz w:val="21"/>
      <w:szCs w:val="24"/>
    </w:rPr>
  </w:style>
  <w:style w:type="paragraph" w:styleId="1121">
    <w:name w:val="页眉"/>
    <w:basedOn w:val="1070"/>
    <w:next w:val="1121"/>
    <w:link w:val="1122"/>
    <w:qFormat/>
    <w:pPr>
      <w:jc w:val="center"/>
      <w:tabs>
        <w:tab w:val="center" w:pos="4153" w:leader="none"/>
        <w:tab w:val="right" w:pos="8306" w:leader="none"/>
      </w:tabs>
      <w:pBdr>
        <w:bottom w:val="single" w:color="000000" w:sz="6" w:space="1"/>
      </w:pBdr>
    </w:pPr>
    <w:rPr>
      <w:sz w:val="18"/>
      <w:szCs w:val="18"/>
    </w:rPr>
  </w:style>
  <w:style w:type="character" w:styleId="1122">
    <w:name w:val="页眉 字符"/>
    <w:next w:val="1122"/>
    <w:link w:val="1121"/>
    <w:qFormat/>
    <w:rPr>
      <w:rFonts w:eastAsia="宋体"/>
      <w:sz w:val="18"/>
      <w:szCs w:val="18"/>
      <w:lang w:val="en-US" w:eastAsia="zh-CN" w:bidi="ar-SA"/>
    </w:rPr>
  </w:style>
  <w:style w:type="paragraph" w:styleId="1123">
    <w:name w:val="目录 1"/>
    <w:basedOn w:val="1070"/>
    <w:next w:val="1070"/>
    <w:link w:val="1070"/>
    <w:uiPriority w:val="39"/>
    <w:qFormat/>
    <w:pPr>
      <w:spacing w:line="300" w:lineRule="auto"/>
      <w:tabs>
        <w:tab w:val="left" w:pos="1050" w:leader="none"/>
        <w:tab w:val="right" w:pos="8937" w:leader="dot"/>
      </w:tabs>
    </w:pPr>
    <w:rPr>
      <w:rFonts w:ascii="宋体" w:hAnsi="宋体"/>
      <w:b/>
      <w:sz w:val="24"/>
    </w:rPr>
  </w:style>
  <w:style w:type="paragraph" w:styleId="1124">
    <w:name w:val="目录 4"/>
    <w:basedOn w:val="1070"/>
    <w:next w:val="1070"/>
    <w:link w:val="1070"/>
    <w:qFormat/>
    <w:pPr>
      <w:ind w:left="1260"/>
    </w:pPr>
  </w:style>
  <w:style w:type="paragraph" w:styleId="1125">
    <w:name w:val="目录 6"/>
    <w:basedOn w:val="1070"/>
    <w:next w:val="1070"/>
    <w:link w:val="1070"/>
    <w:qFormat/>
    <w:pPr>
      <w:ind w:left="2100"/>
    </w:pPr>
  </w:style>
  <w:style w:type="paragraph" w:styleId="1126">
    <w:name w:val="正文文本缩进 3"/>
    <w:basedOn w:val="1070"/>
    <w:next w:val="1126"/>
    <w:link w:val="1127"/>
    <w:qFormat/>
    <w:pPr>
      <w:ind w:left="720" w:firstLine="480"/>
      <w:jc w:val="left"/>
      <w:spacing w:before="120" w:line="22" w:lineRule="atLeast"/>
    </w:pPr>
    <w:rPr>
      <w:rFonts w:ascii="宋体"/>
      <w:sz w:val="24"/>
      <w:szCs w:val="20"/>
    </w:rPr>
  </w:style>
  <w:style w:type="character" w:styleId="1127">
    <w:name w:val="正文文本缩进 3 字符"/>
    <w:next w:val="1127"/>
    <w:link w:val="1126"/>
    <w:qFormat/>
    <w:rPr>
      <w:rFonts w:ascii="宋体"/>
      <w:sz w:val="24"/>
    </w:rPr>
  </w:style>
  <w:style w:type="paragraph" w:styleId="1128">
    <w:name w:val="目录 2"/>
    <w:basedOn w:val="1070"/>
    <w:next w:val="1070"/>
    <w:link w:val="1070"/>
    <w:uiPriority w:val="39"/>
    <w:qFormat/>
    <w:pPr>
      <w:ind w:left="420"/>
      <w:spacing w:line="312" w:lineRule="auto"/>
      <w:tabs>
        <w:tab w:val="right" w:pos="8937" w:leader="dot"/>
      </w:tabs>
    </w:pPr>
  </w:style>
  <w:style w:type="paragraph" w:styleId="1129">
    <w:name w:val="目录 9"/>
    <w:basedOn w:val="1070"/>
    <w:next w:val="1070"/>
    <w:link w:val="1070"/>
    <w:qFormat/>
    <w:pPr>
      <w:ind w:left="3360"/>
    </w:pPr>
  </w:style>
  <w:style w:type="paragraph" w:styleId="1130">
    <w:name w:val="HTML 预设格式"/>
    <w:basedOn w:val="1070"/>
    <w:next w:val="1130"/>
    <w:link w:val="113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1">
    <w:name w:val="HTML 预设格式 字符"/>
    <w:next w:val="1131"/>
    <w:link w:val="1130"/>
    <w:qFormat/>
    <w:rPr>
      <w:rFonts w:ascii="宋体" w:hAnsi="宋体" w:cs="宋体"/>
      <w:sz w:val="24"/>
      <w:szCs w:val="24"/>
    </w:rPr>
  </w:style>
  <w:style w:type="paragraph" w:styleId="1132">
    <w:name w:val="普通(网站)"/>
    <w:basedOn w:val="1070"/>
    <w:next w:val="1132"/>
    <w:link w:val="1070"/>
    <w:uiPriority w:val="99"/>
    <w:unhideWhenUsed/>
    <w:qFormat/>
    <w:pPr>
      <w:jc w:val="left"/>
      <w:spacing w:before="100" w:beforeAutospacing="1" w:after="100" w:afterAutospacing="1"/>
      <w:widowControl/>
    </w:pPr>
    <w:rPr>
      <w:rFonts w:ascii="宋体" w:hAnsi="宋体" w:cs="宋体"/>
      <w:sz w:val="24"/>
    </w:rPr>
  </w:style>
  <w:style w:type="paragraph" w:styleId="1133">
    <w:name w:val="索引 1"/>
    <w:basedOn w:val="1070"/>
    <w:next w:val="1070"/>
    <w:link w:val="1070"/>
    <w:qFormat/>
    <w:rPr>
      <w:szCs w:val="20"/>
    </w:rPr>
  </w:style>
  <w:style w:type="paragraph" w:styleId="1134">
    <w:name w:val="标题"/>
    <w:basedOn w:val="1070"/>
    <w:next w:val="1134"/>
    <w:link w:val="1135"/>
    <w:qFormat/>
    <w:pPr>
      <w:jc w:val="center"/>
      <w:outlineLvl w:val="0"/>
    </w:pPr>
    <w:rPr>
      <w:b/>
      <w:sz w:val="32"/>
      <w:szCs w:val="20"/>
    </w:rPr>
  </w:style>
  <w:style w:type="character" w:styleId="1135">
    <w:name w:val="标题 字符"/>
    <w:next w:val="1135"/>
    <w:link w:val="1134"/>
    <w:qFormat/>
    <w:rPr>
      <w:b/>
      <w:sz w:val="32"/>
    </w:rPr>
  </w:style>
  <w:style w:type="paragraph" w:styleId="1136">
    <w:name w:val="批注主题"/>
    <w:basedOn w:val="1097"/>
    <w:next w:val="1097"/>
    <w:link w:val="1137"/>
    <w:qFormat/>
    <w:rPr>
      <w:b/>
      <w:bCs/>
    </w:rPr>
  </w:style>
  <w:style w:type="character" w:styleId="1137">
    <w:name w:val="批注主题 字符"/>
    <w:next w:val="1137"/>
    <w:link w:val="1136"/>
    <w:qFormat/>
    <w:rPr>
      <w:rFonts w:ascii="Times New Roman" w:hAnsi="Times New Roman" w:eastAsia="宋体" w:cs="Times New Roman"/>
      <w:b/>
      <w:bCs/>
      <w:sz w:val="21"/>
      <w:szCs w:val="24"/>
      <w:lang w:val="en-US" w:eastAsia="zh-CN" w:bidi="ar-SA"/>
    </w:rPr>
  </w:style>
  <w:style w:type="paragraph" w:styleId="1138">
    <w:name w:val="正文首行缩进 2"/>
    <w:basedOn w:val="1103"/>
    <w:next w:val="1138"/>
    <w:link w:val="1139"/>
    <w:qFormat/>
    <w:pPr>
      <w:ind w:left="420" w:firstLine="420"/>
      <w:spacing w:after="120" w:line="480" w:lineRule="exact"/>
    </w:pPr>
    <w:rPr>
      <w:szCs w:val="20"/>
    </w:rPr>
  </w:style>
  <w:style w:type="character" w:styleId="1139">
    <w:name w:val="正文文本首行缩进 2 字符"/>
    <w:next w:val="1139"/>
    <w:link w:val="1138"/>
    <w:qFormat/>
    <w:rPr>
      <w:rFonts w:eastAsia="宋体"/>
      <w:sz w:val="24"/>
      <w:szCs w:val="24"/>
      <w:lang w:val="en-US" w:eastAsia="zh-CN" w:bidi="ar-SA"/>
    </w:rPr>
  </w:style>
  <w:style w:type="table" w:styleId="1140">
    <w:name w:val="网格型"/>
    <w:basedOn w:val="1081"/>
    <w:next w:val="1140"/>
    <w:link w:val="1070"/>
    <w:uiPriority w:val="39"/>
    <w:qFormat/>
    <w:tblPr/>
  </w:style>
  <w:style w:type="table" w:styleId="1141">
    <w:name w:val="中等深浅网格 1 - 强调文字颜色 2"/>
    <w:basedOn w:val="1081"/>
    <w:next w:val="1141"/>
    <w:link w:val="1070"/>
    <w:qFormat/>
    <w:rPr>
      <w:sz w:val="21"/>
      <w:szCs w:val="24"/>
    </w:rPr>
    <w:tblPr/>
  </w:style>
  <w:style w:type="character" w:styleId="1142">
    <w:name w:val="要点"/>
    <w:next w:val="1142"/>
    <w:link w:val="1070"/>
    <w:qFormat/>
    <w:rPr>
      <w:b/>
      <w:bCs/>
    </w:rPr>
  </w:style>
  <w:style w:type="character" w:styleId="1143">
    <w:name w:val="页码"/>
    <w:next w:val="1143"/>
    <w:link w:val="1070"/>
    <w:qFormat/>
  </w:style>
  <w:style w:type="character" w:styleId="1144">
    <w:name w:val="已访问的超链接"/>
    <w:next w:val="1144"/>
    <w:link w:val="1070"/>
    <w:qFormat/>
    <w:rPr>
      <w:color w:val="800080"/>
      <w:u w:val="single"/>
    </w:rPr>
  </w:style>
  <w:style w:type="character" w:styleId="1145">
    <w:name w:val="强调"/>
    <w:next w:val="1145"/>
    <w:link w:val="1070"/>
    <w:qFormat/>
    <w:rPr>
      <w:color w:val="cc0033"/>
    </w:rPr>
  </w:style>
  <w:style w:type="character" w:styleId="1146">
    <w:name w:val="超链接"/>
    <w:next w:val="1146"/>
    <w:link w:val="1070"/>
    <w:uiPriority w:val="99"/>
    <w:qFormat/>
    <w:rPr>
      <w:color w:val="0000ff"/>
      <w:u w:val="single"/>
    </w:rPr>
  </w:style>
  <w:style w:type="character" w:styleId="1147">
    <w:name w:val="批注引用"/>
    <w:next w:val="1147"/>
    <w:link w:val="1070"/>
    <w:uiPriority w:val="99"/>
    <w:qFormat/>
    <w:rPr>
      <w:sz w:val="21"/>
      <w:szCs w:val="21"/>
    </w:rPr>
  </w:style>
  <w:style w:type="character" w:styleId="1148">
    <w:name w:val="HTML 引文"/>
    <w:next w:val="1148"/>
    <w:link w:val="1070"/>
    <w:qFormat/>
    <w:rPr>
      <w:i/>
      <w:iCs/>
    </w:rPr>
  </w:style>
  <w:style w:type="character" w:styleId="1149">
    <w:name w:val="批注文字 字符"/>
    <w:next w:val="1149"/>
    <w:link w:val="1070"/>
    <w:uiPriority w:val="99"/>
    <w:qFormat/>
    <w:rPr>
      <w:rFonts w:ascii="Times New Roman" w:hAnsi="Times New Roman" w:eastAsia="宋体" w:cs="Times New Roman"/>
      <w:sz w:val="24"/>
      <w:lang w:val="en-US" w:eastAsia="zh-CN" w:bidi="ar-SA"/>
    </w:rPr>
  </w:style>
  <w:style w:type="character" w:styleId="1150">
    <w:name w:val="c21"/>
    <w:next w:val="1150"/>
    <w:link w:val="1070"/>
    <w:qFormat/>
    <w:rPr>
      <w:rFonts w:ascii="ˎ̥" w:hAnsi="ˎ̥"/>
      <w:color w:val="000000"/>
      <w:sz w:val="20"/>
      <w:szCs w:val="20"/>
      <w:u w:val="none"/>
    </w:rPr>
  </w:style>
  <w:style w:type="character" w:styleId="1151">
    <w:name w:val="title4"/>
    <w:next w:val="1151"/>
    <w:link w:val="1070"/>
    <w:qFormat/>
    <w:rPr>
      <w:b/>
      <w:bCs/>
      <w:color w:val="1d87b3"/>
      <w:sz w:val="15"/>
      <w:szCs w:val="15"/>
    </w:rPr>
  </w:style>
  <w:style w:type="character" w:styleId="1152">
    <w:name w:val="标题 2 Char Char"/>
    <w:next w:val="1152"/>
    <w:link w:val="1070"/>
    <w:qFormat/>
    <w:rPr>
      <w:rFonts w:ascii="Arial" w:hAnsi="Arial" w:eastAsia="黑体"/>
      <w:b/>
      <w:bCs/>
      <w:sz w:val="32"/>
      <w:szCs w:val="32"/>
      <w:lang w:val="en-US" w:eastAsia="zh-CN" w:bidi="ar-SA"/>
    </w:rPr>
  </w:style>
  <w:style w:type="character" w:styleId="1153">
    <w:name w:val="black1"/>
    <w:next w:val="1153"/>
    <w:link w:val="1070"/>
    <w:qFormat/>
    <w:rPr>
      <w:color w:val="000000"/>
    </w:rPr>
  </w:style>
  <w:style w:type="character" w:styleId="1154">
    <w:name w:val="street-address"/>
    <w:next w:val="1154"/>
    <w:link w:val="1070"/>
    <w:qFormat/>
  </w:style>
  <w:style w:type="character" w:styleId="1155">
    <w:name w:val="locality"/>
    <w:next w:val="1155"/>
    <w:link w:val="1070"/>
    <w:qFormat/>
  </w:style>
  <w:style w:type="character" w:styleId="1156">
    <w:name w:val="正文文本缩进 Char1"/>
    <w:next w:val="1156"/>
    <w:link w:val="1157"/>
    <w:qFormat/>
    <w:rPr>
      <w:rFonts w:ascii="宋体" w:hAnsi="宋体" w:eastAsia="宋体"/>
      <w:sz w:val="24"/>
      <w:szCs w:val="24"/>
      <w:lang w:bidi="ar-SA"/>
    </w:rPr>
  </w:style>
  <w:style w:type="paragraph" w:styleId="1157">
    <w:name w:val="正文文本缩进1"/>
    <w:basedOn w:val="1070"/>
    <w:next w:val="1157"/>
    <w:link w:val="1156"/>
    <w:qFormat/>
    <w:pPr>
      <w:ind w:firstLine="480"/>
      <w:spacing w:line="480" w:lineRule="exact"/>
    </w:pPr>
    <w:rPr>
      <w:rFonts w:ascii="宋体" w:hAnsi="宋体"/>
      <w:sz w:val="24"/>
    </w:rPr>
  </w:style>
  <w:style w:type="character" w:styleId="1158">
    <w:name w:val="Char Char11"/>
    <w:next w:val="1158"/>
    <w:link w:val="1070"/>
    <w:qFormat/>
    <w:rPr>
      <w:rFonts w:ascii="宋体" w:eastAsia="宋体"/>
      <w:b/>
      <w:sz w:val="24"/>
      <w:u w:val="single"/>
      <w:lang w:val="en-US" w:eastAsia="zh-CN" w:bidi="ar-SA"/>
    </w:rPr>
  </w:style>
  <w:style w:type="character" w:styleId="1159">
    <w:name w:val="txt"/>
    <w:next w:val="1159"/>
    <w:link w:val="1070"/>
    <w:qFormat/>
  </w:style>
  <w:style w:type="character" w:styleId="1160">
    <w:name w:val="正文缩进 Char Char"/>
    <w:next w:val="1160"/>
    <w:link w:val="1161"/>
    <w:qFormat/>
    <w:rPr>
      <w:rFonts w:ascii="宋体" w:eastAsia="宋体"/>
      <w:color w:val="000000"/>
      <w:sz w:val="28"/>
      <w:lang w:bidi="ar-SA"/>
    </w:rPr>
  </w:style>
  <w:style w:type="paragraph" w:styleId="1161">
    <w:name w:val="正文缩进1"/>
    <w:basedOn w:val="1070"/>
    <w:next w:val="1161"/>
    <w:link w:val="1160"/>
    <w:qFormat/>
    <w:pPr>
      <w:ind w:firstLine="567"/>
      <w:spacing w:line="480" w:lineRule="exact"/>
      <w:widowControl/>
    </w:pPr>
    <w:rPr>
      <w:rFonts w:ascii="宋体"/>
      <w:color w:val="000000"/>
      <w:sz w:val="28"/>
      <w:szCs w:val="20"/>
    </w:rPr>
  </w:style>
  <w:style w:type="character" w:styleId="1162">
    <w:name w:val="普通文字1 Char1"/>
    <w:next w:val="1162"/>
    <w:link w:val="1070"/>
    <w:qFormat/>
    <w:rPr>
      <w:rFonts w:ascii="宋体" w:hAnsi="Courier New" w:eastAsia="宋体"/>
      <w:sz w:val="21"/>
      <w:lang w:val="en-US" w:eastAsia="zh-CN" w:bidi="ar-SA"/>
    </w:rPr>
  </w:style>
  <w:style w:type="character" w:styleId="1163">
    <w:name w:val="chanpin1"/>
    <w:next w:val="1163"/>
    <w:link w:val="1070"/>
    <w:qFormat/>
    <w:rPr>
      <w:rFonts w:ascii="ˎ̥" w:hAnsi="ˎ̥"/>
      <w:color w:val="000000"/>
      <w:sz w:val="20"/>
      <w:szCs w:val="20"/>
      <w:u w:val="none"/>
    </w:rPr>
  </w:style>
  <w:style w:type="character" w:styleId="1164">
    <w:name w:val="列表段落 字符"/>
    <w:next w:val="1164"/>
    <w:link w:val="1165"/>
    <w:uiPriority w:val="34"/>
    <w:qFormat/>
    <w:rPr>
      <w:rFonts w:ascii="Calibri" w:hAnsi="Calibri" w:eastAsia="宋体"/>
      <w:sz w:val="21"/>
      <w:szCs w:val="22"/>
      <w:lang w:val="en-US" w:eastAsia="zh-CN" w:bidi="ar-SA"/>
    </w:rPr>
  </w:style>
  <w:style w:type="paragraph" w:styleId="1165">
    <w:name w:val="列表段落"/>
    <w:basedOn w:val="1070"/>
    <w:next w:val="1165"/>
    <w:link w:val="1164"/>
    <w:uiPriority w:val="34"/>
    <w:qFormat/>
    <w:pPr>
      <w:ind w:firstLine="420"/>
    </w:pPr>
    <w:rPr>
      <w:rFonts w:ascii="Calibri" w:hAnsi="Calibri"/>
      <w:szCs w:val="22"/>
    </w:rPr>
  </w:style>
  <w:style w:type="character" w:styleId="1166">
    <w:name w:val="标题 3 Char Char"/>
    <w:next w:val="1166"/>
    <w:link w:val="1070"/>
    <w:qFormat/>
    <w:rPr>
      <w:rFonts w:eastAsia="宋体"/>
      <w:b/>
      <w:bCs/>
      <w:sz w:val="32"/>
      <w:szCs w:val="32"/>
      <w:lang w:val="en-US" w:eastAsia="zh-CN" w:bidi="ar-SA"/>
    </w:rPr>
  </w:style>
  <w:style w:type="character" w:styleId="1167">
    <w:name w:val="段1 Char"/>
    <w:next w:val="1167"/>
    <w:link w:val="1070"/>
    <w:qFormat/>
    <w:rPr>
      <w:rFonts w:ascii="宋体" w:eastAsia="宋体"/>
      <w:sz w:val="24"/>
      <w:lang w:val="en-US" w:eastAsia="zh-CN" w:bidi="ar-SA"/>
    </w:rPr>
  </w:style>
  <w:style w:type="character" w:styleId="1168">
    <w:name w:val="chanpin拷贝"/>
    <w:next w:val="1168"/>
    <w:link w:val="1070"/>
    <w:qFormat/>
  </w:style>
  <w:style w:type="character" w:styleId="1169">
    <w:name w:val="纯文本 Char1"/>
    <w:next w:val="1169"/>
    <w:link w:val="1070"/>
    <w:uiPriority w:val="99"/>
    <w:qFormat/>
    <w:rPr>
      <w:rFonts w:ascii="宋体" w:hAnsi="Courier New" w:eastAsia="宋体"/>
      <w:sz w:val="21"/>
      <w:lang w:val="en-US" w:eastAsia="zh-CN" w:bidi="ar-SA"/>
    </w:rPr>
  </w:style>
  <w:style w:type="character" w:styleId="1170">
    <w:name w:val="apple-style-span"/>
    <w:next w:val="1170"/>
    <w:link w:val="1070"/>
    <w:qFormat/>
    <w:rPr>
      <w:rFonts w:cs="Times New Roman"/>
    </w:rPr>
  </w:style>
  <w:style w:type="paragraph" w:styleId="1171">
    <w:name w:val="二级条标题"/>
    <w:basedOn w:val="1172"/>
    <w:next w:val="1070"/>
    <w:link w:val="1070"/>
    <w:qFormat/>
    <w:pPr>
      <w:numPr>
        <w:ilvl w:val="0"/>
        <w:numId w:val="0"/>
      </w:numPr>
      <w:ind w:hanging="840"/>
      <w:tabs>
        <w:tab w:val="left" w:pos="360" w:leader="none"/>
        <w:tab w:val="left" w:pos="840" w:leader="none"/>
      </w:tabs>
      <w:outlineLvl w:val="2"/>
    </w:pPr>
    <w:rPr>
      <w:rFonts w:ascii="宋体" w:eastAsia="宋体"/>
      <w:b w:val="0"/>
    </w:rPr>
  </w:style>
  <w:style w:type="paragraph" w:styleId="1172">
    <w:name w:val="一级条标题"/>
    <w:basedOn w:val="1173"/>
    <w:next w:val="1070"/>
    <w:link w:val="1070"/>
    <w:qFormat/>
    <w:pPr>
      <w:numPr>
        <w:ilvl w:val="1"/>
      </w:numPr>
      <w:ind w:left="0" w:hanging="840"/>
      <w:tabs>
        <w:tab w:val="left" w:pos="360" w:leader="none"/>
        <w:tab w:val="left" w:pos="840" w:leader="none"/>
      </w:tabs>
      <w:outlineLvl w:val="1"/>
    </w:pPr>
  </w:style>
  <w:style w:type="paragraph" w:styleId="1173">
    <w:name w:val="章标题"/>
    <w:next w:val="1070"/>
    <w:link w:val="107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4">
    <w:name w:val="font7"/>
    <w:basedOn w:val="1070"/>
    <w:next w:val="1174"/>
    <w:link w:val="1070"/>
    <w:qFormat/>
    <w:pPr>
      <w:jc w:val="left"/>
      <w:spacing w:before="100" w:beforeAutospacing="1" w:after="100" w:afterAutospacing="1"/>
      <w:widowControl/>
    </w:pPr>
    <w:rPr>
      <w:rFonts w:eastAsia="Arial Unicode MS"/>
      <w:b/>
      <w:bCs/>
      <w:color w:val="000000"/>
      <w:sz w:val="20"/>
      <w:szCs w:val="20"/>
    </w:rPr>
  </w:style>
  <w:style w:type="paragraph" w:styleId="1175">
    <w:name w:val="字元 字元"/>
    <w:basedOn w:val="1070"/>
    <w:next w:val="1175"/>
    <w:link w:val="1070"/>
    <w:qFormat/>
    <w:rPr>
      <w:rFonts w:ascii="Tahoma" w:hAnsi="Tahoma"/>
      <w:sz w:val="24"/>
      <w:szCs w:val="20"/>
    </w:rPr>
  </w:style>
  <w:style w:type="paragraph" w:styleId="1176">
    <w:name w:val="Char3 Char Char Char"/>
    <w:basedOn w:val="1070"/>
    <w:next w:val="1176"/>
    <w:link w:val="1070"/>
    <w:qFormat/>
    <w:rPr>
      <w:rFonts w:ascii="Tahoma" w:hAnsi="Tahoma"/>
      <w:sz w:val="24"/>
      <w:szCs w:val="20"/>
    </w:rPr>
  </w:style>
  <w:style w:type="paragraph" w:styleId="1177">
    <w:name w:val="font6"/>
    <w:basedOn w:val="1070"/>
    <w:next w:val="1177"/>
    <w:link w:val="1070"/>
    <w:qFormat/>
    <w:pPr>
      <w:jc w:val="left"/>
      <w:spacing w:before="100" w:beforeAutospacing="1" w:after="100" w:afterAutospacing="1"/>
      <w:widowControl/>
    </w:pPr>
    <w:rPr>
      <w:rFonts w:ascii="宋体" w:hAnsi="宋体" w:cs="宋体"/>
      <w:sz w:val="20"/>
      <w:szCs w:val="20"/>
    </w:rPr>
  </w:style>
  <w:style w:type="paragraph" w:styleId="1178">
    <w:name w:val="项目编号2"/>
    <w:basedOn w:val="1179"/>
    <w:next w:val="1178"/>
    <w:link w:val="1070"/>
    <w:qFormat/>
    <w:pPr>
      <w:numPr>
        <w:numId w:val="3"/>
      </w:numPr>
    </w:pPr>
  </w:style>
  <w:style w:type="paragraph" w:styleId="1179">
    <w:name w:val="项目编号1"/>
    <w:basedOn w:val="1070"/>
    <w:next w:val="1179"/>
    <w:link w:val="1070"/>
    <w:qFormat/>
    <w:pPr>
      <w:numPr>
        <w:ilvl w:val="0"/>
        <w:numId w:val="2"/>
      </w:numPr>
      <w:spacing w:before="100" w:beforeAutospacing="1" w:after="100" w:afterAutospacing="1" w:line="360" w:lineRule="auto"/>
    </w:pPr>
    <w:rPr>
      <w:sz w:val="24"/>
    </w:rPr>
  </w:style>
  <w:style w:type="paragraph" w:styleId="1180">
    <w:name w:val="图中文字"/>
    <w:basedOn w:val="1070"/>
    <w:next w:val="1180"/>
    <w:link w:val="1070"/>
    <w:qFormat/>
    <w:pPr>
      <w:jc w:val="center"/>
      <w:spacing w:line="0" w:lineRule="atLeast"/>
    </w:pPr>
    <w:rPr>
      <w:sz w:val="24"/>
      <w:szCs w:val="20"/>
    </w:rPr>
  </w:style>
  <w:style w:type="paragraph" w:styleId="1181">
    <w:name w:val="xl46"/>
    <w:basedOn w:val="1070"/>
    <w:next w:val="1181"/>
    <w:link w:val="107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2">
    <w:name w:val="xl25"/>
    <w:basedOn w:val="1070"/>
    <w:next w:val="1182"/>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3">
    <w:name w:val="Char2"/>
    <w:basedOn w:val="1070"/>
    <w:next w:val="1183"/>
    <w:link w:val="1070"/>
    <w:qFormat/>
    <w:rPr>
      <w:rFonts w:ascii="Tahoma" w:hAnsi="Tahoma"/>
      <w:sz w:val="24"/>
      <w:szCs w:val="20"/>
    </w:rPr>
  </w:style>
  <w:style w:type="paragraph" w:styleId="1184">
    <w:name w:val="xl35"/>
    <w:basedOn w:val="1070"/>
    <w:next w:val="1184"/>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5">
    <w:name w:val="xl40"/>
    <w:basedOn w:val="1070"/>
    <w:next w:val="1185"/>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6">
    <w:name w:val="xl52"/>
    <w:basedOn w:val="1070"/>
    <w:next w:val="1186"/>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7">
    <w:name w:val="xl43"/>
    <w:basedOn w:val="1070"/>
    <w:next w:val="1187"/>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8">
    <w:name w:val="background1"/>
    <w:basedOn w:val="1070"/>
    <w:next w:val="1188"/>
    <w:link w:val="1070"/>
    <w:qFormat/>
    <w:pPr>
      <w:jc w:val="left"/>
      <w:spacing w:before="100" w:beforeAutospacing="1" w:after="100" w:afterAutospacing="1"/>
      <w:widowControl/>
    </w:pPr>
    <w:rPr>
      <w:rFonts w:ascii="宋体" w:hAnsi="宋体" w:cs="宋体"/>
      <w:sz w:val="24"/>
    </w:rPr>
  </w:style>
  <w:style w:type="paragraph" w:styleId="1189">
    <w:name w:val="Char Char Char Char Char Char Char"/>
    <w:basedOn w:val="1070"/>
    <w:next w:val="1189"/>
    <w:link w:val="1070"/>
    <w:qFormat/>
    <w:pPr>
      <w:ind w:firstLine="200"/>
      <w:spacing w:line="360" w:lineRule="auto"/>
    </w:pPr>
    <w:rPr>
      <w:rFonts w:eastAsia="FangSong_GB2312"/>
      <w:sz w:val="24"/>
    </w:rPr>
  </w:style>
  <w:style w:type="paragraph" w:styleId="1190">
    <w:name w:val="xl38"/>
    <w:basedOn w:val="1070"/>
    <w:next w:val="1190"/>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1">
    <w:name w:val="xl36"/>
    <w:basedOn w:val="1070"/>
    <w:next w:val="1191"/>
    <w:link w:val="107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2">
    <w:name w:val="正文 + 宋体"/>
    <w:basedOn w:val="1070"/>
    <w:next w:val="1192"/>
    <w:link w:val="1070"/>
    <w:qFormat/>
    <w:pPr>
      <w:ind w:left="360" w:hanging="360"/>
      <w:jc w:val="left"/>
      <w:widowControl/>
    </w:pPr>
    <w:rPr>
      <w:rFonts w:ascii="宋体" w:hAnsi="宋体" w:cs="宋体"/>
      <w:b/>
      <w:bCs/>
      <w:color w:val="000000"/>
      <w:sz w:val="18"/>
      <w:szCs w:val="18"/>
    </w:rPr>
  </w:style>
  <w:style w:type="paragraph" w:styleId="1193">
    <w:name w:val="正文列项_数字"/>
    <w:basedOn w:val="1070"/>
    <w:next w:val="1193"/>
    <w:link w:val="1070"/>
    <w:qFormat/>
    <w:pPr>
      <w:numPr>
        <w:ilvl w:val="7"/>
        <w:numId w:val="1"/>
      </w:numPr>
      <w:ind w:left="680" w:hanging="150"/>
      <w:spacing w:line="460" w:lineRule="exact"/>
      <w:tabs>
        <w:tab w:val="clear" w:pos="860" w:leader="none"/>
      </w:tabs>
      <w:outlineLvl w:val="7"/>
    </w:pPr>
    <w:rPr>
      <w:rFonts w:ascii="宋体"/>
      <w:sz w:val="28"/>
      <w:szCs w:val="20"/>
    </w:rPr>
  </w:style>
  <w:style w:type="paragraph" w:styleId="1194">
    <w:name w:val="xl39"/>
    <w:basedOn w:val="1070"/>
    <w:next w:val="119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5">
    <w:name w:val="xl37"/>
    <w:basedOn w:val="1070"/>
    <w:next w:val="1195"/>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6">
    <w:name w:val="xl32"/>
    <w:basedOn w:val="1070"/>
    <w:next w:val="1196"/>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7">
    <w:name w:val="font8"/>
    <w:basedOn w:val="1070"/>
    <w:next w:val="1197"/>
    <w:link w:val="1070"/>
    <w:qFormat/>
    <w:pPr>
      <w:jc w:val="left"/>
      <w:spacing w:before="100" w:beforeAutospacing="1" w:after="100" w:afterAutospacing="1"/>
      <w:widowControl/>
    </w:pPr>
    <w:rPr>
      <w:sz w:val="36"/>
      <w:szCs w:val="36"/>
    </w:rPr>
  </w:style>
  <w:style w:type="paragraph" w:styleId="1198">
    <w:name w:val="Char"/>
    <w:basedOn w:val="1070"/>
    <w:next w:val="1198"/>
    <w:link w:val="1070"/>
    <w:qFormat/>
    <w:pPr>
      <w:tabs>
        <w:tab w:val="left" w:pos="360" w:leader="none"/>
      </w:tabs>
    </w:pPr>
    <w:rPr>
      <w:sz w:val="24"/>
    </w:rPr>
  </w:style>
  <w:style w:type="paragraph" w:styleId="1199">
    <w:name w:val="Char Char Char Char Char Char Char Char Char Char Char Char Char Char Char Char"/>
    <w:basedOn w:val="1070"/>
    <w:next w:val="1199"/>
    <w:link w:val="1070"/>
    <w:qFormat/>
    <w:pPr>
      <w:jc w:val="center"/>
      <w:spacing w:after="160" w:line="240" w:lineRule="exact"/>
      <w:widowControl/>
    </w:pPr>
    <w:rPr>
      <w:rFonts w:ascii="宋体" w:hAnsi="宋体"/>
      <w:b/>
      <w:sz w:val="30"/>
      <w:szCs w:val="30"/>
      <w:lang w:eastAsia="en-US"/>
    </w:rPr>
  </w:style>
  <w:style w:type="paragraph" w:styleId="1200">
    <w:name w:val="xl45"/>
    <w:basedOn w:val="1070"/>
    <w:next w:val="1200"/>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1">
    <w:name w:val="Char Char1 Char Char Char Char Char Char"/>
    <w:basedOn w:val="1070"/>
    <w:next w:val="1201"/>
    <w:link w:val="1070"/>
    <w:qFormat/>
    <w:pPr>
      <w:jc w:val="left"/>
      <w:spacing w:after="160" w:line="240" w:lineRule="exact"/>
      <w:widowControl/>
    </w:pPr>
    <w:rPr>
      <w:rFonts w:ascii="Verdana" w:hAnsi="Verdana" w:eastAsia="FangSong_GB2312"/>
      <w:sz w:val="24"/>
      <w:szCs w:val="20"/>
      <w:lang w:eastAsia="en-US"/>
    </w:rPr>
  </w:style>
  <w:style w:type="paragraph" w:styleId="1202">
    <w:name w:val="Char Char1"/>
    <w:basedOn w:val="1095"/>
    <w:next w:val="1202"/>
    <w:link w:val="1070"/>
    <w:qFormat/>
    <w:rPr>
      <w:rFonts w:ascii="Tahoma" w:hAnsi="Tahoma"/>
      <w:sz w:val="24"/>
    </w:rPr>
  </w:style>
  <w:style w:type="paragraph" w:styleId="1203">
    <w:name w:val="xl26"/>
    <w:basedOn w:val="1070"/>
    <w:next w:val="1203"/>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4">
    <w:name w:val="xl30"/>
    <w:basedOn w:val="1070"/>
    <w:next w:val="1204"/>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5">
    <w:name w:val="xl41"/>
    <w:basedOn w:val="1070"/>
    <w:next w:val="1205"/>
    <w:link w:val="107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6">
    <w:name w:val="样式 宋体 五号 行距: 单倍行距"/>
    <w:basedOn w:val="1070"/>
    <w:next w:val="1206"/>
    <w:link w:val="1070"/>
    <w:qFormat/>
    <w:pPr>
      <w:jc w:val="left"/>
    </w:pPr>
    <w:rPr>
      <w:rFonts w:ascii="宋体" w:hAnsi="宋体"/>
      <w:szCs w:val="20"/>
    </w:rPr>
  </w:style>
  <w:style w:type="paragraph" w:styleId="1207">
    <w:name w:val="Char1 Char Char Char1"/>
    <w:basedOn w:val="1070"/>
    <w:next w:val="1207"/>
    <w:link w:val="1070"/>
    <w:qFormat/>
    <w:rPr>
      <w:rFonts w:ascii="Tahoma" w:hAnsi="Tahoma" w:cs="FangSong_GB2312"/>
      <w:sz w:val="24"/>
      <w:szCs w:val="28"/>
    </w:rPr>
  </w:style>
  <w:style w:type="paragraph" w:styleId="1208">
    <w:name w:val="四级条标题"/>
    <w:basedOn w:val="1209"/>
    <w:next w:val="1070"/>
    <w:link w:val="1070"/>
    <w:qFormat/>
    <w:pPr>
      <w:numPr>
        <w:ilvl w:val="4"/>
      </w:numPr>
      <w:ind w:left="0" w:hanging="840"/>
      <w:tabs>
        <w:tab w:val="left" w:pos="360" w:leader="none"/>
        <w:tab w:val="left" w:pos="840" w:leader="none"/>
      </w:tabs>
      <w:outlineLvl w:val="4"/>
    </w:pPr>
  </w:style>
  <w:style w:type="paragraph" w:styleId="1209">
    <w:name w:val="三级条标题"/>
    <w:basedOn w:val="1171"/>
    <w:next w:val="1070"/>
    <w:link w:val="1070"/>
    <w:qFormat/>
    <w:pPr>
      <w:numPr>
        <w:ilvl w:val="3"/>
        <w:numId w:val="1"/>
      </w:numPr>
      <w:ind w:left="0" w:hanging="840"/>
      <w:tabs>
        <w:tab w:val="left" w:pos="360" w:leader="none"/>
        <w:tab w:val="left" w:pos="840" w:leader="none"/>
      </w:tabs>
      <w:outlineLvl w:val="3"/>
    </w:pPr>
  </w:style>
  <w:style w:type="paragraph" w:styleId="1210">
    <w:name w:val="??"/>
    <w:next w:val="1210"/>
    <w:link w:val="1070"/>
    <w:qFormat/>
    <w:pPr>
      <w:jc w:val="both"/>
      <w:widowControl w:val="off"/>
    </w:pPr>
    <w:rPr>
      <w:sz w:val="21"/>
      <w:lang w:val="en-US" w:eastAsia="en-US" w:bidi="ar-SA"/>
    </w:rPr>
  </w:style>
  <w:style w:type="paragraph" w:styleId="1211">
    <w:name w:val="样式 标题 2 + 宋体 五号 行距: 单倍行距"/>
    <w:basedOn w:val="1072"/>
    <w:next w:val="1211"/>
    <w:link w:val="107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2">
    <w:name w:val="List Paragraph1"/>
    <w:basedOn w:val="1070"/>
    <w:next w:val="1212"/>
    <w:link w:val="1070"/>
    <w:qFormat/>
    <w:pPr>
      <w:ind w:firstLine="420"/>
    </w:pPr>
    <w:rPr>
      <w:rFonts w:ascii="Calibri" w:hAnsi="Calibri"/>
      <w:szCs w:val="22"/>
    </w:rPr>
  </w:style>
  <w:style w:type="paragraph" w:styleId="1213">
    <w:name w:val="项目符号1"/>
    <w:basedOn w:val="1214"/>
    <w:next w:val="1213"/>
    <w:link w:val="1070"/>
    <w:qFormat/>
    <w:pPr>
      <w:ind w:left="-25" w:firstLine="0"/>
    </w:pPr>
  </w:style>
  <w:style w:type="paragraph" w:styleId="1214">
    <w:name w:val="正文文本样式"/>
    <w:basedOn w:val="1070"/>
    <w:next w:val="1214"/>
    <w:link w:val="1070"/>
    <w:qFormat/>
    <w:pPr>
      <w:ind w:firstLine="482"/>
      <w:spacing w:line="360" w:lineRule="auto"/>
    </w:pPr>
    <w:rPr>
      <w:rFonts w:cs="宋体"/>
      <w:sz w:val="24"/>
      <w:szCs w:val="20"/>
    </w:rPr>
  </w:style>
  <w:style w:type="paragraph" w:styleId="1215">
    <w:name w:val="xl27"/>
    <w:basedOn w:val="1070"/>
    <w:next w:val="1215"/>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6">
    <w:name w:val="font5"/>
    <w:basedOn w:val="1070"/>
    <w:next w:val="1216"/>
    <w:link w:val="1070"/>
    <w:qFormat/>
    <w:pPr>
      <w:jc w:val="left"/>
      <w:spacing w:before="100" w:beforeAutospacing="1" w:after="100" w:afterAutospacing="1"/>
      <w:widowControl/>
    </w:pPr>
    <w:rPr>
      <w:rFonts w:ascii="宋体" w:hAnsi="宋体" w:cs="宋体"/>
      <w:sz w:val="18"/>
      <w:szCs w:val="18"/>
    </w:rPr>
  </w:style>
  <w:style w:type="paragraph" w:styleId="1217">
    <w:name w:val="五级条标题"/>
    <w:basedOn w:val="1208"/>
    <w:next w:val="1070"/>
    <w:link w:val="1070"/>
    <w:qFormat/>
    <w:pPr>
      <w:numPr>
        <w:ilvl w:val="5"/>
      </w:numPr>
      <w:ind w:left="0" w:hanging="840"/>
      <w:tabs>
        <w:tab w:val="left" w:pos="360" w:leader="none"/>
        <w:tab w:val="left" w:pos="840" w:leader="none"/>
      </w:tabs>
      <w:outlineLvl w:val="5"/>
    </w:pPr>
  </w:style>
  <w:style w:type="paragraph" w:styleId="1218">
    <w:name w:val="xl49"/>
    <w:basedOn w:val="1070"/>
    <w:next w:val="1218"/>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9">
    <w:name w:val="文档正文"/>
    <w:basedOn w:val="1070"/>
    <w:next w:val="1219"/>
    <w:link w:val="1070"/>
    <w:qFormat/>
    <w:pPr>
      <w:spacing w:before="120" w:after="120" w:line="180" w:lineRule="auto"/>
    </w:pPr>
    <w:rPr>
      <w:rFonts w:ascii="Arial" w:hAnsi="Arial"/>
      <w:szCs w:val="20"/>
    </w:rPr>
  </w:style>
  <w:style w:type="paragraph" w:styleId="1220">
    <w:name w:val="xl33"/>
    <w:basedOn w:val="1070"/>
    <w:next w:val="1220"/>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1">
    <w:name w:val="xl42"/>
    <w:basedOn w:val="1070"/>
    <w:next w:val="1221"/>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2">
    <w:name w:val="Char Char Char1 Char"/>
    <w:basedOn w:val="1070"/>
    <w:next w:val="1222"/>
    <w:link w:val="1070"/>
    <w:qFormat/>
    <w:rPr>
      <w:rFonts w:ascii="Tahoma" w:hAnsi="Tahoma"/>
      <w:sz w:val="24"/>
      <w:szCs w:val="20"/>
    </w:rPr>
  </w:style>
  <w:style w:type="paragraph" w:styleId="1223">
    <w:name w:val="xl44"/>
    <w:basedOn w:val="1070"/>
    <w:next w:val="1223"/>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4">
    <w:name w:val="1名"/>
    <w:basedOn w:val="1070"/>
    <w:next w:val="1224"/>
    <w:link w:val="1070"/>
    <w:qFormat/>
    <w:pPr>
      <w:numPr>
        <w:ilvl w:val="0"/>
        <w:numId w:val="5"/>
      </w:numPr>
      <w:spacing w:before="120"/>
      <w:tabs>
        <w:tab w:val="left" w:pos="360" w:leader="none"/>
      </w:tabs>
    </w:pPr>
    <w:rPr>
      <w:rFonts w:ascii="宋体"/>
      <w:sz w:val="28"/>
      <w:szCs w:val="20"/>
    </w:rPr>
  </w:style>
  <w:style w:type="paragraph" w:styleId="1225">
    <w:name w:val="font9"/>
    <w:basedOn w:val="1070"/>
    <w:next w:val="1225"/>
    <w:link w:val="1070"/>
    <w:qFormat/>
    <w:pPr>
      <w:jc w:val="left"/>
      <w:spacing w:before="100" w:beforeAutospacing="1" w:after="100" w:afterAutospacing="1"/>
      <w:widowControl/>
    </w:pPr>
    <w:rPr>
      <w:rFonts w:hint="eastAsia" w:ascii="宋体" w:hAnsi="宋体" w:cs="Arial Unicode MS"/>
      <w:color w:val="000000"/>
      <w:sz w:val="20"/>
      <w:szCs w:val="20"/>
    </w:rPr>
  </w:style>
  <w:style w:type="paragraph" w:styleId="1226">
    <w:name w:val="Char Char Char1 Char1"/>
    <w:basedOn w:val="1070"/>
    <w:next w:val="1226"/>
    <w:link w:val="1070"/>
    <w:qFormat/>
    <w:rPr>
      <w:rFonts w:ascii="Tahoma" w:hAnsi="Tahoma"/>
      <w:sz w:val="24"/>
      <w:szCs w:val="20"/>
    </w:rPr>
  </w:style>
  <w:style w:type="paragraph" w:styleId="1227">
    <w:name w:val="Char Char Char Char Char Char Char Char Char Char"/>
    <w:basedOn w:val="1070"/>
    <w:next w:val="1227"/>
    <w:link w:val="1070"/>
    <w:qFormat/>
  </w:style>
  <w:style w:type="paragraph" w:styleId="1228">
    <w:name w:val="Char Char1 Char Char Char Char Char Char Char Char"/>
    <w:basedOn w:val="1070"/>
    <w:next w:val="1228"/>
    <w:link w:val="1070"/>
    <w:qFormat/>
    <w:pPr>
      <w:jc w:val="left"/>
      <w:spacing w:after="160" w:line="240" w:lineRule="exact"/>
      <w:widowControl/>
    </w:pPr>
    <w:rPr>
      <w:rFonts w:ascii="Verdana" w:hAnsi="Verdana"/>
      <w:sz w:val="20"/>
      <w:szCs w:val="20"/>
      <w:lang w:eastAsia="en-US"/>
    </w:rPr>
  </w:style>
  <w:style w:type="paragraph" w:styleId="1229">
    <w:name w:val="Char1"/>
    <w:basedOn w:val="1070"/>
    <w:next w:val="1229"/>
    <w:link w:val="1070"/>
    <w:qFormat/>
    <w:pPr>
      <w:tabs>
        <w:tab w:val="left" w:pos="360" w:leader="none"/>
      </w:tabs>
    </w:pPr>
    <w:rPr>
      <w:sz w:val="24"/>
    </w:rPr>
  </w:style>
  <w:style w:type="paragraph" w:styleId="1230">
    <w:name w:val="正文列项_字母"/>
    <w:basedOn w:val="1070"/>
    <w:next w:val="1230"/>
    <w:link w:val="1070"/>
    <w:qFormat/>
    <w:pPr>
      <w:numPr>
        <w:ilvl w:val="6"/>
        <w:numId w:val="1"/>
      </w:numPr>
      <w:ind w:left="480" w:hanging="180"/>
      <w:spacing w:line="460" w:lineRule="exact"/>
      <w:tabs>
        <w:tab w:val="clear" w:pos="635" w:leader="none"/>
      </w:tabs>
      <w:outlineLvl w:val="6"/>
    </w:pPr>
    <w:rPr>
      <w:rFonts w:ascii="宋体"/>
      <w:sz w:val="28"/>
      <w:szCs w:val="20"/>
    </w:rPr>
  </w:style>
  <w:style w:type="paragraph" w:styleId="1231">
    <w:name w:val="xl28"/>
    <w:basedOn w:val="1070"/>
    <w:next w:val="1231"/>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2">
    <w:name w:val="xl47"/>
    <w:basedOn w:val="1070"/>
    <w:next w:val="1232"/>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3">
    <w:name w:val="默认段落字体 Para Char Char Char Char"/>
    <w:basedOn w:val="1070"/>
    <w:next w:val="1233"/>
    <w:link w:val="1070"/>
    <w:qFormat/>
    <w:rPr>
      <w:rFonts w:ascii="Arial" w:hAnsi="Arial" w:cs="Arial"/>
      <w:szCs w:val="21"/>
    </w:rPr>
  </w:style>
  <w:style w:type="paragraph" w:styleId="1234">
    <w:name w:val="xl48"/>
    <w:basedOn w:val="1070"/>
    <w:next w:val="123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5">
    <w:name w:val="xl31"/>
    <w:basedOn w:val="1070"/>
    <w:next w:val="1235"/>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6">
    <w:name w:val="xl53"/>
    <w:basedOn w:val="1070"/>
    <w:next w:val="1236"/>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7">
    <w:name w:val="Char Char Char"/>
    <w:basedOn w:val="1070"/>
    <w:next w:val="1237"/>
    <w:link w:val="1070"/>
    <w:qFormat/>
    <w:rPr>
      <w:rFonts w:ascii="Tahoma" w:hAnsi="Tahoma"/>
      <w:sz w:val="24"/>
      <w:szCs w:val="20"/>
    </w:rPr>
  </w:style>
  <w:style w:type="paragraph" w:styleId="1238">
    <w:name w:val="xl50"/>
    <w:basedOn w:val="1070"/>
    <w:next w:val="1238"/>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9">
    <w:name w:val="缺省文本"/>
    <w:basedOn w:val="1070"/>
    <w:next w:val="1239"/>
    <w:link w:val="1070"/>
    <w:qFormat/>
    <w:pPr>
      <w:jc w:val="left"/>
    </w:pPr>
    <w:rPr>
      <w:sz w:val="24"/>
    </w:rPr>
  </w:style>
  <w:style w:type="paragraph" w:styleId="1240">
    <w:name w:val="Char Char Char1"/>
    <w:basedOn w:val="1070"/>
    <w:next w:val="1240"/>
    <w:link w:val="1070"/>
    <w:qFormat/>
    <w:rPr>
      <w:rFonts w:ascii="Tahoma" w:hAnsi="Tahoma"/>
      <w:sz w:val="24"/>
      <w:szCs w:val="20"/>
    </w:rPr>
  </w:style>
  <w:style w:type="paragraph" w:styleId="1241">
    <w:name w:val="Char Char Char Char Char Char Char1"/>
    <w:basedOn w:val="1070"/>
    <w:next w:val="1241"/>
    <w:link w:val="1070"/>
    <w:qFormat/>
    <w:pPr>
      <w:ind w:firstLine="200"/>
      <w:spacing w:line="360" w:lineRule="auto"/>
    </w:pPr>
    <w:rPr>
      <w:rFonts w:eastAsia="FangSong_GB2312"/>
      <w:sz w:val="24"/>
    </w:rPr>
  </w:style>
  <w:style w:type="paragraph" w:styleId="1242">
    <w:name w:val="xl51"/>
    <w:basedOn w:val="1070"/>
    <w:next w:val="1242"/>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3">
    <w:name w:val="样式2"/>
    <w:basedOn w:val="1133"/>
    <w:next w:val="1243"/>
    <w:link w:val="1070"/>
    <w:qFormat/>
    <w:pPr>
      <w:jc w:val="center"/>
      <w:spacing w:line="360" w:lineRule="auto"/>
    </w:pPr>
    <w:rPr>
      <w:sz w:val="24"/>
    </w:rPr>
  </w:style>
  <w:style w:type="paragraph" w:styleId="1244">
    <w:name w:val="xl24"/>
    <w:basedOn w:val="1070"/>
    <w:next w:val="1244"/>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5">
    <w:name w:val="xl29"/>
    <w:basedOn w:val="1070"/>
    <w:next w:val="1245"/>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6">
    <w:name w:val="正文 + 楷体_GB2312"/>
    <w:basedOn w:val="1070"/>
    <w:next w:val="1246"/>
    <w:link w:val="1070"/>
    <w:qFormat/>
    <w:pPr>
      <w:jc w:val="left"/>
      <w:widowControl/>
    </w:pPr>
    <w:rPr>
      <w:rFonts w:ascii="KaiTi_GB2312" w:eastAsia="KaiTi_GB2312" w:cs="Arial"/>
      <w:sz w:val="24"/>
    </w:rPr>
  </w:style>
  <w:style w:type="paragraph" w:styleId="1247">
    <w:name w:val="xl34"/>
    <w:basedOn w:val="1070"/>
    <w:next w:val="1247"/>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8">
    <w:name w:val="1 Char Char Char Char"/>
    <w:basedOn w:val="1070"/>
    <w:next w:val="1248"/>
    <w:link w:val="1070"/>
    <w:qFormat/>
    <w:rPr>
      <w:rFonts w:ascii="Tahoma" w:hAnsi="Tahoma"/>
      <w:sz w:val="24"/>
      <w:szCs w:val="20"/>
    </w:rPr>
  </w:style>
  <w:style w:type="paragraph" w:styleId="1249">
    <w:name w:val="Default"/>
    <w:next w:val="1249"/>
    <w:link w:val="1070"/>
    <w:qFormat/>
    <w:pPr>
      <w:widowControl w:val="off"/>
    </w:pPr>
    <w:rPr>
      <w:rFonts w:ascii="Symbol" w:hAnsi="Symbol" w:cs="Symbol"/>
      <w:color w:val="000000"/>
      <w:sz w:val="24"/>
      <w:szCs w:val="24"/>
      <w:lang w:val="en-US" w:eastAsia="zh-CN" w:bidi="ar-SA"/>
    </w:rPr>
  </w:style>
  <w:style w:type="paragraph" w:styleId="1250">
    <w:name w:val="列出段落1"/>
    <w:basedOn w:val="1070"/>
    <w:next w:val="1250"/>
    <w:link w:val="1070"/>
    <w:qFormat/>
    <w:pPr>
      <w:ind w:firstLine="420"/>
    </w:pPr>
    <w:rPr>
      <w:rFonts w:ascii="Calibri" w:hAnsi="Calibri"/>
      <w:szCs w:val="22"/>
    </w:rPr>
  </w:style>
  <w:style w:type="paragraph" w:styleId="1251">
    <w:name w:val="default"/>
    <w:basedOn w:val="1070"/>
    <w:next w:val="1251"/>
    <w:link w:val="1070"/>
    <w:qFormat/>
    <w:pPr>
      <w:jc w:val="left"/>
      <w:spacing w:before="100" w:beforeAutospacing="1" w:after="100" w:afterAutospacing="1"/>
      <w:widowControl/>
    </w:pPr>
    <w:rPr>
      <w:rFonts w:ascii="宋体" w:hAnsi="宋体" w:cs="宋体"/>
      <w:sz w:val="24"/>
    </w:rPr>
  </w:style>
  <w:style w:type="paragraph" w:styleId="1252">
    <w:name w:val="字元 字元1"/>
    <w:basedOn w:val="1070"/>
    <w:next w:val="1252"/>
    <w:link w:val="1070"/>
    <w:qFormat/>
    <w:rPr>
      <w:rFonts w:ascii="Tahoma" w:hAnsi="Tahoma"/>
      <w:sz w:val="24"/>
      <w:szCs w:val="20"/>
    </w:rPr>
  </w:style>
  <w:style w:type="paragraph" w:styleId="1253">
    <w:name w:val="_Style 160"/>
    <w:next w:val="1253"/>
    <w:link w:val="1070"/>
    <w:qFormat/>
    <w:rPr>
      <w:sz w:val="21"/>
      <w:szCs w:val="24"/>
      <w:lang w:val="en-US" w:eastAsia="zh-CN" w:bidi="ar-SA"/>
    </w:rPr>
  </w:style>
  <w:style w:type="paragraph" w:styleId="1254">
    <w:name w:val="项目编号3"/>
    <w:basedOn w:val="1214"/>
    <w:next w:val="1254"/>
    <w:link w:val="1070"/>
    <w:qFormat/>
    <w:pPr>
      <w:numPr>
        <w:ilvl w:val="0"/>
        <w:numId w:val="6"/>
      </w:numPr>
    </w:pPr>
  </w:style>
  <w:style w:type="paragraph" w:styleId="1255">
    <w:name w:val="Char21"/>
    <w:basedOn w:val="1070"/>
    <w:next w:val="1255"/>
    <w:link w:val="1070"/>
    <w:qFormat/>
    <w:rPr>
      <w:rFonts w:ascii="Tahoma" w:hAnsi="Tahoma"/>
      <w:sz w:val="24"/>
      <w:szCs w:val="20"/>
    </w:rPr>
  </w:style>
  <w:style w:type="paragraph" w:styleId="1256">
    <w:name w:val="表格文字"/>
    <w:basedOn w:val="1103"/>
    <w:next w:val="1256"/>
    <w:link w:val="1070"/>
    <w:qFormat/>
    <w:pPr>
      <w:ind w:firstLine="0"/>
      <w:spacing w:before="20" w:after="20" w:line="240" w:lineRule="auto"/>
    </w:pPr>
    <w:rPr>
      <w:rFonts w:ascii="Century Gothic" w:hAnsi="Century Gothic"/>
      <w:sz w:val="20"/>
      <w:szCs w:val="20"/>
    </w:rPr>
  </w:style>
  <w:style w:type="paragraph" w:styleId="1257">
    <w:name w:val="Char Char Char Char Char Char Char Char Char Char1"/>
    <w:basedOn w:val="1070"/>
    <w:next w:val="1257"/>
    <w:link w:val="1070"/>
    <w:qFormat/>
    <w:rPr>
      <w:rFonts w:ascii="宋体" w:hAnsi="宋体" w:cs="Courier New"/>
      <w:sz w:val="32"/>
      <w:szCs w:val="32"/>
    </w:rPr>
  </w:style>
  <w:style w:type="paragraph" w:styleId="1258">
    <w:name w:val="正文文本样式 加粗"/>
    <w:basedOn w:val="1214"/>
    <w:next w:val="1258"/>
    <w:link w:val="1070"/>
    <w:qFormat/>
    <w:rPr>
      <w:b/>
    </w:rPr>
  </w:style>
  <w:style w:type="paragraph" w:styleId="1259">
    <w:name w:val="Char2 Char Char Char Char Char Char"/>
    <w:basedOn w:val="1070"/>
    <w:next w:val="1259"/>
    <w:link w:val="1070"/>
    <w:qFormat/>
    <w:pPr>
      <w:jc w:val="center"/>
      <w:spacing w:line="400" w:lineRule="exact"/>
      <w:widowControl/>
    </w:pPr>
  </w:style>
  <w:style w:type="paragraph" w:styleId="1260">
    <w:name w:val="Char Char4"/>
    <w:basedOn w:val="1070"/>
    <w:next w:val="1260"/>
    <w:link w:val="1070"/>
    <w:qFormat/>
    <w:pPr>
      <w:jc w:val="center"/>
      <w:spacing w:line="400" w:lineRule="exact"/>
      <w:widowControl/>
    </w:pPr>
  </w:style>
  <w:style w:type="paragraph" w:styleId="1261">
    <w:name w:val="Char3 Char Char Char1"/>
    <w:basedOn w:val="1070"/>
    <w:next w:val="1261"/>
    <w:link w:val="1070"/>
    <w:qFormat/>
    <w:rPr>
      <w:rFonts w:ascii="Tahoma" w:hAnsi="Tahoma"/>
      <w:sz w:val="24"/>
      <w:szCs w:val="20"/>
    </w:rPr>
  </w:style>
  <w:style w:type="paragraph" w:styleId="1262">
    <w:name w:val="无间隔"/>
    <w:next w:val="1262"/>
    <w:link w:val="1070"/>
    <w:qFormat/>
    <w:pPr>
      <w:jc w:val="both"/>
      <w:widowControl w:val="off"/>
    </w:pPr>
    <w:rPr>
      <w:sz w:val="21"/>
      <w:szCs w:val="24"/>
      <w:lang w:val="en-US" w:eastAsia="zh-CN" w:bidi="ar-SA"/>
    </w:rPr>
  </w:style>
  <w:style w:type="paragraph" w:styleId="1263">
    <w:name w:val="22222222222222"/>
    <w:basedOn w:val="1070"/>
    <w:next w:val="1263"/>
    <w:link w:val="1070"/>
    <w:qFormat/>
    <w:pPr>
      <w:ind w:firstLine="480"/>
      <w:jc w:val="left"/>
      <w:spacing w:line="360" w:lineRule="auto"/>
      <w:widowControl/>
    </w:pPr>
    <w:rPr>
      <w:color w:val="ff0000"/>
      <w:sz w:val="24"/>
      <w:szCs w:val="20"/>
    </w:rPr>
  </w:style>
  <w:style w:type="character" w:styleId="1264">
    <w:name w:val="中等深浅网格 1 - 强调文字颜色 2 Char"/>
    <w:next w:val="1264"/>
    <w:link w:val="1265"/>
    <w:qFormat/>
    <w:rPr>
      <w:sz w:val="21"/>
      <w:szCs w:val="24"/>
      <w:lang w:val="zh-CN" w:eastAsia="zh-CN" w:bidi="ar-SA"/>
    </w:rPr>
  </w:style>
  <w:style w:type="paragraph" w:styleId="1265">
    <w:name w:val="1"/>
    <w:next w:val="1265"/>
    <w:link w:val="1264"/>
    <w:qFormat/>
    <w:rPr>
      <w:sz w:val="21"/>
      <w:szCs w:val="24"/>
      <w:lang w:val="zh-CN" w:eastAsia="zh-CN" w:bidi="ar-SA"/>
    </w:rPr>
  </w:style>
  <w:style w:type="paragraph" w:styleId="1266">
    <w:name w:val="图文"/>
    <w:basedOn w:val="1070"/>
    <w:next w:val="1266"/>
    <w:link w:val="1070"/>
    <w:qFormat/>
    <w:pPr>
      <w:spacing w:after="50" w:line="360" w:lineRule="auto"/>
    </w:pPr>
    <w:rPr>
      <w:sz w:val="24"/>
    </w:rPr>
  </w:style>
  <w:style w:type="paragraph" w:styleId="1267">
    <w:name w:val="xl23"/>
    <w:basedOn w:val="1070"/>
    <w:next w:val="1267"/>
    <w:link w:val="1070"/>
    <w:qFormat/>
    <w:pPr>
      <w:spacing w:before="100" w:beforeAutospacing="1" w:after="100" w:afterAutospacing="1" w:line="360" w:lineRule="auto"/>
      <w:widowControl/>
    </w:pPr>
    <w:rPr>
      <w:sz w:val="24"/>
      <w:szCs w:val="20"/>
    </w:rPr>
  </w:style>
  <w:style w:type="paragraph" w:styleId="1268">
    <w:name w:val="正文表格"/>
    <w:basedOn w:val="1070"/>
    <w:next w:val="1268"/>
    <w:link w:val="1269"/>
    <w:qFormat/>
    <w:pPr>
      <w:jc w:val="left"/>
    </w:pPr>
    <w:rPr>
      <w:rFonts w:ascii="宋体" w:hAnsi="宋体"/>
      <w:color w:val="000000"/>
      <w:szCs w:val="21"/>
    </w:rPr>
  </w:style>
  <w:style w:type="character" w:styleId="1269">
    <w:name w:val="正文表格 Char"/>
    <w:next w:val="1269"/>
    <w:link w:val="1268"/>
    <w:qFormat/>
    <w:rPr>
      <w:rFonts w:ascii="宋体" w:hAnsi="宋体"/>
      <w:color w:val="000000"/>
      <w:sz w:val="21"/>
      <w:szCs w:val="21"/>
    </w:rPr>
  </w:style>
  <w:style w:type="paragraph" w:styleId="1270">
    <w:name w:val="正文重点"/>
    <w:basedOn w:val="1070"/>
    <w:next w:val="1270"/>
    <w:link w:val="1271"/>
    <w:qFormat/>
    <w:pPr>
      <w:ind w:firstLine="482"/>
      <w:jc w:val="left"/>
      <w:spacing w:line="360" w:lineRule="auto"/>
    </w:pPr>
    <w:rPr>
      <w:b/>
      <w:sz w:val="24"/>
      <w:szCs w:val="20"/>
    </w:rPr>
  </w:style>
  <w:style w:type="character" w:styleId="1271">
    <w:name w:val="正文重点 Char"/>
    <w:next w:val="1271"/>
    <w:link w:val="1270"/>
    <w:qFormat/>
    <w:rPr>
      <w:b/>
      <w:sz w:val="24"/>
    </w:rPr>
  </w:style>
  <w:style w:type="paragraph" w:styleId="1272">
    <w:name w:val="标题1-附件"/>
    <w:basedOn w:val="1071"/>
    <w:next w:val="1272"/>
    <w:link w:val="1070"/>
    <w:qFormat/>
    <w:pPr>
      <w:jc w:val="left"/>
    </w:pPr>
    <w:rPr>
      <w:sz w:val="24"/>
      <w:szCs w:val="24"/>
    </w:rPr>
  </w:style>
  <w:style w:type="paragraph" w:styleId="1273">
    <w:name w:val="正文小标题"/>
    <w:basedOn w:val="1070"/>
    <w:next w:val="1084"/>
    <w:link w:val="1274"/>
    <w:qFormat/>
    <w:pPr>
      <w:ind w:firstLine="482"/>
      <w:jc w:val="left"/>
      <w:spacing w:before="312" w:after="312"/>
    </w:pPr>
    <w:rPr>
      <w:rFonts w:ascii="宋体" w:hAnsi="宋体"/>
      <w:b/>
      <w:i/>
      <w:color w:val="ff0000"/>
      <w:sz w:val="24"/>
      <w:szCs w:val="20"/>
    </w:rPr>
  </w:style>
  <w:style w:type="character" w:styleId="1274">
    <w:name w:val="正文小标题 Char"/>
    <w:next w:val="1274"/>
    <w:link w:val="1273"/>
    <w:qFormat/>
    <w:rPr>
      <w:rFonts w:ascii="宋体" w:hAnsi="宋体"/>
      <w:b/>
      <w:i/>
      <w:color w:val="ff0000"/>
      <w:sz w:val="24"/>
    </w:rPr>
  </w:style>
  <w:style w:type="paragraph" w:styleId="1275">
    <w:name w:val="正文大标题"/>
    <w:basedOn w:val="1273"/>
    <w:next w:val="1084"/>
    <w:link w:val="1276"/>
    <w:qFormat/>
    <w:pPr>
      <w:jc w:val="center"/>
    </w:pPr>
    <w:rPr>
      <w:i w:val="0"/>
      <w:color w:val="000000"/>
      <w:sz w:val="28"/>
      <w:szCs w:val="21"/>
    </w:rPr>
  </w:style>
  <w:style w:type="character" w:styleId="1276">
    <w:name w:val="正文大标题 Char"/>
    <w:next w:val="1276"/>
    <w:link w:val="1275"/>
    <w:qFormat/>
    <w:rPr>
      <w:rFonts w:ascii="宋体" w:hAnsi="宋体"/>
      <w:b/>
      <w:color w:val="000000"/>
      <w:sz w:val="28"/>
      <w:szCs w:val="21"/>
    </w:rPr>
  </w:style>
  <w:style w:type="paragraph" w:styleId="1277">
    <w:name w:val="注释"/>
    <w:basedOn w:val="1070"/>
    <w:next w:val="1277"/>
    <w:link w:val="1278"/>
    <w:qFormat/>
    <w:pPr>
      <w:ind w:left="420" w:hanging="420"/>
      <w:jc w:val="left"/>
    </w:pPr>
    <w:rPr>
      <w:rFonts w:ascii="宋体" w:hAnsi="宋体"/>
      <w:szCs w:val="21"/>
    </w:rPr>
  </w:style>
  <w:style w:type="character" w:styleId="1278">
    <w:name w:val="注释 Char"/>
    <w:next w:val="1278"/>
    <w:link w:val="1277"/>
    <w:qFormat/>
    <w:rPr>
      <w:rFonts w:ascii="宋体" w:hAnsi="宋体"/>
      <w:sz w:val="21"/>
      <w:szCs w:val="21"/>
    </w:rPr>
  </w:style>
  <w:style w:type="paragraph" w:styleId="1279">
    <w:name w:val="正文须知-1级"/>
    <w:basedOn w:val="1070"/>
    <w:next w:val="1070"/>
    <w:link w:val="1070"/>
    <w:qFormat/>
    <w:pPr>
      <w:numPr>
        <w:ilvl w:val="0"/>
        <w:numId w:val="7"/>
      </w:numPr>
      <w:spacing w:line="300" w:lineRule="auto"/>
    </w:pPr>
    <w:rPr>
      <w:rFonts w:ascii="宋体" w:hAnsi="Calibri"/>
      <w:sz w:val="24"/>
      <w:szCs w:val="21"/>
    </w:rPr>
  </w:style>
  <w:style w:type="paragraph" w:styleId="1280">
    <w:name w:val="正文须知-2级"/>
    <w:basedOn w:val="1070"/>
    <w:next w:val="1280"/>
    <w:link w:val="1070"/>
    <w:qFormat/>
    <w:pPr>
      <w:numPr>
        <w:ilvl w:val="1"/>
        <w:numId w:val="7"/>
      </w:numPr>
      <w:spacing w:line="300" w:lineRule="auto"/>
    </w:pPr>
    <w:rPr>
      <w:rFonts w:ascii="宋体" w:hAnsi="Calibri"/>
      <w:sz w:val="24"/>
      <w:szCs w:val="21"/>
    </w:rPr>
  </w:style>
  <w:style w:type="paragraph" w:styleId="1281">
    <w:name w:val="正文须知-3级"/>
    <w:basedOn w:val="1070"/>
    <w:next w:val="1281"/>
    <w:link w:val="1070"/>
    <w:qFormat/>
    <w:pPr>
      <w:numPr>
        <w:ilvl w:val="2"/>
        <w:numId w:val="7"/>
      </w:numPr>
      <w:ind w:hanging="355"/>
      <w:spacing w:line="300" w:lineRule="auto"/>
    </w:pPr>
    <w:rPr>
      <w:rFonts w:ascii="宋体" w:hAnsi="Calibri"/>
      <w:sz w:val="24"/>
      <w:szCs w:val="21"/>
    </w:rPr>
  </w:style>
  <w:style w:type="character" w:styleId="1282">
    <w:name w:val="纯文本 字符"/>
    <w:next w:val="1282"/>
    <w:link w:val="1070"/>
    <w:uiPriority w:val="99"/>
    <w:qFormat/>
    <w:rPr>
      <w:rFonts w:ascii="宋体" w:hAnsi="Courier New" w:eastAsia="宋体" w:cs="Times New Roman"/>
      <w:sz w:val="21"/>
      <w:szCs w:val="21"/>
      <w:lang w:val="en-US" w:eastAsia="zh-CN" w:bidi="ar-SA"/>
    </w:rPr>
  </w:style>
  <w:style w:type="paragraph" w:styleId="1283">
    <w:name w:val="表格1"/>
    <w:basedOn w:val="1070"/>
    <w:next w:val="1283"/>
    <w:link w:val="1070"/>
    <w:qFormat/>
    <w:pPr>
      <w:ind w:firstLine="480"/>
      <w:jc w:val="center"/>
    </w:pPr>
    <w:rPr>
      <w:sz w:val="24"/>
      <w:szCs w:val="20"/>
    </w:rPr>
  </w:style>
  <w:style w:type="character" w:styleId="1284">
    <w:name w:val="纯文本 字符1"/>
    <w:next w:val="1284"/>
    <w:link w:val="1070"/>
    <w:qFormat/>
    <w:rPr>
      <w:rFonts w:ascii="宋体" w:hAnsi="Courier New"/>
    </w:rPr>
  </w:style>
  <w:style w:type="character" w:styleId="1285">
    <w:name w:val="bjh-p"/>
    <w:next w:val="1285"/>
    <w:link w:val="1070"/>
    <w:qFormat/>
  </w:style>
  <w:style w:type="paragraph" w:styleId="1286">
    <w:name w:val="无标题条"/>
    <w:next w:val="1070"/>
    <w:link w:val="1070"/>
    <w:qFormat/>
    <w:pPr>
      <w:jc w:val="both"/>
    </w:pPr>
    <w:rPr>
      <w:sz w:val="21"/>
      <w:lang w:val="en-US" w:eastAsia="zh-CN" w:bidi="ar-SA"/>
    </w:rPr>
  </w:style>
  <w:style w:type="character" w:styleId="1287">
    <w:name w:val="正文格式 Char"/>
    <w:next w:val="1287"/>
    <w:link w:val="1288"/>
    <w:qFormat/>
    <w:rPr>
      <w:rFonts w:ascii="宋体" w:hAnsi="宋体"/>
      <w:sz w:val="24"/>
      <w:szCs w:val="24"/>
      <w:lang w:val="en-GB"/>
    </w:rPr>
  </w:style>
  <w:style w:type="paragraph" w:styleId="1288">
    <w:name w:val="正文格式"/>
    <w:basedOn w:val="1070"/>
    <w:next w:val="1288"/>
    <w:link w:val="1287"/>
    <w:qFormat/>
    <w:pPr>
      <w:ind w:firstLine="480"/>
      <w:spacing w:line="360" w:lineRule="auto"/>
    </w:pPr>
    <w:rPr>
      <w:rFonts w:ascii="宋体" w:hAnsi="宋体"/>
      <w:sz w:val="24"/>
      <w:lang w:val="en-GB"/>
    </w:rPr>
  </w:style>
  <w:style w:type="character" w:styleId="1289">
    <w:name w:val="标题 3 Char"/>
    <w:next w:val="1289"/>
    <w:link w:val="1070"/>
    <w:qFormat/>
    <w:rPr>
      <w:rFonts w:ascii="宋体" w:eastAsia="宋体"/>
      <w:b/>
      <w:sz w:val="24"/>
      <w:u w:val="single"/>
      <w:lang w:val="en-US" w:eastAsia="zh-CN" w:bidi="ar-SA"/>
    </w:rPr>
  </w:style>
  <w:style w:type="character" w:styleId="1290">
    <w:name w:val="正文缩进 Char"/>
    <w:next w:val="1290"/>
    <w:link w:val="1070"/>
    <w:qFormat/>
    <w:rPr>
      <w:rFonts w:ascii="宋体" w:eastAsia="宋体"/>
      <w:sz w:val="24"/>
      <w:szCs w:val="24"/>
      <w:lang w:val="en-US" w:eastAsia="zh-CN" w:bidi="ar-SA"/>
    </w:rPr>
  </w:style>
  <w:style w:type="character" w:styleId="1291">
    <w:name w:val="Char Char111"/>
    <w:next w:val="1291"/>
    <w:link w:val="1070"/>
    <w:qFormat/>
    <w:rPr>
      <w:rFonts w:ascii="宋体" w:eastAsia="宋体"/>
      <w:b/>
      <w:sz w:val="24"/>
      <w:u w:val="single"/>
      <w:lang w:val="en-US" w:eastAsia="zh-CN" w:bidi="ar-SA"/>
    </w:rPr>
  </w:style>
  <w:style w:type="character" w:styleId="1292">
    <w:name w:val="正文文本缩进 Char"/>
    <w:next w:val="1292"/>
    <w:link w:val="1070"/>
    <w:qFormat/>
    <w:rPr>
      <w:rFonts w:eastAsia="宋体"/>
      <w:sz w:val="24"/>
      <w:szCs w:val="24"/>
      <w:lang w:val="en-US" w:eastAsia="zh-CN" w:bidi="ar-SA"/>
    </w:rPr>
  </w:style>
  <w:style w:type="character" w:styleId="1293">
    <w:name w:val="列出段落 Char"/>
    <w:next w:val="1293"/>
    <w:link w:val="1070"/>
    <w:qFormat/>
    <w:rPr>
      <w:rFonts w:ascii="Calibri" w:hAnsi="Calibri" w:eastAsia="宋体"/>
      <w:sz w:val="21"/>
      <w:szCs w:val="22"/>
      <w:lang w:val="en-US" w:eastAsia="zh-CN" w:bidi="ar-SA"/>
    </w:rPr>
  </w:style>
  <w:style w:type="character" w:styleId="1294">
    <w:name w:val="页眉 Char"/>
    <w:next w:val="1294"/>
    <w:link w:val="1070"/>
    <w:qFormat/>
    <w:rPr>
      <w:rFonts w:eastAsia="宋体"/>
      <w:sz w:val="18"/>
      <w:szCs w:val="18"/>
      <w:lang w:val="en-US" w:eastAsia="zh-CN" w:bidi="ar-SA"/>
    </w:rPr>
  </w:style>
  <w:style w:type="character" w:styleId="1295">
    <w:name w:val="标题 2 Char"/>
    <w:next w:val="1295"/>
    <w:link w:val="1070"/>
    <w:qFormat/>
    <w:rPr>
      <w:rFonts w:ascii="Arial" w:hAnsi="Arial" w:eastAsia="黑体"/>
      <w:b/>
      <w:sz w:val="30"/>
      <w:lang w:val="en-US" w:eastAsia="zh-CN" w:bidi="ar-SA"/>
    </w:rPr>
  </w:style>
  <w:style w:type="paragraph" w:styleId="1296">
    <w:name w:val="字元 字元2"/>
    <w:basedOn w:val="1070"/>
    <w:next w:val="1296"/>
    <w:link w:val="1070"/>
    <w:qFormat/>
    <w:rPr>
      <w:rFonts w:ascii="Tahoma" w:hAnsi="Tahoma"/>
      <w:sz w:val="24"/>
      <w:szCs w:val="20"/>
    </w:rPr>
  </w:style>
  <w:style w:type="paragraph" w:styleId="1297">
    <w:name w:val="Char3 Char Char Char2"/>
    <w:basedOn w:val="1070"/>
    <w:next w:val="1297"/>
    <w:link w:val="1070"/>
    <w:qFormat/>
    <w:rPr>
      <w:rFonts w:ascii="Tahoma" w:hAnsi="Tahoma"/>
      <w:sz w:val="24"/>
      <w:szCs w:val="20"/>
    </w:rPr>
  </w:style>
  <w:style w:type="paragraph" w:styleId="1298">
    <w:name w:val="正文文本缩进2"/>
    <w:basedOn w:val="1070"/>
    <w:next w:val="1298"/>
    <w:link w:val="1070"/>
    <w:qFormat/>
    <w:pPr>
      <w:ind w:firstLine="480"/>
      <w:spacing w:line="480" w:lineRule="exact"/>
    </w:pPr>
    <w:rPr>
      <w:rFonts w:ascii="宋体" w:hAnsi="宋体"/>
      <w:sz w:val="24"/>
      <w:lang w:val="zh-CN" w:eastAsia="zh-CN"/>
    </w:rPr>
  </w:style>
  <w:style w:type="paragraph" w:styleId="1299">
    <w:name w:val="Char3"/>
    <w:basedOn w:val="1070"/>
    <w:next w:val="1299"/>
    <w:link w:val="1070"/>
    <w:qFormat/>
    <w:pPr>
      <w:tabs>
        <w:tab w:val="left" w:pos="360" w:leader="none"/>
      </w:tabs>
    </w:pPr>
    <w:rPr>
      <w:sz w:val="24"/>
    </w:rPr>
  </w:style>
  <w:style w:type="paragraph" w:styleId="1300">
    <w:name w:val="Char Char Char Char Char Char Char Char Char Char Char Char Char Char Char Char1"/>
    <w:basedOn w:val="1070"/>
    <w:next w:val="1300"/>
    <w:link w:val="1070"/>
    <w:qFormat/>
    <w:pPr>
      <w:jc w:val="center"/>
      <w:spacing w:after="160" w:line="240" w:lineRule="exact"/>
      <w:widowControl/>
    </w:pPr>
    <w:rPr>
      <w:rFonts w:ascii="宋体" w:hAnsi="宋体"/>
      <w:b/>
      <w:sz w:val="30"/>
      <w:szCs w:val="30"/>
      <w:lang w:eastAsia="en-US"/>
    </w:rPr>
  </w:style>
  <w:style w:type="paragraph" w:styleId="1301">
    <w:name w:val="Char Char1 Char Char Char Char Char Char1"/>
    <w:basedOn w:val="1070"/>
    <w:next w:val="1301"/>
    <w:link w:val="1070"/>
    <w:qFormat/>
    <w:pPr>
      <w:jc w:val="left"/>
      <w:spacing w:after="160" w:line="240" w:lineRule="exact"/>
      <w:widowControl/>
    </w:pPr>
    <w:rPr>
      <w:rFonts w:ascii="Verdana" w:hAnsi="Verdana" w:eastAsia="FangSong_GB2312"/>
      <w:sz w:val="24"/>
      <w:szCs w:val="20"/>
      <w:lang w:eastAsia="en-US"/>
    </w:rPr>
  </w:style>
  <w:style w:type="paragraph" w:styleId="1302">
    <w:name w:val="列出段落2"/>
    <w:basedOn w:val="1070"/>
    <w:next w:val="1302"/>
    <w:link w:val="1070"/>
    <w:qFormat/>
    <w:pPr>
      <w:ind w:firstLine="420"/>
    </w:pPr>
    <w:rPr>
      <w:rFonts w:ascii="Calibri" w:hAnsi="Calibri"/>
      <w:szCs w:val="22"/>
    </w:rPr>
  </w:style>
  <w:style w:type="paragraph" w:styleId="1303">
    <w:name w:val="Char Char Char1 Char2"/>
    <w:basedOn w:val="1070"/>
    <w:next w:val="1303"/>
    <w:link w:val="1070"/>
    <w:qFormat/>
    <w:rPr>
      <w:rFonts w:ascii="Tahoma" w:hAnsi="Tahoma"/>
      <w:sz w:val="24"/>
      <w:szCs w:val="20"/>
    </w:rPr>
  </w:style>
  <w:style w:type="paragraph" w:styleId="1304">
    <w:name w:val="Char Char Char2"/>
    <w:basedOn w:val="1070"/>
    <w:next w:val="1304"/>
    <w:link w:val="1070"/>
    <w:qFormat/>
    <w:rPr>
      <w:rFonts w:ascii="Tahoma" w:hAnsi="Tahoma"/>
      <w:sz w:val="24"/>
      <w:szCs w:val="20"/>
    </w:rPr>
  </w:style>
  <w:style w:type="paragraph" w:styleId="1305">
    <w:name w:val="Char Char Char Char Char Char Char2"/>
    <w:basedOn w:val="1070"/>
    <w:next w:val="1305"/>
    <w:link w:val="1070"/>
    <w:qFormat/>
    <w:pPr>
      <w:ind w:firstLine="200"/>
      <w:spacing w:line="360" w:lineRule="auto"/>
    </w:pPr>
    <w:rPr>
      <w:rFonts w:eastAsia="FangSong_GB2312"/>
      <w:sz w:val="24"/>
    </w:rPr>
  </w:style>
  <w:style w:type="paragraph" w:styleId="1306">
    <w:name w:val="正文缩进2"/>
    <w:basedOn w:val="1070"/>
    <w:next w:val="1306"/>
    <w:link w:val="1070"/>
    <w:qFormat/>
    <w:pPr>
      <w:ind w:firstLine="567"/>
      <w:spacing w:line="480" w:lineRule="exact"/>
      <w:widowControl/>
    </w:pPr>
    <w:rPr>
      <w:rFonts w:ascii="宋体"/>
      <w:color w:val="000000"/>
      <w:sz w:val="28"/>
      <w:szCs w:val="20"/>
      <w:lang w:val="zh-CN" w:eastAsia="zh-CN"/>
    </w:rPr>
  </w:style>
  <w:style w:type="paragraph" w:styleId="1307">
    <w:name w:val="Revision"/>
    <w:next w:val="1307"/>
    <w:link w:val="1070"/>
    <w:qFormat/>
    <w:rPr>
      <w:sz w:val="21"/>
      <w:szCs w:val="24"/>
      <w:lang w:val="en-US" w:eastAsia="zh-CN" w:bidi="ar-SA"/>
    </w:rPr>
  </w:style>
  <w:style w:type="paragraph" w:styleId="1308">
    <w:name w:val="Char22"/>
    <w:basedOn w:val="1070"/>
    <w:next w:val="1308"/>
    <w:link w:val="1070"/>
    <w:qFormat/>
    <w:rPr>
      <w:rFonts w:ascii="Tahoma" w:hAnsi="Tahoma"/>
      <w:sz w:val="24"/>
      <w:szCs w:val="20"/>
    </w:rPr>
  </w:style>
  <w:style w:type="paragraph" w:styleId="1309">
    <w:name w:val="Char Char Char Char Char Char Char Char Char Char2"/>
    <w:basedOn w:val="1070"/>
    <w:next w:val="1309"/>
    <w:link w:val="1070"/>
    <w:qFormat/>
    <w:rPr>
      <w:rFonts w:ascii="宋体" w:hAnsi="宋体" w:cs="Courier New"/>
      <w:sz w:val="32"/>
      <w:szCs w:val="32"/>
    </w:rPr>
  </w:style>
  <w:style w:type="paragraph" w:styleId="1310">
    <w:name w:val="Char2 Char Char Char Char Char Char1"/>
    <w:basedOn w:val="1070"/>
    <w:next w:val="1310"/>
    <w:link w:val="1070"/>
    <w:qFormat/>
    <w:pPr>
      <w:jc w:val="center"/>
      <w:spacing w:line="400" w:lineRule="exact"/>
      <w:widowControl/>
    </w:pPr>
  </w:style>
  <w:style w:type="character" w:styleId="1311">
    <w:name w:val="页脚 Char"/>
    <w:next w:val="1311"/>
    <w:link w:val="1070"/>
    <w:qFormat/>
    <w:rPr>
      <w:rFonts w:ascii="宋体" w:eastAsia="宋体"/>
      <w:sz w:val="18"/>
      <w:lang w:val="en-US" w:eastAsia="zh-CN" w:bidi="ar-SA"/>
    </w:rPr>
  </w:style>
  <w:style w:type="paragraph" w:styleId="1312">
    <w:name w:val="Char Char41"/>
    <w:basedOn w:val="1070"/>
    <w:next w:val="1312"/>
    <w:link w:val="1070"/>
    <w:qFormat/>
    <w:pPr>
      <w:jc w:val="center"/>
      <w:spacing w:line="400" w:lineRule="exact"/>
      <w:widowControl/>
    </w:pPr>
  </w:style>
  <w:style w:type="character" w:styleId="1313">
    <w:name w:val="批注文字 Char"/>
    <w:next w:val="1313"/>
    <w:link w:val="1070"/>
    <w:uiPriority w:val="99"/>
    <w:qFormat/>
    <w:rPr>
      <w:sz w:val="21"/>
      <w:szCs w:val="24"/>
    </w:rPr>
  </w:style>
  <w:style w:type="character" w:styleId="1314">
    <w:name w:val="标题 Char"/>
    <w:next w:val="1314"/>
    <w:link w:val="1070"/>
    <w:qFormat/>
    <w:rPr>
      <w:b/>
      <w:sz w:val="32"/>
    </w:rPr>
  </w:style>
  <w:style w:type="paragraph" w:styleId="1315">
    <w:name w:val="图例"/>
    <w:basedOn w:val="1070"/>
    <w:next w:val="1315"/>
    <w:link w:val="1070"/>
    <w:qFormat/>
    <w:pPr>
      <w:jc w:val="center"/>
      <w:spacing w:before="120" w:after="120" w:line="360" w:lineRule="auto"/>
    </w:pPr>
    <w:rPr>
      <w:rFonts w:eastAsia="FangSong_GB2312"/>
      <w:b/>
      <w:sz w:val="24"/>
      <w:szCs w:val="20"/>
    </w:rPr>
  </w:style>
  <w:style w:type="table" w:styleId="1316">
    <w:name w:val="Table Normal"/>
    <w:next w:val="1316"/>
    <w:link w:val="1070"/>
    <w:uiPriority w:val="2"/>
    <w:unhideWhenUsed/>
    <w:qFormat/>
    <w:pPr>
      <w:widowControl w:val="off"/>
    </w:pPr>
    <w:rPr>
      <w:rFonts w:ascii="Calibri" w:hAnsi="Calibri"/>
      <w:sz w:val="22"/>
      <w:szCs w:val="22"/>
      <w:lang w:val="en-US" w:eastAsia="en-US" w:bidi="ar-SA"/>
    </w:rPr>
    <w:tblPr/>
  </w:style>
  <w:style w:type="paragraph" w:styleId="1317">
    <w:name w:val="Table Paragraph"/>
    <w:basedOn w:val="1070"/>
    <w:next w:val="1317"/>
    <w:link w:val="1070"/>
    <w:uiPriority w:val="1"/>
    <w:qFormat/>
    <w:pPr>
      <w:jc w:val="left"/>
    </w:pPr>
    <w:rPr>
      <w:rFonts w:ascii="宋体" w:hAnsi="宋体" w:cs="宋体"/>
      <w:sz w:val="22"/>
      <w:szCs w:val="22"/>
      <w:lang w:eastAsia="en-US"/>
    </w:rPr>
  </w:style>
  <w:style w:type="paragraph" w:styleId="1318">
    <w:name w:val="成文日期"/>
    <w:basedOn w:val="1070"/>
    <w:next w:val="1318"/>
    <w:link w:val="1319"/>
    <w:qFormat/>
    <w:pPr>
      <w:ind w:right="400" w:firstLine="200"/>
      <w:jc w:val="right"/>
      <w:spacing w:line="570" w:lineRule="exact"/>
    </w:pPr>
    <w:rPr>
      <w:rFonts w:ascii="FangSong_GB2312" w:eastAsia="FangSong_GB2312"/>
      <w:sz w:val="32"/>
      <w:szCs w:val="20"/>
    </w:rPr>
  </w:style>
  <w:style w:type="character" w:styleId="1319">
    <w:name w:val="成文日期 Char"/>
    <w:next w:val="1319"/>
    <w:link w:val="1318"/>
    <w:rPr>
      <w:rFonts w:ascii="FangSong_GB2312" w:eastAsia="FangSong_GB2312"/>
      <w:sz w:val="32"/>
    </w:rPr>
  </w:style>
  <w:style w:type="paragraph" w:styleId="1320">
    <w:name w:val="修订"/>
    <w:next w:val="1320"/>
    <w:link w:val="1070"/>
    <w:uiPriority w:val="99"/>
    <w:unhideWhenUsed/>
    <w:rPr>
      <w:sz w:val="21"/>
      <w:szCs w:val="24"/>
      <w:lang w:val="en-US" w:eastAsia="zh-CN" w:bidi="ar-SA"/>
    </w:rPr>
  </w:style>
  <w:style w:type="character" w:styleId="1321">
    <w:name w:val="正文缩进 字符"/>
    <w:next w:val="1321"/>
    <w:link w:val="1070"/>
    <w:uiPriority w:val="99"/>
    <w:qFormat/>
    <w:rPr>
      <w:rFonts w:ascii="宋体" w:hAnsi="Times New Roman" w:eastAsia="宋体" w:cs="Times New Roman"/>
      <w:sz w:val="24"/>
    </w:rPr>
  </w:style>
  <w:style w:type="character" w:styleId="1322">
    <w:name w:val="正文文本 字符"/>
    <w:next w:val="1322"/>
    <w:link w:val="1070"/>
    <w:qFormat/>
    <w:rPr>
      <w:rFonts w:ascii="宋体" w:hAnsi="宋体"/>
      <w:sz w:val="24"/>
      <w:szCs w:val="24"/>
    </w:rPr>
  </w:style>
  <w:style w:type="paragraph" w:styleId="1323">
    <w:name w:val="纯文本1"/>
    <w:next w:val="1124"/>
    <w:link w:val="1070"/>
    <w:qFormat/>
    <w:pPr>
      <w:jc w:val="both"/>
      <w:widowControl w:val="off"/>
    </w:pPr>
    <w:rPr>
      <w:rFonts w:ascii="宋体" w:hAnsi="宋体"/>
      <w:sz w:val="26"/>
      <w:szCs w:val="24"/>
      <w:lang w:val="en-US" w:eastAsia="zh-CN" w:bidi="ar-SA"/>
    </w:rPr>
  </w:style>
  <w:style w:type="paragraph" w:styleId="1324">
    <w:name w:val="AONormal"/>
    <w:next w:val="1324"/>
    <w:link w:val="1070"/>
    <w:qFormat/>
    <w:pPr>
      <w:ind w:firstLine="440"/>
      <w:spacing w:line="400" w:lineRule="exact"/>
    </w:pPr>
    <w:rPr>
      <w:rFonts w:ascii="华文楷体" w:hAnsi="华文楷体" w:eastAsia="华文楷体" w:cs="华文楷体"/>
      <w:sz w:val="22"/>
      <w:szCs w:val="21"/>
      <w:lang w:val="en-US" w:eastAsia="zh-CN" w:bidi="ar-SA"/>
    </w:rPr>
  </w:style>
  <w:style w:type="paragraph" w:styleId="1325">
    <w:name w:val="样式  + 首行缩进:  2 字符"/>
    <w:basedOn w:val="1070"/>
    <w:next w:val="1325"/>
    <w:link w:val="1070"/>
    <w:qFormat/>
    <w:pPr>
      <w:ind w:firstLine="524"/>
      <w:spacing w:line="360" w:lineRule="auto"/>
    </w:pPr>
    <w:rPr>
      <w:rFonts w:ascii="宋体" w:hAnsi="宋体"/>
      <w:spacing w:val="11"/>
      <w:sz w:val="24"/>
    </w:rPr>
  </w:style>
  <w:style w:type="paragraph" w:styleId="1326">
    <w:name w:val="普通(网站)1"/>
    <w:basedOn w:val="1070"/>
    <w:next w:val="1326"/>
    <w:link w:val="1070"/>
    <w:uiPriority w:val="99"/>
    <w:unhideWhenUsed/>
    <w:qFormat/>
    <w:pPr>
      <w:jc w:val="left"/>
      <w:spacing w:before="100" w:beforeAutospacing="1" w:after="100" w:afterAutospacing="1"/>
      <w:widowControl/>
    </w:pPr>
    <w:rPr>
      <w:rFonts w:ascii="宋体" w:hAnsi="宋体" w:cs="宋体"/>
      <w:sz w:val="24"/>
    </w:rPr>
  </w:style>
  <w:style w:type="character" w:styleId="1327" w:default="1">
    <w:name w:val="Default Paragraph Font"/>
    <w:uiPriority w:val="1"/>
    <w:semiHidden/>
    <w:unhideWhenUsed/>
  </w:style>
  <w:style w:type="numbering" w:styleId="1328" w:default="1">
    <w:name w:val="No List"/>
    <w:uiPriority w:val="99"/>
    <w:semiHidden/>
    <w:unhideWhenUsed/>
  </w:style>
  <w:style w:type="table" w:styleId="13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彭艳</cp:lastModifiedBy>
  <cp:revision>9</cp:revision>
  <dcterms:created xsi:type="dcterms:W3CDTF">2026-06-01T05:47:00Z</dcterms:created>
  <dcterms:modified xsi:type="dcterms:W3CDTF">2026-07-03T03:44:26Z</dcterms:modified>
</cp:coreProperties>
</file>