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t xml:space="preserve"> </w:t>
      </w:r>
      <w:r/>
    </w:p>
    <w:p>
      <w:pPr>
        <w:ind w:left="0"/>
        <w:jc w:val="center"/>
        <w:rPr>
          <w:rFonts w:ascii="宋体" w:hAnsi="宋体"/>
          <w:b/>
          <w:sz w:val="108"/>
        </w:rPr>
      </w:pPr>
      <w:r>
        <w:rPr>
          <w:rFonts w:hint="eastAsia" w:ascii="宋体" w:hAnsi="宋体"/>
          <w:b/>
          <w:sz w:val="108"/>
        </w:rPr>
        <w:t xml:space="preserve">政府采购招标文件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hint="default" w:ascii="宋体" w:hAnsi="宋体" w:eastAsia="宋体"/>
          <w:b/>
          <w:sz w:val="32"/>
          <w:lang w:val="en-US" w:eastAsia="zh-CN"/>
        </w:rPr>
      </w:pPr>
      <w:r>
        <w:rPr>
          <w:rFonts w:ascii="宋体" w:hAnsi="宋体"/>
          <w:b/>
          <w:sz w:val="32"/>
        </w:rPr>
        <w:t xml:space="preserve">项目编号：</w:t>
      </w:r>
      <w:r>
        <w:rPr>
          <w:rFonts w:hint="eastAsia" w:ascii="宋体" w:hAnsi="宋体"/>
          <w:b/>
          <w:sz w:val="32"/>
        </w:rPr>
        <w:t xml:space="preserve">JSZC-320500-JZCG-G2026-0</w:t>
      </w:r>
      <w:r>
        <w:rPr>
          <w:rFonts w:hint="eastAsia" w:ascii="宋体" w:hAnsi="宋体"/>
          <w:b/>
          <w:sz w:val="32"/>
          <w:lang w:val="en-US" w:eastAsia="zh-CN"/>
        </w:rPr>
        <w:t xml:space="preserve">150</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苏州市消防救援支队</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2025年部门集中采购目录外器材装备采购项目</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53"/>
      </w:pPr>
      <w:r/>
      <w:r/>
    </w:p>
    <w:p>
      <w:r/>
      <w:r/>
    </w:p>
    <w:p>
      <w:pPr>
        <w:pStyle w:val="839"/>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hint="eastAsia" w:ascii="宋体" w:hAnsi="宋体"/>
          <w:b/>
          <w:sz w:val="32"/>
          <w:lang w:val="en-US" w:eastAsia="zh-CN"/>
        </w:rPr>
        <w:t xml:space="preserve">7</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71"/>
        <w:ind w:firstLine="0"/>
        <w:jc w:val="left"/>
        <w:spacing w:before="120" w:after="120"/>
        <w:tabs>
          <w:tab w:val="right" w:pos="9856" w:leader="dot"/>
        </w:tabs>
        <w:rPr>
          <w:rStyle w:val="892"/>
          <w:rFonts w:ascii="宋体" w:hAnsi="宋体" w:cs="Calibri"/>
          <w:bCs/>
          <w:caps/>
          <w:color w:val="auto"/>
          <w:sz w:val="32"/>
          <w:szCs w:val="32"/>
        </w:rPr>
        <w:outlineLvl w:val="9"/>
      </w:pPr>
      <w:r>
        <w:rPr>
          <w:rFonts w:ascii="宋体" w:hAnsi="宋体" w:cs="Calibri"/>
          <w:bCs/>
          <w:caps/>
          <w:color w:val="auto"/>
          <w:sz w:val="32"/>
          <w:szCs w:val="32"/>
        </w:rPr>
      </w:r>
      <w:r/>
    </w:p>
    <w:p>
      <w:pPr>
        <w:pStyle w:val="871"/>
        <w:ind w:firstLine="0"/>
        <w:jc w:val="left"/>
        <w:spacing w:before="120" w:after="120"/>
        <w:tabs>
          <w:tab w:val="right" w:pos="9854" w:leader="dot"/>
        </w:tabs>
        <w:rPr>
          <w:rStyle w:val="892"/>
          <w:rFonts w:ascii="宋体" w:hAnsi="宋体" w:cs="Calibri"/>
          <w:bCs/>
          <w:caps/>
          <w:color w:val="auto"/>
          <w:sz w:val="32"/>
          <w:szCs w:val="32"/>
        </w:rPr>
        <w:outlineLvl w:val="9"/>
      </w:pPr>
      <w:r>
        <w:rPr>
          <w:rStyle w:val="892"/>
          <w:rFonts w:ascii="宋体" w:hAnsi="宋体" w:cs="Calibri"/>
          <w:bCs/>
          <w:caps/>
          <w:color w:val="auto"/>
          <w:sz w:val="32"/>
        </w:rPr>
        <w:fldChar w:fldCharType="begin"/>
      </w:r>
      <w:r>
        <w:rPr>
          <w:rStyle w:val="892"/>
          <w:rFonts w:ascii="宋体" w:hAnsi="宋体" w:cs="Calibri"/>
          <w:bCs/>
          <w:caps/>
          <w:color w:val="auto"/>
          <w:sz w:val="32"/>
        </w:rPr>
        <w:instrText xml:space="preserve"> TOC \o "1-1" \h \z \u </w:instrText>
      </w:r>
      <w:r>
        <w:rPr>
          <w:rStyle w:val="892"/>
          <w:rFonts w:ascii="宋体" w:hAnsi="宋体" w:cs="Calibri"/>
          <w:bCs/>
          <w:caps/>
          <w:color w:val="auto"/>
          <w:sz w:val="32"/>
        </w:rPr>
        <w:fldChar w:fldCharType="separate"/>
      </w:r>
      <w:r>
        <w:fldChar w:fldCharType="begin"/>
      </w:r>
      <w:r>
        <w:instrText xml:space="preserve"> HYPERLINK \l "_Toc105397776" </w:instrText>
      </w:r>
      <w:r>
        <w:fldChar w:fldCharType="separate"/>
      </w:r>
      <w:r>
        <w:rPr>
          <w:rStyle w:val="892"/>
          <w:rFonts w:ascii="宋体" w:hAnsi="宋体" w:cs="Calibri"/>
          <w:bCs/>
          <w:caps/>
          <w:color w:val="auto"/>
          <w:sz w:val="32"/>
          <w:szCs w:val="32"/>
        </w:rPr>
        <w:t xml:space="preserve">第一章 投标邀请函</w:t>
      </w:r>
      <w:r>
        <w:rPr>
          <w:rStyle w:val="892"/>
          <w:rFonts w:ascii="宋体" w:hAnsi="宋体" w:cs="Calibri"/>
          <w:bCs/>
          <w:caps/>
          <w:color w:val="auto"/>
          <w:sz w:val="32"/>
          <w:szCs w:val="32"/>
        </w:rPr>
        <w:tab/>
      </w:r>
      <w:r>
        <w:rPr>
          <w:rStyle w:val="892"/>
          <w:rFonts w:ascii="宋体" w:hAnsi="宋体" w:cs="Calibri"/>
          <w:bCs/>
          <w:caps/>
          <w:color w:val="auto"/>
          <w:sz w:val="32"/>
          <w:szCs w:val="32"/>
        </w:rPr>
        <w:fldChar w:fldCharType="begin"/>
      </w:r>
      <w:r>
        <w:rPr>
          <w:rStyle w:val="892"/>
          <w:rFonts w:ascii="宋体" w:hAnsi="宋体" w:cs="Calibri"/>
          <w:bCs/>
          <w:caps/>
          <w:color w:val="auto"/>
          <w:sz w:val="32"/>
          <w:szCs w:val="32"/>
        </w:rPr>
        <w:instrText xml:space="preserve"> PAGEREF _Toc105397776 \h </w:instrText>
      </w:r>
      <w:r>
        <w:rPr>
          <w:rStyle w:val="892"/>
          <w:rFonts w:ascii="宋体" w:hAnsi="宋体" w:cs="Calibri"/>
          <w:bCs/>
          <w:caps/>
          <w:color w:val="auto"/>
          <w:sz w:val="32"/>
          <w:szCs w:val="32"/>
        </w:rPr>
        <w:fldChar w:fldCharType="separate"/>
      </w:r>
      <w:r>
        <w:rPr>
          <w:rStyle w:val="892"/>
          <w:rFonts w:ascii="宋体" w:hAnsi="宋体" w:cs="Calibri"/>
          <w:bCs/>
          <w:caps/>
          <w:color w:val="auto"/>
          <w:sz w:val="32"/>
          <w:szCs w:val="32"/>
        </w:rPr>
        <w:t xml:space="preserve">5</w:t>
      </w:r>
      <w:r>
        <w:rPr>
          <w:rStyle w:val="892"/>
          <w:rFonts w:ascii="宋体" w:hAnsi="宋体" w:cs="Calibri"/>
          <w:bCs/>
          <w:caps/>
          <w:color w:val="auto"/>
          <w:sz w:val="32"/>
          <w:szCs w:val="32"/>
        </w:rPr>
        <w:fldChar w:fldCharType="end"/>
      </w:r>
      <w:r>
        <w:rPr>
          <w:rStyle w:val="892"/>
          <w:rFonts w:ascii="宋体" w:hAnsi="宋体" w:cs="Calibri"/>
          <w:bCs/>
          <w:caps/>
          <w:color w:val="auto"/>
          <w:sz w:val="32"/>
          <w:szCs w:val="32"/>
        </w:rPr>
        <w:fldChar w:fldCharType="end"/>
      </w:r>
      <w:r/>
    </w:p>
    <w:p>
      <w:pPr>
        <w:pStyle w:val="871"/>
        <w:ind w:firstLine="0"/>
        <w:jc w:val="left"/>
        <w:spacing w:before="120" w:after="120"/>
        <w:tabs>
          <w:tab w:val="right" w:pos="9854" w:leader="dot"/>
        </w:tabs>
        <w:rPr>
          <w:rStyle w:val="892"/>
          <w:rFonts w:ascii="宋体" w:hAnsi="宋体" w:cs="Calibri"/>
          <w:bCs/>
          <w:caps/>
          <w:color w:val="auto"/>
          <w:sz w:val="32"/>
          <w:szCs w:val="32"/>
        </w:rPr>
        <w:outlineLvl w:val="9"/>
      </w:pPr>
      <w:r>
        <w:fldChar w:fldCharType="begin"/>
      </w:r>
      <w:r>
        <w:instrText xml:space="preserve"> HYPERLINK \l "_Toc105397777" </w:instrText>
      </w:r>
      <w:r>
        <w:fldChar w:fldCharType="separate"/>
      </w:r>
      <w:r>
        <w:rPr>
          <w:rStyle w:val="892"/>
          <w:rFonts w:ascii="宋体" w:hAnsi="宋体" w:cs="Calibri"/>
          <w:bCs/>
          <w:caps/>
          <w:color w:val="auto"/>
          <w:sz w:val="32"/>
          <w:szCs w:val="32"/>
        </w:rPr>
        <w:t xml:space="preserve">第二章 投标人须知</w:t>
      </w:r>
      <w:r>
        <w:rPr>
          <w:rStyle w:val="892"/>
          <w:rFonts w:ascii="宋体" w:hAnsi="宋体" w:cs="Calibri"/>
          <w:bCs/>
          <w:caps/>
          <w:color w:val="auto"/>
          <w:sz w:val="32"/>
          <w:szCs w:val="32"/>
        </w:rPr>
        <w:tab/>
      </w:r>
      <w:r>
        <w:rPr>
          <w:rStyle w:val="892"/>
          <w:rFonts w:ascii="宋体" w:hAnsi="宋体" w:cs="Calibri"/>
          <w:bCs/>
          <w:caps/>
          <w:color w:val="auto"/>
          <w:sz w:val="32"/>
          <w:szCs w:val="32"/>
        </w:rPr>
        <w:fldChar w:fldCharType="begin"/>
      </w:r>
      <w:r>
        <w:rPr>
          <w:rStyle w:val="892"/>
          <w:rFonts w:ascii="宋体" w:hAnsi="宋体" w:cs="Calibri"/>
          <w:bCs/>
          <w:caps/>
          <w:color w:val="auto"/>
          <w:sz w:val="32"/>
          <w:szCs w:val="32"/>
        </w:rPr>
        <w:instrText xml:space="preserve"> PAGEREF _Toc105397777 \h </w:instrText>
      </w:r>
      <w:r>
        <w:rPr>
          <w:rStyle w:val="892"/>
          <w:rFonts w:ascii="宋体" w:hAnsi="宋体" w:cs="Calibri"/>
          <w:bCs/>
          <w:caps/>
          <w:color w:val="auto"/>
          <w:sz w:val="32"/>
          <w:szCs w:val="32"/>
        </w:rPr>
        <w:fldChar w:fldCharType="separate"/>
      </w:r>
      <w:r>
        <w:rPr>
          <w:rStyle w:val="892"/>
          <w:rFonts w:ascii="宋体" w:hAnsi="宋体" w:cs="Calibri"/>
          <w:bCs/>
          <w:caps/>
          <w:color w:val="auto"/>
          <w:sz w:val="32"/>
          <w:szCs w:val="32"/>
        </w:rPr>
        <w:t xml:space="preserve">9</w:t>
      </w:r>
      <w:r>
        <w:rPr>
          <w:rStyle w:val="892"/>
          <w:rFonts w:ascii="宋体" w:hAnsi="宋体" w:cs="Calibri"/>
          <w:bCs/>
          <w:caps/>
          <w:color w:val="auto"/>
          <w:sz w:val="32"/>
          <w:szCs w:val="32"/>
        </w:rPr>
        <w:fldChar w:fldCharType="end"/>
      </w:r>
      <w:r>
        <w:rPr>
          <w:rStyle w:val="892"/>
          <w:rFonts w:ascii="宋体" w:hAnsi="宋体" w:cs="Calibri"/>
          <w:bCs/>
          <w:caps/>
          <w:color w:val="auto"/>
          <w:sz w:val="32"/>
          <w:szCs w:val="32"/>
        </w:rPr>
        <w:fldChar w:fldCharType="end"/>
      </w:r>
      <w:r/>
    </w:p>
    <w:p>
      <w:pPr>
        <w:pStyle w:val="871"/>
        <w:ind w:firstLine="0"/>
        <w:jc w:val="left"/>
        <w:spacing w:before="120" w:after="120"/>
        <w:tabs>
          <w:tab w:val="right" w:pos="9854" w:leader="dot"/>
        </w:tabs>
        <w:rPr>
          <w:rStyle w:val="892"/>
          <w:rFonts w:ascii="宋体" w:hAnsi="宋体" w:cs="Calibri"/>
          <w:bCs/>
          <w:caps/>
          <w:color w:val="auto"/>
          <w:sz w:val="32"/>
          <w:szCs w:val="32"/>
        </w:rPr>
        <w:outlineLvl w:val="9"/>
      </w:pPr>
      <w:r>
        <w:fldChar w:fldCharType="begin"/>
      </w:r>
      <w:r>
        <w:instrText xml:space="preserve"> HYPERLINK \l "_Toc105397778" </w:instrText>
      </w:r>
      <w:r>
        <w:fldChar w:fldCharType="separate"/>
      </w:r>
      <w:r>
        <w:rPr>
          <w:rStyle w:val="892"/>
          <w:rFonts w:ascii="宋体" w:hAnsi="宋体" w:cs="Calibri"/>
          <w:bCs/>
          <w:caps/>
          <w:color w:val="auto"/>
          <w:sz w:val="32"/>
          <w:szCs w:val="32"/>
        </w:rPr>
        <w:t xml:space="preserve">第三章 投标文件格式</w:t>
      </w:r>
      <w:r>
        <w:rPr>
          <w:rStyle w:val="892"/>
          <w:rFonts w:ascii="宋体" w:hAnsi="宋体" w:cs="Calibri"/>
          <w:bCs/>
          <w:caps/>
          <w:color w:val="auto"/>
          <w:sz w:val="32"/>
          <w:szCs w:val="32"/>
        </w:rPr>
        <w:tab/>
      </w:r>
      <w:r>
        <w:rPr>
          <w:rStyle w:val="892"/>
          <w:rFonts w:ascii="宋体" w:hAnsi="宋体" w:cs="Calibri"/>
          <w:bCs/>
          <w:caps/>
          <w:color w:val="auto"/>
          <w:sz w:val="32"/>
          <w:szCs w:val="32"/>
        </w:rPr>
        <w:fldChar w:fldCharType="begin"/>
      </w:r>
      <w:r>
        <w:rPr>
          <w:rStyle w:val="892"/>
          <w:rFonts w:ascii="宋体" w:hAnsi="宋体" w:cs="Calibri"/>
          <w:bCs/>
          <w:caps/>
          <w:color w:val="auto"/>
          <w:sz w:val="32"/>
          <w:szCs w:val="32"/>
        </w:rPr>
        <w:instrText xml:space="preserve"> PAGEREF _Toc105397778 \h </w:instrText>
      </w:r>
      <w:r>
        <w:rPr>
          <w:rStyle w:val="892"/>
          <w:rFonts w:ascii="宋体" w:hAnsi="宋体" w:cs="Calibri"/>
          <w:bCs/>
          <w:caps/>
          <w:color w:val="auto"/>
          <w:sz w:val="32"/>
          <w:szCs w:val="32"/>
        </w:rPr>
        <w:fldChar w:fldCharType="separate"/>
      </w:r>
      <w:r>
        <w:rPr>
          <w:rStyle w:val="892"/>
          <w:rFonts w:ascii="宋体" w:hAnsi="宋体" w:cs="Calibri"/>
          <w:bCs/>
          <w:caps/>
          <w:color w:val="auto"/>
          <w:sz w:val="32"/>
          <w:szCs w:val="32"/>
        </w:rPr>
        <w:t xml:space="preserve">21</w:t>
      </w:r>
      <w:r>
        <w:rPr>
          <w:rStyle w:val="892"/>
          <w:rFonts w:ascii="宋体" w:hAnsi="宋体" w:cs="Calibri"/>
          <w:bCs/>
          <w:caps/>
          <w:color w:val="auto"/>
          <w:sz w:val="32"/>
          <w:szCs w:val="32"/>
        </w:rPr>
        <w:fldChar w:fldCharType="end"/>
      </w:r>
      <w:r>
        <w:rPr>
          <w:rStyle w:val="892"/>
          <w:rFonts w:ascii="宋体" w:hAnsi="宋体" w:cs="Calibri"/>
          <w:bCs/>
          <w:caps/>
          <w:color w:val="auto"/>
          <w:sz w:val="32"/>
          <w:szCs w:val="32"/>
        </w:rPr>
        <w:fldChar w:fldCharType="end"/>
      </w:r>
      <w:r/>
    </w:p>
    <w:p>
      <w:pPr>
        <w:pStyle w:val="871"/>
        <w:ind w:firstLine="0"/>
        <w:jc w:val="left"/>
        <w:spacing w:before="120" w:after="120"/>
        <w:tabs>
          <w:tab w:val="right" w:pos="9854" w:leader="dot"/>
        </w:tabs>
        <w:rPr>
          <w:rStyle w:val="892"/>
          <w:rFonts w:ascii="宋体" w:hAnsi="宋体" w:cs="Calibri"/>
          <w:bCs/>
          <w:caps/>
          <w:color w:val="auto"/>
          <w:sz w:val="32"/>
          <w:szCs w:val="32"/>
        </w:rPr>
        <w:outlineLvl w:val="9"/>
      </w:pPr>
      <w:r>
        <w:fldChar w:fldCharType="begin"/>
      </w:r>
      <w:r>
        <w:instrText xml:space="preserve"> HYPERLINK \l "_Toc105397793" </w:instrText>
      </w:r>
      <w:r>
        <w:fldChar w:fldCharType="separate"/>
      </w:r>
      <w:r>
        <w:rPr>
          <w:rStyle w:val="892"/>
          <w:rFonts w:ascii="宋体" w:hAnsi="宋体" w:cs="Calibri"/>
          <w:bCs/>
          <w:caps/>
          <w:color w:val="auto"/>
          <w:sz w:val="32"/>
          <w:szCs w:val="32"/>
        </w:rPr>
        <w:t xml:space="preserve">第四章 招标书</w:t>
      </w:r>
      <w:r>
        <w:rPr>
          <w:rStyle w:val="892"/>
          <w:rFonts w:ascii="宋体" w:hAnsi="宋体" w:cs="Calibri"/>
          <w:bCs/>
          <w:caps/>
          <w:color w:val="auto"/>
          <w:sz w:val="32"/>
          <w:szCs w:val="32"/>
        </w:rPr>
        <w:tab/>
      </w:r>
      <w:r>
        <w:rPr>
          <w:rStyle w:val="892"/>
          <w:rFonts w:ascii="宋体" w:hAnsi="宋体" w:cs="Calibri"/>
          <w:bCs/>
          <w:caps/>
          <w:color w:val="auto"/>
          <w:sz w:val="32"/>
          <w:szCs w:val="32"/>
        </w:rPr>
        <w:fldChar w:fldCharType="begin"/>
      </w:r>
      <w:r>
        <w:rPr>
          <w:rStyle w:val="892"/>
          <w:rFonts w:ascii="宋体" w:hAnsi="宋体" w:cs="Calibri"/>
          <w:bCs/>
          <w:caps/>
          <w:color w:val="auto"/>
          <w:sz w:val="32"/>
          <w:szCs w:val="32"/>
        </w:rPr>
        <w:instrText xml:space="preserve"> PAGEREF _Toc105397793 \h </w:instrText>
      </w:r>
      <w:r>
        <w:rPr>
          <w:rStyle w:val="892"/>
          <w:rFonts w:ascii="宋体" w:hAnsi="宋体" w:cs="Calibri"/>
          <w:bCs/>
          <w:caps/>
          <w:color w:val="auto"/>
          <w:sz w:val="32"/>
          <w:szCs w:val="32"/>
        </w:rPr>
        <w:fldChar w:fldCharType="separate"/>
      </w:r>
      <w:r>
        <w:rPr>
          <w:rStyle w:val="892"/>
          <w:rFonts w:ascii="宋体" w:hAnsi="宋体" w:cs="Calibri"/>
          <w:bCs/>
          <w:caps/>
          <w:color w:val="auto"/>
          <w:sz w:val="32"/>
          <w:szCs w:val="32"/>
        </w:rPr>
        <w:t xml:space="preserve">35</w:t>
      </w:r>
      <w:r>
        <w:rPr>
          <w:rStyle w:val="892"/>
          <w:rFonts w:ascii="宋体" w:hAnsi="宋体" w:cs="Calibri"/>
          <w:bCs/>
          <w:caps/>
          <w:color w:val="auto"/>
          <w:sz w:val="32"/>
          <w:szCs w:val="32"/>
        </w:rPr>
        <w:fldChar w:fldCharType="end"/>
      </w:r>
      <w:r>
        <w:rPr>
          <w:rStyle w:val="892"/>
          <w:rFonts w:ascii="宋体" w:hAnsi="宋体" w:cs="Calibri"/>
          <w:bCs/>
          <w:caps/>
          <w:color w:val="auto"/>
          <w:sz w:val="32"/>
          <w:szCs w:val="32"/>
        </w:rPr>
        <w:fldChar w:fldCharType="end"/>
      </w:r>
      <w:r/>
    </w:p>
    <w:p>
      <w:pPr>
        <w:pStyle w:val="871"/>
        <w:ind w:firstLine="0"/>
        <w:jc w:val="left"/>
        <w:spacing w:before="120" w:after="120"/>
        <w:tabs>
          <w:tab w:val="right" w:pos="9854" w:leader="dot"/>
        </w:tabs>
        <w:rPr>
          <w:rStyle w:val="892"/>
          <w:rFonts w:ascii="宋体" w:hAnsi="宋体" w:cs="Calibri"/>
          <w:bCs/>
          <w:caps/>
          <w:color w:val="auto"/>
          <w:sz w:val="32"/>
          <w:szCs w:val="32"/>
        </w:rPr>
        <w:outlineLvl w:val="9"/>
      </w:pPr>
      <w:r>
        <w:fldChar w:fldCharType="begin"/>
      </w:r>
      <w:r>
        <w:instrText xml:space="preserve"> HYPERLINK \l "_Toc105397794" </w:instrText>
      </w:r>
      <w:r>
        <w:fldChar w:fldCharType="separate"/>
      </w:r>
      <w:r>
        <w:rPr>
          <w:rStyle w:val="892"/>
          <w:rFonts w:ascii="宋体" w:hAnsi="宋体" w:cs="Calibri"/>
          <w:bCs/>
          <w:caps/>
          <w:color w:val="auto"/>
          <w:sz w:val="32"/>
          <w:szCs w:val="32"/>
        </w:rPr>
        <w:t xml:space="preserve">第五章 合同及主要条款</w:t>
      </w:r>
      <w:r>
        <w:rPr>
          <w:rStyle w:val="892"/>
          <w:rFonts w:ascii="宋体" w:hAnsi="宋体" w:cs="Calibri"/>
          <w:bCs/>
          <w:caps/>
          <w:color w:val="auto"/>
          <w:sz w:val="32"/>
          <w:szCs w:val="32"/>
        </w:rPr>
        <w:tab/>
      </w:r>
      <w:r>
        <w:rPr>
          <w:rStyle w:val="892"/>
          <w:rFonts w:ascii="宋体" w:hAnsi="宋体" w:cs="Calibri"/>
          <w:bCs/>
          <w:caps/>
          <w:color w:val="auto"/>
          <w:sz w:val="32"/>
          <w:szCs w:val="32"/>
        </w:rPr>
        <w:fldChar w:fldCharType="begin"/>
      </w:r>
      <w:r>
        <w:rPr>
          <w:rStyle w:val="892"/>
          <w:rFonts w:ascii="宋体" w:hAnsi="宋体" w:cs="Calibri"/>
          <w:bCs/>
          <w:caps/>
          <w:color w:val="auto"/>
          <w:sz w:val="32"/>
          <w:szCs w:val="32"/>
        </w:rPr>
        <w:instrText xml:space="preserve"> PAGEREF _Toc105397794 \h </w:instrText>
      </w:r>
      <w:r>
        <w:rPr>
          <w:rStyle w:val="892"/>
          <w:rFonts w:ascii="宋体" w:hAnsi="宋体" w:cs="Calibri"/>
          <w:bCs/>
          <w:caps/>
          <w:color w:val="auto"/>
          <w:sz w:val="32"/>
          <w:szCs w:val="32"/>
        </w:rPr>
        <w:fldChar w:fldCharType="separate"/>
      </w:r>
      <w:r>
        <w:rPr>
          <w:rStyle w:val="892"/>
          <w:rFonts w:ascii="宋体" w:hAnsi="宋体" w:cs="Calibri"/>
          <w:bCs/>
          <w:caps/>
          <w:color w:val="auto"/>
          <w:sz w:val="32"/>
          <w:szCs w:val="32"/>
        </w:rPr>
        <w:t xml:space="preserve">55</w:t>
      </w:r>
      <w:r>
        <w:rPr>
          <w:rStyle w:val="892"/>
          <w:rFonts w:ascii="宋体" w:hAnsi="宋体" w:cs="Calibri"/>
          <w:bCs/>
          <w:caps/>
          <w:color w:val="auto"/>
          <w:sz w:val="32"/>
          <w:szCs w:val="32"/>
        </w:rPr>
        <w:fldChar w:fldCharType="end"/>
      </w:r>
      <w:r>
        <w:rPr>
          <w:rStyle w:val="892"/>
          <w:rFonts w:ascii="宋体" w:hAnsi="宋体" w:cs="Calibri"/>
          <w:bCs/>
          <w:caps/>
          <w:color w:val="auto"/>
          <w:sz w:val="32"/>
          <w:szCs w:val="32"/>
        </w:rPr>
        <w:fldChar w:fldCharType="end"/>
      </w:r>
      <w:r/>
    </w:p>
    <w:p>
      <w:pPr>
        <w:pStyle w:val="871"/>
        <w:ind w:firstLine="0"/>
        <w:jc w:val="left"/>
        <w:spacing w:before="120" w:after="120"/>
        <w:tabs>
          <w:tab w:val="right" w:pos="9854" w:leader="dot"/>
        </w:tabs>
        <w:rPr>
          <w:rStyle w:val="892"/>
          <w:rFonts w:ascii="宋体" w:hAnsi="宋体" w:cs="Calibri"/>
          <w:bCs/>
          <w:caps/>
          <w:color w:val="auto"/>
          <w:sz w:val="32"/>
          <w:szCs w:val="32"/>
        </w:rPr>
        <w:outlineLvl w:val="9"/>
      </w:pPr>
      <w:r>
        <w:fldChar w:fldCharType="begin"/>
      </w:r>
      <w:r>
        <w:instrText xml:space="preserve"> HYPERLINK \l "_Toc105397795" </w:instrText>
      </w:r>
      <w:r>
        <w:fldChar w:fldCharType="separate"/>
      </w:r>
      <w:r>
        <w:rPr>
          <w:rStyle w:val="892"/>
          <w:rFonts w:ascii="宋体" w:hAnsi="宋体" w:cs="Calibri"/>
          <w:bCs/>
          <w:caps/>
          <w:color w:val="auto"/>
          <w:sz w:val="32"/>
          <w:szCs w:val="32"/>
        </w:rPr>
        <w:t xml:space="preserve">第六章 评标办法和评分标准</w:t>
      </w:r>
      <w:r>
        <w:rPr>
          <w:rStyle w:val="892"/>
          <w:rFonts w:ascii="宋体" w:hAnsi="宋体" w:cs="Calibri"/>
          <w:bCs/>
          <w:caps/>
          <w:color w:val="auto"/>
          <w:sz w:val="32"/>
          <w:szCs w:val="32"/>
        </w:rPr>
        <w:tab/>
      </w:r>
      <w:r>
        <w:rPr>
          <w:rStyle w:val="892"/>
          <w:rFonts w:ascii="宋体" w:hAnsi="宋体" w:cs="Calibri"/>
          <w:bCs/>
          <w:caps/>
          <w:color w:val="auto"/>
          <w:sz w:val="32"/>
          <w:szCs w:val="32"/>
        </w:rPr>
        <w:fldChar w:fldCharType="begin"/>
      </w:r>
      <w:r>
        <w:rPr>
          <w:rStyle w:val="892"/>
          <w:rFonts w:ascii="宋体" w:hAnsi="宋体" w:cs="Calibri"/>
          <w:bCs/>
          <w:caps/>
          <w:color w:val="auto"/>
          <w:sz w:val="32"/>
          <w:szCs w:val="32"/>
        </w:rPr>
        <w:instrText xml:space="preserve"> PAGEREF _Toc105397795 \h </w:instrText>
      </w:r>
      <w:r>
        <w:rPr>
          <w:rStyle w:val="892"/>
          <w:rFonts w:ascii="宋体" w:hAnsi="宋体" w:cs="Calibri"/>
          <w:bCs/>
          <w:caps/>
          <w:color w:val="auto"/>
          <w:sz w:val="32"/>
          <w:szCs w:val="32"/>
        </w:rPr>
        <w:fldChar w:fldCharType="separate"/>
      </w:r>
      <w:r>
        <w:rPr>
          <w:rStyle w:val="892"/>
          <w:rFonts w:ascii="宋体" w:hAnsi="宋体" w:cs="Calibri"/>
          <w:bCs/>
          <w:caps/>
          <w:color w:val="auto"/>
          <w:sz w:val="32"/>
          <w:szCs w:val="32"/>
        </w:rPr>
        <w:t xml:space="preserve">67</w:t>
      </w:r>
      <w:r>
        <w:rPr>
          <w:rStyle w:val="892"/>
          <w:rFonts w:ascii="宋体" w:hAnsi="宋体" w:cs="Calibri"/>
          <w:bCs/>
          <w:caps/>
          <w:color w:val="auto"/>
          <w:sz w:val="32"/>
          <w:szCs w:val="32"/>
        </w:rPr>
        <w:fldChar w:fldCharType="end"/>
      </w:r>
      <w:r>
        <w:rPr>
          <w:rStyle w:val="892"/>
          <w:rFonts w:ascii="宋体" w:hAnsi="宋体" w:cs="Calibri"/>
          <w:bCs/>
          <w:caps/>
          <w:color w:val="auto"/>
          <w:sz w:val="32"/>
          <w:szCs w:val="32"/>
        </w:rPr>
        <w:fldChar w:fldCharType="end"/>
      </w:r>
      <w:r/>
    </w:p>
    <w:p>
      <w:pPr>
        <w:pStyle w:val="871"/>
        <w:ind w:firstLine="0"/>
        <w:jc w:val="left"/>
        <w:spacing w:before="120" w:after="120"/>
        <w:tabs>
          <w:tab w:val="right" w:pos="9856" w:leader="dot"/>
        </w:tabs>
        <w:rPr>
          <w:rFonts w:ascii="宋体" w:hAnsi="宋体"/>
          <w:sz w:val="32"/>
          <w:szCs w:val="32"/>
        </w:rPr>
        <w:outlineLvl w:val="9"/>
      </w:pPr>
      <w:r>
        <w:rPr>
          <w:rStyle w:val="892"/>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6121"/>
      <w:r/>
      <w:bookmarkStart w:id="1" w:name="_Toc15681"/>
      <w:r/>
      <w:bookmarkStart w:id="2" w:name="_Toc17003"/>
      <w:r>
        <w:rPr>
          <w:rFonts w:ascii="宋体" w:hAnsi="宋体"/>
          <w:b/>
          <w:spacing w:val="20"/>
          <w:sz w:val="30"/>
        </w:rPr>
        <w:t xml:space="preserve">前 附 表</w:t>
      </w:r>
      <w:bookmarkEnd w:id="0"/>
      <w:r/>
      <w:bookmarkEnd w:id="1"/>
      <w:r/>
      <w:bookmarkEnd w:id="2"/>
      <w:r/>
      <w:r/>
    </w:p>
    <w:tbl>
      <w:tblPr>
        <w:tblStyle w:val="838"/>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default" w:ascii="宋体" w:hAnsi="宋体" w:eastAsia="宋体" w:cs="Times New Roman"/>
                <w:sz w:val="21"/>
                <w:szCs w:val="21"/>
                <w:lang w:val="en-US" w:eastAsia="zh-CN"/>
              </w:rPr>
            </w:pPr>
            <w:r>
              <w:rPr>
                <w:rFonts w:hint="eastAsia" w:ascii="宋体" w:hAnsi="宋体" w:cs="Times New Roman"/>
                <w:sz w:val="21"/>
                <w:szCs w:val="21"/>
              </w:rPr>
              <w:t xml:space="preserve">JSZC-320500-JZCG-G2026-0</w:t>
            </w:r>
            <w:r>
              <w:rPr>
                <w:rFonts w:hint="eastAsia" w:ascii="宋体" w:hAnsi="宋体" w:cs="Times New Roman"/>
                <w:sz w:val="21"/>
                <w:szCs w:val="21"/>
                <w:lang w:val="en-US" w:eastAsia="zh-CN"/>
              </w:rPr>
              <w:t xml:space="preserve">150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2025年部门集中采购目录外器材装备采购项目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联系人：朱工、丁工 </w:t>
            </w:r>
            <w:r/>
          </w:p>
          <w:p>
            <w:pPr>
              <w:ind w:left="0"/>
              <w:jc w:val="left"/>
              <w:spacing w:line="440" w:lineRule="exact"/>
              <w:rPr>
                <w:rFonts w:ascii="宋体" w:hAnsi="宋体"/>
                <w:sz w:val="21"/>
                <w:szCs w:val="21"/>
              </w:rPr>
            </w:pPr>
            <w:r>
              <w:rPr>
                <w:rFonts w:hint="eastAsia" w:ascii="宋体" w:hAnsi="宋体"/>
                <w:sz w:val="21"/>
                <w:szCs w:val="21"/>
              </w:rPr>
              <w:t xml:space="preserve">联系电话：0512-69820691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名称：苏州市消防救援支队</w:t>
            </w:r>
            <w:r/>
          </w:p>
          <w:p>
            <w:pPr>
              <w:ind w:left="0"/>
              <w:jc w:val="left"/>
              <w:spacing w:line="440" w:lineRule="exact"/>
              <w:rPr>
                <w:rFonts w:ascii="宋体" w:hAnsi="宋体"/>
                <w:sz w:val="21"/>
                <w:szCs w:val="21"/>
              </w:rPr>
            </w:pPr>
            <w:r>
              <w:rPr>
                <w:rFonts w:hint="eastAsia" w:ascii="宋体" w:hAnsi="宋体"/>
                <w:sz w:val="21"/>
                <w:szCs w:val="21"/>
              </w:rPr>
              <w:t xml:space="preserve">地址：苏州市工业园区中新大道西198号</w:t>
            </w:r>
            <w:r/>
          </w:p>
          <w:p>
            <w:pPr>
              <w:ind w:left="0"/>
              <w:jc w:val="left"/>
              <w:spacing w:line="440" w:lineRule="exact"/>
              <w:rPr>
                <w:rFonts w:ascii="宋体" w:hAnsi="宋体"/>
                <w:sz w:val="21"/>
                <w:szCs w:val="21"/>
              </w:rPr>
            </w:pPr>
            <w:r>
              <w:rPr>
                <w:rFonts w:hint="eastAsia" w:ascii="宋体" w:hAnsi="宋体"/>
                <w:sz w:val="21"/>
                <w:szCs w:val="21"/>
              </w:rPr>
              <w:t xml:space="preserve">联系人：周工</w:t>
            </w:r>
            <w:r/>
          </w:p>
          <w:p>
            <w:pPr>
              <w:ind w:left="0"/>
              <w:jc w:val="left"/>
              <w:spacing w:line="440" w:lineRule="exact"/>
              <w:rPr>
                <w:rFonts w:ascii="宋体" w:hAnsi="宋体"/>
                <w:sz w:val="21"/>
                <w:szCs w:val="21"/>
              </w:rPr>
            </w:pPr>
            <w:r>
              <w:rPr>
                <w:rFonts w:hint="eastAsia" w:ascii="宋体" w:hAnsi="宋体"/>
                <w:sz w:val="21"/>
                <w:szCs w:val="21"/>
              </w:rPr>
              <w:t xml:space="preserve">联系电话：0512-62765293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lang w:val="en-US" w:eastAsia="zh-CN"/>
              </w:rPr>
              <w:t xml:space="preserve">7</w:t>
            </w:r>
            <w:r>
              <w:rPr>
                <w:rFonts w:hint="eastAsia" w:ascii="宋体" w:hAnsi="宋体" w:cs="Times New Roman"/>
                <w:sz w:val="21"/>
                <w:szCs w:val="21"/>
                <w:u w:val="single"/>
              </w:rPr>
              <w:t xml:space="preserve">月</w:t>
            </w:r>
            <w:r>
              <w:rPr>
                <w:rFonts w:hint="eastAsia" w:ascii="宋体" w:hAnsi="宋体" w:cs="Times New Roman"/>
                <w:sz w:val="21"/>
                <w:szCs w:val="21"/>
                <w:u w:val="single"/>
                <w:lang w:val="en-US" w:eastAsia="zh-CN"/>
              </w:rPr>
              <w:t xml:space="preserve">30</w:t>
            </w:r>
            <w:r>
              <w:rPr>
                <w:rFonts w:hint="eastAsia" w:ascii="宋体" w:hAnsi="宋体" w:cs="Times New Roman"/>
                <w:sz w:val="21"/>
                <w:szCs w:val="21"/>
                <w:u w:val="single"/>
              </w:rPr>
              <w:t xml:space="preserve">日</w:t>
            </w:r>
            <w:r>
              <w:rPr>
                <w:rFonts w:hint="eastAsia" w:ascii="宋体" w:hAnsi="宋体" w:cs="Times New Roman"/>
                <w:sz w:val="21"/>
                <w:szCs w:val="21"/>
                <w:u w:val="single"/>
                <w:lang w:val="en-US" w:eastAsia="zh-CN"/>
              </w:rPr>
              <w:t xml:space="preserve">9</w:t>
            </w:r>
            <w:r>
              <w:rPr>
                <w:rFonts w:hint="eastAsia" w:ascii="宋体" w:hAnsi="宋体" w:cs="Times New Roman"/>
                <w:sz w:val="21"/>
                <w:szCs w:val="21"/>
                <w:u w:val="single"/>
              </w:rPr>
              <w:t xml:space="preserve">点</w:t>
            </w:r>
            <w:r>
              <w:rPr>
                <w:rFonts w:hint="eastAsia" w:ascii="宋体" w:hAnsi="宋体" w:cs="Times New Roman"/>
                <w:sz w:val="21"/>
                <w:szCs w:val="21"/>
                <w:u w:val="single"/>
                <w:lang w:val="en-US" w:eastAsia="zh-CN"/>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lang w:val="en-US" w:eastAsia="zh-CN"/>
              </w:rPr>
              <w:t xml:space="preserve">7</w:t>
            </w:r>
            <w:r>
              <w:rPr>
                <w:rFonts w:hint="eastAsia" w:ascii="宋体" w:hAnsi="宋体" w:cs="Times New Roman"/>
                <w:sz w:val="21"/>
                <w:szCs w:val="21"/>
                <w:u w:val="single"/>
              </w:rPr>
              <w:t xml:space="preserve">月</w:t>
            </w:r>
            <w:r>
              <w:rPr>
                <w:rFonts w:hint="eastAsia" w:ascii="宋体" w:hAnsi="宋体" w:cs="Times New Roman"/>
                <w:sz w:val="21"/>
                <w:szCs w:val="21"/>
                <w:u w:val="single"/>
                <w:lang w:val="en-US" w:eastAsia="zh-CN"/>
              </w:rPr>
              <w:t xml:space="preserve">30</w:t>
            </w:r>
            <w:r>
              <w:rPr>
                <w:rFonts w:hint="eastAsia" w:ascii="宋体" w:hAnsi="宋体" w:cs="Times New Roman"/>
                <w:sz w:val="21"/>
                <w:szCs w:val="21"/>
                <w:u w:val="single"/>
              </w:rPr>
              <w:t xml:space="preserve">日</w:t>
            </w:r>
            <w:r>
              <w:rPr>
                <w:rFonts w:hint="eastAsia" w:ascii="宋体" w:hAnsi="宋体" w:cs="Times New Roman"/>
                <w:sz w:val="21"/>
                <w:szCs w:val="21"/>
                <w:u w:val="single"/>
                <w:lang w:val="en-US" w:eastAsia="zh-CN"/>
              </w:rPr>
              <w:t xml:space="preserve">9</w:t>
            </w:r>
            <w:r>
              <w:rPr>
                <w:rFonts w:hint="eastAsia" w:ascii="宋体" w:hAnsi="宋体" w:cs="Times New Roman"/>
                <w:sz w:val="21"/>
                <w:szCs w:val="21"/>
                <w:u w:val="single"/>
              </w:rPr>
              <w:t xml:space="preserve">点</w:t>
            </w:r>
            <w:r>
              <w:rPr>
                <w:rFonts w:hint="eastAsia" w:ascii="宋体" w:hAnsi="宋体" w:cs="Times New Roman"/>
                <w:sz w:val="21"/>
                <w:szCs w:val="21"/>
                <w:u w:val="single"/>
                <w:lang w:val="en-US" w:eastAsia="zh-CN"/>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lang w:val="en-US" w:eastAsia="zh-CN"/>
              </w:rPr>
              <w:t xml:space="preserve">7</w:t>
            </w:r>
            <w:r>
              <w:rPr>
                <w:rFonts w:hint="eastAsia" w:ascii="宋体" w:hAnsi="宋体" w:cs="Times New Roman"/>
                <w:sz w:val="21"/>
                <w:szCs w:val="21"/>
                <w:u w:val="single"/>
              </w:rPr>
              <w:t xml:space="preserve">月</w:t>
            </w:r>
            <w:r>
              <w:rPr>
                <w:rFonts w:hint="eastAsia" w:ascii="宋体" w:hAnsi="宋体" w:cs="Times New Roman"/>
                <w:sz w:val="21"/>
                <w:szCs w:val="21"/>
                <w:u w:val="single"/>
                <w:lang w:val="en-US" w:eastAsia="zh-CN"/>
              </w:rPr>
              <w:t xml:space="preserve">30</w:t>
            </w:r>
            <w:r>
              <w:rPr>
                <w:rFonts w:hint="eastAsia" w:ascii="宋体" w:hAnsi="宋体" w:cs="Times New Roman"/>
                <w:sz w:val="21"/>
                <w:szCs w:val="21"/>
                <w:u w:val="single"/>
              </w:rPr>
              <w:t xml:space="preserve">日</w:t>
            </w:r>
            <w:r>
              <w:rPr>
                <w:rFonts w:hint="eastAsia" w:ascii="宋体" w:hAnsi="宋体" w:cs="Times New Roman"/>
                <w:sz w:val="21"/>
                <w:szCs w:val="21"/>
                <w:u w:val="single"/>
                <w:lang w:val="en-US" w:eastAsia="zh-CN"/>
              </w:rPr>
              <w:t xml:space="preserve">9</w:t>
            </w:r>
            <w:r>
              <w:rPr>
                <w:rFonts w:hint="eastAsia" w:ascii="宋体" w:hAnsi="宋体" w:cs="Times New Roman"/>
                <w:sz w:val="21"/>
                <w:szCs w:val="21"/>
                <w:u w:val="single"/>
              </w:rPr>
              <w:t xml:space="preserve">点</w:t>
            </w:r>
            <w:r>
              <w:rPr>
                <w:rFonts w:hint="eastAsia" w:ascii="宋体" w:hAnsi="宋体" w:cs="Times New Roman"/>
                <w:sz w:val="21"/>
                <w:szCs w:val="21"/>
                <w:u w:val="single"/>
                <w:lang w:val="en-US" w:eastAsia="zh-CN"/>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pStyle w:val="850"/>
              <w:ind w:firstLine="0"/>
              <w:rPr>
                <w:rFonts w:ascii="宋体" w:hAnsi="宋体"/>
                <w:sz w:val="21"/>
                <w:szCs w:val="21"/>
              </w:rPr>
            </w:pPr>
            <w:r>
              <w:rPr>
                <w:rFonts w:hint="eastAsia" w:ascii="宋体" w:hAnsi="宋体"/>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合同总金额的5%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62"/>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62"/>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（六）法律、法规和招标文件规定的其他无效情形。</w:t>
            </w:r>
            <w:r/>
          </w:p>
        </w:tc>
      </w:tr>
    </w:tbl>
    <w:p>
      <w:pPr>
        <w:ind w:left="0"/>
        <w:jc w:val="center"/>
        <w:rPr>
          <w:rFonts w:ascii="宋体" w:hAnsi="宋体"/>
          <w:b/>
          <w:sz w:val="44"/>
          <w:szCs w:val="22"/>
        </w:rPr>
      </w:pPr>
      <w:r/>
      <w:bookmarkStart w:id="3" w:name="_Toc28592"/>
      <w:r/>
      <w:bookmarkStart w:id="4" w:name="_Toc7166"/>
      <w:r/>
      <w:r/>
    </w:p>
    <w:p>
      <w:pPr>
        <w:ind w:left="0"/>
        <w:jc w:val="center"/>
        <w:rPr>
          <w:rFonts w:ascii="宋体" w:hAnsi="宋体"/>
          <w:b/>
          <w:sz w:val="44"/>
          <w:szCs w:val="22"/>
        </w:rPr>
      </w:pPr>
      <w:r>
        <w:rPr>
          <w:rFonts w:ascii="宋体" w:hAnsi="宋体"/>
          <w:b/>
          <w:sz w:val="44"/>
          <w:szCs w:val="22"/>
        </w:rPr>
      </w:r>
      <w:r/>
    </w:p>
    <w:p>
      <w:pPr>
        <w:pStyle w:val="853"/>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53"/>
        <w:rPr>
          <w:rFonts w:ascii="宋体" w:hAnsi="宋体"/>
        </w:rPr>
      </w:pPr>
      <w:r>
        <w:rPr>
          <w:rFonts w:ascii="宋体" w:hAnsi="宋体"/>
        </w:rPr>
      </w:r>
      <w:r/>
    </w:p>
    <w:p>
      <w:pPr>
        <w:pStyle w:val="845"/>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28"/>
        <w:ind w:left="431" w:firstLine="17"/>
        <w:jc w:val="center"/>
        <w:spacing w:before="0" w:after="0" w:line="360" w:lineRule="auto"/>
        <w:rPr>
          <w:rStyle w:val="958"/>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2025年部门集中采购目录外器材装备采购项目</w:t>
      </w:r>
      <w:r>
        <w:rPr>
          <w:rFonts w:hint="eastAsia" w:ascii="宋体" w:hAnsi="宋体"/>
          <w:b/>
          <w:sz w:val="21"/>
          <w:szCs w:val="21"/>
        </w:rPr>
        <w:t xml:space="preserve">招标项目的潜在投标人应在 </w:t>
      </w:r>
      <w:r>
        <w:rPr>
          <w:rFonts w:hint="eastAsia" w:ascii="宋体" w:hAnsi="宋体"/>
          <w:b/>
          <w:sz w:val="21"/>
          <w:szCs w:val="21"/>
          <w:u w:val="single"/>
        </w:rPr>
        <w:t xml:space="preserve">“苏采云”系统（网址：http://jszfcg.jsczt.cn/）</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hint="eastAsia" w:ascii="宋体" w:hAnsi="宋体" w:cs="Times New Roman"/>
          <w:sz w:val="21"/>
          <w:szCs w:val="21"/>
          <w:u w:val="single"/>
          <w:lang w:val="en-US" w:eastAsia="zh-CN"/>
        </w:rPr>
        <w:t xml:space="preserve">7</w:t>
      </w:r>
      <w:r>
        <w:rPr>
          <w:rFonts w:hint="eastAsia" w:ascii="宋体" w:hAnsi="宋体" w:cs="Times New Roman"/>
          <w:sz w:val="21"/>
          <w:szCs w:val="21"/>
          <w:u w:val="single"/>
        </w:rPr>
        <w:t xml:space="preserve">月</w:t>
      </w:r>
      <w:r>
        <w:rPr>
          <w:rFonts w:hint="eastAsia" w:ascii="宋体" w:hAnsi="宋体" w:cs="Times New Roman"/>
          <w:sz w:val="21"/>
          <w:szCs w:val="21"/>
          <w:u w:val="single"/>
          <w:lang w:val="en-US" w:eastAsia="zh-CN"/>
        </w:rPr>
        <w:t xml:space="preserve">30</w:t>
      </w:r>
      <w:r>
        <w:rPr>
          <w:rFonts w:hint="eastAsia" w:ascii="宋体" w:hAnsi="宋体" w:cs="Times New Roman"/>
          <w:sz w:val="21"/>
          <w:szCs w:val="21"/>
          <w:u w:val="single"/>
        </w:rPr>
        <w:t xml:space="preserve">日</w:t>
      </w:r>
      <w:r>
        <w:rPr>
          <w:rFonts w:hint="eastAsia" w:ascii="宋体" w:hAnsi="宋体" w:cs="Times New Roman"/>
          <w:sz w:val="21"/>
          <w:szCs w:val="21"/>
          <w:u w:val="single"/>
          <w:lang w:val="en-US" w:eastAsia="zh-CN"/>
        </w:rPr>
        <w:t xml:space="preserve">9</w:t>
      </w:r>
      <w:r>
        <w:rPr>
          <w:rFonts w:hint="eastAsia" w:ascii="宋体" w:hAnsi="宋体" w:cs="Times New Roman"/>
          <w:sz w:val="21"/>
          <w:szCs w:val="21"/>
          <w:u w:val="single"/>
        </w:rPr>
        <w:t xml:space="preserve">点</w:t>
      </w:r>
      <w:r>
        <w:rPr>
          <w:rFonts w:hint="eastAsia" w:ascii="宋体" w:hAnsi="宋体" w:cs="Times New Roman"/>
          <w:sz w:val="21"/>
          <w:szCs w:val="21"/>
          <w:u w:val="single"/>
          <w:lang w:val="en-US" w:eastAsia="zh-CN"/>
        </w:rPr>
        <w:t xml:space="preserve">30</w:t>
      </w:r>
      <w:r>
        <w:rPr>
          <w:rFonts w:hint="eastAsia" w:ascii="宋体" w:hAnsi="宋体" w:cs="Times New Roman"/>
          <w:sz w:val="21"/>
          <w:szCs w:val="21"/>
          <w:u w:val="single"/>
        </w:rPr>
        <w:t xml:space="preserve">分</w:t>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845"/>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45"/>
        <w:ind w:left="0" w:firstLine="420"/>
        <w:spacing w:line="360" w:lineRule="auto"/>
        <w:rPr>
          <w:rFonts w:hint="default" w:ascii="宋体" w:hAnsi="宋体" w:eastAsia="宋体"/>
          <w:sz w:val="21"/>
          <w:szCs w:val="21"/>
          <w:lang w:val="en-US" w:eastAsia="zh-CN"/>
        </w:rPr>
      </w:pPr>
      <w:r>
        <w:rPr>
          <w:rFonts w:hint="eastAsia" w:ascii="宋体" w:hAnsi="宋体"/>
          <w:sz w:val="21"/>
          <w:szCs w:val="21"/>
        </w:rPr>
        <w:t xml:space="preserve">1.项目编号：JSZC-320500-JZCG-G2026-0</w:t>
      </w:r>
      <w:r>
        <w:rPr>
          <w:rFonts w:hint="eastAsia" w:ascii="宋体" w:hAnsi="宋体"/>
          <w:sz w:val="21"/>
          <w:szCs w:val="21"/>
          <w:lang w:val="en-US" w:eastAsia="zh-CN"/>
        </w:rPr>
        <w:t xml:space="preserve">150</w:t>
      </w:r>
      <w:r/>
    </w:p>
    <w:p>
      <w:pPr>
        <w:pStyle w:val="845"/>
        <w:ind w:left="0" w:firstLine="420"/>
        <w:spacing w:line="360" w:lineRule="auto"/>
        <w:rPr>
          <w:rFonts w:ascii="宋体" w:hAnsi="宋体"/>
          <w:sz w:val="21"/>
          <w:szCs w:val="21"/>
        </w:rPr>
      </w:pPr>
      <w:r>
        <w:rPr>
          <w:rFonts w:hint="eastAsia" w:ascii="宋体" w:hAnsi="宋体"/>
          <w:sz w:val="21"/>
          <w:szCs w:val="21"/>
        </w:rPr>
        <w:t xml:space="preserve">2.项目名称：2025年部门集中采购目录外器材装备采购项目</w:t>
      </w:r>
      <w:r/>
    </w:p>
    <w:p>
      <w:pPr>
        <w:pStyle w:val="845"/>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45"/>
        <w:ind w:left="0" w:firstLine="420"/>
        <w:spacing w:line="360" w:lineRule="auto"/>
        <w:rPr>
          <w:rFonts w:ascii="宋体" w:hAnsi="宋体"/>
          <w:sz w:val="21"/>
          <w:szCs w:val="21"/>
        </w:rPr>
      </w:pPr>
      <w:r>
        <w:rPr>
          <w:rFonts w:hint="eastAsia" w:ascii="宋体" w:hAnsi="宋体"/>
          <w:sz w:val="21"/>
          <w:szCs w:val="21"/>
        </w:rPr>
        <w:t xml:space="preserve">4.预算金额：人民币柒佰捌拾捌万贰仟贰佰元整（¥7882200.00元）</w:t>
      </w:r>
      <w:r/>
    </w:p>
    <w:p>
      <w:pPr>
        <w:pStyle w:val="845"/>
        <w:ind w:left="0" w:firstLine="420"/>
        <w:spacing w:line="360" w:lineRule="auto"/>
        <w:rPr>
          <w:rFonts w:ascii="宋体" w:hAnsi="宋体"/>
          <w:sz w:val="21"/>
          <w:szCs w:val="21"/>
        </w:rPr>
      </w:pPr>
      <w:r>
        <w:rPr>
          <w:rFonts w:hint="eastAsia" w:ascii="宋体" w:hAnsi="宋体"/>
          <w:sz w:val="21"/>
          <w:szCs w:val="21"/>
        </w:rPr>
        <w:t xml:space="preserve">包一预算金额：人民币壹佰伍拾壹万伍仟陆佰元整（¥1515600.00元）</w:t>
      </w:r>
      <w:r/>
    </w:p>
    <w:p>
      <w:pPr>
        <w:pStyle w:val="845"/>
        <w:ind w:left="0" w:firstLine="420"/>
        <w:spacing w:line="360" w:lineRule="auto"/>
        <w:rPr>
          <w:rFonts w:ascii="宋体" w:hAnsi="宋体"/>
          <w:sz w:val="21"/>
          <w:szCs w:val="21"/>
        </w:rPr>
      </w:pPr>
      <w:r>
        <w:rPr>
          <w:rFonts w:hint="eastAsia" w:ascii="宋体" w:hAnsi="宋体"/>
          <w:sz w:val="21"/>
          <w:szCs w:val="21"/>
        </w:rPr>
        <w:t xml:space="preserve">包二预算金额：人民币伍拾万壹仟贰佰元整（¥501200.00元）</w:t>
      </w:r>
      <w:r/>
    </w:p>
    <w:p>
      <w:pPr>
        <w:pStyle w:val="845"/>
        <w:ind w:left="0" w:firstLine="420"/>
        <w:spacing w:line="360" w:lineRule="auto"/>
        <w:rPr>
          <w:rFonts w:ascii="宋体" w:hAnsi="宋体"/>
          <w:sz w:val="21"/>
          <w:szCs w:val="21"/>
        </w:rPr>
      </w:pPr>
      <w:r>
        <w:rPr>
          <w:rFonts w:hint="eastAsia" w:ascii="宋体" w:hAnsi="宋体"/>
          <w:sz w:val="21"/>
          <w:szCs w:val="21"/>
        </w:rPr>
        <w:t xml:space="preserve">包三预算金额：人民币贰佰伍拾伍万元整（¥2550000.00元）</w:t>
      </w:r>
      <w:r/>
    </w:p>
    <w:p>
      <w:pPr>
        <w:pStyle w:val="845"/>
        <w:ind w:left="0" w:firstLine="420"/>
        <w:spacing w:line="360" w:lineRule="auto"/>
        <w:rPr>
          <w:rFonts w:ascii="宋体" w:hAnsi="宋体"/>
          <w:sz w:val="21"/>
          <w:szCs w:val="21"/>
        </w:rPr>
      </w:pPr>
      <w:r>
        <w:rPr>
          <w:rFonts w:hint="eastAsia" w:ascii="宋体" w:hAnsi="宋体"/>
          <w:sz w:val="21"/>
          <w:szCs w:val="21"/>
        </w:rPr>
        <w:t xml:space="preserve">包四预算金额：人民币捌拾捌万贰仟元整（¥882000.00元）</w:t>
      </w:r>
      <w:r/>
    </w:p>
    <w:p>
      <w:pPr>
        <w:pStyle w:val="845"/>
        <w:ind w:left="0" w:firstLine="420"/>
        <w:spacing w:line="360" w:lineRule="auto"/>
        <w:rPr>
          <w:rFonts w:ascii="宋体" w:hAnsi="宋体"/>
          <w:sz w:val="21"/>
          <w:szCs w:val="21"/>
        </w:rPr>
      </w:pPr>
      <w:r>
        <w:rPr>
          <w:rFonts w:hint="eastAsia" w:ascii="宋体" w:hAnsi="宋体"/>
          <w:sz w:val="21"/>
          <w:szCs w:val="21"/>
        </w:rPr>
        <w:t xml:space="preserve">包五预算金额：人民币壹佰零柒万叁仟肆佰元整（¥1073400.00元）</w:t>
      </w:r>
      <w:r/>
    </w:p>
    <w:p>
      <w:pPr>
        <w:pStyle w:val="845"/>
        <w:ind w:left="0" w:firstLine="420"/>
        <w:spacing w:line="360" w:lineRule="auto"/>
        <w:rPr>
          <w:rFonts w:ascii="宋体" w:hAnsi="宋体"/>
          <w:sz w:val="21"/>
          <w:szCs w:val="21"/>
        </w:rPr>
      </w:pPr>
      <w:r>
        <w:rPr>
          <w:rFonts w:hint="eastAsia" w:ascii="宋体" w:hAnsi="宋体"/>
          <w:sz w:val="21"/>
          <w:szCs w:val="21"/>
        </w:rPr>
        <w:t xml:space="preserve">包六预算金额：人民币玖拾陆万元整（¥960000.00元）</w:t>
      </w:r>
      <w:r/>
    </w:p>
    <w:p>
      <w:pPr>
        <w:pStyle w:val="845"/>
        <w:ind w:left="0" w:firstLine="420"/>
        <w:spacing w:line="360" w:lineRule="auto"/>
      </w:pPr>
      <w:r>
        <w:rPr>
          <w:rFonts w:hint="eastAsia" w:ascii="宋体" w:hAnsi="宋体"/>
          <w:sz w:val="21"/>
          <w:szCs w:val="21"/>
        </w:rPr>
        <w:t xml:space="preserve">包七预算金额：人民币肆拾万元整（¥400000.00元）</w:t>
      </w:r>
      <w:r/>
    </w:p>
    <w:p>
      <w:pPr>
        <w:pStyle w:val="845"/>
        <w:ind w:left="0" w:firstLine="420"/>
        <w:spacing w:line="360" w:lineRule="auto"/>
        <w:rPr>
          <w:rFonts w:ascii="宋体" w:hAnsi="宋体"/>
          <w:sz w:val="21"/>
          <w:szCs w:val="21"/>
        </w:rPr>
      </w:pPr>
      <w:r>
        <w:rPr>
          <w:rFonts w:hint="eastAsia" w:ascii="宋体" w:hAnsi="宋体"/>
          <w:sz w:val="21"/>
          <w:szCs w:val="21"/>
        </w:rPr>
        <w:t xml:space="preserve">5.最高限价：人民币柒佰陆拾肆万肆仟壹佰元整（¥7644100.00元）</w:t>
      </w:r>
      <w:r/>
    </w:p>
    <w:p>
      <w:pPr>
        <w:pStyle w:val="845"/>
        <w:ind w:left="0" w:firstLine="420"/>
        <w:spacing w:line="360" w:lineRule="auto"/>
        <w:rPr>
          <w:rFonts w:ascii="宋体" w:hAnsi="宋体"/>
          <w:sz w:val="21"/>
          <w:szCs w:val="21"/>
        </w:rPr>
      </w:pPr>
      <w:r>
        <w:rPr>
          <w:rFonts w:hint="eastAsia" w:ascii="宋体" w:hAnsi="宋体"/>
          <w:sz w:val="21"/>
          <w:szCs w:val="21"/>
        </w:rPr>
        <w:t xml:space="preserve">包一最高限价：人民币壹佰叁拾肆万肆仟壹佰元整（¥1344100.00元）</w:t>
      </w:r>
      <w:r/>
    </w:p>
    <w:p>
      <w:pPr>
        <w:pStyle w:val="845"/>
        <w:ind w:left="0" w:firstLine="420"/>
        <w:spacing w:line="360" w:lineRule="auto"/>
        <w:rPr>
          <w:rFonts w:ascii="宋体" w:hAnsi="宋体"/>
          <w:sz w:val="21"/>
          <w:szCs w:val="21"/>
        </w:rPr>
      </w:pPr>
      <w:r>
        <w:rPr>
          <w:rFonts w:hint="eastAsia" w:ascii="宋体" w:hAnsi="宋体"/>
          <w:sz w:val="21"/>
          <w:szCs w:val="21"/>
        </w:rPr>
        <w:t xml:space="preserve">包二最高限价：人民币伍拾万壹仟贰佰元整（¥501200.00元）</w:t>
      </w:r>
      <w:r/>
    </w:p>
    <w:p>
      <w:pPr>
        <w:pStyle w:val="845"/>
        <w:ind w:left="0" w:firstLine="420"/>
        <w:spacing w:line="360" w:lineRule="auto"/>
        <w:rPr>
          <w:rFonts w:ascii="宋体" w:hAnsi="宋体"/>
          <w:sz w:val="21"/>
          <w:szCs w:val="21"/>
        </w:rPr>
      </w:pPr>
      <w:r>
        <w:rPr>
          <w:rFonts w:hint="eastAsia" w:ascii="宋体" w:hAnsi="宋体"/>
          <w:sz w:val="21"/>
          <w:szCs w:val="21"/>
        </w:rPr>
        <w:t xml:space="preserve">包三最高限价：人民币贰佰伍拾伍万元整（¥2550000.00元）</w:t>
      </w:r>
      <w:r/>
    </w:p>
    <w:p>
      <w:pPr>
        <w:pStyle w:val="845"/>
        <w:ind w:left="0" w:firstLine="420"/>
        <w:spacing w:line="360" w:lineRule="auto"/>
        <w:rPr>
          <w:rFonts w:ascii="宋体" w:hAnsi="宋体"/>
          <w:sz w:val="21"/>
          <w:szCs w:val="21"/>
        </w:rPr>
      </w:pPr>
      <w:r>
        <w:rPr>
          <w:rFonts w:hint="eastAsia" w:ascii="宋体" w:hAnsi="宋体"/>
          <w:sz w:val="21"/>
          <w:szCs w:val="21"/>
        </w:rPr>
        <w:t xml:space="preserve">包四最高限价：人民币捌拾捌万贰仟元整（¥882000.00元）</w:t>
      </w:r>
      <w:r/>
    </w:p>
    <w:p>
      <w:pPr>
        <w:pStyle w:val="845"/>
        <w:ind w:left="0" w:firstLine="420"/>
        <w:spacing w:line="360" w:lineRule="auto"/>
        <w:rPr>
          <w:rFonts w:ascii="宋体" w:hAnsi="宋体"/>
          <w:sz w:val="21"/>
          <w:szCs w:val="21"/>
        </w:rPr>
      </w:pPr>
      <w:r>
        <w:rPr>
          <w:rFonts w:hint="eastAsia" w:ascii="宋体" w:hAnsi="宋体"/>
          <w:sz w:val="21"/>
          <w:szCs w:val="21"/>
        </w:rPr>
        <w:t xml:space="preserve">包五最高限价：人民币壹佰零陆万陆仟捌佰元整（¥1066800.00元）</w:t>
      </w:r>
      <w:r/>
    </w:p>
    <w:p>
      <w:pPr>
        <w:pStyle w:val="845"/>
        <w:ind w:left="0" w:firstLine="420"/>
        <w:spacing w:line="360" w:lineRule="auto"/>
        <w:rPr>
          <w:rFonts w:ascii="宋体" w:hAnsi="宋体"/>
          <w:sz w:val="21"/>
          <w:szCs w:val="21"/>
        </w:rPr>
      </w:pPr>
      <w:r>
        <w:rPr>
          <w:rFonts w:hint="eastAsia" w:ascii="宋体" w:hAnsi="宋体"/>
          <w:sz w:val="21"/>
          <w:szCs w:val="21"/>
        </w:rPr>
        <w:t xml:space="preserve">包六最高限价：人民币玖拾万元整（¥900000.00元）</w:t>
      </w:r>
      <w:r/>
    </w:p>
    <w:p>
      <w:pPr>
        <w:pStyle w:val="845"/>
        <w:ind w:left="0" w:firstLine="420"/>
        <w:spacing w:line="360" w:lineRule="auto"/>
        <w:rPr>
          <w:rFonts w:ascii="宋体" w:hAnsi="宋体"/>
          <w:sz w:val="21"/>
          <w:szCs w:val="21"/>
        </w:rPr>
      </w:pPr>
      <w:r>
        <w:rPr>
          <w:rFonts w:hint="eastAsia" w:ascii="宋体" w:hAnsi="宋体"/>
          <w:sz w:val="21"/>
          <w:szCs w:val="21"/>
        </w:rPr>
        <w:t xml:space="preserve">包七最高限价：人民币肆拾万元整（¥400000.00元）</w:t>
      </w:r>
      <w:r/>
    </w:p>
    <w:p>
      <w:pPr>
        <w:pStyle w:val="845"/>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签订合同后60日历天内将货物送达指定地点。质量保证期：从验收合格后三十六个月（双方签署验收报告时起算），抗醇性水成膜泡沫灭火剂保质期≥2年。</w:t>
      </w:r>
      <w:r/>
    </w:p>
    <w:p>
      <w:pPr>
        <w:pStyle w:val="845"/>
        <w:ind w:left="0" w:firstLine="420"/>
        <w:spacing w:line="360" w:lineRule="auto"/>
        <w:rPr>
          <w:rFonts w:asciiTheme="minorEastAsia" w:hAnsiTheme="minorEastAsia" w:eastAsiaTheme="minorEastAsia" w:cstheme="minorEastAsia"/>
          <w:sz w:val="21"/>
          <w:szCs w:val="21"/>
        </w:rPr>
      </w:pPr>
      <w:r>
        <w:rPr>
          <w:rFonts w:hint="eastAsia" w:ascii="宋体" w:hAnsi="宋体"/>
          <w:sz w:val="21"/>
          <w:szCs w:val="21"/>
        </w:rPr>
        <w:t xml:space="preserve">7.采购需求：本项目</w:t>
      </w:r>
      <w:r>
        <w:rPr>
          <w:rFonts w:hint="eastAsia" w:asciiTheme="minorEastAsia" w:hAnsiTheme="minorEastAsia" w:eastAsiaTheme="minorEastAsia" w:cstheme="minorEastAsia"/>
          <w:sz w:val="21"/>
          <w:szCs w:val="21"/>
        </w:rPr>
        <w:t xml:space="preserve">采购2025年部门集中采购目录外器材装备：</w:t>
      </w:r>
      <w:r/>
    </w:p>
    <w:tbl>
      <w:tblPr>
        <w:tblStyle w:val="887"/>
        <w:tblW w:w="72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04"/>
        <w:gridCol w:w="2552"/>
        <w:gridCol w:w="567"/>
        <w:gridCol w:w="850"/>
        <w:gridCol w:w="1418"/>
        <w:gridCol w:w="1134"/>
      </w:tblGrid>
      <w:tr>
        <w:trPr>
          <w:jc w:val="center"/>
          <w:trHeight w:val="20"/>
        </w:trPr>
        <w:tc>
          <w:tcPr>
            <w:tcW w:w="704" w:type="dxa"/>
            <w:vAlign w:val="center"/>
            <w:textDirection w:val="lrTb"/>
            <w:noWrap w:val="false"/>
          </w:tcPr>
          <w:p>
            <w:pPr>
              <w:ind w:left="0"/>
              <w:jc w:val="center"/>
              <w:widowControl w:val="off"/>
              <w:rPr>
                <w:rFonts w:cs="Times New Roman" w:asciiTheme="minorEastAsia" w:hAnsiTheme="minorEastAsia" w:eastAsiaTheme="minorEastAsia"/>
                <w:b/>
                <w:bCs/>
                <w:sz w:val="21"/>
                <w:szCs w:val="21"/>
              </w:rPr>
            </w:pPr>
            <w:r>
              <w:rPr>
                <w:rFonts w:cs="Times New Roman" w:asciiTheme="minorEastAsia" w:hAnsiTheme="minorEastAsia" w:eastAsiaTheme="minorEastAsia"/>
                <w:b/>
                <w:bCs/>
                <w:sz w:val="21"/>
                <w:szCs w:val="21"/>
              </w:rPr>
              <w:t xml:space="preserve">包号</w:t>
            </w:r>
            <w:r/>
          </w:p>
        </w:tc>
        <w:tc>
          <w:tcPr>
            <w:tcW w:w="2552" w:type="dxa"/>
            <w:vAlign w:val="center"/>
            <w:textDirection w:val="lrTb"/>
            <w:noWrap w:val="false"/>
          </w:tcPr>
          <w:p>
            <w:pPr>
              <w:ind w:left="0"/>
              <w:jc w:val="center"/>
              <w:widowControl w:val="off"/>
              <w:rPr>
                <w:rFonts w:cs="Times New Roman" w:asciiTheme="minorEastAsia" w:hAnsiTheme="minorEastAsia" w:eastAsiaTheme="minorEastAsia"/>
                <w:b/>
                <w:bCs/>
                <w:sz w:val="21"/>
                <w:szCs w:val="21"/>
              </w:rPr>
            </w:pPr>
            <w:r>
              <w:rPr>
                <w:rFonts w:hint="eastAsia" w:cs="Times New Roman" w:asciiTheme="minorEastAsia" w:hAnsiTheme="minorEastAsia" w:eastAsiaTheme="minorEastAsia"/>
                <w:b/>
                <w:bCs/>
                <w:sz w:val="21"/>
                <w:szCs w:val="21"/>
              </w:rPr>
              <w:t xml:space="preserve">装备</w:t>
            </w:r>
            <w:r>
              <w:rPr>
                <w:rFonts w:cs="Times New Roman" w:asciiTheme="minorEastAsia" w:hAnsiTheme="minorEastAsia" w:eastAsiaTheme="minorEastAsia"/>
                <w:b/>
                <w:bCs/>
                <w:sz w:val="21"/>
                <w:szCs w:val="21"/>
              </w:rPr>
              <w:t xml:space="preserve">名称</w:t>
            </w:r>
            <w:r/>
          </w:p>
        </w:tc>
        <w:tc>
          <w:tcPr>
            <w:tcW w:w="567" w:type="dxa"/>
            <w:vAlign w:val="center"/>
            <w:textDirection w:val="lrTb"/>
            <w:noWrap w:val="false"/>
          </w:tcPr>
          <w:p>
            <w:pPr>
              <w:ind w:left="0"/>
              <w:jc w:val="center"/>
              <w:widowControl w:val="off"/>
              <w:rPr>
                <w:rFonts w:cs="Times New Roman" w:asciiTheme="minorEastAsia" w:hAnsiTheme="minorEastAsia" w:eastAsiaTheme="minorEastAsia"/>
                <w:b/>
                <w:bCs/>
                <w:sz w:val="21"/>
                <w:szCs w:val="21"/>
              </w:rPr>
            </w:pPr>
            <w:r>
              <w:rPr>
                <w:rFonts w:cs="Times New Roman" w:asciiTheme="minorEastAsia" w:hAnsiTheme="minorEastAsia" w:eastAsiaTheme="minorEastAsia"/>
                <w:b/>
                <w:bCs/>
                <w:sz w:val="21"/>
                <w:szCs w:val="21"/>
              </w:rPr>
              <w:t xml:space="preserve">计量单位</w:t>
            </w:r>
            <w:r/>
          </w:p>
        </w:tc>
        <w:tc>
          <w:tcPr>
            <w:tcW w:w="850" w:type="dxa"/>
            <w:vAlign w:val="center"/>
            <w:textDirection w:val="lrTb"/>
            <w:noWrap w:val="false"/>
          </w:tcPr>
          <w:p>
            <w:pPr>
              <w:ind w:left="0"/>
              <w:jc w:val="center"/>
              <w:widowControl w:val="off"/>
              <w:rPr>
                <w:rFonts w:cs="Times New Roman" w:asciiTheme="minorEastAsia" w:hAnsiTheme="minorEastAsia" w:eastAsiaTheme="minorEastAsia"/>
                <w:b/>
                <w:bCs/>
                <w:sz w:val="21"/>
                <w:szCs w:val="21"/>
              </w:rPr>
            </w:pPr>
            <w:r>
              <w:rPr>
                <w:rFonts w:cs="Times New Roman" w:asciiTheme="minorEastAsia" w:hAnsiTheme="minorEastAsia" w:eastAsiaTheme="minorEastAsia"/>
                <w:b/>
                <w:bCs/>
                <w:sz w:val="21"/>
                <w:szCs w:val="21"/>
              </w:rPr>
              <w:t xml:space="preserve">数量</w:t>
            </w:r>
            <w:r/>
          </w:p>
        </w:tc>
        <w:tc>
          <w:tcPr>
            <w:tcW w:w="1418" w:type="dxa"/>
            <w:vAlign w:val="center"/>
            <w:textDirection w:val="lrTb"/>
            <w:noWrap w:val="false"/>
          </w:tcPr>
          <w:p>
            <w:pPr>
              <w:ind w:left="0"/>
              <w:jc w:val="center"/>
              <w:widowControl w:val="off"/>
              <w:rPr>
                <w:rFonts w:cs="Times New Roman" w:asciiTheme="minorEastAsia" w:hAnsiTheme="minorEastAsia" w:eastAsiaTheme="minorEastAsia"/>
                <w:b/>
                <w:bCs/>
                <w:sz w:val="21"/>
                <w:szCs w:val="21"/>
              </w:rPr>
            </w:pPr>
            <w:r>
              <w:rPr>
                <w:rFonts w:hint="eastAsia" w:cs="Times New Roman" w:asciiTheme="minorEastAsia" w:hAnsiTheme="minorEastAsia" w:eastAsiaTheme="minorEastAsia"/>
                <w:b/>
                <w:bCs/>
                <w:sz w:val="21"/>
                <w:szCs w:val="21"/>
              </w:rPr>
              <w:t xml:space="preserve">是否进口</w:t>
            </w:r>
            <w:r/>
          </w:p>
        </w:tc>
        <w:tc>
          <w:tcPr>
            <w:tcW w:w="1134" w:type="dxa"/>
            <w:vAlign w:val="center"/>
            <w:textDirection w:val="lrTb"/>
            <w:noWrap w:val="false"/>
          </w:tcPr>
          <w:p>
            <w:pPr>
              <w:ind w:left="0"/>
              <w:jc w:val="center"/>
              <w:widowControl w:val="off"/>
              <w:rPr>
                <w:rFonts w:cs="Times New Roman" w:asciiTheme="minorEastAsia" w:hAnsiTheme="minorEastAsia" w:eastAsiaTheme="minorEastAsia"/>
                <w:b/>
                <w:bCs/>
                <w:sz w:val="21"/>
                <w:szCs w:val="21"/>
              </w:rPr>
            </w:pPr>
            <w:r>
              <w:rPr>
                <w:rFonts w:hint="eastAsia" w:cs="Times New Roman" w:asciiTheme="minorEastAsia" w:hAnsiTheme="minorEastAsia" w:eastAsiaTheme="minorEastAsia"/>
                <w:b/>
                <w:bCs/>
                <w:sz w:val="21"/>
                <w:szCs w:val="21"/>
              </w:rPr>
              <w:t xml:space="preserve">核心产品</w:t>
            </w:r>
            <w:r/>
          </w:p>
        </w:tc>
      </w:tr>
      <w:tr>
        <w:trPr>
          <w:jc w:val="center"/>
          <w:trHeight w:val="20"/>
        </w:trPr>
        <w:tc>
          <w:tcPr>
            <w:tcW w:w="704" w:type="dxa"/>
            <w:vAlign w:val="center"/>
            <w:vMerge w:val="restart"/>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c>
          <w:tcPr>
            <w:tcW w:w="2552" w:type="dxa"/>
            <w:vAlign w:val="center"/>
            <w:textDirection w:val="lrTb"/>
            <w:noWrap w:val="false"/>
          </w:tcPr>
          <w:p>
            <w:pPr>
              <w:ind w:left="0"/>
              <w:jc w:val="lef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激流救生衣</w:t>
            </w:r>
            <w:r/>
          </w:p>
        </w:tc>
        <w:tc>
          <w:tcPr>
            <w:tcW w:w="567"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bCs/>
                <w:sz w:val="21"/>
                <w:szCs w:val="21"/>
              </w:rPr>
              <w:t xml:space="preserve">件</w:t>
            </w:r>
            <w:r/>
          </w:p>
        </w:tc>
        <w:tc>
          <w:tcPr>
            <w:tcW w:w="850"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202</w:t>
            </w:r>
            <w:r/>
          </w:p>
        </w:tc>
        <w:tc>
          <w:tcPr>
            <w:tcW w:w="1418"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否</w:t>
            </w:r>
            <w:r/>
          </w:p>
        </w:tc>
        <w:tc>
          <w:tcPr>
            <w:tcW w:w="1134" w:type="dxa"/>
            <w:vAlign w:val="center"/>
            <w:textDirection w:val="lrTb"/>
            <w:noWrap w:val="false"/>
          </w:tcPr>
          <w:p>
            <w:pPr>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20"/>
        </w:trPr>
        <w:tc>
          <w:tcPr>
            <w:tcW w:w="704" w:type="dxa"/>
            <w:vAlign w:val="center"/>
            <w:vMerge w:val="continue"/>
            <w:textDirection w:val="lrTb"/>
            <w:noWrap w:val="false"/>
          </w:tcPr>
          <w:p>
            <w:pPr>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52" w:type="dxa"/>
            <w:vAlign w:val="center"/>
            <w:textDirection w:val="lrTb"/>
            <w:noWrap w:val="false"/>
          </w:tcPr>
          <w:p>
            <w:pPr>
              <w:ind w:left="0"/>
              <w:jc w:val="lef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水域救援头盔</w:t>
            </w:r>
            <w:r/>
          </w:p>
        </w:tc>
        <w:tc>
          <w:tcPr>
            <w:tcW w:w="567" w:type="dxa"/>
            <w:vAlign w:val="center"/>
            <w:textDirection w:val="lrTb"/>
            <w:noWrap w:val="false"/>
          </w:tcPr>
          <w:p>
            <w:pPr>
              <w:ind w:left="0"/>
              <w:jc w:val="center"/>
              <w:widowControl w:val="off"/>
              <w:rPr>
                <w:rFonts w:cs="Times New Roman" w:asciiTheme="minorEastAsia" w:hAnsiTheme="minorEastAsia" w:eastAsiaTheme="minorEastAsia"/>
                <w:bCs/>
                <w:sz w:val="21"/>
                <w:szCs w:val="21"/>
              </w:rPr>
            </w:pPr>
            <w:r>
              <w:rPr>
                <w:rFonts w:cs="Times New Roman" w:asciiTheme="minorEastAsia" w:hAnsiTheme="minorEastAsia" w:eastAsiaTheme="minorEastAsia"/>
                <w:bCs/>
                <w:sz w:val="21"/>
                <w:szCs w:val="21"/>
              </w:rPr>
              <w:t xml:space="preserve">顶</w:t>
            </w:r>
            <w:r/>
          </w:p>
        </w:tc>
        <w:tc>
          <w:tcPr>
            <w:tcW w:w="850"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149</w:t>
            </w:r>
            <w:r/>
          </w:p>
        </w:tc>
        <w:tc>
          <w:tcPr>
            <w:tcW w:w="1418"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否</w:t>
            </w:r>
            <w:r/>
          </w:p>
        </w:tc>
        <w:tc>
          <w:tcPr>
            <w:tcW w:w="1134" w:type="dxa"/>
            <w:vAlign w:val="center"/>
            <w:textDirection w:val="lrTb"/>
            <w:noWrap w:val="false"/>
          </w:tcPr>
          <w:p>
            <w:pPr>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20"/>
        </w:trPr>
        <w:tc>
          <w:tcPr>
            <w:tcW w:w="704" w:type="dxa"/>
            <w:vAlign w:val="center"/>
            <w:vMerge w:val="continue"/>
            <w:textDirection w:val="lrTb"/>
            <w:noWrap w:val="false"/>
          </w:tcPr>
          <w:p>
            <w:pPr>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52" w:type="dxa"/>
            <w:vAlign w:val="center"/>
            <w:textDirection w:val="lrTb"/>
            <w:noWrap w:val="false"/>
          </w:tcPr>
          <w:p>
            <w:pPr>
              <w:ind w:left="0"/>
              <w:jc w:val="lef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湿式水域救援服</w:t>
            </w:r>
            <w:r/>
          </w:p>
        </w:tc>
        <w:tc>
          <w:tcPr>
            <w:tcW w:w="567"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bCs/>
                <w:sz w:val="21"/>
                <w:szCs w:val="21"/>
              </w:rPr>
              <w:t xml:space="preserve">件</w:t>
            </w:r>
            <w:r/>
          </w:p>
        </w:tc>
        <w:tc>
          <w:tcPr>
            <w:tcW w:w="850"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207</w:t>
            </w:r>
            <w:r/>
          </w:p>
        </w:tc>
        <w:tc>
          <w:tcPr>
            <w:tcW w:w="1418"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否</w:t>
            </w:r>
            <w:r/>
          </w:p>
        </w:tc>
        <w:tc>
          <w:tcPr>
            <w:tcW w:w="1134"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核心产品</w:t>
            </w:r>
            <w:r/>
          </w:p>
        </w:tc>
      </w:tr>
      <w:tr>
        <w:trPr>
          <w:jc w:val="center"/>
          <w:trHeight w:val="20"/>
        </w:trPr>
        <w:tc>
          <w:tcPr>
            <w:tcW w:w="704" w:type="dxa"/>
            <w:vAlign w:val="center"/>
            <w:vMerge w:val="continue"/>
            <w:textDirection w:val="lrTb"/>
            <w:noWrap w:val="false"/>
          </w:tcPr>
          <w:p>
            <w:pPr>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52" w:type="dxa"/>
            <w:vAlign w:val="center"/>
            <w:textDirection w:val="lrTb"/>
            <w:noWrap w:val="false"/>
          </w:tcPr>
          <w:p>
            <w:pPr>
              <w:ind w:left="0"/>
              <w:jc w:val="lef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水域救援靴</w:t>
            </w:r>
            <w:r/>
          </w:p>
        </w:tc>
        <w:tc>
          <w:tcPr>
            <w:tcW w:w="567"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bCs/>
                <w:sz w:val="21"/>
                <w:szCs w:val="21"/>
              </w:rPr>
              <w:t xml:space="preserve">双</w:t>
            </w:r>
            <w:r/>
          </w:p>
        </w:tc>
        <w:tc>
          <w:tcPr>
            <w:tcW w:w="850"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249</w:t>
            </w:r>
            <w:r/>
          </w:p>
        </w:tc>
        <w:tc>
          <w:tcPr>
            <w:tcW w:w="1418"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否</w:t>
            </w:r>
            <w:r/>
          </w:p>
        </w:tc>
        <w:tc>
          <w:tcPr>
            <w:tcW w:w="1134" w:type="dxa"/>
            <w:vAlign w:val="center"/>
            <w:textDirection w:val="lrTb"/>
            <w:noWrap w:val="false"/>
          </w:tcPr>
          <w:p>
            <w:pPr>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20"/>
        </w:trPr>
        <w:tc>
          <w:tcPr>
            <w:tcW w:w="704"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w:t>
            </w:r>
            <w:r/>
          </w:p>
        </w:tc>
        <w:tc>
          <w:tcPr>
            <w:tcW w:w="2552" w:type="dxa"/>
            <w:vAlign w:val="center"/>
            <w:textDirection w:val="lrTb"/>
            <w:noWrap w:val="false"/>
          </w:tcPr>
          <w:p>
            <w:pPr>
              <w:ind w:left="0"/>
              <w:jc w:val="left"/>
              <w:widowControl w:val="off"/>
              <w:rPr>
                <w:rFonts w:cs="Times New Roman" w:asciiTheme="minorEastAsia" w:hAnsiTheme="minorEastAsia" w:eastAsiaTheme="minorEastAsia"/>
                <w:spacing w:val="-4"/>
                <w:sz w:val="21"/>
                <w:szCs w:val="21"/>
              </w:rPr>
            </w:pPr>
            <w:r>
              <w:rPr>
                <w:rFonts w:cs="Times New Roman" w:asciiTheme="minorEastAsia" w:hAnsiTheme="minorEastAsia" w:eastAsiaTheme="minorEastAsia"/>
                <w:spacing w:val="-4"/>
                <w:sz w:val="21"/>
                <w:szCs w:val="21"/>
              </w:rPr>
              <w:t xml:space="preserve">手提式强光照明灯</w:t>
            </w:r>
            <w:r/>
          </w:p>
        </w:tc>
        <w:tc>
          <w:tcPr>
            <w:tcW w:w="567"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bCs/>
                <w:sz w:val="21"/>
                <w:szCs w:val="21"/>
              </w:rPr>
              <w:t xml:space="preserve">个</w:t>
            </w:r>
            <w:r/>
          </w:p>
        </w:tc>
        <w:tc>
          <w:tcPr>
            <w:tcW w:w="850"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179</w:t>
            </w:r>
            <w:r/>
          </w:p>
        </w:tc>
        <w:tc>
          <w:tcPr>
            <w:tcW w:w="1418"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否</w:t>
            </w:r>
            <w:r/>
          </w:p>
        </w:tc>
        <w:tc>
          <w:tcPr>
            <w:tcW w:w="1134" w:type="dxa"/>
            <w:vAlign w:val="center"/>
            <w:textDirection w:val="lrTb"/>
            <w:noWrap w:val="false"/>
          </w:tcPr>
          <w:p>
            <w:pPr>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20"/>
        </w:trPr>
        <w:tc>
          <w:tcPr>
            <w:tcW w:w="704"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3</w:t>
            </w:r>
            <w:r/>
          </w:p>
        </w:tc>
        <w:tc>
          <w:tcPr>
            <w:tcW w:w="2552" w:type="dxa"/>
            <w:vAlign w:val="center"/>
            <w:textDirection w:val="lrTb"/>
            <w:noWrap w:val="false"/>
          </w:tcPr>
          <w:p>
            <w:pPr>
              <w:ind w:left="0"/>
              <w:jc w:val="left"/>
              <w:widowControl w:val="off"/>
              <w:rPr>
                <w:rFonts w:cs="Times New Roman" w:asciiTheme="minorEastAsia" w:hAnsiTheme="minorEastAsia" w:eastAsiaTheme="minorEastAsia"/>
                <w:spacing w:val="-4"/>
                <w:sz w:val="21"/>
                <w:szCs w:val="21"/>
              </w:rPr>
            </w:pPr>
            <w:r>
              <w:rPr>
                <w:rFonts w:cs="Times New Roman" w:asciiTheme="minorEastAsia" w:hAnsiTheme="minorEastAsia" w:eastAsiaTheme="minorEastAsia"/>
                <w:spacing w:val="-4"/>
                <w:sz w:val="21"/>
                <w:szCs w:val="21"/>
              </w:rPr>
              <w:t xml:space="preserve">消防用红外热像仪</w:t>
            </w:r>
            <w:r/>
          </w:p>
        </w:tc>
        <w:tc>
          <w:tcPr>
            <w:tcW w:w="567"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bCs/>
                <w:sz w:val="21"/>
                <w:szCs w:val="21"/>
              </w:rPr>
              <w:t xml:space="preserve">个</w:t>
            </w:r>
            <w:r/>
          </w:p>
        </w:tc>
        <w:tc>
          <w:tcPr>
            <w:tcW w:w="850"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34</w:t>
            </w:r>
            <w:r/>
          </w:p>
        </w:tc>
        <w:tc>
          <w:tcPr>
            <w:tcW w:w="1418"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否</w:t>
            </w:r>
            <w:r/>
          </w:p>
        </w:tc>
        <w:tc>
          <w:tcPr>
            <w:tcW w:w="1134" w:type="dxa"/>
            <w:vAlign w:val="center"/>
            <w:textDirection w:val="lrTb"/>
            <w:noWrap w:val="false"/>
          </w:tcPr>
          <w:p>
            <w:pPr>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20"/>
        </w:trPr>
        <w:tc>
          <w:tcPr>
            <w:tcW w:w="704" w:type="dxa"/>
            <w:vAlign w:val="center"/>
            <w:vMerge w:val="restart"/>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4</w:t>
            </w:r>
            <w:r/>
          </w:p>
        </w:tc>
        <w:tc>
          <w:tcPr>
            <w:tcW w:w="2552" w:type="dxa"/>
            <w:vAlign w:val="center"/>
            <w:textDirection w:val="lrTb"/>
            <w:noWrap w:val="false"/>
          </w:tcPr>
          <w:p>
            <w:pPr>
              <w:ind w:left="0"/>
              <w:jc w:val="lef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有毒气体探测仪</w:t>
            </w:r>
            <w:r/>
          </w:p>
        </w:tc>
        <w:tc>
          <w:tcPr>
            <w:tcW w:w="567"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bCs/>
                <w:sz w:val="21"/>
                <w:szCs w:val="21"/>
              </w:rPr>
              <w:t xml:space="preserve">个</w:t>
            </w:r>
            <w:r/>
          </w:p>
        </w:tc>
        <w:tc>
          <w:tcPr>
            <w:tcW w:w="850"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53</w:t>
            </w:r>
            <w:r/>
          </w:p>
        </w:tc>
        <w:tc>
          <w:tcPr>
            <w:tcW w:w="1418"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否</w:t>
            </w:r>
            <w:r/>
          </w:p>
        </w:tc>
        <w:tc>
          <w:tcPr>
            <w:tcW w:w="1134"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核心产品</w:t>
            </w:r>
            <w:r/>
          </w:p>
        </w:tc>
      </w:tr>
      <w:tr>
        <w:trPr>
          <w:jc w:val="center"/>
          <w:trHeight w:val="20"/>
        </w:trPr>
        <w:tc>
          <w:tcPr>
            <w:tcW w:w="704" w:type="dxa"/>
            <w:vAlign w:val="center"/>
            <w:vMerge w:val="continue"/>
            <w:textDirection w:val="lrTb"/>
            <w:noWrap w:val="false"/>
          </w:tcPr>
          <w:p>
            <w:pPr>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52" w:type="dxa"/>
            <w:vAlign w:val="center"/>
            <w:textDirection w:val="lrTb"/>
            <w:noWrap w:val="false"/>
          </w:tcPr>
          <w:p>
            <w:pPr>
              <w:ind w:left="0"/>
              <w:jc w:val="lef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漏电探测仪</w:t>
            </w:r>
            <w:r>
              <w:rPr>
                <w:rFonts w:hint="eastAsia" w:cs="Times New Roman" w:asciiTheme="minorEastAsia" w:hAnsiTheme="minorEastAsia" w:eastAsiaTheme="minorEastAsia"/>
                <w:sz w:val="21"/>
                <w:szCs w:val="21"/>
              </w:rPr>
              <w:t xml:space="preserve">（漏电探测棒）</w:t>
            </w:r>
            <w:r/>
          </w:p>
        </w:tc>
        <w:tc>
          <w:tcPr>
            <w:tcW w:w="567" w:type="dxa"/>
            <w:vAlign w:val="center"/>
            <w:textDirection w:val="lrTb"/>
            <w:noWrap w:val="false"/>
          </w:tcPr>
          <w:p>
            <w:pPr>
              <w:ind w:left="0"/>
              <w:jc w:val="center"/>
              <w:widowControl w:val="off"/>
              <w:rPr>
                <w:rFonts w:cs="Times New Roman" w:asciiTheme="minorEastAsia" w:hAnsiTheme="minorEastAsia" w:eastAsiaTheme="minorEastAsia"/>
                <w:bCs/>
                <w:sz w:val="21"/>
                <w:szCs w:val="21"/>
              </w:rPr>
            </w:pPr>
            <w:r>
              <w:rPr>
                <w:rFonts w:hint="eastAsia" w:cs="Times New Roman" w:asciiTheme="minorEastAsia" w:hAnsiTheme="minorEastAsia" w:eastAsiaTheme="minorEastAsia"/>
                <w:bCs/>
                <w:sz w:val="21"/>
                <w:szCs w:val="21"/>
              </w:rPr>
              <w:t xml:space="preserve">个</w:t>
            </w:r>
            <w:r/>
          </w:p>
        </w:tc>
        <w:tc>
          <w:tcPr>
            <w:tcW w:w="850"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82</w:t>
            </w:r>
            <w:r/>
          </w:p>
        </w:tc>
        <w:tc>
          <w:tcPr>
            <w:tcW w:w="1418"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否</w:t>
            </w:r>
            <w:r/>
          </w:p>
        </w:tc>
        <w:tc>
          <w:tcPr>
            <w:tcW w:w="1134" w:type="dxa"/>
            <w:vAlign w:val="center"/>
            <w:textDirection w:val="lrTb"/>
            <w:noWrap w:val="false"/>
          </w:tcPr>
          <w:p>
            <w:pPr>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20"/>
        </w:trPr>
        <w:tc>
          <w:tcPr>
            <w:tcW w:w="704" w:type="dxa"/>
            <w:vAlign w:val="center"/>
            <w:vMerge w:val="restart"/>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5</w:t>
            </w:r>
            <w:r/>
          </w:p>
        </w:tc>
        <w:tc>
          <w:tcPr>
            <w:tcW w:w="2552" w:type="dxa"/>
            <w:vAlign w:val="center"/>
            <w:textDirection w:val="lrTb"/>
            <w:noWrap w:val="false"/>
          </w:tcPr>
          <w:p>
            <w:pPr>
              <w:ind w:left="0"/>
              <w:jc w:val="lef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高压森林消防泵</w:t>
            </w:r>
            <w:r/>
          </w:p>
        </w:tc>
        <w:tc>
          <w:tcPr>
            <w:tcW w:w="567"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bCs/>
                <w:sz w:val="21"/>
                <w:szCs w:val="21"/>
              </w:rPr>
              <w:t xml:space="preserve">个</w:t>
            </w:r>
            <w:r/>
          </w:p>
        </w:tc>
        <w:tc>
          <w:tcPr>
            <w:tcW w:w="850"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14</w:t>
            </w:r>
            <w:r/>
          </w:p>
        </w:tc>
        <w:tc>
          <w:tcPr>
            <w:tcW w:w="1418"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否</w:t>
            </w:r>
            <w:r/>
          </w:p>
        </w:tc>
        <w:tc>
          <w:tcPr>
            <w:tcW w:w="1134"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核心产品</w:t>
            </w:r>
            <w:r/>
          </w:p>
        </w:tc>
      </w:tr>
      <w:tr>
        <w:trPr>
          <w:jc w:val="center"/>
          <w:trHeight w:val="20"/>
        </w:trPr>
        <w:tc>
          <w:tcPr>
            <w:tcW w:w="704" w:type="dxa"/>
            <w:vAlign w:val="center"/>
            <w:vMerge w:val="continue"/>
            <w:textDirection w:val="lrTb"/>
            <w:noWrap w:val="false"/>
          </w:tcPr>
          <w:p>
            <w:pPr>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52" w:type="dxa"/>
            <w:vAlign w:val="center"/>
            <w:textDirection w:val="lrTb"/>
            <w:noWrap w:val="false"/>
          </w:tcPr>
          <w:p>
            <w:pPr>
              <w:ind w:left="0"/>
              <w:jc w:val="lef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消防拉梯（6米竹制）</w:t>
            </w:r>
            <w:r/>
          </w:p>
        </w:tc>
        <w:tc>
          <w:tcPr>
            <w:tcW w:w="567"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bCs/>
                <w:sz w:val="21"/>
                <w:szCs w:val="21"/>
              </w:rPr>
              <w:t xml:space="preserve">驾</w:t>
            </w:r>
            <w:r/>
          </w:p>
        </w:tc>
        <w:tc>
          <w:tcPr>
            <w:tcW w:w="850"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141</w:t>
            </w:r>
            <w:r/>
          </w:p>
        </w:tc>
        <w:tc>
          <w:tcPr>
            <w:tcW w:w="1418"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否</w:t>
            </w:r>
            <w:r/>
          </w:p>
        </w:tc>
        <w:tc>
          <w:tcPr>
            <w:tcW w:w="1134" w:type="dxa"/>
            <w:vAlign w:val="center"/>
            <w:textDirection w:val="lrTb"/>
            <w:noWrap w:val="false"/>
          </w:tcPr>
          <w:p>
            <w:pPr>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20"/>
        </w:trPr>
        <w:tc>
          <w:tcPr>
            <w:tcW w:w="704" w:type="dxa"/>
            <w:vAlign w:val="center"/>
            <w:vMerge w:val="continue"/>
            <w:textDirection w:val="lrTb"/>
            <w:noWrap w:val="false"/>
          </w:tcPr>
          <w:p>
            <w:pPr>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52" w:type="dxa"/>
            <w:vAlign w:val="center"/>
            <w:textDirection w:val="lrTb"/>
            <w:noWrap w:val="false"/>
          </w:tcPr>
          <w:p>
            <w:pPr>
              <w:ind w:left="0"/>
              <w:jc w:val="lef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消防员降温背心</w:t>
            </w:r>
            <w:r/>
          </w:p>
        </w:tc>
        <w:tc>
          <w:tcPr>
            <w:tcW w:w="567" w:type="dxa"/>
            <w:vAlign w:val="center"/>
            <w:textDirection w:val="lrTb"/>
            <w:noWrap w:val="false"/>
          </w:tcPr>
          <w:p>
            <w:pPr>
              <w:ind w:left="0"/>
              <w:jc w:val="center"/>
              <w:widowControl w:val="off"/>
              <w:rPr>
                <w:rFonts w:cs="Times New Roman" w:asciiTheme="minorEastAsia" w:hAnsiTheme="minorEastAsia" w:eastAsiaTheme="minorEastAsia"/>
                <w:bCs/>
                <w:sz w:val="21"/>
                <w:szCs w:val="21"/>
              </w:rPr>
            </w:pPr>
            <w:r>
              <w:rPr>
                <w:rFonts w:cs="Times New Roman" w:asciiTheme="minorEastAsia" w:hAnsiTheme="minorEastAsia" w:eastAsiaTheme="minorEastAsia"/>
                <w:bCs/>
                <w:sz w:val="21"/>
                <w:szCs w:val="21"/>
              </w:rPr>
              <w:t xml:space="preserve">件</w:t>
            </w:r>
            <w:r/>
          </w:p>
        </w:tc>
        <w:tc>
          <w:tcPr>
            <w:tcW w:w="850"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132</w:t>
            </w:r>
            <w:r/>
          </w:p>
        </w:tc>
        <w:tc>
          <w:tcPr>
            <w:tcW w:w="1418"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否</w:t>
            </w:r>
            <w:r/>
          </w:p>
        </w:tc>
        <w:tc>
          <w:tcPr>
            <w:tcW w:w="1134" w:type="dxa"/>
            <w:vAlign w:val="center"/>
            <w:textDirection w:val="lrTb"/>
            <w:noWrap w:val="false"/>
          </w:tcPr>
          <w:p>
            <w:pPr>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20"/>
        </w:trPr>
        <w:tc>
          <w:tcPr>
            <w:tcW w:w="704"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6</w:t>
            </w:r>
            <w:r/>
          </w:p>
        </w:tc>
        <w:tc>
          <w:tcPr>
            <w:tcW w:w="2552" w:type="dxa"/>
            <w:vAlign w:val="center"/>
            <w:textDirection w:val="lrTb"/>
            <w:noWrap w:val="false"/>
          </w:tcPr>
          <w:p>
            <w:pPr>
              <w:ind w:left="0"/>
              <w:jc w:val="lef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抗醇性水成膜泡沫灭火剂</w:t>
            </w:r>
            <w:r/>
          </w:p>
        </w:tc>
        <w:tc>
          <w:tcPr>
            <w:tcW w:w="567"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bCs/>
                <w:sz w:val="21"/>
                <w:szCs w:val="21"/>
              </w:rPr>
              <w:t xml:space="preserve">吨</w:t>
            </w:r>
            <w:r/>
          </w:p>
        </w:tc>
        <w:tc>
          <w:tcPr>
            <w:tcW w:w="850"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120</w:t>
            </w:r>
            <w:r/>
          </w:p>
        </w:tc>
        <w:tc>
          <w:tcPr>
            <w:tcW w:w="1418"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否</w:t>
            </w:r>
            <w:r/>
          </w:p>
        </w:tc>
        <w:tc>
          <w:tcPr>
            <w:tcW w:w="1134" w:type="dxa"/>
            <w:vAlign w:val="center"/>
            <w:textDirection w:val="lrTb"/>
            <w:noWrap w:val="false"/>
          </w:tcPr>
          <w:p>
            <w:pPr>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20"/>
        </w:trPr>
        <w:tc>
          <w:tcPr>
            <w:tcW w:w="704"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7</w:t>
            </w:r>
            <w:r/>
          </w:p>
        </w:tc>
        <w:tc>
          <w:tcPr>
            <w:tcW w:w="2552" w:type="dxa"/>
            <w:vAlign w:val="center"/>
            <w:textDirection w:val="lrTb"/>
            <w:noWrap w:val="false"/>
          </w:tcPr>
          <w:p>
            <w:pPr>
              <w:ind w:left="0"/>
              <w:jc w:val="lef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通讯面罩</w:t>
            </w:r>
            <w:r/>
          </w:p>
        </w:tc>
        <w:tc>
          <w:tcPr>
            <w:tcW w:w="567"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bCs/>
                <w:sz w:val="21"/>
                <w:szCs w:val="21"/>
              </w:rPr>
              <w:t xml:space="preserve">个</w:t>
            </w:r>
            <w:r/>
          </w:p>
        </w:tc>
        <w:tc>
          <w:tcPr>
            <w:tcW w:w="850"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40</w:t>
            </w:r>
            <w:r/>
          </w:p>
        </w:tc>
        <w:tc>
          <w:tcPr>
            <w:tcW w:w="1418"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否</w:t>
            </w:r>
            <w:r/>
          </w:p>
        </w:tc>
        <w:tc>
          <w:tcPr>
            <w:tcW w:w="1134" w:type="dxa"/>
            <w:vAlign w:val="center"/>
            <w:textDirection w:val="lrTb"/>
            <w:noWrap w:val="false"/>
          </w:tcPr>
          <w:p>
            <w:pPr>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bl>
    <w:p>
      <w:r/>
      <w:r/>
    </w:p>
    <w:p>
      <w:pPr>
        <w:pStyle w:val="845"/>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45"/>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45"/>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45"/>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45"/>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45"/>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45"/>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45"/>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45"/>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45"/>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45"/>
        <w:ind w:left="0" w:firstLine="420"/>
        <w:spacing w:line="360" w:lineRule="auto"/>
        <w:rPr>
          <w:rFonts w:ascii="宋体" w:hAnsi="宋体"/>
          <w:sz w:val="21"/>
          <w:szCs w:val="21"/>
        </w:rPr>
      </w:pPr>
      <w:r>
        <w:rPr>
          <w:rFonts w:hint="eastAsia" w:ascii="宋体" w:hAnsi="宋体"/>
          <w:sz w:val="21"/>
          <w:szCs w:val="21"/>
        </w:rPr>
        <w:t xml:space="preserve">4. 联合体及转包、分包：本项目不接受联合体，不得转包、分包本项目。</w:t>
      </w:r>
      <w:r/>
    </w:p>
    <w:p>
      <w:pPr>
        <w:pStyle w:val="845"/>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45"/>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45"/>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45"/>
        <w:ind w:left="0" w:firstLine="420"/>
        <w:spacing w:line="360" w:lineRule="auto"/>
        <w:rPr>
          <w:rFonts w:ascii="宋体" w:hAnsi="宋体"/>
          <w:sz w:val="21"/>
          <w:szCs w:val="21"/>
        </w:rPr>
      </w:pPr>
      <w:r>
        <w:rPr>
          <w:rFonts w:hint="eastAsia" w:ascii="宋体" w:hAnsi="宋体"/>
          <w:sz w:val="21"/>
          <w:szCs w:val="21"/>
        </w:rPr>
        <w:t xml:space="preserve">3.方式：</w:t>
      </w:r>
      <w:r/>
    </w:p>
    <w:p>
      <w:pPr>
        <w:pStyle w:val="845"/>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45"/>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845"/>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45"/>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45"/>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45"/>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4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45"/>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45"/>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45"/>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45"/>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6" w:name="OLE_LINK39"/>
      <w:r>
        <w:rPr>
          <w:rFonts w:ascii="宋体" w:hAnsi="宋体"/>
          <w:sz w:val="21"/>
          <w:szCs w:val="21"/>
        </w:rPr>
        <w:t xml:space="preserve">13914088964</w:t>
      </w:r>
      <w:bookmarkEnd w:id="6"/>
      <w:r>
        <w:rPr>
          <w:rFonts w:hint="eastAsia" w:ascii="宋体" w:hAnsi="宋体"/>
          <w:sz w:val="21"/>
          <w:szCs w:val="21"/>
        </w:rPr>
        <w:t xml:space="preserve">；智能客服：登录苏采云系统后，联系系统右下方智能客服图标进行咨询。</w:t>
      </w:r>
      <w:r/>
    </w:p>
    <w:p>
      <w:pPr>
        <w:pStyle w:val="845"/>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45"/>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45"/>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cs="Times New Roman"/>
          <w:sz w:val="21"/>
          <w:szCs w:val="21"/>
          <w:u w:val="single"/>
          <w:lang w:val="en-US" w:eastAsia="zh-CN"/>
        </w:rPr>
        <w:t xml:space="preserve">7</w:t>
      </w:r>
      <w:r>
        <w:rPr>
          <w:rFonts w:hint="eastAsia" w:ascii="宋体" w:hAnsi="宋体" w:cs="Times New Roman"/>
          <w:sz w:val="21"/>
          <w:szCs w:val="21"/>
          <w:u w:val="single"/>
        </w:rPr>
        <w:t xml:space="preserve">月</w:t>
      </w:r>
      <w:r>
        <w:rPr>
          <w:rFonts w:hint="eastAsia" w:ascii="宋体" w:hAnsi="宋体" w:cs="Times New Roman"/>
          <w:sz w:val="21"/>
          <w:szCs w:val="21"/>
          <w:u w:val="single"/>
          <w:lang w:val="en-US" w:eastAsia="zh-CN"/>
        </w:rPr>
        <w:t xml:space="preserve">30</w:t>
      </w:r>
      <w:r>
        <w:rPr>
          <w:rFonts w:hint="eastAsia" w:ascii="宋体" w:hAnsi="宋体" w:cs="Times New Roman"/>
          <w:sz w:val="21"/>
          <w:szCs w:val="21"/>
          <w:u w:val="single"/>
        </w:rPr>
        <w:t xml:space="preserve">日</w:t>
      </w:r>
      <w:r>
        <w:rPr>
          <w:rFonts w:hint="eastAsia" w:ascii="宋体" w:hAnsi="宋体" w:cs="Times New Roman"/>
          <w:sz w:val="21"/>
          <w:szCs w:val="21"/>
          <w:u w:val="single"/>
          <w:lang w:val="en-US" w:eastAsia="zh-CN"/>
        </w:rPr>
        <w:t xml:space="preserve">9</w:t>
      </w:r>
      <w:r>
        <w:rPr>
          <w:rFonts w:hint="eastAsia" w:ascii="宋体" w:hAnsi="宋体" w:cs="Times New Roman"/>
          <w:sz w:val="21"/>
          <w:szCs w:val="21"/>
          <w:u w:val="single"/>
        </w:rPr>
        <w:t xml:space="preserve">点</w:t>
      </w:r>
      <w:r>
        <w:rPr>
          <w:rFonts w:hint="eastAsia" w:ascii="宋体" w:hAnsi="宋体" w:cs="Times New Roman"/>
          <w:sz w:val="21"/>
          <w:szCs w:val="21"/>
          <w:u w:val="single"/>
          <w:lang w:val="en-US" w:eastAsia="zh-CN"/>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rPr>
          <w:rFonts w:ascii="宋体" w:hAnsi="宋体"/>
          <w:sz w:val="21"/>
          <w:szCs w:val="21"/>
        </w:rPr>
        <w:t xml:space="preserve"> </w:t>
      </w:r>
      <w:r/>
    </w:p>
    <w:p>
      <w:pPr>
        <w:pStyle w:val="845"/>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cs="Times New Roman"/>
          <w:sz w:val="21"/>
          <w:szCs w:val="21"/>
          <w:u w:val="single"/>
          <w:lang w:val="en-US" w:eastAsia="zh-CN"/>
        </w:rPr>
        <w:t xml:space="preserve">7</w:t>
      </w:r>
      <w:r>
        <w:rPr>
          <w:rFonts w:hint="eastAsia" w:ascii="宋体" w:hAnsi="宋体" w:cs="Times New Roman"/>
          <w:sz w:val="21"/>
          <w:szCs w:val="21"/>
          <w:u w:val="single"/>
        </w:rPr>
        <w:t xml:space="preserve">月</w:t>
      </w:r>
      <w:r>
        <w:rPr>
          <w:rFonts w:hint="eastAsia" w:ascii="宋体" w:hAnsi="宋体" w:cs="Times New Roman"/>
          <w:sz w:val="21"/>
          <w:szCs w:val="21"/>
          <w:u w:val="single"/>
          <w:lang w:val="en-US" w:eastAsia="zh-CN"/>
        </w:rPr>
        <w:t xml:space="preserve">30</w:t>
      </w:r>
      <w:r>
        <w:rPr>
          <w:rFonts w:hint="eastAsia" w:ascii="宋体" w:hAnsi="宋体" w:cs="Times New Roman"/>
          <w:sz w:val="21"/>
          <w:szCs w:val="21"/>
          <w:u w:val="single"/>
        </w:rPr>
        <w:t xml:space="preserve">日</w:t>
      </w:r>
      <w:r>
        <w:rPr>
          <w:rFonts w:hint="eastAsia" w:ascii="宋体" w:hAnsi="宋体" w:cs="Times New Roman"/>
          <w:sz w:val="21"/>
          <w:szCs w:val="21"/>
          <w:u w:val="single"/>
          <w:lang w:val="en-US" w:eastAsia="zh-CN"/>
        </w:rPr>
        <w:t xml:space="preserve">9</w:t>
      </w:r>
      <w:r>
        <w:rPr>
          <w:rFonts w:hint="eastAsia" w:ascii="宋体" w:hAnsi="宋体" w:cs="Times New Roman"/>
          <w:sz w:val="21"/>
          <w:szCs w:val="21"/>
          <w:u w:val="single"/>
        </w:rPr>
        <w:t xml:space="preserve">点</w:t>
      </w:r>
      <w:r>
        <w:rPr>
          <w:rFonts w:hint="eastAsia" w:ascii="宋体" w:hAnsi="宋体" w:cs="Times New Roman"/>
          <w:sz w:val="21"/>
          <w:szCs w:val="21"/>
          <w:u w:val="single"/>
          <w:lang w:val="en-US" w:eastAsia="zh-CN"/>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p>
    <w:p>
      <w:pPr>
        <w:pStyle w:val="845"/>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45"/>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45"/>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45"/>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45"/>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45"/>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45"/>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w:t>
      </w:r>
      <w:r>
        <w:rPr>
          <w:rFonts w:hint="eastAsia" w:ascii="宋体" w:hAnsi="宋体"/>
          <w:sz w:val="21"/>
          <w:szCs w:val="21"/>
        </w:rPr>
        <w:t xml:space="preserve">江苏省财政厅、中国人民银行南京分行《关于深入推进政府采购线上合同信用融资工作的通知》</w:t>
      </w:r>
      <w:r>
        <w:rPr>
          <w:rFonts w:hint="eastAsia" w:ascii="Times New Roman" w:hAnsi="Times New Roman"/>
          <w:sz w:val="21"/>
          <w:szCs w:val="21"/>
        </w:rPr>
        <w:t xml:space="preserve">相关要求，本项目支持政府采购合同信用融资。</w:t>
      </w:r>
      <w:r/>
    </w:p>
    <w:tbl>
      <w:tblPr>
        <w:tblStyle w:val="838"/>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886"/>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886"/>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ind w:left="0" w:firstLine="420"/>
              <w:spacing w:line="360" w:lineRule="exact"/>
              <w:rPr>
                <w:rFonts w:ascii="宋体" w:hAnsi="宋体"/>
                <w:sz w:val="21"/>
                <w:szCs w:val="21"/>
              </w:rPr>
            </w:pPr>
            <w:r>
              <w:rPr>
                <w:rFonts w:hint="eastAsia" w:ascii="宋体" w:hAnsi="宋体"/>
                <w:sz w:val="21"/>
                <w:szCs w:val="21"/>
              </w:rPr>
              <w:t xml:space="preserve">欢迎贵公司参加政府采购活动！</w:t>
            </w:r>
            <w:r/>
          </w:p>
          <w:p>
            <w:pPr>
              <w:pStyle w:val="886"/>
              <w:ind w:left="0"/>
              <w:spacing w:line="240" w:lineRule="auto"/>
              <w:widowControl w:val="off"/>
              <w:rPr>
                <w:szCs w:val="21"/>
              </w:rPr>
            </w:pPr>
            <w:r>
              <w:rPr>
                <w:rFonts w:hint="eastAsia" w:ascii="宋体" w:hAnsi="宋体" w:cs="宋体"/>
                <w:sz w:val="21"/>
                <w:szCs w:val="21"/>
              </w:rPr>
              <w:t xml:space="preserve">政府采购合同信用融资是江苏省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中国人民银行南京分行《关于深入推进政府采购线上合同信用融资工作的通知》(苏财购〔2021〕82号)要求，按照双方自愿的原则提供便捷、优惠的贷款服务。</w:t>
            </w:r>
            <w:r/>
          </w:p>
        </w:tc>
      </w:tr>
    </w:tbl>
    <w:p>
      <w:pPr>
        <w:pStyle w:val="845"/>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45"/>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45"/>
        <w:ind w:left="0" w:firstLine="420"/>
        <w:spacing w:line="360" w:lineRule="auto"/>
        <w:rPr>
          <w:rFonts w:ascii="宋体" w:hAnsi="宋体"/>
          <w:sz w:val="21"/>
          <w:szCs w:val="21"/>
        </w:rPr>
      </w:pPr>
      <w:r>
        <w:rPr>
          <w:rFonts w:hint="eastAsia" w:ascii="宋体" w:hAnsi="宋体"/>
          <w:sz w:val="21"/>
          <w:szCs w:val="21"/>
        </w:rPr>
        <w:t xml:space="preserve">名称：苏州市消防救援支队  </w:t>
      </w:r>
      <w:r>
        <w:rPr>
          <w:rFonts w:ascii="宋体" w:hAnsi="宋体"/>
          <w:sz w:val="21"/>
          <w:szCs w:val="21"/>
        </w:rPr>
        <w:t xml:space="preserve">                                      </w:t>
      </w:r>
      <w:r/>
    </w:p>
    <w:p>
      <w:pPr>
        <w:pStyle w:val="845"/>
        <w:ind w:left="0" w:firstLine="420"/>
        <w:spacing w:line="360" w:lineRule="auto"/>
        <w:rPr>
          <w:rFonts w:ascii="宋体" w:hAnsi="宋体"/>
          <w:sz w:val="21"/>
          <w:szCs w:val="21"/>
        </w:rPr>
      </w:pPr>
      <w:r>
        <w:rPr>
          <w:rFonts w:hint="eastAsia" w:ascii="宋体" w:hAnsi="宋体"/>
          <w:sz w:val="21"/>
          <w:szCs w:val="21"/>
        </w:rPr>
        <w:t xml:space="preserve">地址：苏州市工业园区中新大道西198号 </w:t>
      </w:r>
      <w:r/>
    </w:p>
    <w:p>
      <w:pPr>
        <w:pStyle w:val="845"/>
        <w:ind w:left="0" w:firstLine="420"/>
        <w:spacing w:line="360" w:lineRule="auto"/>
        <w:rPr>
          <w:rFonts w:ascii="宋体" w:hAnsi="宋体"/>
          <w:sz w:val="21"/>
          <w:szCs w:val="21"/>
        </w:rPr>
      </w:pPr>
      <w:r>
        <w:rPr>
          <w:rFonts w:hint="eastAsia" w:ascii="宋体" w:hAnsi="宋体"/>
          <w:sz w:val="21"/>
          <w:szCs w:val="21"/>
        </w:rPr>
        <w:t xml:space="preserve">联系人：周工</w:t>
      </w:r>
      <w:r/>
    </w:p>
    <w:p>
      <w:pPr>
        <w:pStyle w:val="845"/>
        <w:ind w:left="0" w:firstLine="420"/>
        <w:spacing w:line="360" w:lineRule="auto"/>
        <w:rPr>
          <w:rFonts w:ascii="宋体" w:hAnsi="宋体"/>
          <w:sz w:val="21"/>
          <w:szCs w:val="21"/>
        </w:rPr>
      </w:pPr>
      <w:r>
        <w:rPr>
          <w:rFonts w:hint="eastAsia" w:ascii="宋体" w:hAnsi="宋体"/>
          <w:sz w:val="21"/>
          <w:szCs w:val="21"/>
        </w:rPr>
        <w:t xml:space="preserve">联系方式：0512-62765293 </w:t>
      </w:r>
      <w:r/>
    </w:p>
    <w:p>
      <w:pPr>
        <w:pStyle w:val="845"/>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45"/>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45"/>
        <w:ind w:left="0" w:firstLine="420"/>
        <w:spacing w:line="360" w:lineRule="auto"/>
        <w:rPr>
          <w:rFonts w:ascii="宋体" w:hAnsi="宋体"/>
          <w:sz w:val="21"/>
          <w:szCs w:val="21"/>
        </w:rPr>
      </w:pPr>
      <w:r>
        <w:rPr>
          <w:rFonts w:hint="eastAsia" w:ascii="宋体" w:hAnsi="宋体"/>
          <w:sz w:val="21"/>
          <w:szCs w:val="21"/>
        </w:rPr>
        <w:t xml:space="preserve">地址：苏州高新区邓尉路105号狮山科技馆7楼</w:t>
      </w:r>
      <w:r/>
    </w:p>
    <w:p>
      <w:pPr>
        <w:pStyle w:val="845"/>
        <w:ind w:left="0" w:firstLine="420"/>
        <w:spacing w:line="360" w:lineRule="auto"/>
        <w:rPr>
          <w:rFonts w:ascii="宋体" w:hAnsi="宋体"/>
          <w:sz w:val="21"/>
          <w:szCs w:val="21"/>
        </w:rPr>
      </w:pPr>
      <w:r>
        <w:rPr>
          <w:rFonts w:hint="eastAsia" w:ascii="宋体" w:hAnsi="宋体"/>
          <w:sz w:val="21"/>
          <w:szCs w:val="21"/>
        </w:rPr>
        <w:t xml:space="preserve">联系方式：0512-69820691 </w:t>
      </w:r>
      <w:r/>
    </w:p>
    <w:p>
      <w:pPr>
        <w:pStyle w:val="845"/>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45"/>
        <w:ind w:left="0" w:firstLine="420"/>
        <w:spacing w:line="360" w:lineRule="auto"/>
        <w:rPr>
          <w:rFonts w:ascii="宋体" w:hAnsi="宋体"/>
          <w:sz w:val="21"/>
          <w:szCs w:val="21"/>
        </w:rPr>
      </w:pPr>
      <w:r>
        <w:rPr>
          <w:rFonts w:hint="eastAsia" w:ascii="宋体" w:hAnsi="宋体"/>
          <w:sz w:val="21"/>
          <w:szCs w:val="21"/>
        </w:rPr>
        <w:t xml:space="preserve">项目联系人：朱工、丁工 </w:t>
      </w:r>
      <w:r/>
    </w:p>
    <w:p>
      <w:pPr>
        <w:pStyle w:val="845"/>
        <w:ind w:left="0" w:firstLine="420"/>
        <w:spacing w:line="360" w:lineRule="auto"/>
        <w:rPr>
          <w:rFonts w:ascii="宋体" w:hAnsi="宋体"/>
          <w:sz w:val="21"/>
          <w:szCs w:val="21"/>
        </w:rPr>
      </w:pPr>
      <w:r>
        <w:rPr>
          <w:rFonts w:hint="eastAsia" w:ascii="宋体" w:hAnsi="宋体"/>
          <w:sz w:val="21"/>
          <w:szCs w:val="21"/>
        </w:rPr>
        <w:t xml:space="preserve">电话：0512-69820691 </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39"/>
      </w:pPr>
      <w:r/>
      <w:r/>
    </w:p>
    <w:p>
      <w:r/>
      <w:r/>
    </w:p>
    <w:p>
      <w:pPr>
        <w:pStyle w:val="839"/>
      </w:pPr>
      <w:r/>
      <w:r/>
    </w:p>
    <w:p>
      <w:r/>
      <w:r/>
    </w:p>
    <w:p>
      <w:pPr>
        <w:pStyle w:val="839"/>
      </w:pPr>
      <w:r/>
      <w:r/>
    </w:p>
    <w:p>
      <w:r/>
      <w:r/>
    </w:p>
    <w:p>
      <w:pPr>
        <w:pStyle w:val="839"/>
      </w:pPr>
      <w:r/>
      <w:r/>
    </w:p>
    <w:p>
      <w:r/>
      <w:r/>
    </w:p>
    <w:p>
      <w:pPr>
        <w:pStyle w:val="839"/>
        <w:ind w:left="0" w:firstLine="0"/>
      </w:pPr>
      <w:r/>
      <w:r/>
    </w:p>
    <w:p>
      <w:pPr>
        <w:rPr>
          <w:rFonts w:ascii="宋体" w:hAnsi="宋体"/>
          <w:b/>
          <w:sz w:val="44"/>
          <w:szCs w:val="22"/>
        </w:rPr>
      </w:pPr>
      <w:r/>
      <w:bookmarkStart w:id="7" w:name="_Toc105397777"/>
      <w:r/>
      <w:bookmarkStart w:id="8" w:name="_Toc6217"/>
      <w:r/>
      <w:bookmarkStart w:id="9" w:name="_Toc2412"/>
      <w:r>
        <w:rPr>
          <w:rFonts w:ascii="宋体" w:hAnsi="宋体"/>
          <w:b/>
          <w:sz w:val="44"/>
          <w:szCs w:val="22"/>
        </w:rPr>
        <w:br w:type="page" w:clear="all"/>
      </w:r>
      <w:r/>
    </w:p>
    <w:p>
      <w:pPr>
        <w:pStyle w:val="828"/>
        <w:ind w:left="0" w:firstLine="0"/>
        <w:jc w:val="center"/>
        <w:rPr>
          <w:rFonts w:ascii="宋体" w:hAnsi="宋体"/>
          <w:b/>
          <w:sz w:val="44"/>
          <w:szCs w:val="22"/>
        </w:rPr>
      </w:pP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0" w:name="投标人须知"/>
      <w:r/>
      <w:bookmarkEnd w:id="10"/>
      <w:r>
        <w:rPr>
          <w:rFonts w:ascii="宋体" w:hAnsi="宋体"/>
          <w:b/>
          <w:sz w:val="44"/>
          <w:szCs w:val="22"/>
        </w:rPr>
        <w:t xml:space="preserve">投标人须知</w:t>
      </w:r>
      <w:bookmarkEnd w:id="7"/>
      <w:r/>
      <w:bookmarkEnd w:id="8"/>
      <w:r/>
      <w:bookmarkEnd w:id="9"/>
      <w:r/>
      <w:r/>
    </w:p>
    <w:p>
      <w:pPr>
        <w:pStyle w:val="845"/>
        <w:ind w:left="0" w:firstLine="422"/>
        <w:spacing w:line="360" w:lineRule="auto"/>
        <w:rPr>
          <w:rFonts w:ascii="宋体" w:hAnsi="宋体"/>
          <w:b/>
          <w:sz w:val="21"/>
          <w:szCs w:val="21"/>
        </w:rPr>
      </w:pPr>
      <w:r/>
      <w:bookmarkStart w:id="11" w:name="_Toc20132"/>
      <w:r/>
      <w:bookmarkStart w:id="12" w:name="_Toc13437"/>
      <w:r>
        <w:rPr>
          <w:rFonts w:hint="eastAsia" w:ascii="宋体" w:hAnsi="宋体"/>
          <w:b/>
          <w:sz w:val="21"/>
          <w:szCs w:val="21"/>
        </w:rPr>
        <w:t xml:space="preserve">一、说明和释义</w:t>
      </w:r>
      <w:bookmarkEnd w:id="11"/>
      <w:r/>
      <w:bookmarkEnd w:id="12"/>
      <w:r/>
      <w:r/>
    </w:p>
    <w:p>
      <w:pPr>
        <w:pStyle w:val="845"/>
        <w:ind w:left="0" w:firstLine="422"/>
        <w:spacing w:line="360" w:lineRule="auto"/>
        <w:rPr>
          <w:rFonts w:ascii="宋体" w:hAnsi="宋体"/>
          <w:b/>
          <w:sz w:val="21"/>
          <w:szCs w:val="21"/>
        </w:rPr>
      </w:pPr>
      <w:r/>
      <w:bookmarkStart w:id="13" w:name="_Toc9408"/>
      <w:r>
        <w:rPr>
          <w:rFonts w:hint="eastAsia" w:ascii="宋体" w:hAnsi="宋体"/>
          <w:b/>
          <w:sz w:val="21"/>
          <w:szCs w:val="21"/>
        </w:rPr>
        <w:t xml:space="preserve">1.说明</w:t>
      </w:r>
      <w:bookmarkEnd w:id="13"/>
      <w:r/>
      <w:r/>
    </w:p>
    <w:p>
      <w:pPr>
        <w:pStyle w:val="845"/>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45"/>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45"/>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45"/>
        <w:ind w:left="0" w:firstLine="422"/>
        <w:spacing w:line="360" w:lineRule="auto"/>
        <w:rPr>
          <w:rFonts w:ascii="宋体" w:hAnsi="宋体"/>
          <w:b/>
          <w:sz w:val="21"/>
          <w:szCs w:val="21"/>
        </w:rPr>
      </w:pPr>
      <w:r/>
      <w:bookmarkStart w:id="14" w:name="_Toc27555"/>
      <w:r>
        <w:rPr>
          <w:rFonts w:hint="eastAsia" w:ascii="宋体" w:hAnsi="宋体"/>
          <w:b/>
          <w:sz w:val="21"/>
          <w:szCs w:val="21"/>
        </w:rPr>
        <w:t xml:space="preserve">2.词语释义</w:t>
      </w:r>
      <w:bookmarkEnd w:id="14"/>
      <w:r/>
      <w:r/>
    </w:p>
    <w:p>
      <w:pPr>
        <w:pStyle w:val="845"/>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45"/>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45"/>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4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4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4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4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4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4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4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4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5" w:name="_Toc14976"/>
      <w:r/>
      <w:bookmarkStart w:id="16" w:name="_Toc13350"/>
      <w:r/>
      <w:r/>
    </w:p>
    <w:p>
      <w:pPr>
        <w:pStyle w:val="845"/>
        <w:ind w:left="0" w:firstLine="422"/>
        <w:spacing w:line="360" w:lineRule="auto"/>
        <w:rPr>
          <w:rFonts w:ascii="宋体" w:hAnsi="宋体"/>
          <w:sz w:val="21"/>
          <w:szCs w:val="21"/>
        </w:rPr>
      </w:pPr>
      <w:r>
        <w:rPr>
          <w:rFonts w:hint="eastAsia" w:ascii="宋体" w:hAnsi="宋体"/>
          <w:b/>
          <w:sz w:val="21"/>
          <w:szCs w:val="21"/>
        </w:rPr>
        <w:t xml:space="preserve">二、投标人</w:t>
      </w:r>
      <w:bookmarkEnd w:id="15"/>
      <w:r/>
      <w:bookmarkEnd w:id="16"/>
      <w:r/>
      <w:r/>
    </w:p>
    <w:p>
      <w:pPr>
        <w:pStyle w:val="845"/>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884"/>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884"/>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884"/>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884"/>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884"/>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884"/>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884"/>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884"/>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84"/>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884"/>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884"/>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884"/>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884"/>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45"/>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45"/>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45"/>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45"/>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7" w:name="_Toc31958"/>
      <w:r/>
      <w:bookmarkStart w:id="18" w:name="_Toc5764"/>
      <w:r/>
      <w:r/>
    </w:p>
    <w:p>
      <w:pPr>
        <w:pStyle w:val="845"/>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45"/>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7"/>
      <w:r/>
      <w:bookmarkEnd w:id="18"/>
      <w:r/>
      <w:r/>
    </w:p>
    <w:p>
      <w:pPr>
        <w:pStyle w:val="845"/>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45"/>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pStyle w:val="845"/>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45"/>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江苏政府采购网对外进行发布。澄清或者修改的内容为招标文件的组成部分。</w:t>
      </w:r>
      <w:r/>
    </w:p>
    <w:p>
      <w:pPr>
        <w:pStyle w:val="845"/>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江苏政府采购网对外进行发布；不足15日的，采购人或者采购代理机构应当顺延提交投标文件的截止时间。</w:t>
      </w:r>
      <w:r/>
    </w:p>
    <w:p>
      <w:pPr>
        <w:pStyle w:val="845"/>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8.3对于补充通知（包括更正公告），投标人通过“江苏政府采购网”的“更正公告”自行查看项目的补充通知（包括更正公告）。补充通知（包括更正公告）将作为招标文件的组成部分，对所有投标人有约束力。</w:t>
      </w:r>
      <w:r/>
    </w:p>
    <w:p>
      <w:pPr>
        <w:pStyle w:val="845"/>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8.4招标文件的澄清、修改、补充等内容均以江苏政府采购网上发布的内容为准。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45"/>
        <w:ind w:left="0" w:firstLine="420"/>
        <w:spacing w:line="360" w:lineRule="auto"/>
        <w:rPr>
          <w:rFonts w:ascii="宋体" w:hAnsi="宋体"/>
          <w:sz w:val="21"/>
          <w:szCs w:val="21"/>
        </w:rPr>
      </w:pPr>
      <w:r/>
      <w:bookmarkStart w:id="19" w:name="_Toc19463"/>
      <w:r/>
      <w:bookmarkStart w:id="20"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45"/>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45"/>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45"/>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45"/>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45"/>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45"/>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45"/>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45"/>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45"/>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45"/>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45"/>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1" w:name="OLE_LINK41"/>
      <w:r/>
      <w:bookmarkStart w:id="22" w:name="OLE_LINK42"/>
      <w:r/>
      <w:bookmarkStart w:id="23" w:name="OLE_LINK38"/>
      <w:r>
        <w:rPr>
          <w:rFonts w:hint="eastAsia" w:ascii="宋体" w:hAnsi="宋体"/>
          <w:b/>
          <w:sz w:val="21"/>
          <w:szCs w:val="21"/>
        </w:rPr>
        <w:t xml:space="preserve">请将合法获取招标文件的证明材料（即《投标供应商确认函》）、</w:t>
      </w:r>
      <w:bookmarkStart w:id="24" w:name="OLE_LINK43"/>
      <w:r>
        <w:rPr>
          <w:rFonts w:hint="eastAsia" w:ascii="宋体" w:hAnsi="宋体"/>
          <w:b/>
          <w:sz w:val="21"/>
          <w:szCs w:val="21"/>
        </w:rPr>
        <w:t xml:space="preserve">供应商营业执照复印件、法定代表人身份证复印件、授权代表身份证复印件（如有）、授权委托书（如有）</w:t>
      </w:r>
      <w:bookmarkEnd w:id="21"/>
      <w:r/>
      <w:bookmarkEnd w:id="22"/>
      <w:r/>
      <w:bookmarkEnd w:id="23"/>
      <w:r/>
      <w:bookmarkEnd w:id="24"/>
      <w:r>
        <w:rPr>
          <w:rFonts w:hint="eastAsia" w:ascii="宋体" w:hAnsi="宋体"/>
          <w:b/>
          <w:sz w:val="21"/>
          <w:szCs w:val="21"/>
        </w:rPr>
        <w:t xml:space="preserve">与质疑函一起递交，否则不予受理。</w:t>
      </w:r>
      <w:r/>
    </w:p>
    <w:p>
      <w:pPr>
        <w:pStyle w:val="845"/>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45"/>
        <w:ind w:left="0" w:firstLine="422"/>
        <w:spacing w:line="360" w:lineRule="auto"/>
        <w:rPr>
          <w:rFonts w:hint="default" w:ascii="宋体" w:hAnsi="宋体" w:eastAsia="宋体"/>
          <w:b/>
          <w:sz w:val="21"/>
          <w:szCs w:val="21"/>
          <w:lang w:val="en-US" w:eastAsia="zh-CN"/>
        </w:rPr>
      </w:pPr>
      <w:r>
        <w:rPr>
          <w:rFonts w:hint="eastAsia" w:ascii="宋体" w:hAnsi="宋体"/>
          <w:b/>
          <w:sz w:val="21"/>
          <w:szCs w:val="21"/>
          <w:lang w:val="en-US" w:eastAsia="zh-CN"/>
        </w:rPr>
        <w:t xml:space="preserve">本项目的质疑由采购人负责答复。</w:t>
      </w:r>
      <w:r/>
    </w:p>
    <w:p>
      <w:pPr>
        <w:pStyle w:val="845"/>
        <w:ind w:left="0" w:firstLine="422"/>
        <w:spacing w:line="360" w:lineRule="auto"/>
        <w:rPr>
          <w:rFonts w:ascii="宋体" w:hAnsi="宋体"/>
          <w:b/>
          <w:sz w:val="21"/>
          <w:szCs w:val="21"/>
        </w:rPr>
      </w:pPr>
      <w:r>
        <w:rPr>
          <w:rFonts w:hint="eastAsia" w:ascii="宋体" w:hAnsi="宋体"/>
          <w:b/>
          <w:sz w:val="21"/>
          <w:szCs w:val="21"/>
        </w:rPr>
        <w:t xml:space="preserve">质疑联系人：周工</w:t>
      </w:r>
      <w:r/>
    </w:p>
    <w:p>
      <w:pPr>
        <w:pStyle w:val="845"/>
        <w:ind w:left="0" w:firstLine="422"/>
        <w:spacing w:line="360" w:lineRule="auto"/>
        <w:rPr>
          <w:rFonts w:ascii="宋体" w:hAnsi="宋体"/>
          <w:b/>
          <w:sz w:val="21"/>
          <w:szCs w:val="21"/>
        </w:rPr>
      </w:pPr>
      <w:r/>
      <w:bookmarkStart w:id="25" w:name="OLE_LINK33"/>
      <w:r/>
      <w:bookmarkStart w:id="26" w:name="OLE_LINK35"/>
      <w:r/>
      <w:bookmarkStart w:id="27" w:name="OLE_LINK20"/>
      <w:r/>
      <w:bookmarkStart w:id="28" w:name="OLE_LINK32"/>
      <w:r>
        <w:rPr>
          <w:rFonts w:hint="eastAsia" w:ascii="宋体" w:hAnsi="宋体"/>
          <w:b/>
          <w:sz w:val="21"/>
          <w:szCs w:val="21"/>
        </w:rPr>
        <w:t xml:space="preserve">联系电话：0512-62765293</w:t>
      </w:r>
      <w:r/>
    </w:p>
    <w:p>
      <w:pPr>
        <w:pStyle w:val="845"/>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b/>
          <w:bCs/>
          <w:sz w:val="21"/>
          <w:szCs w:val="21"/>
        </w:rPr>
        <w:t xml:space="preserve">苏州市工业园区中新大道西198号</w:t>
      </w:r>
      <w:bookmarkEnd w:id="25"/>
      <w:bookmarkEnd w:id="26"/>
      <w:bookmarkEnd w:id="27"/>
      <w:bookmarkEnd w:id="28"/>
      <w:r/>
    </w:p>
    <w:p>
      <w:pPr>
        <w:pStyle w:val="845"/>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19"/>
      <w:r/>
      <w:bookmarkEnd w:id="20"/>
      <w:r/>
      <w:r/>
    </w:p>
    <w:p>
      <w:pPr>
        <w:pStyle w:val="845"/>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4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4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45"/>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4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4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45"/>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4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84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4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84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88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88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8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4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4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tabs>
          <w:tab w:val="center" w:pos="4932" w:leader="none"/>
        </w:tabs>
        <w:rPr>
          <w:rFonts w:ascii="宋体" w:hAnsi="宋体"/>
          <w:sz w:val="21"/>
          <w:szCs w:val="21"/>
        </w:rPr>
      </w:pPr>
      <w:r>
        <w:rPr>
          <w:rFonts w:hint="eastAsia" w:ascii="宋体" w:hAnsi="宋体"/>
          <w:sz w:val="21"/>
          <w:szCs w:val="21"/>
        </w:rPr>
        <w:t xml:space="preserve">14.1.5.1投标函（格式见第三章）；</w:t>
      </w:r>
      <w:r>
        <w:rPr>
          <w:rFonts w:hint="eastAsia" w:ascii="宋体" w:hAnsi="宋体"/>
          <w:sz w:val="21"/>
          <w:szCs w:val="21"/>
        </w:rPr>
        <w:tab/>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14.1.5.5参加本次政府采购活动前3年内在经营活动中，投标人和其单位负责人无行贿犯罪行为的。</w:t>
      </w:r>
      <w:r/>
    </w:p>
    <w:p>
      <w:pPr>
        <w:ind w:left="0"/>
        <w:spacing w:line="360" w:lineRule="auto"/>
        <w:rPr>
          <w:rFonts w:ascii="宋体" w:hAnsi="宋体"/>
          <w:sz w:val="21"/>
          <w:szCs w:val="21"/>
        </w:rPr>
      </w:pPr>
      <w:r>
        <w:rPr>
          <w:rFonts w:hint="eastAsia" w:ascii="宋体" w:hAnsi="宋体"/>
          <w:sz w:val="21"/>
          <w:szCs w:val="21"/>
        </w:rPr>
        <w:t xml:space="preserve">须提供承诺函（声明函）（格式见第三章）。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w:t>
      </w:r>
      <w:r>
        <w:rPr>
          <w:rFonts w:hint="eastAsia" w:ascii="宋体" w:hAnsi="宋体"/>
          <w:sz w:val="21"/>
          <w:szCs w:val="21"/>
        </w:rPr>
        <w:t xml:space="preserve">6其他有关符合性证明的文件；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62"/>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62"/>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w:t>
      </w:r>
      <w:r>
        <w:rPr>
          <w:rFonts w:hint="eastAsia" w:ascii="宋体" w:hAnsi="宋体" w:cs="宋体"/>
          <w:b/>
          <w:bCs/>
          <w:sz w:val="21"/>
          <w:szCs w:val="21"/>
          <w:lang w:val="en-US"/>
        </w:rPr>
        <w:t xml:space="preserve">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62"/>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4.1.4-14.1.8</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62"/>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62"/>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投标人应对招标文件内所要采购的全部内容进行报价，只投其中部分内容者，其标书将被拒绝（如为多包项目，则上述提到的全部内容是指所投包对应采购的全部内容）。</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062"/>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62"/>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29" w:name="_Toc31150"/>
      <w:r/>
      <w:bookmarkStart w:id="30"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9"/>
      <w:bookmarkEnd w:id="30"/>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062"/>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.1投标人应当在投标截止时间前制作并上传电子投标文件。</w:t>
      </w:r>
      <w:r/>
    </w:p>
    <w:p>
      <w:pPr>
        <w:pStyle w:val="845"/>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062"/>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6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6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6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31" w:name="_Toc29371"/>
      <w:r/>
      <w:bookmarkStart w:id="32" w:name="_Toc22837"/>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62"/>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1"/>
      <w:r/>
      <w:bookmarkEnd w:id="32"/>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.2根据政府采购法及相关法规，以及《财政部关于在政府采购活动中查询及使用信用记录有关问题的通知》（</w:t>
      </w:r>
      <w:r>
        <w:rPr>
          <w:rFonts w:hint="eastAsia" w:ascii="宋体" w:hAnsi="宋体"/>
          <w:sz w:val="21"/>
          <w:szCs w:val="21"/>
        </w:rPr>
        <w:t xml:space="preserve">财库〔2016〕125号</w:t>
      </w:r>
      <w:r>
        <w:rPr>
          <w:rFonts w:hint="eastAsia" w:ascii="宋体" w:hAnsi="宋体" w:cs="宋体"/>
          <w:sz w:val="21"/>
          <w:szCs w:val="21"/>
        </w:rPr>
        <w:t xml:space="preserve">）文件的规定，采购代理机构将对供应商进行信用查询：</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62"/>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62"/>
        <w:ind w:left="0" w:firstLine="422"/>
        <w:spacing w:line="360" w:lineRule="auto"/>
        <w:rPr>
          <w:rFonts w:ascii="宋体" w:hAnsi="宋体" w:cs="宋体"/>
          <w:b/>
          <w:sz w:val="21"/>
          <w:szCs w:val="21"/>
        </w:rPr>
      </w:pPr>
      <w:r/>
      <w:bookmarkStart w:id="33"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062"/>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34" w:name="OLE_LINK6"/>
      <w:r/>
      <w:bookmarkStart w:id="35" w:name="OLE_LINK5"/>
      <w:r>
        <w:rPr>
          <w:rFonts w:hint="eastAsia" w:ascii="宋体" w:hAnsi="宋体" w:cs="宋体"/>
          <w:b/>
          <w:sz w:val="21"/>
          <w:szCs w:val="21"/>
          <w:lang w:val="en-US"/>
        </w:rPr>
        <w:t xml:space="preserve">评标</w:t>
      </w:r>
      <w:bookmarkEnd w:id="34"/>
      <w:r/>
      <w:bookmarkEnd w:id="35"/>
      <w:r>
        <w:rPr>
          <w:rFonts w:hint="eastAsia" w:ascii="宋体" w:hAnsi="宋体" w:cs="宋体"/>
          <w:b/>
          <w:sz w:val="21"/>
          <w:szCs w:val="21"/>
          <w:lang w:val="en-US"/>
        </w:rPr>
        <w:t xml:space="preserve">委员会应当启动异常低价投标审查程序：</w:t>
      </w:r>
      <w:r/>
    </w:p>
    <w:p>
      <w:pPr>
        <w:pStyle w:val="1062"/>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062"/>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062"/>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062"/>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062"/>
        <w:ind w:left="0" w:firstLine="422"/>
        <w:spacing w:line="360" w:lineRule="auto"/>
        <w:rPr>
          <w:shd w:val="clear" w:color="auto" w:fill="ffffff"/>
        </w:rPr>
      </w:pPr>
      <w:r/>
      <w:bookmarkStart w:id="36" w:name="OLE_LINK3"/>
      <w:r/>
      <w:bookmarkStart w:id="37" w:name="OLE_LINK4"/>
      <w:r>
        <w:rPr>
          <w:rFonts w:ascii="宋体" w:hAnsi="宋体"/>
          <w:b/>
          <w:sz w:val="21"/>
          <w:szCs w:val="21"/>
        </w:rPr>
        <w:t xml:space="preserve">26.4.2</w:t>
      </w:r>
      <w:r>
        <w:rPr>
          <w:rFonts w:hint="eastAsia" w:ascii="宋体" w:hAnsi="宋体"/>
          <w:b/>
          <w:sz w:val="21"/>
          <w:szCs w:val="21"/>
        </w:rPr>
        <w:t xml:space="preserve">启动异常低价投标审查后，</w:t>
      </w:r>
      <w:bookmarkStart w:id="38" w:name="OLE_LINK2"/>
      <w:r/>
      <w:bookmarkStart w:id="39" w:name="OLE_LINK1"/>
      <w:r>
        <w:rPr>
          <w:rFonts w:hint="eastAsia" w:ascii="宋体" w:hAnsi="宋体"/>
          <w:b/>
          <w:sz w:val="21"/>
          <w:szCs w:val="21"/>
        </w:rPr>
        <w:t xml:space="preserve">评标委员会</w:t>
      </w:r>
      <w:bookmarkEnd w:id="38"/>
      <w:r/>
      <w:bookmarkEnd w:id="39"/>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40" w:name="OLE_LINK9"/>
      <w:r/>
      <w:bookmarkStart w:id="41" w:name="OLE_LINK10"/>
      <w:r>
        <w:rPr>
          <w:rFonts w:hint="eastAsia" w:ascii="宋体" w:hAnsi="宋体"/>
          <w:b/>
          <w:sz w:val="21"/>
          <w:szCs w:val="21"/>
        </w:rPr>
        <w:t xml:space="preserve">，</w:t>
      </w:r>
      <w:bookmarkEnd w:id="40"/>
      <w:r/>
      <w:bookmarkEnd w:id="41"/>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062"/>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062"/>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62"/>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36"/>
      <w:r/>
      <w:bookmarkEnd w:id="37"/>
      <w:r/>
      <w:r/>
    </w:p>
    <w:p>
      <w:pPr>
        <w:pStyle w:val="1062"/>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3"/>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62"/>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（五）机器码检查中，出现不同投标人投标文件机器码一致情形的；</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62"/>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62"/>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62"/>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2" w:name="_Toc18442"/>
      <w:r/>
      <w:bookmarkStart w:id="43" w:name="_Toc19501"/>
      <w:r/>
      <w:r/>
    </w:p>
    <w:p>
      <w:pPr>
        <w:pStyle w:val="1062"/>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2"/>
      <w:r/>
      <w:bookmarkEnd w:id="43"/>
      <w:r/>
      <w:r/>
    </w:p>
    <w:p>
      <w:pPr>
        <w:pStyle w:val="1062"/>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62"/>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62"/>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62"/>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采购人与中标人原则上应当在中标通知书发出之日起三十日内，按照招标文件及投标文件确定的事项签订政府采购合同。</w:t>
      </w:r>
      <w:r/>
    </w:p>
    <w:p>
      <w:pPr>
        <w:pStyle w:val="1062"/>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62"/>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4" w:name="_Toc21029"/>
      <w:r/>
      <w:bookmarkStart w:id="45" w:name="_Toc8186"/>
      <w:r/>
      <w:r/>
    </w:p>
    <w:p>
      <w:pPr>
        <w:pStyle w:val="1062"/>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4"/>
      <w:r/>
      <w:bookmarkEnd w:id="45"/>
      <w:r/>
      <w:r/>
    </w:p>
    <w:p>
      <w:pPr>
        <w:pStyle w:val="1062"/>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62"/>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62"/>
        <w:ind w:left="0" w:firstLine="0"/>
        <w:spacing w:line="360" w:lineRule="auto"/>
        <w:rPr>
          <w:rFonts w:ascii="宋体" w:hAnsi="宋体" w:cs="宋体"/>
          <w:sz w:val="21"/>
          <w:szCs w:val="21"/>
        </w:rPr>
      </w:pPr>
      <w:r>
        <w:rPr>
          <w:rFonts w:ascii="宋体" w:hAnsi="宋体" w:cs="宋体"/>
          <w:sz w:val="21"/>
          <w:szCs w:val="21"/>
        </w:rPr>
      </w:r>
      <w:r/>
    </w:p>
    <w:p>
      <w:pPr>
        <w:pStyle w:val="1062"/>
        <w:ind w:left="0" w:firstLine="0"/>
        <w:spacing w:line="360" w:lineRule="auto"/>
        <w:rPr>
          <w:rFonts w:ascii="宋体" w:hAnsi="宋体" w:cs="宋体"/>
          <w:sz w:val="21"/>
          <w:szCs w:val="21"/>
        </w:rPr>
      </w:pPr>
      <w:r>
        <w:rPr>
          <w:rFonts w:ascii="宋体" w:hAnsi="宋体" w:cs="宋体"/>
          <w:sz w:val="21"/>
          <w:szCs w:val="21"/>
        </w:rPr>
      </w:r>
      <w:r/>
    </w:p>
    <w:p>
      <w:pPr>
        <w:pStyle w:val="828"/>
        <w:ind w:left="0" w:firstLine="0"/>
        <w:jc w:val="center"/>
        <w:rPr>
          <w:rFonts w:ascii="宋体" w:hAnsi="宋体"/>
          <w:sz w:val="21"/>
          <w:szCs w:val="21"/>
          <w:lang w:val="zh-CN"/>
        </w:rPr>
      </w:pPr>
      <w:r/>
      <w:bookmarkStart w:id="46" w:name="_Toc7264"/>
      <w:r/>
      <w:bookmarkStart w:id="47" w:name="_Toc105397778"/>
      <w:r/>
      <w:bookmarkStart w:id="48" w:name="_Toc24711"/>
      <w:r>
        <w:rPr>
          <w:rFonts w:hint="eastAsia" w:ascii="宋体" w:hAnsi="宋体"/>
          <w:b/>
          <w:sz w:val="44"/>
          <w:szCs w:val="22"/>
        </w:rPr>
        <w:br w:type="page" w:clear="all"/>
      </w:r>
      <w:r>
        <w:rPr>
          <w:rFonts w:hint="eastAsia" w:ascii="宋体" w:hAnsi="宋体"/>
          <w:b/>
          <w:sz w:val="44"/>
          <w:szCs w:val="22"/>
        </w:rPr>
        <w:t xml:space="preserve">第三章  </w:t>
      </w:r>
      <w:bookmarkStart w:id="49" w:name="投标文件格式"/>
      <w:r/>
      <w:bookmarkEnd w:id="49"/>
      <w:r>
        <w:rPr>
          <w:rFonts w:hint="eastAsia" w:ascii="宋体" w:hAnsi="宋体"/>
          <w:b/>
          <w:sz w:val="44"/>
          <w:szCs w:val="22"/>
        </w:rPr>
        <w:t xml:space="preserve">投标文件格式</w:t>
      </w:r>
      <w:bookmarkEnd w:id="46"/>
      <w:r/>
      <w:bookmarkEnd w:id="47"/>
      <w:r/>
      <w:bookmarkEnd w:id="48"/>
      <w:r/>
      <w:r/>
    </w:p>
    <w:p>
      <w:pPr>
        <w:ind w:left="0"/>
        <w:spacing w:line="440" w:lineRule="exact"/>
        <w:rPr>
          <w:rFonts w:ascii="宋体" w:hAnsi="宋体"/>
          <w:b/>
          <w:sz w:val="21"/>
          <w:szCs w:val="21"/>
        </w:rPr>
      </w:pPr>
      <w:r>
        <w:rPr>
          <w:rFonts w:ascii="宋体" w:hAnsi="宋体"/>
          <w:b/>
          <w:sz w:val="21"/>
          <w:szCs w:val="21"/>
        </w:rPr>
        <w:t xml:space="preserve">说明：</w:t>
      </w:r>
      <w:r/>
    </w:p>
    <w:p>
      <w:pPr>
        <w:pStyle w:val="1062"/>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0" w:name="_Toc105397779"/>
      <w:r/>
      <w:bookmarkStart w:id="51" w:name="_Toc17036"/>
      <w:r/>
      <w:bookmarkStart w:id="52" w:name="_Toc3821"/>
      <w:r/>
      <w:bookmarkStart w:id="53" w:name="_Toc71810480"/>
      <w:r>
        <w:rPr>
          <w:rFonts w:hint="eastAsia" w:ascii="宋体" w:hAnsi="宋体"/>
          <w:b/>
          <w:sz w:val="21"/>
          <w:szCs w:val="21"/>
        </w:rPr>
        <w:t xml:space="preserve">附件1.投标函</w:t>
      </w:r>
      <w:bookmarkEnd w:id="50"/>
      <w:r/>
      <w:bookmarkEnd w:id="51"/>
      <w:r/>
      <w:bookmarkEnd w:id="52"/>
      <w:r/>
      <w:bookmarkEnd w:id="53"/>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4" w:name="_Toc71810481"/>
      <w:r/>
      <w:bookmarkStart w:id="55"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4"/>
      <w:r/>
      <w:bookmarkEnd w:id="55"/>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6" w:name="TBR"/>
      <w:r/>
      <w:bookmarkEnd w:id="56"/>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7" w:name="XMBH"/>
      <w:r/>
      <w:bookmarkEnd w:id="57"/>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58" w:name="FBH"/>
      <w:r/>
      <w:bookmarkEnd w:id="58"/>
      <w:r/>
      <w:r/>
    </w:p>
    <w:tbl>
      <w:tblPr>
        <w:tblStyle w:val="83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59" w:name="XMMC"/>
            <w:r/>
            <w:bookmarkEnd w:id="59"/>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0" w:name="JEXX"/>
            <w:r/>
            <w:bookmarkEnd w:id="60"/>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1" w:name="JEDX"/>
            <w:r/>
            <w:bookmarkEnd w:id="61"/>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2" w:name="NF"/>
      <w:r/>
      <w:bookmarkEnd w:id="62"/>
      <w:r>
        <w:rPr>
          <w:rFonts w:hint="eastAsia" w:ascii="宋体" w:hAnsi="宋体"/>
          <w:sz w:val="21"/>
          <w:szCs w:val="21"/>
        </w:rPr>
        <w:t xml:space="preserve"> 年 </w:t>
      </w:r>
      <w:bookmarkStart w:id="63" w:name="YF"/>
      <w:r/>
      <w:bookmarkEnd w:id="63"/>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4" w:name="RI"/>
      <w:r/>
      <w:bookmarkEnd w:id="64"/>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53"/>
        <w:rPr>
          <w:rFonts w:ascii="宋体" w:hAnsi="宋体"/>
        </w:rPr>
      </w:pPr>
      <w:r>
        <w:rPr>
          <w:rFonts w:ascii="宋体" w:hAnsi="宋体"/>
        </w:rPr>
      </w:r>
      <w:r/>
    </w:p>
    <w:p>
      <w:pPr>
        <w:ind w:left="0"/>
        <w:spacing w:line="440" w:lineRule="exact"/>
        <w:rPr>
          <w:rFonts w:ascii="宋体" w:hAnsi="宋体"/>
          <w:b/>
          <w:sz w:val="21"/>
          <w:szCs w:val="21"/>
        </w:rPr>
      </w:pPr>
      <w:r/>
      <w:bookmarkStart w:id="65" w:name="_Toc241"/>
      <w:r/>
      <w:bookmarkStart w:id="66" w:name="_Toc7945"/>
      <w:r/>
      <w:bookmarkStart w:id="67"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53"/>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68" w:name="_Toc105397781"/>
      <w:r>
        <w:rPr>
          <w:rFonts w:ascii="宋体" w:hAnsi="宋体"/>
          <w:b/>
          <w:sz w:val="21"/>
          <w:szCs w:val="21"/>
        </w:rPr>
        <w:t xml:space="preserve">附件3</w:t>
      </w:r>
      <w:bookmarkEnd w:id="65"/>
      <w:r/>
      <w:bookmarkEnd w:id="66"/>
      <w:r>
        <w:rPr>
          <w:rFonts w:hint="eastAsia" w:ascii="宋体" w:hAnsi="宋体"/>
          <w:b/>
          <w:sz w:val="21"/>
          <w:szCs w:val="21"/>
        </w:rPr>
        <w:t xml:space="preserve">.</w:t>
      </w:r>
      <w:bookmarkEnd w:id="67"/>
      <w:r/>
      <w:bookmarkEnd w:id="68"/>
      <w:r>
        <w:rPr>
          <w:rFonts w:hint="eastAsia" w:ascii="宋体" w:hAnsi="宋体"/>
          <w:b/>
          <w:sz w:val="21"/>
          <w:szCs w:val="21"/>
        </w:rPr>
        <w:t xml:space="preserve">公开分项报价</w:t>
      </w:r>
      <w:r/>
    </w:p>
    <w:p>
      <w:pPr>
        <w:ind w:left="0"/>
        <w:jc w:val="center"/>
        <w:spacing w:before="100" w:beforeAutospacing="1" w:after="100" w:afterAutospacing="1" w:line="480" w:lineRule="auto"/>
        <w:rPr>
          <w:rFonts w:ascii="宋体" w:hAnsi="宋体"/>
          <w:b/>
          <w:sz w:val="21"/>
          <w:szCs w:val="21"/>
        </w:rPr>
      </w:pPr>
      <w:r/>
      <w:bookmarkStart w:id="69" w:name="OLE_LINK27"/>
      <w:r/>
      <w:bookmarkStart w:id="70" w:name="OLE_LINK28"/>
      <w:r>
        <w:rPr>
          <w:rFonts w:hint="eastAsia" w:ascii="宋体" w:hAnsi="宋体"/>
          <w:b/>
          <w:sz w:val="21"/>
          <w:szCs w:val="21"/>
        </w:rPr>
        <w:t xml:space="preserve">公开分项报价</w:t>
      </w:r>
      <w:bookmarkEnd w:id="69"/>
      <w:bookmarkEnd w:id="70"/>
      <w:r/>
    </w:p>
    <w:p>
      <w:pPr>
        <w:pStyle w:val="853"/>
        <w:ind w:firstLine="0"/>
        <w:jc w:val="right"/>
        <w:rPr>
          <w:rFonts w:ascii="宋体" w:hAnsi="宋体"/>
          <w:sz w:val="21"/>
          <w:szCs w:val="21"/>
        </w:rPr>
      </w:pPr>
      <w:r>
        <w:rPr>
          <w:rFonts w:hint="eastAsia" w:ascii="宋体" w:hAnsi="宋体"/>
          <w:sz w:val="21"/>
          <w:szCs w:val="21"/>
        </w:rPr>
        <w:t xml:space="preserve">单位：元（人民币）</w:t>
      </w:r>
      <w:r/>
    </w:p>
    <w:tbl>
      <w:tblPr>
        <w:tblStyle w:val="838"/>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1" w:name="_Toc105397782"/>
      <w:r/>
      <w:bookmarkStart w:id="72"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1"/>
      <w:r/>
      <w:bookmarkEnd w:id="7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53"/>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3" w:name="_Toc71810484"/>
      <w:r/>
      <w:bookmarkStart w:id="74" w:name="_Toc19621"/>
      <w:r/>
      <w:bookmarkStart w:id="75" w:name="_Toc105397783"/>
      <w:r/>
      <w:bookmarkStart w:id="76" w:name="_Toc2157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3"/>
      <w:r/>
      <w:bookmarkEnd w:id="74"/>
      <w:r/>
      <w:bookmarkEnd w:id="75"/>
      <w:r/>
      <w:bookmarkEnd w:id="7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中小企业声明函（货物）（包号：____）</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bCs/>
          <w:sz w:val="21"/>
          <w:szCs w:val="21"/>
          <w:u w:val="single"/>
        </w:rPr>
        <w:t xml:space="preserve">苏州市消防救援支队</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bCs/>
          <w:sz w:val="21"/>
          <w:szCs w:val="21"/>
          <w:u w:val="single"/>
        </w:rPr>
        <w:t xml:space="preserve">2025年部门集中采购目录外器材装备采购项目</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894"/>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853"/>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77"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53"/>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8"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7"/>
      <w:r/>
      <w:bookmarkEnd w:id="7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9" w:name="_Toc32206"/>
      <w:r/>
      <w:bookmarkStart w:id="80" w:name="_Toc15378"/>
      <w:r/>
      <w:bookmarkStart w:id="81"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9"/>
      <w:r/>
      <w:bookmarkEnd w:id="80"/>
      <w:r/>
      <w:bookmarkEnd w:id="81"/>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80"/>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6"/>
        <w:ind w:left="0" w:firstLine="0"/>
        <w:rPr>
          <w:rFonts w:ascii="宋体" w:hAnsi="宋体"/>
          <w:b/>
          <w:lang w:val="zh-CN"/>
        </w:rPr>
      </w:pPr>
      <w:r>
        <w:rPr>
          <w:rFonts w:ascii="宋体" w:hAnsi="宋体"/>
          <w:b/>
          <w:lang w:val="zh-CN"/>
        </w:rPr>
      </w:r>
      <w:r/>
    </w:p>
    <w:p>
      <w:pPr>
        <w:pStyle w:val="886"/>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886"/>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88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88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88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88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886"/>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86"/>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886"/>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2" w:name="_Toc105397786"/>
      <w:r/>
      <w:bookmarkStart w:id="83" w:name="_Toc27138"/>
      <w:r/>
      <w:bookmarkStart w:id="84" w:name="_Toc31973"/>
      <w:r>
        <w:rPr>
          <w:rFonts w:hint="eastAsia" w:ascii="宋体" w:hAnsi="宋体"/>
          <w:b/>
          <w:sz w:val="21"/>
          <w:szCs w:val="21"/>
        </w:rPr>
        <w:t xml:space="preserve">附件7.关于符合本国产品标准的声明函</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884"/>
        <w:ind w:firstLine="480"/>
        <w:spacing w:before="30" w:after="30"/>
        <w:shd w:val="clear" w:color="auto" w:fill="ffffff"/>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4"/>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3360;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2336;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69504;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1.</w:t>
      </w:r>
      <w:r>
        <w:rPr>
          <w:rStyle w:val="891"/>
          <w:rFonts w:hint="eastAsia"/>
          <w:u w:val="single"/>
        </w:rPr>
        <w:t xml:space="preserve">（产品名称1）</w:t>
      </w:r>
      <w:r>
        <w:rPr>
          <w:rStyle w:val="891"/>
          <w:rFonts w:hint="eastAsia"/>
          <w:vertAlign w:val="superscript"/>
        </w:rPr>
        <w:t xml:space="preserve">1</w:t>
      </w:r>
      <w:r>
        <w:rPr>
          <w:rFonts w:hint="eastAsia"/>
        </w:rPr>
        <w:t xml:space="preserve">，生产厂为</w:t>
      </w:r>
      <w:r>
        <w:rPr>
          <w:rStyle w:val="891"/>
          <w:rFonts w:hint="eastAsia"/>
          <w:u w:val="single"/>
        </w:rPr>
        <w:t xml:space="preserve">（厂名）</w:t>
      </w:r>
      <w:r>
        <w:rPr>
          <w:rStyle w:val="891"/>
          <w:rFonts w:hint="eastAsia"/>
          <w:vertAlign w:val="superscript"/>
        </w:rPr>
        <w:t xml:space="preserve">2</w:t>
      </w:r>
      <w:r>
        <w:rPr>
          <w:rFonts w:hint="eastAsia"/>
        </w:rPr>
        <w:t xml:space="preserve">，厂址为</w:t>
      </w:r>
      <w:r>
        <w:rPr>
          <w:rStyle w:val="891"/>
          <w:rFonts w:hint="eastAsia"/>
          <w:u w:val="single"/>
        </w:rPr>
        <w:t xml:space="preserve">（生产厂址）</w:t>
      </w:r>
      <w:r>
        <w:rPr>
          <w:rFonts w:hint="eastAsia"/>
        </w:rPr>
        <w:t xml:space="preserve">。</w:t>
      </w:r>
      <w:r>
        <w:rPr>
          <w:rStyle w:val="891"/>
          <w:rFonts w:hint="eastAsia"/>
          <w:u w:val="single"/>
        </w:rPr>
        <w:t xml:space="preserve">（产品名称1）</w:t>
      </w:r>
      <w:r>
        <w:rPr>
          <w:rFonts w:hint="eastAsia"/>
        </w:rPr>
        <w:t xml:space="preserve">的中国境内生产的组件成本占比≥</w:t>
      </w:r>
      <w:r>
        <w:rPr>
          <w:rStyle w:val="891"/>
          <w:rFonts w:hint="eastAsia"/>
          <w:u w:val="single"/>
        </w:rPr>
        <w:t xml:space="preserve">（规定比例）</w:t>
      </w:r>
      <w:r>
        <w:rPr>
          <w:rStyle w:val="891"/>
          <w:rFonts w:hint="eastAsia"/>
          <w:vertAlign w:val="superscript"/>
        </w:rPr>
        <w:t xml:space="preserve">3</w:t>
      </w:r>
      <w:r>
        <w:rPr>
          <w:rFonts w:hint="eastAsia"/>
        </w:rPr>
        <w:t xml:space="preserve">。</w:t>
      </w:r>
      <w:r>
        <w:rPr>
          <w:rStyle w:val="891"/>
          <w:rFonts w:hint="eastAsia"/>
          <w:u w:val="single"/>
        </w:rPr>
        <w:t xml:space="preserve">（产品名称1）</w:t>
      </w:r>
      <w:r>
        <w:rPr>
          <w:rFonts w:hint="eastAsia"/>
        </w:rPr>
        <w:t xml:space="preserve">的</w:t>
      </w:r>
      <w:r>
        <w:rPr>
          <w:rStyle w:val="891"/>
          <w:rFonts w:hint="eastAsia"/>
          <w:u w:val="single"/>
        </w:rPr>
        <w:t xml:space="preserve">（关键组件）</w:t>
      </w:r>
      <w:r>
        <w:rPr>
          <w:rStyle w:val="891"/>
          <w:rFonts w:hint="eastAsia"/>
          <w:vertAlign w:val="superscript"/>
        </w:rPr>
        <w:t xml:space="preserve">4</w:t>
      </w:r>
      <w:r>
        <w:rPr>
          <w:rFonts w:hint="eastAsia"/>
        </w:rPr>
        <w:t xml:space="preserve">在中国境内生产。</w:t>
      </w:r>
      <w:r>
        <w:rPr>
          <w:rStyle w:val="891"/>
          <w:rFonts w:hint="eastAsia"/>
          <w:u w:val="single"/>
        </w:rPr>
        <w:t xml:space="preserve">（产品名称1）</w:t>
      </w:r>
      <w:r>
        <w:rPr>
          <w:rFonts w:hint="eastAsia"/>
        </w:rPr>
        <w:t xml:space="preserve">的</w:t>
      </w:r>
      <w:r>
        <w:rPr>
          <w:rStyle w:val="891"/>
          <w:rFonts w:hint="eastAsia"/>
          <w:u w:val="single"/>
        </w:rPr>
        <w:t xml:space="preserve">（关键工序）</w:t>
      </w:r>
      <w:r>
        <w:rPr>
          <w:rStyle w:val="891"/>
          <w:rFonts w:hint="eastAsia"/>
          <w:vertAlign w:val="superscript"/>
        </w:rPr>
        <w:t xml:space="preserve">5</w:t>
      </w:r>
      <w:r>
        <w:rPr>
          <w:rFonts w:hint="eastAsia"/>
        </w:rPr>
        <w:t xml:space="preserve">在中国境内完成。</w:t>
      </w:r>
      <w:r/>
    </w:p>
    <w:p>
      <w:pPr>
        <w:pStyle w:val="884"/>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052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68480;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7456;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6432;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4384;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2.</w:t>
      </w:r>
      <w:r>
        <w:rPr>
          <w:rStyle w:val="891"/>
          <w:rFonts w:hint="eastAsia"/>
          <w:u w:val="single"/>
        </w:rPr>
        <w:t xml:space="preserve">（产品名称2）</w:t>
      </w:r>
      <w:r>
        <w:rPr>
          <w:rFonts w:hint="eastAsia"/>
        </w:rPr>
        <w:t xml:space="preserve">，生产厂为</w:t>
      </w:r>
      <w:r>
        <w:rPr>
          <w:rStyle w:val="891"/>
          <w:rFonts w:hint="eastAsia"/>
          <w:u w:val="single"/>
        </w:rPr>
        <w:t xml:space="preserve">（厂名）</w:t>
      </w:r>
      <w:r>
        <w:rPr>
          <w:rFonts w:hint="eastAsia"/>
        </w:rPr>
        <w:t xml:space="preserve">，厂址为</w:t>
      </w:r>
      <w:r>
        <w:rPr>
          <w:rStyle w:val="891"/>
          <w:rFonts w:hint="eastAsia"/>
          <w:u w:val="single"/>
        </w:rPr>
        <w:t xml:space="preserve">（生产厂址）</w:t>
      </w:r>
      <w:r>
        <w:rPr>
          <w:rFonts w:hint="eastAsia"/>
        </w:rPr>
        <w:t xml:space="preserve">。</w:t>
      </w:r>
      <w:r>
        <w:rPr>
          <w:rStyle w:val="891"/>
          <w:rFonts w:hint="eastAsia"/>
          <w:u w:val="single"/>
        </w:rPr>
        <w:t xml:space="preserve">（产品名称2）</w:t>
      </w:r>
      <w:r>
        <w:rPr>
          <w:rFonts w:hint="eastAsia"/>
        </w:rPr>
        <w:t xml:space="preserve">的中国境内生产的组件成本占比≥</w:t>
      </w:r>
      <w:r>
        <w:rPr>
          <w:rStyle w:val="891"/>
          <w:rFonts w:hint="eastAsia"/>
          <w:u w:val="single"/>
        </w:rPr>
        <w:t xml:space="preserve">（规定比例）</w:t>
      </w:r>
      <w:r>
        <w:rPr>
          <w:rFonts w:hint="eastAsia"/>
        </w:rPr>
        <w:t xml:space="preserve">。</w:t>
      </w:r>
      <w:r>
        <w:rPr>
          <w:rStyle w:val="891"/>
          <w:rFonts w:hint="eastAsia"/>
          <w:u w:val="single"/>
        </w:rPr>
        <w:t xml:space="preserve">（产品名称2）</w:t>
      </w:r>
      <w:r>
        <w:rPr>
          <w:rFonts w:hint="eastAsia"/>
        </w:rPr>
        <w:t xml:space="preserve">的</w:t>
      </w:r>
      <w:r>
        <w:rPr>
          <w:rStyle w:val="891"/>
          <w:rFonts w:hint="eastAsia"/>
          <w:u w:val="single"/>
        </w:rPr>
        <w:t xml:space="preserve">（关键组件）</w:t>
      </w:r>
      <w:r>
        <w:rPr>
          <w:rFonts w:hint="eastAsia"/>
        </w:rPr>
        <w:t xml:space="preserve">在中国境内生产。</w:t>
      </w:r>
      <w:r>
        <w:rPr>
          <w:rStyle w:val="891"/>
          <w:rFonts w:hint="eastAsia"/>
          <w:u w:val="single"/>
        </w:rPr>
        <w:t xml:space="preserve">（产品名称2）</w:t>
      </w:r>
      <w:r>
        <w:rPr>
          <w:rFonts w:hint="eastAsia"/>
        </w:rPr>
        <w:t xml:space="preserve">的</w:t>
      </w:r>
      <w:r>
        <w:rPr>
          <w:rStyle w:val="891"/>
          <w:rFonts w:hint="eastAsia"/>
          <w:u w:val="single"/>
        </w:rPr>
        <w:t xml:space="preserve">（关键工序）</w:t>
      </w:r>
      <w:r>
        <w:rPr>
          <w:rFonts w:hint="eastAsia"/>
        </w:rPr>
        <w:t xml:space="preserve">在中国境内完成。</w:t>
      </w:r>
      <w:r/>
    </w:p>
    <w:p>
      <w:pPr>
        <w:pStyle w:val="884"/>
        <w:ind w:firstLine="480"/>
        <w:spacing w:before="30" w:after="30"/>
        <w:shd w:val="clear" w:color="auto" w:fill="ffffff"/>
      </w:pPr>
      <w:r>
        <w:rPr>
          <w:rFonts w:hint="eastAsia"/>
        </w:rPr>
        <w:t xml:space="preserve">……</w:t>
      </w:r>
      <w:r/>
    </w:p>
    <w:p>
      <w:pPr>
        <w:pStyle w:val="884"/>
        <w:ind w:firstLine="480"/>
        <w:spacing w:before="30" w:after="30"/>
        <w:shd w:val="clear" w:color="auto" w:fill="ffffff"/>
      </w:pPr>
      <w:r>
        <w:rPr>
          <w:rFonts w:hint="eastAsia"/>
        </w:rPr>
        <w:t xml:space="preserve">本公司（单位）对上述声明内容的真实性负责。如有虚假，愿承担相应法律责任。</w:t>
      </w:r>
      <w:r/>
    </w:p>
    <w:p>
      <w:pPr>
        <w:pStyle w:val="884"/>
        <w:spacing w:before="30" w:after="30"/>
        <w:shd w:val="clear" w:color="auto" w:fill="ffffff"/>
      </w:pPr>
      <w:r/>
      <w:r/>
    </w:p>
    <w:p>
      <w:pPr>
        <w:pStyle w:val="884"/>
        <w:ind w:right="615"/>
        <w:jc w:val="right"/>
        <w:spacing w:before="30" w:after="30"/>
        <w:shd w:val="clear" w:color="auto" w:fill="ffffff"/>
      </w:pPr>
      <w:r>
        <w:rPr>
          <w:rFonts w:hint="eastAsia"/>
        </w:rPr>
        <w:t xml:space="preserve">公司（单位）名称（盖章）：</w:t>
      </w:r>
      <w:r>
        <w:t xml:space="preserve"> </w:t>
      </w:r>
      <w:r/>
    </w:p>
    <w:p>
      <w:pPr>
        <w:pStyle w:val="884"/>
        <w:ind w:right="815"/>
        <w:jc w:val="right"/>
        <w:spacing w:before="0" w:after="0"/>
        <w:shd w:val="clear" w:color="auto" w:fill="ffffff"/>
      </w:pPr>
      <w:r>
        <w:t xml:space="preserve">  </w:t>
      </w:r>
      <w:r>
        <w:rPr>
          <w:rFonts w:hint="eastAsia"/>
        </w:rPr>
        <w:t xml:space="preserve">日期： </w:t>
      </w:r>
      <w:r>
        <w:t xml:space="preserve">   </w:t>
      </w:r>
      <w:r>
        <w:rPr>
          <w:rFonts w:hint="eastAsia"/>
        </w:rPr>
        <w:t xml:space="preserve">年 </w:t>
      </w:r>
      <w:r>
        <w:t xml:space="preserve">   </w:t>
      </w:r>
      <w:r>
        <w:rPr>
          <w:rFonts w:hint="eastAsia"/>
        </w:rPr>
        <w:t xml:space="preserve">月 </w:t>
      </w:r>
      <w:r>
        <w:t xml:space="preserve">    </w:t>
      </w:r>
      <w:r>
        <w:rPr>
          <w:rFonts w:hint="eastAsia"/>
        </w:rPr>
        <w:t xml:space="preserve">日</w:t>
      </w:r>
      <w:r/>
    </w:p>
    <w:p>
      <w:pPr>
        <w:pStyle w:val="884"/>
        <w:jc w:val="right"/>
        <w:spacing w:before="0" w:after="0"/>
        <w:shd w:val="clear" w:color="auto" w:fill="ffffff"/>
      </w:pPr>
      <w:r/>
      <w:r/>
    </w:p>
    <w:p>
      <w:pPr>
        <w:pStyle w:val="884"/>
        <w:jc w:val="right"/>
        <w:spacing w:before="0" w:after="0"/>
        <w:shd w:val="clear" w:color="auto" w:fill="ffffff"/>
      </w:pPr>
      <w:r/>
      <w:r/>
    </w:p>
    <w:p>
      <w:pPr>
        <w:pStyle w:val="884"/>
        <w:jc w:val="right"/>
        <w:spacing w:before="0" w:after="0"/>
        <w:shd w:val="clear" w:color="auto" w:fill="ffffff"/>
      </w:pPr>
      <w:r/>
      <w:r/>
    </w:p>
    <w:p>
      <w:pPr>
        <w:pStyle w:val="884"/>
        <w:jc w:val="right"/>
        <w:spacing w:before="0" w:after="0"/>
        <w:shd w:val="clear" w:color="auto" w:fill="ffffff"/>
      </w:pPr>
      <w:r/>
      <w:r/>
    </w:p>
    <w:p>
      <w:pPr>
        <w:pStyle w:val="884"/>
        <w:ind w:left="0" w:firstLine="0"/>
        <w:spacing w:before="30" w:after="30"/>
        <w:shd w:val="clear" w:color="auto" w:fill="ffffff"/>
      </w:pPr>
      <w:r>
        <w:rPr>
          <w:rFonts w:hint="eastAsia"/>
        </w:rPr>
        <w:t xml:space="preserve">__________________</w:t>
      </w:r>
      <w:r/>
    </w:p>
    <w:p>
      <w:pPr>
        <w:pStyle w:val="884"/>
        <w:ind w:firstLine="480"/>
        <w:spacing w:before="0" w:after="0"/>
        <w:shd w:val="clear" w:color="auto" w:fill="ffffff"/>
        <w:rPr>
          <w:sz w:val="21"/>
          <w:szCs w:val="21"/>
        </w:rPr>
      </w:pPr>
      <w:r>
        <w:rPr>
          <w:rFonts w:hint="eastAsia"/>
          <w:sz w:val="21"/>
          <w:szCs w:val="21"/>
        </w:rPr>
        <w:t xml:space="preserve">1.产品如有型号，请在“产品名称”栏一并填写。</w:t>
      </w:r>
      <w:r/>
    </w:p>
    <w:p>
      <w:pPr>
        <w:pStyle w:val="884"/>
        <w:ind w:firstLine="480"/>
        <w:spacing w:before="0" w:after="0"/>
        <w:shd w:val="clear" w:color="auto" w:fill="ffffff"/>
        <w:rPr>
          <w:sz w:val="21"/>
          <w:szCs w:val="21"/>
        </w:rPr>
      </w:pPr>
      <w:r>
        <w:rPr>
          <w:rFonts w:hint="eastAsia"/>
          <w:sz w:val="21"/>
          <w:szCs w:val="21"/>
        </w:rPr>
        <w:t xml:space="preserve">2.生产厂名与厂址应与生产厂营业执照载明的相关信息保持一致。</w:t>
      </w:r>
      <w:r/>
    </w:p>
    <w:p>
      <w:pPr>
        <w:pStyle w:val="884"/>
        <w:ind w:firstLine="480"/>
        <w:spacing w:before="0" w:after="0"/>
        <w:shd w:val="clear" w:color="auto" w:fill="ffffff"/>
        <w:rPr>
          <w:sz w:val="21"/>
          <w:szCs w:val="21"/>
        </w:rPr>
      </w:pPr>
      <w:r>
        <w:rPr>
          <w:rFonts w:hint="eastAsia"/>
          <w:sz w:val="21"/>
          <w:szCs w:val="21"/>
        </w:rPr>
        <w:t xml:space="preserve">3.该产品的中国境内生产的组件成本占比相关要求实施前，“规定比例”栏可不填，下同。</w:t>
      </w:r>
      <w:r/>
    </w:p>
    <w:p>
      <w:pPr>
        <w:pStyle w:val="884"/>
        <w:ind w:firstLine="480"/>
        <w:spacing w:before="0" w:after="0"/>
        <w:shd w:val="clear" w:color="auto" w:fill="ffffff"/>
        <w:rPr>
          <w:sz w:val="21"/>
          <w:szCs w:val="21"/>
        </w:rPr>
      </w:pPr>
      <w:r>
        <w:rPr>
          <w:rFonts w:hint="eastAsia"/>
          <w:sz w:val="21"/>
          <w:szCs w:val="21"/>
        </w:rPr>
        <w:t xml:space="preserve">4.该产品的关键组件要求实施前，“关键组件”栏可不填，下同。</w:t>
      </w:r>
      <w:r/>
    </w:p>
    <w:p>
      <w:pPr>
        <w:pStyle w:val="884"/>
        <w:ind w:firstLine="480"/>
        <w:spacing w:before="0" w:after="0"/>
        <w:shd w:val="clear" w:color="auto" w:fill="ffffff"/>
        <w:rPr>
          <w:sz w:val="21"/>
          <w:szCs w:val="21"/>
        </w:rPr>
      </w:pPr>
      <w:r>
        <w:rPr>
          <w:rFonts w:hint="eastAsia"/>
          <w:sz w:val="21"/>
          <w:szCs w:val="21"/>
        </w:rPr>
        <w:t xml:space="preserve">5.该产品的关键工序要求实施前，“关键工序”栏可不填，下同。</w:t>
      </w:r>
      <w:r/>
    </w:p>
    <w:p>
      <w:pPr>
        <w:pStyle w:val="884"/>
        <w:ind w:firstLine="480"/>
        <w:spacing w:before="0" w:after="0"/>
        <w:shd w:val="clear" w:color="auto" w:fill="ffffff"/>
        <w:rPr>
          <w:sz w:val="21"/>
          <w:szCs w:val="21"/>
        </w:rPr>
      </w:pPr>
      <w:r>
        <w:rPr>
          <w:rFonts w:hint="eastAsia"/>
          <w:sz w:val="21"/>
          <w:szCs w:val="21"/>
        </w:rPr>
        <w:t xml:space="preserve">6</w:t>
      </w:r>
      <w:r>
        <w:rPr>
          <w:sz w:val="21"/>
          <w:szCs w:val="21"/>
        </w:rPr>
        <w:t xml:space="preserve">.</w:t>
      </w:r>
      <w:r>
        <w:rPr>
          <w:rFonts w:hint="eastAsia"/>
          <w:b/>
          <w:sz w:val="21"/>
          <w:szCs w:val="21"/>
        </w:rPr>
        <w:t xml:space="preserve">用斜线划除的地方无需填写。</w:t>
      </w:r>
      <w:r/>
    </w:p>
    <w:p>
      <w:pPr>
        <w:pStyle w:val="884"/>
        <w:jc w:val="right"/>
        <w:spacing w:before="0" w:after="0"/>
        <w:shd w:val="clear" w:color="auto" w:fill="ffffff"/>
        <w:rPr>
          <w:rFonts w:ascii="宋体" w:hAnsi="宋体"/>
          <w:sz w:val="21"/>
          <w:szCs w:val="21"/>
        </w:rPr>
      </w:pPr>
      <w:r>
        <w:rPr>
          <w:rFonts w:ascii="宋体" w:hAnsi="宋体"/>
          <w:sz w:val="21"/>
          <w:szCs w:val="21"/>
        </w:rPr>
      </w:r>
      <w:r/>
    </w:p>
    <w:p>
      <w:pPr>
        <w:pStyle w:val="839"/>
      </w:pPr>
      <w:r/>
      <w:r/>
    </w:p>
    <w:p>
      <w:r/>
      <w:r/>
    </w:p>
    <w:p>
      <w:pPr>
        <w:pStyle w:val="884"/>
        <w:jc w:val="right"/>
        <w:spacing w:before="0" w:after="0"/>
        <w:shd w:val="clear" w:color="auto" w:fill="ffffff"/>
      </w:pPr>
      <w:r/>
      <w:r/>
    </w:p>
    <w:p>
      <w:pPr>
        <w:ind w:left="0"/>
        <w:jc w:val="left"/>
        <w:rPr>
          <w:rFonts w:ascii="宋体" w:hAnsi="宋体"/>
          <w:b/>
          <w:sz w:val="21"/>
          <w:szCs w:val="21"/>
        </w:rPr>
        <w:outlineLvl w:val="0"/>
      </w:pPr>
      <w:r>
        <w:rPr>
          <w:rFonts w:ascii="宋体" w:hAnsi="宋体"/>
          <w:b/>
          <w:sz w:val="21"/>
          <w:szCs w:val="21"/>
        </w:rPr>
        <w:t xml:space="preserve">附件8</w:t>
      </w:r>
      <w:r>
        <w:rPr>
          <w:rFonts w:hint="eastAsia" w:ascii="宋体" w:hAnsi="宋体"/>
          <w:b/>
          <w:sz w:val="21"/>
          <w:szCs w:val="21"/>
        </w:rPr>
        <w:t xml:space="preserve">.</w:t>
      </w:r>
      <w:bookmarkEnd w:id="82"/>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Style w:val="8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Style w:val="8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85" w:name="_Toc71810489"/>
      <w:r/>
      <w:bookmarkStart w:id="86" w:name="_Toc105397787"/>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85"/>
      <w:r/>
      <w:bookmarkEnd w:id="86"/>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Style w:val="838"/>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3"/>
        <w:rPr>
          <w:rFonts w:ascii="宋体" w:hAnsi="宋体"/>
        </w:rPr>
      </w:pPr>
      <w:r>
        <w:rPr>
          <w:rFonts w:ascii="宋体" w:hAnsi="宋体"/>
        </w:rPr>
      </w:r>
      <w:r/>
    </w:p>
    <w:p>
      <w:r/>
      <w:r/>
    </w:p>
    <w:p>
      <w:pPr>
        <w:pStyle w:val="839"/>
      </w:pPr>
      <w:r/>
      <w:r/>
    </w:p>
    <w:p>
      <w:r/>
      <w:r/>
    </w:p>
    <w:p>
      <w:pPr>
        <w:pStyle w:val="839"/>
      </w:pPr>
      <w:r/>
      <w:r/>
    </w:p>
    <w:p>
      <w:r/>
      <w:r/>
    </w:p>
    <w:p>
      <w:pPr>
        <w:pStyle w:val="839"/>
      </w:pPr>
      <w:r/>
      <w:r/>
    </w:p>
    <w:p>
      <w:pPr>
        <w:pStyle w:val="839"/>
      </w:pPr>
      <w:r/>
      <w:r/>
    </w:p>
    <w:p>
      <w:pPr>
        <w:pStyle w:val="845"/>
        <w:rPr>
          <w:rFonts w:ascii="宋体" w:hAnsi="宋体" w:cs="Times New Roman"/>
        </w:rPr>
      </w:pPr>
      <w:r>
        <w:rPr>
          <w:rFonts w:ascii="宋体" w:hAnsi="宋体" w:cs="Times New Roman"/>
        </w:rPr>
      </w:r>
      <w:r/>
    </w:p>
    <w:p>
      <w:r/>
      <w:r/>
    </w:p>
    <w:p>
      <w:pPr>
        <w:rPr>
          <w:rFonts w:ascii="宋体" w:hAnsi="宋体" w:cs="Times New Roman"/>
        </w:rPr>
      </w:pPr>
      <w:r>
        <w:rPr>
          <w:rFonts w:ascii="宋体" w:hAnsi="宋体" w:cs="Times New Roman"/>
        </w:rPr>
      </w:r>
      <w:bookmarkEnd w:id="83"/>
      <w:bookmarkEnd w:id="84"/>
      <w:r/>
    </w:p>
    <w:p>
      <w:pPr>
        <w:rPr>
          <w:rFonts w:ascii="宋体" w:hAnsi="宋体"/>
        </w:rPr>
      </w:pPr>
      <w:r/>
      <w:bookmarkStart w:id="87" w:name="_Toc71810490"/>
      <w:r>
        <w:rPr>
          <w:rFonts w:ascii="宋体" w:hAnsi="宋体"/>
        </w:rPr>
        <w:t xml:space="preserve"> </w:t>
      </w:r>
      <w:r/>
    </w:p>
    <w:p>
      <w:pPr>
        <w:pStyle w:val="84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8"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87"/>
      <w:r/>
      <w:bookmarkEnd w:id="88"/>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839"/>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Style w:val="838"/>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89" w:name="OLE_LINK8"/>
      <w:r/>
      <w:bookmarkStart w:id="90" w:name="OLE_LINK7"/>
      <w:r>
        <w:rPr>
          <w:rFonts w:hint="eastAsia" w:ascii="宋体" w:hAnsi="宋体"/>
          <w:b/>
          <w:sz w:val="21"/>
          <w:szCs w:val="21"/>
          <w:lang w:val="zh-CN"/>
        </w:rPr>
        <w:t xml:space="preserve">备注：根据招标文件第二章“投标人须知”第26.4</w:t>
      </w:r>
      <w:bookmarkStart w:id="91"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bookmarkStart w:id="92" w:name="OLE_LINK16"/>
      <w:r>
        <w:rPr>
          <w:rFonts w:hint="eastAsia" w:ascii="宋体" w:hAnsi="宋体"/>
          <w:b/>
          <w:sz w:val="21"/>
          <w:szCs w:val="21"/>
          <w:lang w:val="zh-CN"/>
        </w:rPr>
        <w:t xml:space="preserve">的</w:t>
      </w:r>
      <w:bookmarkEnd w:id="91"/>
      <w:r/>
      <w:bookmarkEnd w:id="92"/>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89"/>
      <w:bookmarkEnd w:id="90"/>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rPr>
          <w:rFonts w:ascii="宋体" w:hAnsi="宋体"/>
          <w:b/>
          <w:sz w:val="21"/>
          <w:szCs w:val="21"/>
        </w:rPr>
      </w:pPr>
      <w:r>
        <w:rPr>
          <w:rFonts w:ascii="宋体" w:hAnsi="宋体"/>
          <w:b/>
          <w:sz w:val="21"/>
          <w:szCs w:val="21"/>
        </w:rPr>
        <w:br w:type="page" w:clear="all"/>
      </w:r>
      <w:r/>
    </w:p>
    <w:p>
      <w:pPr>
        <w:ind w:left="0"/>
        <w:rPr>
          <w:rFonts w:ascii="宋体" w:hAnsi="宋体"/>
          <w:sz w:val="21"/>
          <w:szCs w:val="21"/>
        </w:rPr>
        <w:outlineLvl w:val="0"/>
      </w:pPr>
      <w:r>
        <w:rPr>
          <w:rFonts w:ascii="宋体" w:hAnsi="宋体"/>
          <w:b/>
          <w:sz w:val="21"/>
          <w:szCs w:val="21"/>
        </w:rPr>
        <w:t xml:space="preserve">附件13</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提交样品人授权委托书</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提交样品人</w:t>
      </w:r>
      <w:r>
        <w:rPr>
          <w:rFonts w:ascii="宋体" w:hAnsi="宋体"/>
          <w:b/>
          <w:sz w:val="21"/>
          <w:szCs w:val="21"/>
        </w:rPr>
        <w:t xml:space="preserve">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现场提交样品流程</w:t>
      </w:r>
      <w:r>
        <w:rPr>
          <w:rFonts w:ascii="宋体" w:hAnsi="宋体"/>
          <w:sz w:val="21"/>
          <w:szCs w:val="21"/>
        </w:rPr>
        <w:t xml:space="preserve">。代理人在</w:t>
      </w:r>
      <w:r>
        <w:rPr>
          <w:rFonts w:hint="eastAsia" w:ascii="宋体" w:hAnsi="宋体"/>
          <w:sz w:val="21"/>
          <w:szCs w:val="21"/>
        </w:rPr>
        <w:t xml:space="preserve">现场提交样品流程</w:t>
      </w:r>
      <w:r>
        <w:rPr>
          <w:rFonts w:ascii="宋体" w:hAnsi="宋体"/>
          <w:sz w:val="21"/>
          <w:szCs w:val="21"/>
        </w:rPr>
        <w:t xml:space="preserve">中所签署的一切文件和处理与这有关的一切事务，我均予以承认</w:t>
      </w:r>
      <w:r>
        <w:rPr>
          <w:rFonts w:hint="eastAsia" w:ascii="宋体" w:hAnsi="宋体"/>
          <w:sz w:val="21"/>
          <w:szCs w:val="21"/>
        </w:rPr>
        <w:t xml:space="preserve">。因未及时取回样品造成的损失，由代理人自行承担。</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53"/>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39"/>
        <w:rPr>
          <w:lang w:val="zh-CN"/>
        </w:rPr>
      </w:pPr>
      <w:r>
        <w:rPr>
          <w:lang w:val="zh-CN"/>
        </w:rPr>
      </w:r>
      <w:r/>
    </w:p>
    <w:p>
      <w:pPr>
        <w:pStyle w:val="839"/>
        <w:rPr>
          <w:lang w:val="zh-CN"/>
        </w:rPr>
      </w:pPr>
      <w:r>
        <w:rPr>
          <w:lang w:val="zh-CN"/>
        </w:rPr>
      </w:r>
      <w:r/>
    </w:p>
    <w:p>
      <w:pPr>
        <w:ind w:left="0"/>
        <w:rPr>
          <w:rFonts w:ascii="宋体" w:hAnsi="宋体"/>
          <w:b/>
          <w:sz w:val="21"/>
          <w:szCs w:val="21"/>
        </w:rPr>
      </w:pPr>
      <w:r/>
      <w:bookmarkStart w:id="93" w:name="_Toc105397793"/>
      <w:r/>
      <w:bookmarkStart w:id="94" w:name="_Toc4098"/>
      <w:r/>
      <w:bookmarkStart w:id="95" w:name="_Toc23660"/>
      <w:r/>
      <w:r/>
    </w:p>
    <w:p>
      <w:pPr>
        <w:ind w:left="0"/>
        <w:rPr>
          <w:rFonts w:ascii="宋体" w:hAnsi="宋体"/>
          <w:b/>
          <w:sz w:val="21"/>
          <w:szCs w:val="21"/>
        </w:rPr>
      </w:pPr>
      <w:r>
        <w:rPr>
          <w:rFonts w:ascii="宋体" w:hAnsi="宋体"/>
          <w:b/>
          <w:sz w:val="21"/>
          <w:szCs w:val="21"/>
        </w:rPr>
      </w:r>
      <w:r/>
    </w:p>
    <w:p>
      <w:pPr>
        <w:ind w:left="0"/>
        <w:rPr>
          <w:rFonts w:ascii="宋体" w:hAnsi="宋体"/>
          <w:b/>
          <w:sz w:val="21"/>
          <w:szCs w:val="21"/>
        </w:rPr>
      </w:pPr>
      <w:r>
        <w:rPr>
          <w:rFonts w:ascii="宋体" w:hAnsi="宋体"/>
          <w:b/>
          <w:sz w:val="21"/>
          <w:szCs w:val="21"/>
        </w:rPr>
      </w:r>
      <w:r/>
    </w:p>
    <w:p>
      <w:pPr>
        <w:ind w:left="0"/>
        <w:rPr>
          <w:rFonts w:ascii="宋体" w:hAnsi="宋体"/>
          <w:b/>
          <w:sz w:val="21"/>
          <w:szCs w:val="21"/>
        </w:rPr>
      </w:pPr>
      <w:r>
        <w:rPr>
          <w:rFonts w:ascii="宋体" w:hAnsi="宋体"/>
          <w:b/>
          <w:sz w:val="21"/>
          <w:szCs w:val="21"/>
        </w:rPr>
      </w:r>
      <w:r/>
    </w:p>
    <w:p>
      <w:pPr>
        <w:ind w:left="0"/>
        <w:rPr>
          <w:rFonts w:ascii="宋体" w:hAnsi="宋体"/>
          <w:b/>
          <w:sz w:val="21"/>
          <w:szCs w:val="21"/>
        </w:rPr>
      </w:pPr>
      <w:r>
        <w:rPr>
          <w:rFonts w:ascii="宋体" w:hAnsi="宋体"/>
          <w:b/>
          <w:sz w:val="21"/>
          <w:szCs w:val="21"/>
        </w:rPr>
      </w:r>
      <w:r/>
    </w:p>
    <w:p>
      <w:pPr>
        <w:ind w:left="0"/>
        <w:rPr>
          <w:rFonts w:ascii="宋体" w:hAnsi="宋体"/>
          <w:b/>
          <w:sz w:val="21"/>
          <w:szCs w:val="21"/>
        </w:rPr>
      </w:pPr>
      <w:r>
        <w:rPr>
          <w:rFonts w:ascii="宋体" w:hAnsi="宋体"/>
          <w:b/>
          <w:sz w:val="21"/>
          <w:szCs w:val="21"/>
        </w:rPr>
      </w:r>
      <w:r/>
    </w:p>
    <w:p>
      <w:pPr>
        <w:ind w:left="0"/>
        <w:rPr>
          <w:rFonts w:ascii="宋体" w:hAnsi="宋体"/>
          <w:b/>
          <w:sz w:val="21"/>
          <w:szCs w:val="21"/>
        </w:rPr>
      </w:pPr>
      <w:r>
        <w:rPr>
          <w:rFonts w:ascii="宋体" w:hAnsi="宋体"/>
          <w:b/>
          <w:sz w:val="21"/>
          <w:szCs w:val="21"/>
        </w:rPr>
      </w:r>
      <w:r/>
    </w:p>
    <w:p>
      <w:pPr>
        <w:ind w:left="0"/>
        <w:rPr>
          <w:rFonts w:ascii="宋体" w:hAnsi="宋体"/>
          <w:b/>
          <w:sz w:val="21"/>
          <w:szCs w:val="21"/>
        </w:rPr>
      </w:pPr>
      <w:r>
        <w:rPr>
          <w:rFonts w:ascii="宋体" w:hAnsi="宋体"/>
          <w:b/>
          <w:sz w:val="21"/>
          <w:szCs w:val="21"/>
        </w:rPr>
      </w:r>
      <w:r/>
    </w:p>
    <w:p>
      <w:pPr>
        <w:ind w:left="0"/>
        <w:rPr>
          <w:rFonts w:ascii="宋体" w:hAnsi="宋体"/>
          <w:b/>
          <w:sz w:val="21"/>
          <w:szCs w:val="21"/>
        </w:rPr>
      </w:pPr>
      <w:r>
        <w:rPr>
          <w:rFonts w:ascii="宋体" w:hAnsi="宋体"/>
          <w:b/>
          <w:sz w:val="21"/>
          <w:szCs w:val="21"/>
        </w:rPr>
      </w:r>
      <w:r/>
    </w:p>
    <w:p>
      <w:pPr>
        <w:ind w:left="0"/>
        <w:rPr>
          <w:rFonts w:ascii="宋体" w:hAnsi="宋体"/>
          <w:b/>
          <w:sz w:val="21"/>
          <w:szCs w:val="21"/>
        </w:rPr>
      </w:pPr>
      <w:r>
        <w:rPr>
          <w:rFonts w:ascii="宋体" w:hAnsi="宋体"/>
          <w:b/>
          <w:sz w:val="21"/>
          <w:szCs w:val="21"/>
        </w:rPr>
      </w:r>
      <w:r/>
    </w:p>
    <w:p>
      <w:pPr>
        <w:ind w:left="0"/>
        <w:rPr>
          <w:rFonts w:ascii="宋体" w:hAnsi="宋体"/>
          <w:b/>
          <w:sz w:val="21"/>
          <w:szCs w:val="21"/>
        </w:rPr>
      </w:pPr>
      <w:r>
        <w:rPr>
          <w:rFonts w:ascii="宋体" w:hAnsi="宋体"/>
          <w:b/>
          <w:sz w:val="21"/>
          <w:szCs w:val="21"/>
        </w:rPr>
      </w:r>
      <w:r/>
    </w:p>
    <w:p>
      <w:pPr>
        <w:ind w:left="0"/>
        <w:rPr>
          <w:rFonts w:ascii="宋体" w:hAnsi="宋体"/>
          <w:b/>
          <w:sz w:val="21"/>
          <w:szCs w:val="21"/>
        </w:rPr>
      </w:pPr>
      <w:r>
        <w:rPr>
          <w:rFonts w:ascii="宋体" w:hAnsi="宋体"/>
          <w:b/>
          <w:sz w:val="21"/>
          <w:szCs w:val="21"/>
        </w:rPr>
      </w:r>
      <w:r/>
    </w:p>
    <w:p>
      <w:pPr>
        <w:ind w:left="0"/>
        <w:rPr>
          <w:rFonts w:ascii="宋体" w:hAnsi="宋体"/>
          <w:b/>
          <w:sz w:val="21"/>
          <w:szCs w:val="21"/>
        </w:rPr>
      </w:pPr>
      <w:r>
        <w:rPr>
          <w:rFonts w:ascii="宋体" w:hAnsi="宋体"/>
          <w:b/>
          <w:sz w:val="21"/>
          <w:szCs w:val="21"/>
        </w:rPr>
      </w:r>
      <w:r/>
    </w:p>
    <w:p>
      <w:pPr>
        <w:ind w:left="0"/>
        <w:rPr>
          <w:rFonts w:ascii="宋体" w:hAnsi="宋体"/>
          <w:b/>
          <w:sz w:val="21"/>
          <w:szCs w:val="21"/>
        </w:rPr>
      </w:pPr>
      <w:r>
        <w:rPr>
          <w:rFonts w:ascii="宋体" w:hAnsi="宋体"/>
          <w:b/>
          <w:sz w:val="21"/>
          <w:szCs w:val="21"/>
        </w:rPr>
      </w:r>
      <w:r/>
    </w:p>
    <w:p>
      <w:pPr>
        <w:ind w:left="0"/>
        <w:rPr>
          <w:rFonts w:ascii="宋体" w:hAnsi="宋体"/>
          <w:b/>
          <w:sz w:val="21"/>
          <w:szCs w:val="21"/>
        </w:rPr>
      </w:pPr>
      <w:r>
        <w:rPr>
          <w:rFonts w:ascii="宋体" w:hAnsi="宋体"/>
          <w:b/>
          <w:sz w:val="21"/>
          <w:szCs w:val="21"/>
        </w:rPr>
      </w:r>
      <w:r/>
    </w:p>
    <w:p>
      <w:pPr>
        <w:ind w:left="0"/>
        <w:rPr>
          <w:rFonts w:ascii="宋体" w:hAnsi="宋体"/>
          <w:b/>
          <w:sz w:val="21"/>
          <w:szCs w:val="21"/>
        </w:rPr>
      </w:pPr>
      <w:r>
        <w:rPr>
          <w:rFonts w:ascii="宋体" w:hAnsi="宋体"/>
          <w:b/>
          <w:sz w:val="21"/>
          <w:szCs w:val="21"/>
        </w:rPr>
      </w:r>
      <w:r/>
    </w:p>
    <w:p>
      <w:pPr>
        <w:rPr>
          <w:rFonts w:ascii="宋体" w:hAnsi="宋体"/>
          <w:b/>
          <w:sz w:val="21"/>
          <w:szCs w:val="21"/>
        </w:rPr>
      </w:pPr>
      <w:r>
        <w:rPr>
          <w:rFonts w:ascii="宋体" w:hAnsi="宋体"/>
          <w:b/>
          <w:sz w:val="21"/>
          <w:szCs w:val="21"/>
        </w:rPr>
        <w:br w:type="page" w:clear="all"/>
      </w:r>
      <w:r/>
    </w:p>
    <w:p>
      <w:pPr>
        <w:ind w:left="0"/>
        <w:widowControl w:val="off"/>
        <w:rPr>
          <w:rFonts w:ascii="宋体" w:hAnsi="宋体"/>
          <w:sz w:val="21"/>
          <w:szCs w:val="21"/>
        </w:rPr>
        <w:outlineLvl w:val="0"/>
      </w:pPr>
      <w:r>
        <w:rPr>
          <w:rFonts w:ascii="宋体" w:hAnsi="宋体"/>
          <w:b/>
          <w:sz w:val="21"/>
          <w:szCs w:val="21"/>
        </w:rPr>
        <w:t xml:space="preserve">附件1</w:t>
      </w:r>
      <w:r>
        <w:rPr>
          <w:rFonts w:hint="eastAsia" w:ascii="宋体" w:hAnsi="宋体"/>
          <w:b/>
          <w:sz w:val="21"/>
          <w:szCs w:val="21"/>
        </w:rPr>
        <w:t xml:space="preserve">4.</w:t>
      </w:r>
      <w:r>
        <w:rPr>
          <w:rFonts w:hint="eastAsia"/>
        </w:rPr>
        <w:t xml:space="preserve"> </w:t>
      </w:r>
      <w:r>
        <w:rPr>
          <w:rFonts w:hint="eastAsia" w:asciiTheme="minorEastAsia" w:hAnsiTheme="minorEastAsia" w:eastAsiaTheme="minorEastAsia" w:cstheme="minorEastAsia"/>
          <w:b/>
          <w:bCs/>
          <w:sz w:val="21"/>
          <w:szCs w:val="21"/>
        </w:rPr>
        <w:t xml:space="preserve">近3年投标人行贿犯罪情况的书面声明</w:t>
      </w:r>
      <w:r/>
    </w:p>
    <w:p>
      <w:pPr>
        <w:ind w:left="0" w:firstLine="420"/>
        <w:jc w:val="center"/>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firstLine="422"/>
        <w:jc w:val="center"/>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近3年投标人行贿犯罪情况的书面声明</w:t>
      </w:r>
      <w:r/>
    </w:p>
    <w:p>
      <w:pPr>
        <w:ind w:left="0"/>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（采购人）： </w:t>
      </w:r>
      <w:r/>
    </w:p>
    <w:p>
      <w:pPr>
        <w:ind w:left="0" w:firstLine="42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自___年___月___日起至今， ____________________（投标人名称）（统一社会信用代码：_____________），法定代表人：_______________，身份证号：____________________， 没有行贿犯罪记录。</w:t>
      </w:r>
      <w:r/>
    </w:p>
    <w:p>
      <w:pPr>
        <w:ind w:left="0" w:firstLine="42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我方承诺以上信息是真实的，如有虚假或被发现与事实不符，我方同意并接受以下条款： </w:t>
      </w:r>
      <w:r/>
    </w:p>
    <w:p>
      <w:pPr>
        <w:numPr>
          <w:ilvl w:val="0"/>
          <w:numId w:val="1"/>
        </w:numPr>
        <w:ind w:left="0" w:firstLine="42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招标人或评标委员会可以按弄虚作假行为进行认定；</w:t>
      </w:r>
      <w:r/>
    </w:p>
    <w:p>
      <w:pPr>
        <w:numPr>
          <w:ilvl w:val="0"/>
          <w:numId w:val="1"/>
        </w:numPr>
        <w:ind w:left="0" w:firstLine="42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如我方已中标，招标人可以取消我方中标资格；</w:t>
      </w:r>
      <w:r/>
    </w:p>
    <w:p>
      <w:pPr>
        <w:numPr>
          <w:ilvl w:val="0"/>
          <w:numId w:val="1"/>
        </w:numPr>
        <w:ind w:left="0" w:firstLine="42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如已与招标人签订合同，招标人可以无条件终止合同并不承担任何违约责任； </w:t>
      </w:r>
      <w:r/>
    </w:p>
    <w:p>
      <w:pPr>
        <w:ind w:left="40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（4）我方愿意承担由此给招标人造成的直接或间接损失以及相应的法律责任。 </w:t>
      </w:r>
      <w:r/>
    </w:p>
    <w:p>
      <w:pPr>
        <w:ind w:left="0" w:firstLine="42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特此声明！ </w:t>
      </w:r>
      <w:r/>
    </w:p>
    <w:p>
      <w:pPr>
        <w:ind w:left="0" w:firstLine="420"/>
        <w:spacing w:line="360"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投标人名称：____________________（盖单位公章） </w:t>
      </w:r>
      <w:r/>
    </w:p>
    <w:p>
      <w:pPr>
        <w:ind w:left="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法定代表人（单位负责人）或其委托代理人：____________________（签字或盖章） </w:t>
      </w:r>
      <w:r/>
    </w:p>
    <w:p>
      <w:pPr>
        <w:ind w:left="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日期： </w:t>
      </w:r>
      <w:r/>
    </w:p>
    <w:p>
      <w:pPr>
        <w:ind w:left="0" w:firstLine="420"/>
        <w:spacing w:line="360"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firstLine="422"/>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备注：参加本次政府采购活动前3年内在经营活动中没有行贿犯罪记录的承诺书，截止至开标日成立不足3年的投标人可提供自成立以来无行贿犯罪记录的承诺书。</w:t>
      </w:r>
      <w:r/>
    </w:p>
    <w:p>
      <w:pPr>
        <w:rPr>
          <w:rFonts w:ascii="宋体" w:hAnsi="宋体"/>
          <w:b/>
          <w:sz w:val="44"/>
          <w:szCs w:val="22"/>
        </w:rPr>
      </w:pPr>
      <w:r>
        <w:rPr>
          <w:rFonts w:hint="eastAsia" w:ascii="宋体" w:hAnsi="宋体"/>
          <w:b/>
          <w:sz w:val="44"/>
          <w:szCs w:val="22"/>
        </w:rPr>
        <w:br w:type="page" w:clear="all"/>
      </w:r>
      <w:r/>
    </w:p>
    <w:p>
      <w:pPr>
        <w:pStyle w:val="828"/>
        <w:ind w:left="0" w:firstLine="0"/>
        <w:jc w:val="center"/>
        <w:rPr>
          <w:rFonts w:ascii="宋体" w:hAnsi="宋体"/>
          <w:b/>
          <w:sz w:val="44"/>
          <w:szCs w:val="22"/>
        </w:rPr>
      </w:pPr>
      <w:r>
        <w:rPr>
          <w:rFonts w:hint="eastAsia" w:ascii="宋体" w:hAnsi="宋体"/>
          <w:b/>
          <w:sz w:val="44"/>
          <w:szCs w:val="22"/>
        </w:rPr>
        <w:t xml:space="preserve">第四章  </w:t>
      </w:r>
      <w:bookmarkStart w:id="96" w:name="招标书"/>
      <w:r/>
      <w:bookmarkEnd w:id="96"/>
      <w:r>
        <w:rPr>
          <w:rFonts w:hint="eastAsia" w:ascii="宋体" w:hAnsi="宋体"/>
          <w:b/>
          <w:sz w:val="44"/>
          <w:szCs w:val="22"/>
        </w:rPr>
        <w:t xml:space="preserve">招标书</w:t>
      </w:r>
      <w:bookmarkEnd w:id="93"/>
      <w:r/>
      <w:bookmarkEnd w:id="94"/>
      <w:r/>
      <w:bookmarkEnd w:id="95"/>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苏州市消防救援支队</w:t>
      </w:r>
      <w:r>
        <w:rPr>
          <w:rFonts w:ascii="宋体" w:hAnsi="宋体"/>
          <w:sz w:val="21"/>
        </w:rPr>
        <w:t xml:space="preserve">的委托，就</w:t>
      </w:r>
      <w:r>
        <w:rPr>
          <w:rFonts w:hint="eastAsia" w:ascii="宋体" w:hAnsi="宋体"/>
          <w:sz w:val="21"/>
          <w:u w:val="single"/>
        </w:rPr>
        <w:t xml:space="preserve"> 2025年部门集中采购目录外器材装备采购项目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hint="default" w:ascii="宋体" w:hAnsi="宋体" w:eastAsia="宋体"/>
          <w:sz w:val="21"/>
          <w:lang w:val="en-US" w:eastAsia="zh-CN"/>
        </w:rPr>
      </w:pPr>
      <w:r>
        <w:rPr>
          <w:rFonts w:hint="eastAsia" w:ascii="宋体" w:hAnsi="宋体"/>
          <w:sz w:val="21"/>
        </w:rPr>
        <w:t xml:space="preserve">一、项目编号：</w:t>
      </w:r>
      <w:r>
        <w:rPr>
          <w:rFonts w:hint="eastAsia" w:ascii="宋体" w:hAnsi="宋体"/>
          <w:sz w:val="21"/>
          <w:szCs w:val="21"/>
        </w:rPr>
        <w:t xml:space="preserve">JSZC-320500-JZCG-G2026-0</w:t>
      </w:r>
      <w:r>
        <w:rPr>
          <w:rFonts w:hint="eastAsia" w:ascii="宋体" w:hAnsi="宋体"/>
          <w:sz w:val="21"/>
          <w:szCs w:val="21"/>
          <w:lang w:val="en-US" w:eastAsia="zh-CN"/>
        </w:rPr>
        <w:t xml:space="preserve">150</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szCs w:val="21"/>
        </w:rPr>
        <w:t xml:space="preserve">2025年部门集中采购目录外器材装备采购项目</w:t>
      </w:r>
      <w:r/>
    </w:p>
    <w:p>
      <w:pPr>
        <w:pStyle w:val="845"/>
        <w:ind w:left="0" w:firstLine="420"/>
        <w:spacing w:line="360" w:lineRule="auto"/>
        <w:rPr>
          <w:rFonts w:ascii="宋体" w:hAnsi="宋体"/>
          <w:sz w:val="21"/>
          <w:szCs w:val="21"/>
        </w:rPr>
      </w:pPr>
      <w:r>
        <w:rPr>
          <w:rFonts w:hint="eastAsia" w:ascii="宋体" w:hAnsi="宋体"/>
          <w:sz w:val="21"/>
        </w:rPr>
        <w:t xml:space="preserve">三、预算金额：</w:t>
      </w:r>
      <w:r>
        <w:rPr>
          <w:rFonts w:hint="eastAsia" w:ascii="宋体" w:hAnsi="宋体"/>
          <w:sz w:val="21"/>
          <w:szCs w:val="21"/>
        </w:rPr>
        <w:t xml:space="preserve">人民币柒佰捌拾捌万贰仟贰佰元整（¥7882200.00元）</w:t>
      </w:r>
      <w:r/>
    </w:p>
    <w:p>
      <w:pPr>
        <w:pStyle w:val="845"/>
        <w:ind w:left="0" w:firstLine="420"/>
        <w:spacing w:line="360" w:lineRule="auto"/>
        <w:rPr>
          <w:rFonts w:ascii="宋体" w:hAnsi="宋体"/>
          <w:sz w:val="21"/>
          <w:szCs w:val="21"/>
        </w:rPr>
      </w:pPr>
      <w:r>
        <w:rPr>
          <w:rFonts w:hint="eastAsia" w:ascii="宋体" w:hAnsi="宋体"/>
          <w:sz w:val="21"/>
          <w:szCs w:val="21"/>
        </w:rPr>
        <w:t xml:space="preserve">包一预算金额：人民币壹佰伍拾壹万伍仟陆佰元整（¥1515600.00元）</w:t>
      </w:r>
      <w:r/>
    </w:p>
    <w:p>
      <w:pPr>
        <w:pStyle w:val="845"/>
        <w:ind w:left="0" w:firstLine="420"/>
        <w:spacing w:line="360" w:lineRule="auto"/>
        <w:rPr>
          <w:rFonts w:ascii="宋体" w:hAnsi="宋体"/>
          <w:sz w:val="21"/>
          <w:szCs w:val="21"/>
        </w:rPr>
      </w:pPr>
      <w:r>
        <w:rPr>
          <w:rFonts w:hint="eastAsia" w:ascii="宋体" w:hAnsi="宋体"/>
          <w:sz w:val="21"/>
          <w:szCs w:val="21"/>
        </w:rPr>
        <w:t xml:space="preserve">包二预算金额：人民币伍拾万壹仟贰佰元整（¥501200.00元）</w:t>
      </w:r>
      <w:r/>
    </w:p>
    <w:p>
      <w:pPr>
        <w:pStyle w:val="845"/>
        <w:ind w:left="0" w:firstLine="420"/>
        <w:spacing w:line="360" w:lineRule="auto"/>
        <w:rPr>
          <w:rFonts w:ascii="宋体" w:hAnsi="宋体"/>
          <w:sz w:val="21"/>
          <w:szCs w:val="21"/>
        </w:rPr>
      </w:pPr>
      <w:r>
        <w:rPr>
          <w:rFonts w:hint="eastAsia" w:ascii="宋体" w:hAnsi="宋体"/>
          <w:sz w:val="21"/>
          <w:szCs w:val="21"/>
        </w:rPr>
        <w:t xml:space="preserve">包三预算金额：人民币贰佰伍拾伍万元整（¥2550000.00元）</w:t>
      </w:r>
      <w:r/>
    </w:p>
    <w:p>
      <w:pPr>
        <w:pStyle w:val="845"/>
        <w:ind w:left="0" w:firstLine="420"/>
        <w:spacing w:line="360" w:lineRule="auto"/>
        <w:rPr>
          <w:rFonts w:ascii="宋体" w:hAnsi="宋体"/>
          <w:sz w:val="21"/>
          <w:szCs w:val="21"/>
        </w:rPr>
      </w:pPr>
      <w:r>
        <w:rPr>
          <w:rFonts w:hint="eastAsia" w:ascii="宋体" w:hAnsi="宋体"/>
          <w:sz w:val="21"/>
          <w:szCs w:val="21"/>
        </w:rPr>
        <w:t xml:space="preserve">包四预算金额：人民币捌拾捌万贰仟元整（¥882000.00元）</w:t>
      </w:r>
      <w:r/>
    </w:p>
    <w:p>
      <w:pPr>
        <w:pStyle w:val="845"/>
        <w:ind w:left="0" w:firstLine="420"/>
        <w:spacing w:line="360" w:lineRule="auto"/>
        <w:rPr>
          <w:rFonts w:ascii="宋体" w:hAnsi="宋体"/>
          <w:sz w:val="21"/>
          <w:szCs w:val="21"/>
        </w:rPr>
      </w:pPr>
      <w:r>
        <w:rPr>
          <w:rFonts w:hint="eastAsia" w:ascii="宋体" w:hAnsi="宋体"/>
          <w:sz w:val="21"/>
          <w:szCs w:val="21"/>
        </w:rPr>
        <w:t xml:space="preserve">包五预算金额：人民币壹佰零柒万叁仟肆佰元整（¥1073400.00元）</w:t>
      </w:r>
      <w:r/>
    </w:p>
    <w:p>
      <w:pPr>
        <w:pStyle w:val="845"/>
        <w:ind w:left="0" w:firstLine="420"/>
        <w:spacing w:line="360" w:lineRule="auto"/>
        <w:rPr>
          <w:rFonts w:ascii="宋体" w:hAnsi="宋体"/>
          <w:sz w:val="21"/>
          <w:szCs w:val="21"/>
        </w:rPr>
      </w:pPr>
      <w:r>
        <w:rPr>
          <w:rFonts w:hint="eastAsia" w:ascii="宋体" w:hAnsi="宋体"/>
          <w:sz w:val="21"/>
          <w:szCs w:val="21"/>
        </w:rPr>
        <w:t xml:space="preserve">包六预算金额：人民币玖拾陆万元整（¥960000.00元）</w:t>
      </w:r>
      <w:r/>
    </w:p>
    <w:p>
      <w:pPr>
        <w:ind w:left="0" w:firstLine="420"/>
        <w:spacing w:line="360" w:lineRule="auto"/>
        <w:tabs>
          <w:tab w:val="left" w:pos="0" w:leader="none"/>
        </w:tabs>
        <w:rPr>
          <w:rFonts w:ascii="宋体" w:hAnsi="宋体"/>
          <w:sz w:val="21"/>
        </w:rPr>
      </w:pPr>
      <w:r>
        <w:rPr>
          <w:rFonts w:hint="eastAsia" w:ascii="宋体" w:hAnsi="宋体"/>
          <w:sz w:val="21"/>
          <w:szCs w:val="21"/>
        </w:rPr>
        <w:t xml:space="preserve">包七预算金额：人民币肆拾万元整（¥400000.00元）</w:t>
      </w:r>
      <w:r/>
    </w:p>
    <w:p>
      <w:pPr>
        <w:pStyle w:val="845"/>
        <w:ind w:left="0" w:firstLine="420"/>
        <w:spacing w:line="360" w:lineRule="auto"/>
        <w:rPr>
          <w:rFonts w:ascii="宋体" w:hAnsi="宋体"/>
          <w:sz w:val="21"/>
          <w:szCs w:val="21"/>
        </w:rPr>
      </w:pPr>
      <w:r>
        <w:rPr>
          <w:rFonts w:hint="eastAsia" w:ascii="宋体" w:hAnsi="宋体"/>
          <w:sz w:val="21"/>
        </w:rPr>
        <w:t xml:space="preserve">四、最高限价：</w:t>
      </w:r>
      <w:r>
        <w:rPr>
          <w:rFonts w:hint="eastAsia" w:ascii="宋体" w:hAnsi="宋体"/>
          <w:sz w:val="21"/>
          <w:szCs w:val="21"/>
        </w:rPr>
        <w:t xml:space="preserve">人民币柒佰陆拾肆万肆仟壹佰元整（¥7644100.00元）</w:t>
      </w:r>
      <w:r/>
    </w:p>
    <w:p>
      <w:pPr>
        <w:pStyle w:val="845"/>
        <w:ind w:left="0" w:firstLine="420"/>
        <w:spacing w:line="360" w:lineRule="auto"/>
        <w:rPr>
          <w:rFonts w:ascii="宋体" w:hAnsi="宋体"/>
          <w:sz w:val="21"/>
          <w:szCs w:val="21"/>
        </w:rPr>
      </w:pPr>
      <w:r>
        <w:rPr>
          <w:rFonts w:hint="eastAsia" w:ascii="宋体" w:hAnsi="宋体"/>
          <w:sz w:val="21"/>
          <w:szCs w:val="21"/>
        </w:rPr>
        <w:t xml:space="preserve">包一最高限价：人民币壹佰叁拾肆万肆仟壹佰元整（¥1344100.00元）</w:t>
      </w:r>
      <w:r/>
    </w:p>
    <w:p>
      <w:pPr>
        <w:pStyle w:val="845"/>
        <w:ind w:left="0" w:firstLine="420"/>
        <w:spacing w:line="360" w:lineRule="auto"/>
        <w:rPr>
          <w:rFonts w:ascii="宋体" w:hAnsi="宋体"/>
          <w:sz w:val="21"/>
          <w:szCs w:val="21"/>
        </w:rPr>
      </w:pPr>
      <w:r>
        <w:rPr>
          <w:rFonts w:hint="eastAsia" w:ascii="宋体" w:hAnsi="宋体"/>
          <w:sz w:val="21"/>
          <w:szCs w:val="21"/>
        </w:rPr>
        <w:t xml:space="preserve">包二最高限价：人民币伍拾万壹仟贰佰元整（¥501200.00元）</w:t>
      </w:r>
      <w:r/>
    </w:p>
    <w:p>
      <w:pPr>
        <w:pStyle w:val="845"/>
        <w:ind w:left="0" w:firstLine="420"/>
        <w:spacing w:line="360" w:lineRule="auto"/>
        <w:rPr>
          <w:rFonts w:ascii="宋体" w:hAnsi="宋体"/>
          <w:sz w:val="21"/>
          <w:szCs w:val="21"/>
        </w:rPr>
      </w:pPr>
      <w:r>
        <w:rPr>
          <w:rFonts w:hint="eastAsia" w:ascii="宋体" w:hAnsi="宋体"/>
          <w:sz w:val="21"/>
          <w:szCs w:val="21"/>
        </w:rPr>
        <w:t xml:space="preserve">包三最高限价：人民币贰佰伍拾伍万元整（¥2550000.00元）</w:t>
      </w:r>
      <w:r/>
    </w:p>
    <w:p>
      <w:pPr>
        <w:pStyle w:val="845"/>
        <w:ind w:left="0" w:firstLine="420"/>
        <w:spacing w:line="360" w:lineRule="auto"/>
        <w:rPr>
          <w:rFonts w:ascii="宋体" w:hAnsi="宋体"/>
          <w:sz w:val="21"/>
          <w:szCs w:val="21"/>
        </w:rPr>
      </w:pPr>
      <w:r>
        <w:rPr>
          <w:rFonts w:hint="eastAsia" w:ascii="宋体" w:hAnsi="宋体"/>
          <w:sz w:val="21"/>
          <w:szCs w:val="21"/>
        </w:rPr>
        <w:t xml:space="preserve">包四最高限价：人民币捌拾捌万贰仟元整（¥882000.00元）</w:t>
      </w:r>
      <w:r/>
    </w:p>
    <w:p>
      <w:pPr>
        <w:pStyle w:val="845"/>
        <w:ind w:left="0" w:firstLine="420"/>
        <w:spacing w:line="360" w:lineRule="auto"/>
        <w:rPr>
          <w:rFonts w:ascii="宋体" w:hAnsi="宋体"/>
          <w:sz w:val="21"/>
          <w:szCs w:val="21"/>
        </w:rPr>
      </w:pPr>
      <w:r>
        <w:rPr>
          <w:rFonts w:hint="eastAsia" w:ascii="宋体" w:hAnsi="宋体"/>
          <w:sz w:val="21"/>
          <w:szCs w:val="21"/>
        </w:rPr>
        <w:t xml:space="preserve">包五最高限价：人民币壹佰零陆万陆仟捌佰元整（¥1066800.00元）</w:t>
      </w:r>
      <w:r/>
    </w:p>
    <w:p>
      <w:pPr>
        <w:pStyle w:val="845"/>
        <w:ind w:left="0" w:firstLine="420"/>
        <w:spacing w:line="360" w:lineRule="auto"/>
        <w:rPr>
          <w:rFonts w:ascii="宋体" w:hAnsi="宋体"/>
          <w:sz w:val="21"/>
          <w:szCs w:val="21"/>
        </w:rPr>
      </w:pPr>
      <w:r>
        <w:rPr>
          <w:rFonts w:hint="eastAsia" w:ascii="宋体" w:hAnsi="宋体"/>
          <w:sz w:val="21"/>
          <w:szCs w:val="21"/>
        </w:rPr>
        <w:t xml:space="preserve">包六最高限价：人民币玖拾万元整（¥900000.00元）</w:t>
      </w:r>
      <w:r/>
    </w:p>
    <w:p>
      <w:pPr>
        <w:ind w:left="0" w:firstLine="420"/>
        <w:spacing w:line="360" w:lineRule="auto"/>
        <w:tabs>
          <w:tab w:val="left" w:pos="420" w:leader="none"/>
        </w:tabs>
        <w:rPr>
          <w:rFonts w:ascii="宋体" w:hAnsi="宋体"/>
          <w:sz w:val="21"/>
        </w:rPr>
      </w:pPr>
      <w:r>
        <w:rPr>
          <w:rFonts w:hint="eastAsia" w:ascii="宋体" w:hAnsi="宋体"/>
          <w:sz w:val="21"/>
          <w:szCs w:val="21"/>
        </w:rPr>
        <w:t xml:space="preserve">包七最高限价：人民币肆拾万元整（¥400000.00元）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五、合同履行期限：签订合同后60日历天内将货物送达指定地点。</w:t>
      </w:r>
      <w:r>
        <w:rPr>
          <w:rFonts w:hint="eastAsia" w:asciiTheme="minorEastAsia" w:hAnsiTheme="minorEastAsia" w:eastAsiaTheme="minorEastAsia" w:cstheme="minorEastAsia"/>
          <w:sz w:val="21"/>
          <w:szCs w:val="21"/>
        </w:rPr>
        <w:t xml:space="preserve">质量保证期：从验收合格后三十六个月（双方签署验收报告时起算），抗醇性水成膜泡沫灭火剂保质期≥2年。</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pStyle w:val="839"/>
        <w:ind w:left="0" w:firstLine="422"/>
        <w:spacing w:line="360" w:lineRule="auto"/>
        <w:rPr>
          <w:b/>
          <w:bCs/>
          <w:sz w:val="21"/>
          <w:szCs w:val="21"/>
        </w:rPr>
        <w:outlineLvl w:val="0"/>
      </w:pPr>
      <w:r>
        <w:rPr>
          <w:rFonts w:hint="eastAsia"/>
          <w:b/>
          <w:bCs/>
          <w:sz w:val="21"/>
          <w:szCs w:val="21"/>
        </w:rPr>
        <w:t xml:space="preserve">包一（激流救生衣、水域救援头盔、湿式水域救援服、水域救援靴）：</w:t>
      </w:r>
      <w:r/>
    </w:p>
    <w:tbl>
      <w:tblPr>
        <w:tblStyle w:val="887"/>
        <w:tblW w:w="87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4"/>
        <w:gridCol w:w="2069"/>
        <w:gridCol w:w="737"/>
        <w:gridCol w:w="737"/>
        <w:gridCol w:w="883"/>
        <w:gridCol w:w="1196"/>
        <w:gridCol w:w="2217"/>
      </w:tblGrid>
      <w:tr>
        <w:trPr>
          <w:jc w:val="center"/>
          <w:trHeight w:val="448"/>
        </w:trPr>
        <w:tc>
          <w:tcPr>
            <w:tcW w:w="934" w:type="dxa"/>
            <w:vAlign w:val="center"/>
            <w:textDirection w:val="lrTb"/>
            <w:noWrap w:val="false"/>
          </w:tcPr>
          <w:p>
            <w:pPr>
              <w:ind w:left="0"/>
              <w:jc w:val="center"/>
              <w:spacing w:line="24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包号</w:t>
            </w:r>
            <w:r/>
          </w:p>
        </w:tc>
        <w:tc>
          <w:tcPr>
            <w:tcW w:w="2069" w:type="dxa"/>
            <w:vAlign w:val="center"/>
            <w:textDirection w:val="lrTb"/>
            <w:noWrap w:val="false"/>
          </w:tcPr>
          <w:p>
            <w:pPr>
              <w:ind w:left="0"/>
              <w:jc w:val="center"/>
              <w:spacing w:line="24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装备名称</w:t>
            </w:r>
            <w:r/>
          </w:p>
        </w:tc>
        <w:tc>
          <w:tcPr>
            <w:tcW w:w="737" w:type="dxa"/>
            <w:vAlign w:val="center"/>
            <w:textDirection w:val="lrTb"/>
            <w:noWrap w:val="false"/>
          </w:tcPr>
          <w:p>
            <w:pPr>
              <w:ind w:left="0"/>
              <w:jc w:val="center"/>
              <w:spacing w:line="24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计量单位</w:t>
            </w:r>
            <w:r/>
          </w:p>
        </w:tc>
        <w:tc>
          <w:tcPr>
            <w:tcW w:w="737" w:type="dxa"/>
            <w:vAlign w:val="center"/>
            <w:textDirection w:val="lrTb"/>
            <w:noWrap w:val="false"/>
          </w:tcPr>
          <w:p>
            <w:pPr>
              <w:ind w:left="0"/>
              <w:jc w:val="center"/>
              <w:spacing w:line="24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数量</w:t>
            </w:r>
            <w:r/>
          </w:p>
        </w:tc>
        <w:tc>
          <w:tcPr>
            <w:tcW w:w="883" w:type="dxa"/>
            <w:vAlign w:val="center"/>
            <w:textDirection w:val="lrTb"/>
            <w:noWrap w:val="false"/>
          </w:tcPr>
          <w:p>
            <w:pPr>
              <w:ind w:left="0"/>
              <w:jc w:val="center"/>
              <w:spacing w:line="24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单价限价（万元）</w:t>
            </w:r>
            <w:r/>
          </w:p>
        </w:tc>
        <w:tc>
          <w:tcPr>
            <w:tcW w:w="1196" w:type="dxa"/>
            <w:vAlign w:val="center"/>
            <w:textDirection w:val="lrTb"/>
            <w:noWrap w:val="false"/>
          </w:tcPr>
          <w:p>
            <w:pPr>
              <w:ind w:left="0"/>
              <w:jc w:val="center"/>
              <w:spacing w:line="24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核心产品</w:t>
            </w:r>
            <w:r/>
          </w:p>
        </w:tc>
        <w:tc>
          <w:tcPr>
            <w:tcW w:w="2217" w:type="dxa"/>
            <w:vAlign w:val="center"/>
            <w:textDirection w:val="lrTb"/>
            <w:noWrap w:val="false"/>
          </w:tcPr>
          <w:p>
            <w:pPr>
              <w:ind w:left="0"/>
              <w:jc w:val="center"/>
              <w:spacing w:line="24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备注</w:t>
            </w:r>
            <w:r/>
          </w:p>
        </w:tc>
      </w:tr>
      <w:tr>
        <w:trPr>
          <w:jc w:val="center"/>
          <w:trHeight w:val="17"/>
        </w:trPr>
        <w:tc>
          <w:tcPr>
            <w:tcW w:w="934" w:type="dxa"/>
            <w:vAlign w:val="center"/>
            <w:vMerge w:val="restart"/>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W w:w="2069"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激流救生衣</w:t>
            </w:r>
            <w:r/>
          </w:p>
        </w:tc>
        <w:tc>
          <w:tcPr>
            <w:tcW w:w="737"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 xml:space="preserve">件</w:t>
            </w:r>
            <w:r/>
          </w:p>
        </w:tc>
        <w:tc>
          <w:tcPr>
            <w:tcW w:w="737"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202</w:t>
            </w:r>
            <w:r/>
          </w:p>
        </w:tc>
        <w:tc>
          <w:tcPr>
            <w:tcW w:w="883"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0.25</w:t>
            </w:r>
            <w:r/>
          </w:p>
        </w:tc>
        <w:tc>
          <w:tcPr>
            <w:tcW w:w="1196"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2217" w:type="dxa"/>
            <w:vAlign w:val="center"/>
            <w:textDirection w:val="lrTb"/>
            <w:noWrap w:val="false"/>
          </w:tcPr>
          <w:p>
            <w:pPr>
              <w:ind w:left="0"/>
              <w:jc w:val="center"/>
              <w:keepLines w:val="0"/>
              <w:keepNext w:val="0"/>
              <w:pageBreakBefore w:val="0"/>
              <w:spacing w:line="240" w:lineRule="auto"/>
              <w:widowControl w:val="off"/>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b/>
                <w:bCs/>
                <w:sz w:val="21"/>
                <w:szCs w:val="21"/>
              </w:rPr>
              <w:t xml:space="preserve">提供样品</w:t>
            </w:r>
            <w:r>
              <w:rPr>
                <w:rFonts w:hint="eastAsia" w:asciiTheme="minorEastAsia" w:hAnsiTheme="minorEastAsia" w:eastAsiaTheme="minorEastAsia" w:cstheme="minorEastAsia"/>
                <w:b/>
                <w:bCs/>
                <w:sz w:val="21"/>
                <w:szCs w:val="21"/>
                <w:lang w:val="en-US" w:eastAsia="zh-CN"/>
              </w:rPr>
              <w:t xml:space="preserve">将在评分标准中参与打分，未提供不得分。</w:t>
            </w:r>
            <w:r/>
          </w:p>
        </w:tc>
      </w:tr>
      <w:tr>
        <w:trPr>
          <w:jc w:val="center"/>
          <w:trHeight w:val="17"/>
        </w:trPr>
        <w:tc>
          <w:tcPr>
            <w:tcW w:w="934" w:type="dxa"/>
            <w:vAlign w:val="center"/>
            <w:vMerge w:val="continue"/>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2069"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水域救援头盔</w:t>
            </w:r>
            <w:r/>
          </w:p>
        </w:tc>
        <w:tc>
          <w:tcPr>
            <w:tcW w:w="737"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顶</w:t>
            </w:r>
            <w:r/>
          </w:p>
        </w:tc>
        <w:tc>
          <w:tcPr>
            <w:tcW w:w="737"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149</w:t>
            </w:r>
            <w:r/>
          </w:p>
        </w:tc>
        <w:tc>
          <w:tcPr>
            <w:tcW w:w="883"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0.06</w:t>
            </w:r>
            <w:r/>
          </w:p>
        </w:tc>
        <w:tc>
          <w:tcPr>
            <w:tcW w:w="1196"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2217" w:type="dxa"/>
            <w:vAlign w:val="center"/>
            <w:textDirection w:val="lrTb"/>
            <w:noWrap w:val="false"/>
          </w:tcPr>
          <w:p>
            <w:pPr>
              <w:ind w:left="0"/>
              <w:jc w:val="center"/>
              <w:keepLines w:val="0"/>
              <w:keepNext w:val="0"/>
              <w:pageBreakBefore w:val="0"/>
              <w:spacing w:line="240"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Height w:val="17"/>
        </w:trPr>
        <w:tc>
          <w:tcPr>
            <w:tcW w:w="934" w:type="dxa"/>
            <w:vAlign w:val="center"/>
            <w:vMerge w:val="continue"/>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2069"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湿式水域救援服</w:t>
            </w:r>
            <w:r/>
          </w:p>
        </w:tc>
        <w:tc>
          <w:tcPr>
            <w:tcW w:w="737"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 xml:space="preserve">件</w:t>
            </w:r>
            <w:r/>
          </w:p>
        </w:tc>
        <w:tc>
          <w:tcPr>
            <w:tcW w:w="737"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207</w:t>
            </w:r>
            <w:r/>
          </w:p>
        </w:tc>
        <w:tc>
          <w:tcPr>
            <w:tcW w:w="883"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0.29</w:t>
            </w:r>
            <w:r/>
          </w:p>
        </w:tc>
        <w:tc>
          <w:tcPr>
            <w:tcW w:w="1196"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核心产品</w:t>
            </w:r>
            <w:r/>
          </w:p>
        </w:tc>
        <w:tc>
          <w:tcPr>
            <w:tcW w:w="2217" w:type="dxa"/>
            <w:vAlign w:val="center"/>
            <w:textDirection w:val="lrTb"/>
            <w:noWrap w:val="false"/>
          </w:tcPr>
          <w:p>
            <w:pPr>
              <w:ind w:left="0"/>
              <w:jc w:val="center"/>
              <w:keepLines w:val="0"/>
              <w:keepNext w:val="0"/>
              <w:pageBreakBefore w:val="0"/>
              <w:spacing w:line="24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提供样品</w:t>
            </w:r>
            <w:r>
              <w:rPr>
                <w:rFonts w:hint="eastAsia" w:asciiTheme="minorEastAsia" w:hAnsiTheme="minorEastAsia" w:eastAsiaTheme="minorEastAsia" w:cstheme="minorEastAsia"/>
                <w:b/>
                <w:bCs/>
                <w:sz w:val="21"/>
                <w:szCs w:val="21"/>
                <w:lang w:val="en-US" w:eastAsia="zh-CN"/>
              </w:rPr>
              <w:t xml:space="preserve">将在评分标准中参与打分，未提供不得分。</w:t>
            </w:r>
            <w:r/>
          </w:p>
        </w:tc>
      </w:tr>
      <w:tr>
        <w:trPr>
          <w:jc w:val="center"/>
          <w:trHeight w:val="447"/>
        </w:trPr>
        <w:tc>
          <w:tcPr>
            <w:tcW w:w="934" w:type="dxa"/>
            <w:vAlign w:val="center"/>
            <w:vMerge w:val="continue"/>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2069"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水域救援靴</w:t>
            </w:r>
            <w:r/>
          </w:p>
        </w:tc>
        <w:tc>
          <w:tcPr>
            <w:tcW w:w="737"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 xml:space="preserve">双</w:t>
            </w:r>
            <w:r/>
          </w:p>
        </w:tc>
        <w:tc>
          <w:tcPr>
            <w:tcW w:w="737"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249</w:t>
            </w:r>
            <w:r/>
          </w:p>
        </w:tc>
        <w:tc>
          <w:tcPr>
            <w:tcW w:w="883"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0.06</w:t>
            </w:r>
            <w:r/>
          </w:p>
        </w:tc>
        <w:tc>
          <w:tcPr>
            <w:tcW w:w="1196"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2217"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bl>
    <w:p>
      <w:pPr>
        <w:ind w:left="0" w:firstLine="422"/>
        <w:spacing w:line="360" w:lineRule="auto"/>
        <w:tabs>
          <w:tab w:val="left" w:pos="420" w:leader="none"/>
        </w:tabs>
      </w:pPr>
      <w:r>
        <w:rPr>
          <w:rFonts w:hint="eastAsia" w:ascii="宋体" w:hAnsi="宋体"/>
          <w:b/>
          <w:sz w:val="21"/>
          <w:szCs w:val="21"/>
        </w:rPr>
        <w:t xml:space="preserve">注：</w:t>
      </w:r>
      <w:r>
        <w:rPr>
          <w:rFonts w:hint="eastAsia" w:ascii="宋体" w:hAnsi="宋体"/>
          <w:b/>
          <w:bCs/>
          <w:sz w:val="21"/>
          <w:szCs w:val="21"/>
          <w:lang w:val="zh-CN"/>
        </w:rPr>
        <w:t xml:space="preserve">公开分项报价中的单价报价不可高于最高单价限价，否则为非实质性响应，投标无效。</w:t>
      </w:r>
      <w:r/>
    </w:p>
    <w:p>
      <w:pPr>
        <w:pStyle w:val="839"/>
        <w:ind w:left="0" w:firstLine="420"/>
        <w:spacing w:line="360" w:lineRule="auto"/>
        <w:rPr>
          <w:sz w:val="21"/>
          <w:szCs w:val="21"/>
        </w:rPr>
      </w:pPr>
      <w:r>
        <w:rPr>
          <w:rFonts w:hint="eastAsia"/>
          <w:sz w:val="21"/>
          <w:szCs w:val="21"/>
        </w:rPr>
        <w:t xml:space="preserve">（一）激流救生衣</w:t>
      </w:r>
      <w:r/>
    </w:p>
    <w:p>
      <w:pPr>
        <w:pStyle w:val="839"/>
        <w:ind w:left="0" w:firstLine="420"/>
        <w:spacing w:line="360" w:lineRule="auto"/>
        <w:rPr>
          <w:sz w:val="21"/>
          <w:szCs w:val="21"/>
        </w:rPr>
      </w:pPr>
      <w:r>
        <w:rPr>
          <w:rFonts w:hint="eastAsia"/>
          <w:sz w:val="21"/>
          <w:szCs w:val="21"/>
        </w:rPr>
        <w:t xml:space="preserve">1.由固有浮力材料提供基础浮力，主要用于岸基、涉水结构物或救援船艇上长时间工作时，为消防员提供意外落水保护。配置示位灯、哨笛、快脱带、牛尾绳、救援刀等多种救援属具。颜色为荧光橙色。</w:t>
      </w:r>
      <w:r/>
    </w:p>
    <w:p>
      <w:pPr>
        <w:pStyle w:val="839"/>
        <w:ind w:left="0" w:firstLine="420"/>
        <w:spacing w:line="360" w:lineRule="auto"/>
        <w:rPr>
          <w:sz w:val="21"/>
          <w:szCs w:val="21"/>
        </w:rPr>
      </w:pPr>
      <w:r>
        <w:rPr>
          <w:rFonts w:hint="eastAsia"/>
          <w:sz w:val="21"/>
          <w:szCs w:val="21"/>
        </w:rPr>
        <w:t xml:space="preserve">2.救生衣的浮体材料能覆盖穿着者的肩膀至肋骨下缘的范围；救生衣的救援属具及配件不应有尖角、毛刺等导致穿着者和被救者受伤的缺陷；救生衣所适用的胸围≥700mm且≤1400mm；救生衣具有裆带,且裆带的宽度≥25mm，并带有衬垫；救生衣的系紧和固定采用扣件和拉链形式；救生衣的正前方（如胸部、腹部位置）、肩部和背部均有反光带，且360°环形可见；在水中处于姿态稳定时，水面以上的救生衣外表面反光带的总面积≥300cm2；救生衣背部的泡沫板厚度≥12mm，有尾椎保护设计。</w:t>
      </w:r>
      <w:r/>
    </w:p>
    <w:p>
      <w:pPr>
        <w:pStyle w:val="839"/>
        <w:ind w:left="0" w:firstLine="420"/>
        <w:spacing w:line="360" w:lineRule="auto"/>
        <w:rPr>
          <w:sz w:val="21"/>
          <w:szCs w:val="21"/>
        </w:rPr>
      </w:pPr>
      <w:r>
        <w:rPr>
          <w:rFonts w:hint="eastAsia"/>
          <w:sz w:val="21"/>
          <w:szCs w:val="21"/>
        </w:rPr>
        <w:t xml:space="preserve">3.救生衣底胸前部配备两个防水密封口袋，内部带有≥2个扁带装备环，肩部带有一个对讲机固定袋可拆卸。胸前方形挂点带有魔术贴固定带，方便固定小型装备，底部网状排水孔设计。包布、织带的耐摩擦色牢度、耐皂洗色牢度、耐人造光色牢度≥4级。救生衣包布的接缝断裂强力≥400N。固有浮力材料抗拉破断强度≥140kPa。使固有浮力材料变形至其初始厚度的75%所需的力≥7KN/m³。经500次压缩后，固有浮力材料的浮力损失≤10%。</w:t>
      </w:r>
      <w:r/>
    </w:p>
    <w:p>
      <w:pPr>
        <w:pStyle w:val="839"/>
        <w:ind w:left="0" w:firstLine="420"/>
        <w:spacing w:line="360" w:lineRule="auto"/>
        <w:rPr>
          <w:rFonts w:hint="eastAsia" w:eastAsia="宋体"/>
          <w:sz w:val="21"/>
          <w:szCs w:val="21"/>
          <w:lang w:eastAsia="zh-CN"/>
        </w:rPr>
      </w:pPr>
      <w:r>
        <w:rPr>
          <w:rFonts w:hint="eastAsia"/>
          <w:sz w:val="21"/>
          <w:szCs w:val="21"/>
        </w:rPr>
        <w:t xml:space="preserve">★4.急流救援救生衣的浮力：整体浮力为 125±5N。救生衣在淡水中浸泡24h后，其浮力损失≤3%。</w:t>
      </w:r>
      <w:r/>
    </w:p>
    <w:p>
      <w:pPr>
        <w:pStyle w:val="839"/>
        <w:ind w:left="0" w:firstLine="420"/>
        <w:spacing w:line="360" w:lineRule="auto"/>
        <w:rPr>
          <w:sz w:val="21"/>
          <w:szCs w:val="21"/>
        </w:rPr>
      </w:pPr>
      <w:r>
        <w:rPr>
          <w:rFonts w:hint="eastAsia"/>
          <w:sz w:val="21"/>
          <w:szCs w:val="21"/>
        </w:rPr>
        <w:t xml:space="preserve">▲5.消防用救生衣衣身能承受3200N的作用力30min而不损坏；肩部能承受900N的作用力30min而不损坏；裆带与救生衣体之间能承受900N的作用力不发生脱离或损坏。</w:t>
      </w:r>
      <w:r/>
    </w:p>
    <w:p>
      <w:pPr>
        <w:pStyle w:val="839"/>
        <w:ind w:left="0" w:firstLine="420"/>
        <w:spacing w:line="360" w:lineRule="auto"/>
        <w:rPr>
          <w:sz w:val="21"/>
          <w:szCs w:val="21"/>
        </w:rPr>
      </w:pPr>
      <w:r>
        <w:rPr>
          <w:rFonts w:hint="eastAsia"/>
          <w:sz w:val="21"/>
          <w:szCs w:val="21"/>
        </w:rPr>
        <w:t xml:space="preserve">6.人员穿着救生衣以任意方式下水后，在自由漂浮状态下，人体能处于直立姿态，且嘴部能高出水面120mm以上。</w:t>
      </w:r>
      <w:r/>
    </w:p>
    <w:p>
      <w:pPr>
        <w:pStyle w:val="839"/>
        <w:ind w:left="0" w:firstLine="420"/>
        <w:spacing w:line="360" w:lineRule="auto"/>
        <w:rPr>
          <w:sz w:val="21"/>
          <w:szCs w:val="21"/>
        </w:rPr>
      </w:pPr>
      <w:r>
        <w:rPr>
          <w:rFonts w:hint="eastAsia"/>
          <w:sz w:val="21"/>
          <w:szCs w:val="21"/>
        </w:rPr>
        <w:t xml:space="preserve">7.配备示位灯。颜色为红色。示位灯发光方式为频闪方式。示位灯闪烁频率在45次/分钟~75次/分钟范围内。示位灯的发光强度≥0.75cd。示位灯的发光持续时间≥12h。</w:t>
      </w:r>
      <w:r/>
    </w:p>
    <w:p>
      <w:pPr>
        <w:pStyle w:val="839"/>
        <w:ind w:left="0" w:firstLine="420"/>
        <w:spacing w:line="360" w:lineRule="auto"/>
        <w:rPr>
          <w:sz w:val="21"/>
          <w:szCs w:val="21"/>
        </w:rPr>
      </w:pPr>
      <w:r>
        <w:rPr>
          <w:rFonts w:hint="eastAsia"/>
          <w:sz w:val="21"/>
          <w:szCs w:val="21"/>
        </w:rPr>
        <w:t xml:space="preserve">8.配备哨笛，哨笛用绳索系牢在救生衣上。</w:t>
      </w:r>
      <w:r/>
    </w:p>
    <w:p>
      <w:pPr>
        <w:pStyle w:val="839"/>
        <w:ind w:left="0" w:firstLine="420"/>
        <w:spacing w:line="360" w:lineRule="auto"/>
        <w:rPr>
          <w:sz w:val="21"/>
          <w:szCs w:val="21"/>
        </w:rPr>
      </w:pPr>
      <w:r>
        <w:rPr>
          <w:rFonts w:hint="eastAsia"/>
          <w:sz w:val="21"/>
          <w:szCs w:val="21"/>
        </w:rPr>
        <w:t xml:space="preserve">9.配备快脱带，快脱带的宽度≥40mm，其位置高于胸骨剑突，且不影响上肢活动。快脱带在扣件闭合状态下经拉力试验，织带相对扣件滑移不超过25mm，且扣件不出现开启或损坏现象。在受力状态下，快脱带扣件的开启力≤110N，且能在10s内完全脱开。</w:t>
      </w:r>
      <w:r/>
    </w:p>
    <w:p>
      <w:pPr>
        <w:pStyle w:val="839"/>
        <w:ind w:left="0" w:firstLine="420"/>
        <w:spacing w:line="360" w:lineRule="auto"/>
        <w:rPr>
          <w:sz w:val="21"/>
          <w:szCs w:val="21"/>
        </w:rPr>
      </w:pPr>
      <w:r>
        <w:rPr>
          <w:rFonts w:hint="eastAsia"/>
          <w:sz w:val="21"/>
          <w:szCs w:val="21"/>
        </w:rPr>
        <w:t xml:space="preserve">10.配备牛尾绳，颜色为红色，牛尾绳由弹性带、管状织带套、金属圆环和安全钩等组成。牛尾绳的静态长度≥60cm且≤100cm；在1000N的轴向拉力作用下，牛尾绳伸展后的长度在静态长度的1.5～2.0倍之间；在经过5000N强度试验后，牛尾绳不出现断裂现象；牛尾绳所有金属部件经48h的中性盐雾试验后，无明显腐蚀现象。</w:t>
      </w:r>
      <w:r/>
    </w:p>
    <w:p>
      <w:pPr>
        <w:pStyle w:val="839"/>
        <w:ind w:left="0" w:firstLine="420"/>
        <w:spacing w:line="360" w:lineRule="auto"/>
        <w:rPr>
          <w:sz w:val="21"/>
          <w:szCs w:val="21"/>
        </w:rPr>
      </w:pPr>
      <w:r>
        <w:rPr>
          <w:rFonts w:hint="eastAsia"/>
          <w:sz w:val="21"/>
          <w:szCs w:val="21"/>
        </w:rPr>
        <w:t xml:space="preserve">11.配备水域救援刀（以下简称：救援刀），救援刀的刀身采用金属材料制造，并采用直形刀体、弧形刀刃和锯齿状刀背的结构，刀头为平头且不开刃，救援刀的金属表面平整光滑，无裂纹、毛刺、凹痕或缺损等缺陷；救援刀有刀鞘，刀柄有防滑设计，可单手插拔；救援刀的整体长度≤200mm，刀柄长度≥110mm。刀体能一刀切断直径5mm的尼龙绳。救援刀经48h的中性盐雾试验后，无明显腐蚀现象。</w:t>
      </w:r>
      <w:r/>
    </w:p>
    <w:p>
      <w:pPr>
        <w:pStyle w:val="839"/>
        <w:ind w:left="0" w:firstLine="420"/>
        <w:spacing w:line="360" w:lineRule="auto"/>
        <w:rPr>
          <w:rFonts w:hint="eastAsia"/>
          <w:sz w:val="21"/>
          <w:szCs w:val="21"/>
        </w:rPr>
      </w:pPr>
      <w:r>
        <w:rPr>
          <w:rFonts w:hint="eastAsia"/>
          <w:sz w:val="21"/>
          <w:szCs w:val="21"/>
        </w:rPr>
        <w:t xml:space="preserve">12.背部有30cm*10cm的魔术贴设计可以粘贴标识或者编号，内容根据用户需求印制。</w:t>
      </w:r>
      <w:r/>
    </w:p>
    <w:p>
      <w:pPr>
        <w:pStyle w:val="839"/>
        <w:ind w:left="0" w:firstLine="422"/>
        <w:spacing w:line="360" w:lineRule="auto"/>
        <w:rPr>
          <w:rFonts w:hint="eastAsia" w:asciiTheme="minorEastAsia" w:hAnsiTheme="minorEastAsia" w:eastAsiaTheme="minorEastAsia" w:cstheme="minorEastAsia"/>
          <w:b/>
          <w:bCs/>
          <w:sz w:val="21"/>
          <w:szCs w:val="21"/>
          <w:lang w:eastAsia="zh-CN"/>
        </w:rPr>
      </w:pPr>
      <w:r>
        <w:rPr>
          <w:rFonts w:hint="eastAsia"/>
          <w:b/>
          <w:bCs/>
          <w:sz w:val="21"/>
          <w:szCs w:val="21"/>
          <w:lang w:val="en-US" w:eastAsia="zh-CN"/>
        </w:rPr>
        <w:t xml:space="preserve">注：</w:t>
      </w:r>
      <w:r>
        <w:rPr>
          <w:rFonts w:hint="eastAsia" w:asciiTheme="minorEastAsia" w:hAnsiTheme="minorEastAsia" w:eastAsiaTheme="minorEastAsia" w:cstheme="minorEastAsia"/>
          <w:b/>
          <w:bCs/>
          <w:sz w:val="21"/>
          <w:szCs w:val="21"/>
          <w:lang w:val="en-US" w:eastAsia="zh-CN"/>
        </w:rPr>
        <w:t xml:space="preserve">标</w:t>
      </w:r>
      <w:r>
        <w:rPr>
          <w:rFonts w:hint="eastAsia"/>
          <w:b/>
          <w:bCs/>
          <w:sz w:val="21"/>
          <w:szCs w:val="21"/>
        </w:rPr>
        <w:t xml:space="preserve">★</w:t>
      </w:r>
      <w:r>
        <w:rPr>
          <w:rFonts w:hint="eastAsia"/>
          <w:b/>
          <w:bCs/>
          <w:sz w:val="21"/>
          <w:szCs w:val="21"/>
          <w:lang w:val="en-US" w:eastAsia="zh-CN"/>
        </w:rPr>
        <w:t xml:space="preserve">项须提供以下任意一种证明材料：1.相关技术资料支持（技术支持资料须为制造商公开发布的印刷资料或技术规格书或使用说明书）；2.制造商网站最新发布的资料打印件；3.国家认可的检测机构出具的检验(检测)报告；未提供视作负偏离。</w:t>
      </w:r>
      <w:r>
        <w:rPr>
          <w:rFonts w:hint="eastAsia" w:asciiTheme="minorEastAsia" w:hAnsiTheme="minorEastAsia" w:eastAsiaTheme="minorEastAsia" w:cstheme="minorEastAsia"/>
          <w:b/>
          <w:bCs/>
          <w:sz w:val="21"/>
          <w:szCs w:val="21"/>
          <w:lang w:val="en-US" w:eastAsia="zh-CN"/>
        </w:rPr>
        <w:t xml:space="preserve">标</w:t>
      </w:r>
      <w:r>
        <w:rPr>
          <w:rFonts w:hint="eastAsia"/>
          <w:b/>
          <w:bCs/>
          <w:sz w:val="21"/>
          <w:szCs w:val="21"/>
        </w:rPr>
        <w:t xml:space="preserve">★</w:t>
      </w:r>
      <w:r>
        <w:rPr>
          <w:rFonts w:hint="eastAsia"/>
          <w:b/>
          <w:bCs/>
          <w:sz w:val="21"/>
          <w:szCs w:val="21"/>
          <w:lang w:val="en-US" w:eastAsia="zh-CN"/>
        </w:rPr>
        <w:t xml:space="preserve">项不允许负偏离，负偏离</w:t>
      </w:r>
      <w:r>
        <w:rPr>
          <w:rFonts w:hint="eastAsia" w:asciiTheme="minorEastAsia" w:hAnsiTheme="minorEastAsia" w:eastAsiaTheme="minorEastAsia" w:cstheme="minorEastAsia"/>
          <w:b/>
          <w:bCs/>
          <w:sz w:val="21"/>
          <w:szCs w:val="21"/>
        </w:rPr>
        <w:t xml:space="preserve">视作非实质性响应招标文件</w:t>
      </w:r>
      <w:r>
        <w:rPr>
          <w:rFonts w:hint="eastAsia" w:asciiTheme="minorEastAsia" w:hAnsiTheme="minorEastAsia" w:eastAsiaTheme="minorEastAsia" w:cstheme="minorEastAsia"/>
          <w:b/>
          <w:bCs/>
          <w:sz w:val="21"/>
          <w:szCs w:val="21"/>
          <w:lang w:eastAsia="zh-CN"/>
        </w:rPr>
        <w:t xml:space="preserve">。</w:t>
      </w:r>
      <w:r/>
    </w:p>
    <w:p>
      <w:pPr>
        <w:rPr>
          <w:rFonts w:hint="eastAsia"/>
          <w:lang w:val="en-US" w:eastAsia="zh-CN"/>
        </w:rPr>
      </w:pPr>
      <w:r>
        <w:rPr>
          <w:rFonts w:hint="eastAsia"/>
          <w:lang w:val="en-US" w:eastAsia="zh-CN"/>
        </w:rPr>
      </w:r>
      <w:r/>
    </w:p>
    <w:p>
      <w:pPr>
        <w:pStyle w:val="839"/>
        <w:ind w:left="0" w:firstLine="420"/>
        <w:spacing w:line="360" w:lineRule="auto"/>
        <w:rPr>
          <w:sz w:val="21"/>
          <w:szCs w:val="21"/>
        </w:rPr>
      </w:pPr>
      <w:r>
        <w:rPr>
          <w:rFonts w:hint="eastAsia"/>
          <w:sz w:val="21"/>
          <w:szCs w:val="21"/>
        </w:rPr>
        <w:t xml:space="preserve">（二）水域救援头盔</w:t>
      </w:r>
      <w:r/>
    </w:p>
    <w:p>
      <w:pPr>
        <w:pStyle w:val="839"/>
        <w:ind w:left="0" w:firstLine="420"/>
        <w:spacing w:line="360" w:lineRule="auto"/>
        <w:rPr>
          <w:sz w:val="21"/>
          <w:szCs w:val="21"/>
        </w:rPr>
      </w:pPr>
      <w:r>
        <w:rPr>
          <w:rFonts w:hint="eastAsia"/>
          <w:sz w:val="21"/>
          <w:szCs w:val="21"/>
        </w:rPr>
        <w:t xml:space="preserve">1.头盔采用不低于ABS的外壳和加厚衬垫；颈部设有绑带，以确保固定后不会移位，带有快速卡扣，可调节大小，头盔顶部带有不少于3个反光条。</w:t>
      </w:r>
      <w:r/>
    </w:p>
    <w:p>
      <w:pPr>
        <w:pStyle w:val="839"/>
        <w:ind w:left="0" w:firstLine="420"/>
        <w:spacing w:line="360" w:lineRule="auto"/>
        <w:rPr>
          <w:sz w:val="21"/>
          <w:szCs w:val="21"/>
        </w:rPr>
      </w:pPr>
      <w:r>
        <w:rPr>
          <w:rFonts w:hint="eastAsia"/>
          <w:sz w:val="21"/>
          <w:szCs w:val="21"/>
        </w:rPr>
        <w:t xml:space="preserve">2.头盔正前方带有头灯固定块卡扣；并采用不低于EVA材料的模制衬里，后脑位置设有滚轮式尺寸调节装置；颏杯网带可自由调节。</w:t>
      </w:r>
      <w:r/>
    </w:p>
    <w:p>
      <w:pPr>
        <w:pStyle w:val="839"/>
        <w:ind w:left="0" w:firstLine="420"/>
        <w:spacing w:line="360" w:lineRule="auto"/>
        <w:rPr>
          <w:sz w:val="21"/>
          <w:szCs w:val="21"/>
        </w:rPr>
      </w:pPr>
      <w:r>
        <w:rPr>
          <w:rFonts w:hint="eastAsia"/>
          <w:sz w:val="21"/>
          <w:szCs w:val="21"/>
        </w:rPr>
        <w:t xml:space="preserve">▲3.冲击吸收性能：头模所受冲击力的最大值≤3800N，试验过程中，帽壳不有碎片脱落。</w:t>
      </w:r>
      <w:r/>
    </w:p>
    <w:p>
      <w:pPr>
        <w:pStyle w:val="839"/>
        <w:ind w:left="0" w:firstLine="420"/>
        <w:spacing w:line="360" w:lineRule="auto"/>
        <w:rPr>
          <w:sz w:val="21"/>
          <w:szCs w:val="21"/>
        </w:rPr>
      </w:pPr>
      <w:r>
        <w:rPr>
          <w:rFonts w:hint="eastAsia"/>
          <w:sz w:val="21"/>
          <w:szCs w:val="21"/>
        </w:rPr>
        <w:t xml:space="preserve">▲4.抗冲击加速度性能：选取冲击吸收性能试验中头模所受冲击力最大的一项作为预处理试验条件，顶部抗冲击加速度≤250gn，侧面抗冲击加速度≤250gn。</w:t>
      </w:r>
      <w:r/>
    </w:p>
    <w:p>
      <w:pPr>
        <w:pStyle w:val="839"/>
        <w:ind w:left="0" w:firstLine="420"/>
        <w:spacing w:line="360" w:lineRule="auto"/>
        <w:rPr>
          <w:sz w:val="21"/>
          <w:szCs w:val="21"/>
        </w:rPr>
      </w:pPr>
      <w:r>
        <w:rPr>
          <w:rFonts w:hint="eastAsia"/>
          <w:sz w:val="21"/>
          <w:szCs w:val="21"/>
        </w:rPr>
        <w:t xml:space="preserve">5.耐穿透性能：选择冲击吸收性能试验中头模所受冲击力最大的一项预处理作为试验条件。钢锥不穿透头盔与头模产生接触。</w:t>
      </w:r>
      <w:r/>
    </w:p>
    <w:p>
      <w:pPr>
        <w:pStyle w:val="839"/>
        <w:ind w:left="0" w:firstLine="420"/>
        <w:spacing w:line="360" w:lineRule="auto"/>
        <w:rPr>
          <w:sz w:val="21"/>
          <w:szCs w:val="21"/>
        </w:rPr>
      </w:pPr>
      <w:r>
        <w:rPr>
          <w:rFonts w:hint="eastAsia"/>
          <w:sz w:val="21"/>
          <w:szCs w:val="21"/>
        </w:rPr>
        <w:t xml:space="preserve">6.淡水持续漂浮不低于24h。</w:t>
      </w:r>
      <w:r/>
    </w:p>
    <w:p>
      <w:pPr>
        <w:pStyle w:val="839"/>
        <w:ind w:left="0" w:firstLine="420"/>
        <w:spacing w:line="360" w:lineRule="auto"/>
        <w:rPr>
          <w:sz w:val="21"/>
          <w:szCs w:val="21"/>
        </w:rPr>
      </w:pPr>
      <w:r>
        <w:rPr>
          <w:rFonts w:hint="eastAsia"/>
          <w:sz w:val="21"/>
          <w:szCs w:val="21"/>
        </w:rPr>
        <w:t xml:space="preserve">7.重量≤600g。</w:t>
      </w:r>
      <w:r/>
    </w:p>
    <w:p>
      <w:pPr>
        <w:pStyle w:val="839"/>
        <w:ind w:left="0" w:firstLine="420"/>
        <w:spacing w:line="360" w:lineRule="auto"/>
        <w:rPr>
          <w:sz w:val="21"/>
          <w:szCs w:val="21"/>
        </w:rPr>
      </w:pPr>
      <w:r>
        <w:rPr>
          <w:rFonts w:hint="eastAsia"/>
          <w:sz w:val="21"/>
          <w:szCs w:val="21"/>
        </w:rPr>
        <w:t xml:space="preserve">8.配备与头盔配套的头灯支架。</w:t>
      </w:r>
      <w:r/>
    </w:p>
    <w:p>
      <w:pPr>
        <w:pStyle w:val="839"/>
        <w:ind w:left="0" w:firstLine="420"/>
        <w:spacing w:line="360" w:lineRule="auto"/>
        <w:rPr>
          <w:rFonts w:hint="eastAsia"/>
          <w:sz w:val="21"/>
          <w:szCs w:val="21"/>
        </w:rPr>
      </w:pPr>
      <w:r>
        <w:rPr>
          <w:rFonts w:hint="eastAsia"/>
          <w:sz w:val="21"/>
          <w:szCs w:val="21"/>
        </w:rPr>
        <w:t xml:space="preserve">9.头盔颜色:提供红色、黄色、白色等颜色供用户选择。</w:t>
      </w:r>
      <w:r/>
    </w:p>
    <w:p>
      <w:r/>
      <w:r/>
    </w:p>
    <w:p>
      <w:pPr>
        <w:pStyle w:val="839"/>
        <w:ind w:left="0" w:firstLine="420"/>
        <w:spacing w:line="360" w:lineRule="auto"/>
        <w:rPr>
          <w:sz w:val="21"/>
          <w:szCs w:val="21"/>
        </w:rPr>
      </w:pPr>
      <w:r>
        <w:rPr>
          <w:rFonts w:hint="eastAsia"/>
          <w:sz w:val="21"/>
          <w:szCs w:val="21"/>
        </w:rPr>
        <w:t xml:space="preserve">（三）湿式水域救援服</w:t>
      </w:r>
      <w:r/>
    </w:p>
    <w:p>
      <w:pPr>
        <w:pStyle w:val="839"/>
        <w:ind w:left="0" w:firstLine="420"/>
        <w:spacing w:line="360" w:lineRule="auto"/>
        <w:rPr>
          <w:sz w:val="21"/>
          <w:szCs w:val="21"/>
        </w:rPr>
      </w:pPr>
      <w:r>
        <w:rPr>
          <w:rFonts w:hint="eastAsia"/>
          <w:sz w:val="21"/>
          <w:szCs w:val="21"/>
        </w:rPr>
        <w:t xml:space="preserve">▲1.拉伸强度：服装的面料经150N的拉伸力度持续10s，经纬均不出现断裂现象。</w:t>
      </w:r>
      <w:r/>
    </w:p>
    <w:p>
      <w:pPr>
        <w:pStyle w:val="839"/>
        <w:ind w:left="0" w:firstLine="420"/>
        <w:spacing w:line="360" w:lineRule="auto"/>
        <w:rPr>
          <w:sz w:val="21"/>
          <w:szCs w:val="21"/>
        </w:rPr>
      </w:pPr>
      <w:r>
        <w:rPr>
          <w:rFonts w:hint="eastAsia"/>
          <w:sz w:val="21"/>
          <w:szCs w:val="21"/>
        </w:rPr>
        <w:t xml:space="preserve">▲2.接缝强度：服装的接缝经100N的拉伸力度持续10s,经纬均不出现断裂现象。</w:t>
      </w:r>
      <w:r/>
    </w:p>
    <w:p>
      <w:pPr>
        <w:pStyle w:val="839"/>
        <w:ind w:left="0" w:firstLine="420"/>
        <w:spacing w:line="360" w:lineRule="auto"/>
        <w:rPr>
          <w:sz w:val="21"/>
          <w:szCs w:val="21"/>
        </w:rPr>
      </w:pPr>
      <w:r>
        <w:rPr>
          <w:rFonts w:hint="eastAsia"/>
          <w:sz w:val="21"/>
          <w:szCs w:val="21"/>
        </w:rPr>
        <w:t xml:space="preserve">▲3.耐磨性能：服装的面料经2000次循环摩擦后，不被磨穿。</w:t>
      </w:r>
      <w:r/>
    </w:p>
    <w:p>
      <w:pPr>
        <w:pStyle w:val="839"/>
        <w:ind w:left="0" w:firstLine="420"/>
        <w:spacing w:line="360" w:lineRule="auto"/>
        <w:rPr>
          <w:rFonts w:hint="eastAsia" w:eastAsia="宋体"/>
          <w:sz w:val="21"/>
          <w:szCs w:val="21"/>
          <w:lang w:eastAsia="zh-CN"/>
        </w:rPr>
      </w:pPr>
      <w:r>
        <w:rPr>
          <w:rFonts w:hint="eastAsia"/>
          <w:sz w:val="21"/>
          <w:szCs w:val="21"/>
        </w:rPr>
        <w:t xml:space="preserve">▲4.服装的补强材料经6000次循环摩擦后，不被磨穿</w:t>
      </w:r>
      <w:r>
        <w:rPr>
          <w:rFonts w:hint="eastAsia"/>
          <w:sz w:val="21"/>
          <w:szCs w:val="21"/>
          <w:lang w:eastAsia="zh-CN"/>
        </w:rPr>
        <w:t xml:space="preserve">。</w:t>
      </w:r>
      <w:r/>
    </w:p>
    <w:p>
      <w:pPr>
        <w:pStyle w:val="839"/>
        <w:ind w:left="0" w:firstLine="420"/>
        <w:spacing w:line="360" w:lineRule="auto"/>
        <w:rPr>
          <w:sz w:val="21"/>
          <w:szCs w:val="21"/>
        </w:rPr>
      </w:pPr>
      <w:r>
        <w:rPr>
          <w:rFonts w:hint="eastAsia"/>
          <w:sz w:val="21"/>
          <w:szCs w:val="21"/>
        </w:rPr>
        <w:t xml:space="preserve">5.耐静水压性能：服装的面料在静水压100kPa下5min后，不出现水滴渗漏。</w:t>
      </w:r>
      <w:r/>
    </w:p>
    <w:p>
      <w:pPr>
        <w:pStyle w:val="839"/>
        <w:ind w:left="0" w:firstLine="420"/>
        <w:spacing w:line="360" w:lineRule="auto"/>
        <w:rPr>
          <w:sz w:val="21"/>
          <w:szCs w:val="21"/>
        </w:rPr>
      </w:pPr>
      <w:r>
        <w:rPr>
          <w:rFonts w:hint="eastAsia"/>
          <w:sz w:val="21"/>
          <w:szCs w:val="21"/>
        </w:rPr>
        <w:t xml:space="preserve">6.穿着时间：≤30S。</w:t>
      </w:r>
      <w:r/>
    </w:p>
    <w:p>
      <w:pPr>
        <w:pStyle w:val="839"/>
        <w:ind w:left="0" w:firstLine="420"/>
        <w:spacing w:line="360" w:lineRule="auto"/>
        <w:rPr>
          <w:sz w:val="21"/>
          <w:szCs w:val="21"/>
        </w:rPr>
      </w:pPr>
      <w:r>
        <w:rPr>
          <w:rFonts w:hint="eastAsia"/>
          <w:sz w:val="21"/>
          <w:szCs w:val="21"/>
        </w:rPr>
        <w:t xml:space="preserve">7.穿着者可活动性：穿着服装的人员能行走、爬行、游泳。</w:t>
      </w:r>
      <w:r/>
    </w:p>
    <w:p>
      <w:pPr>
        <w:pStyle w:val="839"/>
        <w:ind w:left="0" w:firstLine="420"/>
        <w:spacing w:line="360" w:lineRule="auto"/>
        <w:rPr>
          <w:sz w:val="21"/>
          <w:szCs w:val="21"/>
        </w:rPr>
      </w:pPr>
      <w:r>
        <w:rPr>
          <w:rFonts w:hint="eastAsia"/>
          <w:sz w:val="21"/>
          <w:szCs w:val="21"/>
        </w:rPr>
        <w:t xml:space="preserve">8.材质为带有钛涂层的氯丁橡胶，厚度≥3mm。</w:t>
      </w:r>
      <w:r/>
    </w:p>
    <w:p>
      <w:pPr>
        <w:pStyle w:val="839"/>
        <w:ind w:left="0" w:firstLine="420"/>
        <w:spacing w:line="360" w:lineRule="auto"/>
        <w:rPr>
          <w:sz w:val="21"/>
          <w:szCs w:val="21"/>
        </w:rPr>
      </w:pPr>
      <w:r>
        <w:rPr>
          <w:rFonts w:hint="eastAsia"/>
          <w:sz w:val="21"/>
          <w:szCs w:val="21"/>
        </w:rPr>
        <w:t xml:space="preserve">9.拉链位置：前置。</w:t>
      </w:r>
      <w:r/>
    </w:p>
    <w:p>
      <w:pPr>
        <w:pStyle w:val="839"/>
        <w:ind w:left="0" w:firstLine="420"/>
        <w:spacing w:line="360" w:lineRule="auto"/>
        <w:rPr>
          <w:sz w:val="21"/>
          <w:szCs w:val="21"/>
        </w:rPr>
      </w:pPr>
      <w:r>
        <w:rPr>
          <w:rFonts w:hint="eastAsia"/>
          <w:sz w:val="21"/>
          <w:szCs w:val="21"/>
        </w:rPr>
        <w:t xml:space="preserve">10.缝线采取暗针缝制工艺，且加固压胶处理。</w:t>
      </w:r>
      <w:r/>
    </w:p>
    <w:p>
      <w:pPr>
        <w:pStyle w:val="839"/>
        <w:ind w:left="0" w:firstLine="420"/>
        <w:spacing w:line="360" w:lineRule="auto"/>
        <w:rPr>
          <w:sz w:val="21"/>
          <w:szCs w:val="21"/>
        </w:rPr>
      </w:pPr>
      <w:r>
        <w:rPr>
          <w:rFonts w:hint="eastAsia"/>
          <w:sz w:val="21"/>
          <w:szCs w:val="21"/>
        </w:rPr>
        <w:t xml:space="preserve">11.腿部有加固材料垫，手臂有反光条，腿部有RESCUE救援字样，左手臂处有备件或对讲机口袋；且大腿处至少有1个口袋。</w:t>
      </w:r>
      <w:r/>
    </w:p>
    <w:p>
      <w:pPr>
        <w:pStyle w:val="839"/>
        <w:ind w:left="0" w:firstLine="420"/>
        <w:spacing w:line="360" w:lineRule="auto"/>
        <w:rPr>
          <w:rFonts w:hint="eastAsia"/>
          <w:sz w:val="21"/>
          <w:szCs w:val="21"/>
        </w:rPr>
      </w:pPr>
      <w:r>
        <w:rPr>
          <w:rFonts w:hint="eastAsia"/>
          <w:sz w:val="21"/>
          <w:szCs w:val="21"/>
        </w:rPr>
        <w:t xml:space="preserve">12.湿式水域救援服为连体式。</w:t>
      </w:r>
      <w:r/>
    </w:p>
    <w:p>
      <w:pPr>
        <w:pStyle w:val="839"/>
        <w:ind w:left="0" w:firstLine="420"/>
        <w:spacing w:line="360" w:lineRule="auto"/>
        <w:rPr>
          <w:sz w:val="21"/>
          <w:szCs w:val="21"/>
        </w:rPr>
      </w:pPr>
      <w:r>
        <w:rPr>
          <w:sz w:val="21"/>
          <w:szCs w:val="21"/>
        </w:rPr>
      </w:r>
      <w:r/>
    </w:p>
    <w:p>
      <w:pPr>
        <w:pStyle w:val="839"/>
        <w:ind w:left="0" w:firstLine="420"/>
        <w:spacing w:line="360" w:lineRule="auto"/>
        <w:rPr>
          <w:sz w:val="21"/>
          <w:szCs w:val="21"/>
        </w:rPr>
      </w:pPr>
      <w:r>
        <w:rPr>
          <w:rFonts w:hint="eastAsia"/>
          <w:sz w:val="21"/>
          <w:szCs w:val="21"/>
        </w:rPr>
        <w:t xml:space="preserve">（四）水域救援靴</w:t>
      </w:r>
      <w:r/>
    </w:p>
    <w:p>
      <w:pPr>
        <w:pStyle w:val="839"/>
        <w:ind w:left="0" w:firstLine="420"/>
        <w:spacing w:line="360" w:lineRule="auto"/>
        <w:rPr>
          <w:sz w:val="21"/>
          <w:szCs w:val="21"/>
        </w:rPr>
      </w:pPr>
      <w:r>
        <w:rPr>
          <w:rFonts w:hint="eastAsia"/>
          <w:sz w:val="21"/>
          <w:szCs w:val="21"/>
        </w:rPr>
        <w:t xml:space="preserve">1.款式：一体式水域救援靴。</w:t>
      </w:r>
      <w:r/>
    </w:p>
    <w:p>
      <w:pPr>
        <w:pStyle w:val="839"/>
        <w:ind w:left="0" w:firstLine="420"/>
        <w:spacing w:line="360" w:lineRule="auto"/>
        <w:rPr>
          <w:sz w:val="21"/>
          <w:szCs w:val="21"/>
        </w:rPr>
      </w:pPr>
      <w:r>
        <w:rPr>
          <w:rFonts w:hint="eastAsia"/>
          <w:sz w:val="21"/>
          <w:szCs w:val="21"/>
        </w:rPr>
        <w:t xml:space="preserve">▲2.水域救援靴内衬具备≥5mm氯丁橡胶涂层，且内衬与皮革一体合成。</w:t>
      </w:r>
      <w:r/>
    </w:p>
    <w:p>
      <w:pPr>
        <w:pStyle w:val="839"/>
        <w:ind w:left="0" w:firstLine="420"/>
        <w:spacing w:line="360" w:lineRule="auto"/>
        <w:rPr>
          <w:sz w:val="21"/>
          <w:szCs w:val="21"/>
        </w:rPr>
      </w:pPr>
      <w:r>
        <w:rPr>
          <w:rFonts w:hint="eastAsia"/>
          <w:sz w:val="21"/>
          <w:szCs w:val="21"/>
        </w:rPr>
        <w:t xml:space="preserve">3.内部需有弹性潜水材料内胆，为足部提供良好的保暖性和踝部支撑。</w:t>
      </w:r>
      <w:r/>
    </w:p>
    <w:p>
      <w:pPr>
        <w:pStyle w:val="839"/>
        <w:ind w:left="0" w:firstLine="420"/>
        <w:spacing w:line="360" w:lineRule="auto"/>
        <w:rPr>
          <w:sz w:val="21"/>
          <w:szCs w:val="21"/>
        </w:rPr>
      </w:pPr>
      <w:r>
        <w:rPr>
          <w:rFonts w:hint="eastAsia"/>
          <w:sz w:val="21"/>
          <w:szCs w:val="21"/>
        </w:rPr>
        <w:t xml:space="preserve">4.≥7mm的氯丁橡胶内底。</w:t>
      </w:r>
      <w:r/>
    </w:p>
    <w:p>
      <w:pPr>
        <w:pStyle w:val="839"/>
        <w:ind w:left="0" w:firstLine="420"/>
        <w:spacing w:line="360" w:lineRule="auto"/>
        <w:rPr>
          <w:sz w:val="21"/>
          <w:szCs w:val="21"/>
        </w:rPr>
      </w:pPr>
      <w:r>
        <w:rPr>
          <w:rFonts w:hint="eastAsia"/>
          <w:sz w:val="21"/>
          <w:szCs w:val="21"/>
        </w:rPr>
        <w:t xml:space="preserve">5.鞋底防滑设计，能适应水面和陆地的各种地形。</w:t>
      </w:r>
      <w:r/>
    </w:p>
    <w:p>
      <w:pPr>
        <w:pStyle w:val="839"/>
        <w:ind w:left="0" w:firstLine="420"/>
        <w:spacing w:line="360" w:lineRule="auto"/>
        <w:rPr>
          <w:sz w:val="21"/>
          <w:szCs w:val="21"/>
        </w:rPr>
      </w:pPr>
      <w:r>
        <w:rPr>
          <w:rFonts w:hint="eastAsia"/>
          <w:sz w:val="21"/>
          <w:szCs w:val="21"/>
        </w:rPr>
        <w:t xml:space="preserve">6.经常磨损区域采用合成皮革和橡胶补强处理。</w:t>
      </w:r>
      <w:r/>
    </w:p>
    <w:p>
      <w:pPr>
        <w:pStyle w:val="839"/>
        <w:ind w:left="0" w:firstLine="420"/>
        <w:spacing w:line="360" w:lineRule="auto"/>
        <w:rPr>
          <w:sz w:val="21"/>
          <w:szCs w:val="21"/>
        </w:rPr>
      </w:pPr>
      <w:r>
        <w:rPr>
          <w:rFonts w:hint="eastAsia"/>
          <w:sz w:val="21"/>
          <w:szCs w:val="21"/>
        </w:rPr>
        <w:t xml:space="preserve">7.靴子内侧设有排水孔，方便出水。</w:t>
      </w:r>
      <w:r/>
    </w:p>
    <w:p>
      <w:pPr>
        <w:pStyle w:val="839"/>
        <w:ind w:left="0" w:firstLine="420"/>
        <w:spacing w:line="360" w:lineRule="auto"/>
        <w:rPr>
          <w:sz w:val="21"/>
          <w:szCs w:val="21"/>
        </w:rPr>
      </w:pPr>
      <w:r>
        <w:rPr>
          <w:rFonts w:hint="eastAsia"/>
          <w:sz w:val="21"/>
          <w:szCs w:val="21"/>
        </w:rPr>
        <w:t xml:space="preserve">8.脚跟处凸起设计，方便与脚蹼搭配使用。</w:t>
      </w:r>
      <w:r/>
    </w:p>
    <w:p>
      <w:pPr>
        <w:pStyle w:val="839"/>
        <w:ind w:left="0" w:firstLine="420"/>
        <w:spacing w:line="360" w:lineRule="auto"/>
        <w:rPr>
          <w:sz w:val="21"/>
          <w:szCs w:val="21"/>
        </w:rPr>
      </w:pPr>
      <w:r>
        <w:rPr>
          <w:rFonts w:hint="eastAsia"/>
          <w:sz w:val="21"/>
          <w:szCs w:val="21"/>
        </w:rPr>
        <w:t xml:space="preserve">9.靴底经过10万次弯折试验，靴底整体不断裂，外底裂缝长度≤9mm。</w:t>
      </w:r>
      <w:r/>
    </w:p>
    <w:p>
      <w:pPr>
        <w:pStyle w:val="839"/>
        <w:ind w:left="0" w:firstLine="420"/>
        <w:spacing w:line="360" w:lineRule="auto"/>
        <w:rPr>
          <w:sz w:val="21"/>
          <w:szCs w:val="21"/>
        </w:rPr>
      </w:pPr>
      <w:r>
        <w:rPr>
          <w:rFonts w:hint="eastAsia"/>
          <w:sz w:val="21"/>
          <w:szCs w:val="21"/>
        </w:rPr>
        <w:t xml:space="preserve">▲10.靴帮材料最大抗刺穿能力≥50N。</w:t>
      </w:r>
      <w:r/>
    </w:p>
    <w:p>
      <w:pPr>
        <w:pStyle w:val="839"/>
        <w:ind w:left="0" w:firstLine="420"/>
        <w:spacing w:line="360" w:lineRule="auto"/>
        <w:rPr>
          <w:sz w:val="21"/>
          <w:szCs w:val="21"/>
        </w:rPr>
      </w:pPr>
      <w:r>
        <w:rPr>
          <w:rFonts w:hint="eastAsia"/>
          <w:sz w:val="21"/>
          <w:szCs w:val="21"/>
        </w:rPr>
        <w:t xml:space="preserve">11.靴帮材料经抗切割试验后，不被割穿。</w:t>
      </w:r>
      <w:r/>
    </w:p>
    <w:p>
      <w:pPr>
        <w:pStyle w:val="839"/>
        <w:ind w:left="0" w:firstLine="420"/>
        <w:spacing w:line="360" w:lineRule="auto"/>
        <w:rPr>
          <w:sz w:val="21"/>
          <w:szCs w:val="21"/>
        </w:rPr>
      </w:pPr>
      <w:r>
        <w:rPr>
          <w:rFonts w:hint="eastAsia"/>
          <w:sz w:val="21"/>
          <w:szCs w:val="21"/>
        </w:rPr>
        <w:t xml:space="preserve">12.靴帮材料经过20000次循环摩擦后，不出现磨穿的现象。</w:t>
      </w:r>
      <w:r/>
    </w:p>
    <w:p>
      <w:pPr>
        <w:pStyle w:val="839"/>
        <w:ind w:left="0" w:firstLine="420"/>
        <w:spacing w:line="360" w:lineRule="auto"/>
        <w:rPr>
          <w:sz w:val="21"/>
          <w:szCs w:val="21"/>
        </w:rPr>
      </w:pPr>
      <w:r>
        <w:rPr>
          <w:rFonts w:hint="eastAsia"/>
          <w:sz w:val="21"/>
          <w:szCs w:val="21"/>
        </w:rPr>
        <w:t xml:space="preserve">13.靴帮经过反复大于等于20000次弯折后，无裂纹、松面、掉浆现象。</w:t>
      </w:r>
      <w:r/>
    </w:p>
    <w:p>
      <w:pPr>
        <w:pStyle w:val="839"/>
        <w:ind w:left="0" w:firstLine="420"/>
        <w:spacing w:line="360" w:lineRule="auto"/>
        <w:rPr>
          <w:sz w:val="21"/>
          <w:szCs w:val="21"/>
        </w:rPr>
      </w:pPr>
      <w:r>
        <w:rPr>
          <w:rFonts w:hint="eastAsia"/>
          <w:sz w:val="21"/>
          <w:szCs w:val="21"/>
        </w:rPr>
        <w:t xml:space="preserve">14.帮底剥离强度≥95N/CM。</w:t>
      </w:r>
      <w:r/>
    </w:p>
    <w:p>
      <w:pPr>
        <w:pStyle w:val="839"/>
        <w:ind w:left="0" w:firstLine="420"/>
        <w:spacing w:line="360" w:lineRule="auto"/>
        <w:rPr>
          <w:sz w:val="21"/>
          <w:szCs w:val="21"/>
        </w:rPr>
      </w:pPr>
      <w:r>
        <w:rPr>
          <w:rFonts w:hint="eastAsia"/>
          <w:sz w:val="21"/>
          <w:szCs w:val="21"/>
        </w:rPr>
        <w:t xml:space="preserve">15.热老化性能试验后，靴帮拉伸性能≥25Mpa。</w:t>
      </w:r>
      <w:r/>
    </w:p>
    <w:p>
      <w:pPr>
        <w:pStyle w:val="839"/>
        <w:ind w:left="0" w:firstLine="420"/>
        <w:spacing w:line="360" w:lineRule="auto"/>
        <w:rPr>
          <w:sz w:val="21"/>
          <w:szCs w:val="21"/>
        </w:rPr>
      </w:pPr>
      <w:r>
        <w:rPr>
          <w:rFonts w:hint="eastAsia"/>
          <w:sz w:val="21"/>
          <w:szCs w:val="21"/>
        </w:rPr>
        <w:t xml:space="preserve">16.热老化性能试验后，靴底拉伸性能≥5Mpa。</w:t>
      </w:r>
      <w:r/>
    </w:p>
    <w:p>
      <w:pPr>
        <w:pStyle w:val="839"/>
        <w:ind w:left="0" w:firstLine="420"/>
        <w:spacing w:line="360" w:lineRule="auto"/>
        <w:rPr>
          <w:rFonts w:hint="eastAsia"/>
          <w:sz w:val="21"/>
          <w:szCs w:val="21"/>
        </w:rPr>
      </w:pPr>
      <w:r>
        <w:rPr>
          <w:rFonts w:hint="eastAsia"/>
          <w:sz w:val="21"/>
          <w:szCs w:val="21"/>
        </w:rPr>
        <w:t xml:space="preserve">17.质量:≤1300g。</w:t>
      </w:r>
      <w:r/>
    </w:p>
    <w:p>
      <w:r/>
      <w:r/>
    </w:p>
    <w:p>
      <w:pPr>
        <w:pStyle w:val="839"/>
        <w:ind w:left="0" w:firstLine="422"/>
        <w:spacing w:line="360" w:lineRule="auto"/>
        <w:rPr>
          <w:sz w:val="21"/>
          <w:szCs w:val="21"/>
        </w:rPr>
        <w:outlineLvl w:val="0"/>
      </w:pPr>
      <w:r>
        <w:rPr>
          <w:rFonts w:hint="eastAsia"/>
          <w:b/>
          <w:bCs/>
          <w:sz w:val="21"/>
          <w:szCs w:val="21"/>
        </w:rPr>
        <w:t xml:space="preserve">包二（手提式强光照明灯）：</w:t>
      </w:r>
      <w:r/>
    </w:p>
    <w:tbl>
      <w:tblPr>
        <w:tblStyle w:val="887"/>
        <w:tblW w:w="8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3"/>
        <w:gridCol w:w="2069"/>
        <w:gridCol w:w="737"/>
        <w:gridCol w:w="737"/>
        <w:gridCol w:w="883"/>
        <w:gridCol w:w="1196"/>
        <w:gridCol w:w="2217"/>
      </w:tblGrid>
      <w:tr>
        <w:trPr>
          <w:jc w:val="center"/>
          <w:trHeight w:val="448"/>
        </w:trPr>
        <w:tc>
          <w:tcPr>
            <w:tcW w:w="1013" w:type="dxa"/>
            <w:vAlign w:val="center"/>
            <w:textDirection w:val="lrTb"/>
            <w:noWrap w:val="false"/>
          </w:tcPr>
          <w:p>
            <w:pPr>
              <w:ind w:left="0"/>
              <w:jc w:val="center"/>
              <w:spacing w:line="24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包号</w:t>
            </w:r>
            <w:r/>
          </w:p>
        </w:tc>
        <w:tc>
          <w:tcPr>
            <w:tcW w:w="2069" w:type="dxa"/>
            <w:vAlign w:val="center"/>
            <w:textDirection w:val="lrTb"/>
            <w:noWrap w:val="false"/>
          </w:tcPr>
          <w:p>
            <w:pPr>
              <w:ind w:left="0"/>
              <w:jc w:val="center"/>
              <w:spacing w:line="24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装备名称</w:t>
            </w:r>
            <w:r/>
          </w:p>
        </w:tc>
        <w:tc>
          <w:tcPr>
            <w:tcW w:w="737" w:type="dxa"/>
            <w:vAlign w:val="center"/>
            <w:textDirection w:val="lrTb"/>
            <w:noWrap w:val="false"/>
          </w:tcPr>
          <w:p>
            <w:pPr>
              <w:ind w:left="0"/>
              <w:jc w:val="center"/>
              <w:spacing w:line="24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计量单位</w:t>
            </w:r>
            <w:r/>
          </w:p>
        </w:tc>
        <w:tc>
          <w:tcPr>
            <w:tcW w:w="737" w:type="dxa"/>
            <w:vAlign w:val="center"/>
            <w:textDirection w:val="lrTb"/>
            <w:noWrap w:val="false"/>
          </w:tcPr>
          <w:p>
            <w:pPr>
              <w:ind w:left="0"/>
              <w:jc w:val="center"/>
              <w:spacing w:line="24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数量</w:t>
            </w:r>
            <w:r/>
          </w:p>
        </w:tc>
        <w:tc>
          <w:tcPr>
            <w:tcW w:w="883" w:type="dxa"/>
            <w:vAlign w:val="center"/>
            <w:textDirection w:val="lrTb"/>
            <w:noWrap w:val="false"/>
          </w:tcPr>
          <w:p>
            <w:pPr>
              <w:ind w:left="0"/>
              <w:jc w:val="center"/>
              <w:spacing w:line="24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单价限价（万元）</w:t>
            </w:r>
            <w:r/>
          </w:p>
        </w:tc>
        <w:tc>
          <w:tcPr>
            <w:tcW w:w="1196" w:type="dxa"/>
            <w:vAlign w:val="center"/>
            <w:textDirection w:val="lrTb"/>
            <w:noWrap w:val="false"/>
          </w:tcPr>
          <w:p>
            <w:pPr>
              <w:ind w:left="0"/>
              <w:jc w:val="center"/>
              <w:spacing w:line="24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核心产品</w:t>
            </w:r>
            <w:r/>
          </w:p>
        </w:tc>
        <w:tc>
          <w:tcPr>
            <w:tcW w:w="2217" w:type="dxa"/>
            <w:vAlign w:val="center"/>
            <w:textDirection w:val="lrTb"/>
            <w:noWrap w:val="false"/>
          </w:tcPr>
          <w:p>
            <w:pPr>
              <w:ind w:left="0"/>
              <w:jc w:val="center"/>
              <w:spacing w:line="24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备注</w:t>
            </w:r>
            <w:r/>
          </w:p>
        </w:tc>
      </w:tr>
      <w:tr>
        <w:trPr>
          <w:jc w:val="center"/>
          <w:trHeight w:val="17"/>
        </w:trPr>
        <w:tc>
          <w:tcPr>
            <w:tcW w:w="1013"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p>
        </w:tc>
        <w:tc>
          <w:tcPr>
            <w:tcW w:w="2069"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pacing w:val="-4"/>
                <w:sz w:val="21"/>
                <w:szCs w:val="21"/>
              </w:rPr>
            </w:pPr>
            <w:r>
              <w:rPr>
                <w:rFonts w:hint="eastAsia" w:asciiTheme="minorEastAsia" w:hAnsiTheme="minorEastAsia" w:eastAsiaTheme="minorEastAsia" w:cstheme="minorEastAsia"/>
                <w:spacing w:val="-4"/>
                <w:sz w:val="21"/>
                <w:szCs w:val="21"/>
              </w:rPr>
              <w:t xml:space="preserve">手提式强光照明灯</w:t>
            </w:r>
            <w:r/>
          </w:p>
        </w:tc>
        <w:tc>
          <w:tcPr>
            <w:tcW w:w="737"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 xml:space="preserve">个</w:t>
            </w:r>
            <w:r/>
          </w:p>
        </w:tc>
        <w:tc>
          <w:tcPr>
            <w:tcW w:w="737"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179</w:t>
            </w:r>
            <w:r/>
          </w:p>
        </w:tc>
        <w:tc>
          <w:tcPr>
            <w:tcW w:w="883"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0.28</w:t>
            </w:r>
            <w:r/>
          </w:p>
        </w:tc>
        <w:tc>
          <w:tcPr>
            <w:tcW w:w="1196"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2217" w:type="dxa"/>
            <w:vAlign w:val="center"/>
            <w:textDirection w:val="lrTb"/>
            <w:noWrap w:val="false"/>
          </w:tcPr>
          <w:p>
            <w:pPr>
              <w:ind w:left="0"/>
              <w:jc w:val="center"/>
              <w:keepLines w:val="0"/>
              <w:keepNext w:val="0"/>
              <w:pageBreakBefore w:val="0"/>
              <w:spacing w:line="24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提供样品</w:t>
            </w:r>
            <w:r>
              <w:rPr>
                <w:rFonts w:hint="eastAsia" w:asciiTheme="minorEastAsia" w:hAnsiTheme="minorEastAsia" w:eastAsiaTheme="minorEastAsia" w:cstheme="minorEastAsia"/>
                <w:b/>
                <w:bCs/>
                <w:sz w:val="21"/>
                <w:szCs w:val="21"/>
                <w:lang w:val="en-US" w:eastAsia="zh-CN"/>
              </w:rPr>
              <w:t xml:space="preserve">将在评分标准中参与打分，未提供不得分。</w:t>
            </w:r>
            <w:r/>
          </w:p>
        </w:tc>
      </w:tr>
    </w:tbl>
    <w:p>
      <w:pPr>
        <w:pStyle w:val="839"/>
        <w:ind w:left="0" w:firstLine="422"/>
        <w:spacing w:line="360" w:lineRule="auto"/>
        <w:rPr>
          <w:rFonts w:ascii="宋体" w:hAnsi="宋体"/>
          <w:b/>
          <w:bCs/>
          <w:sz w:val="21"/>
          <w:szCs w:val="21"/>
          <w:lang w:val="zh-CN"/>
        </w:rPr>
      </w:pPr>
      <w:r>
        <w:rPr>
          <w:rFonts w:hint="eastAsia" w:ascii="宋体" w:hAnsi="宋体"/>
          <w:b/>
          <w:sz w:val="21"/>
          <w:szCs w:val="21"/>
        </w:rPr>
        <w:t xml:space="preserve">注：</w:t>
      </w:r>
      <w:r>
        <w:rPr>
          <w:rFonts w:hint="eastAsia" w:ascii="宋体" w:hAnsi="宋体"/>
          <w:b/>
          <w:bCs/>
          <w:sz w:val="21"/>
          <w:szCs w:val="21"/>
          <w:lang w:val="zh-CN"/>
        </w:rPr>
        <w:t xml:space="preserve">公开分项报价中的单价报价不可高于最高单价限价，否则为非实质性响应，投标无效。</w:t>
      </w:r>
      <w:r/>
    </w:p>
    <w:p>
      <w:pPr>
        <w:pStyle w:val="839"/>
        <w:ind w:left="0" w:firstLine="420"/>
        <w:spacing w:line="360" w:lineRule="auto"/>
        <w:rPr>
          <w:sz w:val="21"/>
          <w:szCs w:val="21"/>
        </w:rPr>
      </w:pPr>
      <w:r>
        <w:rPr>
          <w:rFonts w:hint="eastAsia"/>
          <w:sz w:val="21"/>
          <w:szCs w:val="21"/>
        </w:rPr>
        <w:t xml:space="preserve">（一）手提式强光照明灯</w:t>
      </w:r>
      <w:r/>
    </w:p>
    <w:p>
      <w:pPr>
        <w:pStyle w:val="839"/>
        <w:ind w:left="0" w:firstLine="420"/>
        <w:spacing w:line="360" w:lineRule="auto"/>
        <w:rPr>
          <w:sz w:val="21"/>
          <w:szCs w:val="21"/>
        </w:rPr>
      </w:pPr>
      <w:r>
        <w:rPr>
          <w:rFonts w:hint="eastAsia"/>
          <w:sz w:val="21"/>
          <w:szCs w:val="21"/>
        </w:rPr>
        <w:t xml:space="preserve">1.结构组成：方位灯、充电口、充电器、灯具、提手、电量显示、按键开关、红蓝警示模块组成。 </w:t>
      </w:r>
      <w:r/>
    </w:p>
    <w:p>
      <w:pPr>
        <w:pStyle w:val="839"/>
        <w:ind w:left="0" w:firstLine="420"/>
        <w:spacing w:line="360" w:lineRule="auto"/>
        <w:rPr>
          <w:sz w:val="21"/>
          <w:szCs w:val="21"/>
        </w:rPr>
      </w:pPr>
      <w:r>
        <w:rPr>
          <w:rFonts w:hint="eastAsia"/>
          <w:sz w:val="21"/>
          <w:szCs w:val="21"/>
        </w:rPr>
        <w:t xml:space="preserve">2.主要应用场景：适合于消防行业日常灭火、救援强光手提照明及指挥现场工作照明。</w:t>
      </w:r>
      <w:r/>
    </w:p>
    <w:p>
      <w:pPr>
        <w:pStyle w:val="839"/>
        <w:ind w:left="0" w:firstLine="420"/>
        <w:spacing w:line="360" w:lineRule="auto"/>
        <w:rPr>
          <w:rFonts w:hint="eastAsia" w:eastAsia="宋体"/>
          <w:sz w:val="21"/>
          <w:szCs w:val="21"/>
          <w:highlight w:val="none"/>
          <w:lang w:eastAsia="zh-CN"/>
        </w:rPr>
      </w:pPr>
      <w:r>
        <w:rPr>
          <w:rFonts w:hint="eastAsia"/>
          <w:sz w:val="21"/>
          <w:szCs w:val="21"/>
          <w:highlight w:val="none"/>
        </w:rPr>
        <w:t xml:space="preserve">★3.提供所投产品完整有效的检验报告</w:t>
      </w:r>
      <w:r>
        <w:rPr>
          <w:rFonts w:hint="eastAsia"/>
          <w:sz w:val="21"/>
          <w:szCs w:val="21"/>
          <w:highlight w:val="none"/>
          <w:lang w:eastAsia="zh-CN"/>
        </w:rPr>
        <w:t xml:space="preserve">（</w:t>
      </w:r>
      <w:r>
        <w:rPr>
          <w:rFonts w:hint="eastAsia"/>
          <w:sz w:val="21"/>
          <w:szCs w:val="21"/>
          <w:highlight w:val="none"/>
          <w:lang w:val="en-US" w:eastAsia="zh-CN"/>
        </w:rPr>
        <w:t xml:space="preserve">具有CMA标志</w:t>
      </w:r>
      <w:r>
        <w:rPr>
          <w:rFonts w:hint="eastAsia"/>
          <w:sz w:val="21"/>
          <w:szCs w:val="21"/>
          <w:highlight w:val="none"/>
          <w:lang w:eastAsia="zh-CN"/>
        </w:rPr>
        <w:t xml:space="preserve">）</w:t>
      </w:r>
      <w:r>
        <w:rPr>
          <w:rFonts w:hint="eastAsia"/>
          <w:sz w:val="21"/>
          <w:szCs w:val="21"/>
          <w:highlight w:val="none"/>
        </w:rPr>
        <w:t xml:space="preserve">，检验结果和结论都应符合GB30734-2014《消防员照明灯具》标准要求。</w:t>
      </w:r>
      <w:r>
        <w:rPr>
          <w:rFonts w:hint="eastAsia"/>
          <w:b/>
          <w:bCs/>
          <w:sz w:val="21"/>
          <w:szCs w:val="21"/>
          <w:highlight w:val="none"/>
          <w:lang w:eastAsia="zh-CN"/>
        </w:rPr>
        <w:t xml:space="preserve">（</w:t>
      </w:r>
      <w:r>
        <w:rPr>
          <w:rFonts w:hint="eastAsia"/>
          <w:b/>
          <w:bCs/>
          <w:sz w:val="21"/>
          <w:szCs w:val="21"/>
          <w:highlight w:val="none"/>
          <w:lang w:val="en-US" w:eastAsia="zh-CN"/>
        </w:rPr>
        <w:t xml:space="preserve">须</w:t>
      </w:r>
      <w:r>
        <w:rPr>
          <w:rFonts w:hint="eastAsia"/>
          <w:b/>
          <w:bCs/>
          <w:sz w:val="21"/>
          <w:szCs w:val="21"/>
          <w:highlight w:val="none"/>
          <w:lang w:eastAsia="zh-CN"/>
        </w:rPr>
        <w:t xml:space="preserve">提供由国家认可的检测机构出具与所投产品型号一致、完整有效的检验报告（</w:t>
      </w:r>
      <w:r>
        <w:rPr>
          <w:rFonts w:hint="eastAsia"/>
          <w:b/>
          <w:bCs/>
          <w:sz w:val="21"/>
          <w:szCs w:val="21"/>
          <w:highlight w:val="none"/>
          <w:lang w:val="en-US" w:eastAsia="zh-CN"/>
        </w:rPr>
        <w:t xml:space="preserve">具有CMA标志</w:t>
      </w:r>
      <w:r>
        <w:rPr>
          <w:rFonts w:hint="eastAsia"/>
          <w:b/>
          <w:bCs/>
          <w:sz w:val="21"/>
          <w:szCs w:val="21"/>
          <w:highlight w:val="none"/>
          <w:lang w:eastAsia="zh-CN"/>
        </w:rPr>
        <w:t xml:space="preserve">）。</w:t>
      </w:r>
      <w:r>
        <w:rPr>
          <w:rFonts w:hint="eastAsia" w:asciiTheme="minorEastAsia" w:hAnsiTheme="minorEastAsia" w:eastAsiaTheme="minorEastAsia" w:cstheme="minorEastAsia"/>
          <w:b/>
          <w:bCs/>
          <w:sz w:val="21"/>
          <w:szCs w:val="21"/>
          <w:highlight w:val="none"/>
        </w:rPr>
        <w:t xml:space="preserve">未提供视作非实质性响应招标文件</w:t>
      </w:r>
      <w:r>
        <w:rPr>
          <w:rFonts w:hint="eastAsia" w:asciiTheme="minorEastAsia" w:hAnsiTheme="minorEastAsia" w:eastAsiaTheme="minorEastAsia" w:cstheme="minorEastAsia"/>
          <w:b/>
          <w:bCs/>
          <w:sz w:val="21"/>
          <w:szCs w:val="21"/>
          <w:highlight w:val="none"/>
          <w:lang w:eastAsia="zh-CN"/>
        </w:rPr>
        <w:t xml:space="preserve">。</w:t>
      </w:r>
      <w:r>
        <w:rPr>
          <w:rFonts w:hint="eastAsia"/>
          <w:b/>
          <w:bCs/>
          <w:sz w:val="21"/>
          <w:szCs w:val="21"/>
          <w:highlight w:val="none"/>
          <w:lang w:eastAsia="zh-CN"/>
        </w:rPr>
        <w:t xml:space="preserve">）</w:t>
      </w:r>
      <w:r/>
    </w:p>
    <w:p>
      <w:pPr>
        <w:pStyle w:val="839"/>
        <w:ind w:left="0" w:firstLine="420"/>
        <w:spacing w:line="360" w:lineRule="auto"/>
        <w:rPr>
          <w:rFonts w:hint="eastAsia" w:eastAsia="宋体"/>
          <w:sz w:val="21"/>
          <w:szCs w:val="21"/>
          <w:highlight w:val="none"/>
          <w:lang w:eastAsia="zh-CN"/>
        </w:rPr>
      </w:pPr>
      <w:r>
        <w:rPr>
          <w:rFonts w:hint="eastAsia"/>
          <w:sz w:val="21"/>
          <w:szCs w:val="21"/>
          <w:highlight w:val="none"/>
        </w:rPr>
        <w:t xml:space="preserve">▲4.提供所投产品完整有效的防爆合格证。</w:t>
      </w:r>
      <w:r/>
    </w:p>
    <w:p>
      <w:pPr>
        <w:pStyle w:val="839"/>
        <w:ind w:left="0" w:firstLine="420"/>
        <w:spacing w:line="360" w:lineRule="auto"/>
        <w:rPr>
          <w:sz w:val="21"/>
          <w:szCs w:val="21"/>
        </w:rPr>
      </w:pPr>
      <w:r>
        <w:rPr>
          <w:rFonts w:hint="eastAsia"/>
          <w:sz w:val="21"/>
          <w:szCs w:val="21"/>
        </w:rPr>
        <w:t xml:space="preserve">5.灯具的供电电源采用可充电电池；灯具的充电器采用插头与交直流转换器分离式结构，灯具或充电器设置充电保护电路；灯具的防爆性能应符合GB3836.1-2021的要求。</w:t>
      </w:r>
      <w:r/>
    </w:p>
    <w:p>
      <w:pPr>
        <w:pStyle w:val="839"/>
        <w:ind w:left="0" w:firstLine="420"/>
        <w:spacing w:line="360" w:lineRule="auto"/>
        <w:rPr>
          <w:sz w:val="21"/>
          <w:szCs w:val="21"/>
        </w:rPr>
      </w:pPr>
      <w:r>
        <w:rPr>
          <w:rFonts w:hint="eastAsia"/>
          <w:sz w:val="21"/>
          <w:szCs w:val="21"/>
        </w:rPr>
        <w:t xml:space="preserve">6.灯具具备强光、工作光切换，具备闪烁方式的低电压警告功能。</w:t>
      </w:r>
      <w:r/>
    </w:p>
    <w:p>
      <w:pPr>
        <w:pStyle w:val="839"/>
        <w:ind w:left="0" w:firstLine="420"/>
        <w:spacing w:line="360" w:lineRule="auto"/>
        <w:rPr>
          <w:sz w:val="21"/>
          <w:szCs w:val="21"/>
        </w:rPr>
      </w:pPr>
      <w:r>
        <w:rPr>
          <w:rFonts w:hint="eastAsia"/>
          <w:sz w:val="21"/>
          <w:szCs w:val="21"/>
        </w:rPr>
        <w:t xml:space="preserve">7.外观清洁、光滑、整齐、无污损、腐蚀、划伤、毛刺、裂痕、变形现象。</w:t>
      </w:r>
      <w:r/>
    </w:p>
    <w:p>
      <w:pPr>
        <w:pStyle w:val="839"/>
        <w:ind w:left="0" w:firstLine="420"/>
        <w:spacing w:line="360" w:lineRule="auto"/>
        <w:rPr>
          <w:sz w:val="21"/>
          <w:szCs w:val="21"/>
        </w:rPr>
      </w:pPr>
      <w:r>
        <w:rPr>
          <w:rFonts w:hint="eastAsia"/>
          <w:sz w:val="21"/>
          <w:szCs w:val="21"/>
        </w:rPr>
        <w:t xml:space="preserve">8.质量≤1.5kg。</w:t>
      </w:r>
      <w:r/>
    </w:p>
    <w:p>
      <w:pPr>
        <w:pStyle w:val="839"/>
        <w:ind w:left="0" w:firstLine="420"/>
        <w:spacing w:line="360" w:lineRule="auto"/>
        <w:rPr>
          <w:sz w:val="21"/>
          <w:szCs w:val="21"/>
        </w:rPr>
      </w:pPr>
      <w:r>
        <w:rPr>
          <w:rFonts w:hint="eastAsia"/>
          <w:sz w:val="21"/>
          <w:szCs w:val="21"/>
        </w:rPr>
        <w:t xml:space="preserve">▲9.照度：5米测试距离处，强光平均值≥250Lx，强光最小值≥150Lx；弱光平均值≥150Lx，弱光最小值≥100Lx。</w:t>
      </w:r>
      <w:r/>
    </w:p>
    <w:p>
      <w:pPr>
        <w:pStyle w:val="839"/>
        <w:ind w:left="0" w:firstLine="420"/>
        <w:spacing w:line="360" w:lineRule="auto"/>
        <w:rPr>
          <w:sz w:val="21"/>
          <w:szCs w:val="21"/>
        </w:rPr>
      </w:pPr>
      <w:r>
        <w:rPr>
          <w:rFonts w:hint="eastAsia"/>
          <w:sz w:val="21"/>
          <w:szCs w:val="21"/>
        </w:rPr>
        <w:t xml:space="preserve">▲10.连续稳定工作时间：强光≥300min，弱光≥600min。</w:t>
      </w:r>
      <w:r/>
    </w:p>
    <w:p>
      <w:pPr>
        <w:pStyle w:val="839"/>
        <w:ind w:left="0" w:firstLine="420"/>
        <w:spacing w:line="360" w:lineRule="auto"/>
        <w:rPr>
          <w:sz w:val="21"/>
          <w:szCs w:val="21"/>
        </w:rPr>
      </w:pPr>
      <w:r>
        <w:rPr>
          <w:rFonts w:hint="eastAsia"/>
          <w:sz w:val="21"/>
          <w:szCs w:val="21"/>
        </w:rPr>
        <w:t xml:space="preserve">11.低电压报警时间：≥10s且≤20s。</w:t>
      </w:r>
      <w:r/>
    </w:p>
    <w:p>
      <w:pPr>
        <w:pStyle w:val="839"/>
        <w:ind w:left="0" w:firstLine="420"/>
        <w:spacing w:line="360" w:lineRule="auto"/>
        <w:rPr>
          <w:sz w:val="21"/>
          <w:szCs w:val="21"/>
        </w:rPr>
      </w:pPr>
      <w:r>
        <w:rPr>
          <w:rFonts w:hint="eastAsia"/>
          <w:sz w:val="21"/>
          <w:szCs w:val="21"/>
        </w:rPr>
        <w:t xml:space="preserve">12.低电压状态下连续工作时间：强光≥15min，弱光≥30min。</w:t>
      </w:r>
      <w:r/>
    </w:p>
    <w:p>
      <w:pPr>
        <w:pStyle w:val="839"/>
        <w:ind w:left="0" w:firstLine="420"/>
        <w:spacing w:line="360" w:lineRule="auto"/>
        <w:rPr>
          <w:sz w:val="21"/>
          <w:szCs w:val="21"/>
        </w:rPr>
      </w:pPr>
      <w:r>
        <w:rPr>
          <w:rFonts w:hint="eastAsia"/>
          <w:sz w:val="21"/>
          <w:szCs w:val="21"/>
        </w:rPr>
        <w:t xml:space="preserve">13.绝缘性能：在常温环境下，灯具带电端子与外壳间的绝缘电阻应不小于20MΩ，交变湿热试验后不小于5MΩ。</w:t>
      </w:r>
      <w:r/>
    </w:p>
    <w:p>
      <w:pPr>
        <w:pStyle w:val="839"/>
        <w:ind w:left="0" w:firstLine="420"/>
        <w:spacing w:line="360" w:lineRule="auto"/>
        <w:rPr>
          <w:sz w:val="21"/>
          <w:szCs w:val="21"/>
        </w:rPr>
      </w:pPr>
      <w:r>
        <w:rPr>
          <w:rFonts w:hint="eastAsia"/>
          <w:sz w:val="21"/>
          <w:szCs w:val="21"/>
        </w:rPr>
        <w:t xml:space="preserve">14.耐电压性能：灯具应耐受频率为50Hz±0.5Hz，交流电压为500V±50V，历时60s±5s的耐电压试验。</w:t>
      </w:r>
      <w:r/>
    </w:p>
    <w:p>
      <w:pPr>
        <w:pStyle w:val="839"/>
        <w:ind w:left="0" w:firstLine="420"/>
        <w:spacing w:line="360" w:lineRule="auto"/>
        <w:rPr>
          <w:sz w:val="21"/>
          <w:szCs w:val="21"/>
        </w:rPr>
      </w:pPr>
      <w:r>
        <w:rPr>
          <w:rFonts w:hint="eastAsia"/>
          <w:sz w:val="21"/>
          <w:szCs w:val="21"/>
        </w:rPr>
        <w:t xml:space="preserve">15.开关经50000次可靠性试验后保持完好，且灯具能正常点亮并实现强、弱光切换。</w:t>
      </w:r>
      <w:r/>
    </w:p>
    <w:p>
      <w:pPr>
        <w:pStyle w:val="839"/>
        <w:ind w:left="0" w:firstLine="420"/>
        <w:spacing w:line="360" w:lineRule="auto"/>
        <w:rPr>
          <w:sz w:val="21"/>
          <w:szCs w:val="21"/>
        </w:rPr>
      </w:pPr>
      <w:r>
        <w:rPr>
          <w:rFonts w:hint="eastAsia"/>
          <w:sz w:val="21"/>
          <w:szCs w:val="21"/>
        </w:rPr>
        <w:t xml:space="preserve">▲16.外壳防尘、防水等级不低于IP68（潜水深度1.5m，持续时间1h）。</w:t>
      </w:r>
      <w:r/>
    </w:p>
    <w:p>
      <w:pPr>
        <w:pStyle w:val="839"/>
        <w:ind w:left="0" w:firstLine="420"/>
        <w:spacing w:line="360" w:lineRule="auto"/>
        <w:rPr>
          <w:sz w:val="21"/>
          <w:szCs w:val="21"/>
        </w:rPr>
      </w:pPr>
      <w:r>
        <w:rPr>
          <w:rFonts w:hint="eastAsia"/>
          <w:sz w:val="21"/>
          <w:szCs w:val="21"/>
        </w:rPr>
        <w:t xml:space="preserve">17.灯具标志：灯具明显位置处有清晰且与灯具为一体的标志，包括以下内容：a）产品名称；b）产品型号：c）防护等级；d）防爆标志；e）生产日期；f）产品编号；g）生产厂名称。</w:t>
      </w:r>
      <w:r/>
    </w:p>
    <w:p>
      <w:pPr>
        <w:pStyle w:val="839"/>
        <w:ind w:left="0" w:firstLine="420"/>
        <w:spacing w:line="360" w:lineRule="auto"/>
        <w:rPr>
          <w:sz w:val="21"/>
          <w:szCs w:val="21"/>
        </w:rPr>
      </w:pPr>
      <w:r>
        <w:rPr>
          <w:rFonts w:hint="eastAsia"/>
          <w:sz w:val="21"/>
          <w:szCs w:val="21"/>
        </w:rPr>
        <w:t xml:space="preserve">18.额定电压：≥DC5V。</w:t>
      </w:r>
      <w:r/>
    </w:p>
    <w:p>
      <w:pPr>
        <w:pStyle w:val="839"/>
        <w:ind w:left="0" w:firstLine="420"/>
        <w:spacing w:line="360" w:lineRule="auto"/>
        <w:rPr>
          <w:sz w:val="21"/>
          <w:szCs w:val="21"/>
        </w:rPr>
      </w:pPr>
      <w:r>
        <w:rPr>
          <w:rFonts w:hint="eastAsia"/>
          <w:sz w:val="21"/>
          <w:szCs w:val="21"/>
        </w:rPr>
        <w:t xml:space="preserve">19.额定容量≥3Ah。</w:t>
      </w:r>
      <w:r/>
    </w:p>
    <w:p>
      <w:pPr>
        <w:pStyle w:val="839"/>
        <w:ind w:left="0" w:firstLine="420"/>
        <w:spacing w:line="360" w:lineRule="auto"/>
        <w:rPr>
          <w:sz w:val="21"/>
          <w:szCs w:val="21"/>
        </w:rPr>
      </w:pPr>
      <w:r>
        <w:rPr>
          <w:rFonts w:hint="eastAsia"/>
          <w:sz w:val="21"/>
          <w:szCs w:val="21"/>
        </w:rPr>
        <w:t xml:space="preserve">20.光源功率：≥2*12W（聚光）。</w:t>
      </w:r>
      <w:r/>
    </w:p>
    <w:p>
      <w:pPr>
        <w:pStyle w:val="839"/>
        <w:ind w:left="0" w:firstLine="420"/>
        <w:spacing w:line="360" w:lineRule="auto"/>
        <w:rPr>
          <w:sz w:val="21"/>
          <w:szCs w:val="21"/>
        </w:rPr>
      </w:pPr>
      <w:r>
        <w:rPr>
          <w:rFonts w:hint="eastAsia"/>
          <w:sz w:val="21"/>
          <w:szCs w:val="21"/>
        </w:rPr>
        <w:t xml:space="preserve">21.外形尺寸：≤250mm*100mm*150mm。</w:t>
      </w:r>
      <w:r/>
    </w:p>
    <w:p>
      <w:pPr>
        <w:pStyle w:val="839"/>
        <w:ind w:left="0" w:firstLine="420"/>
        <w:spacing w:line="360" w:lineRule="auto"/>
        <w:rPr>
          <w:sz w:val="21"/>
          <w:szCs w:val="21"/>
        </w:rPr>
      </w:pPr>
      <w:r>
        <w:rPr>
          <w:rFonts w:hint="eastAsia"/>
          <w:sz w:val="21"/>
          <w:szCs w:val="21"/>
        </w:rPr>
        <w:t xml:space="preserve">22.灯具采用双光型光源配置，需同时具有暖白光源及冷白光源，可通过开关控制实现冷暖色光源的转换。</w:t>
      </w:r>
      <w:r/>
    </w:p>
    <w:p>
      <w:pPr>
        <w:pStyle w:val="839"/>
        <w:ind w:left="0" w:firstLine="420"/>
        <w:spacing w:line="360" w:lineRule="auto"/>
        <w:rPr>
          <w:sz w:val="21"/>
          <w:szCs w:val="21"/>
        </w:rPr>
      </w:pPr>
      <w:r>
        <w:rPr>
          <w:rFonts w:hint="eastAsia"/>
          <w:sz w:val="21"/>
          <w:szCs w:val="21"/>
        </w:rPr>
        <w:t xml:space="preserve">23.灯具需具有聚光、泛光、红蓝警示功能。</w:t>
      </w:r>
      <w:r/>
    </w:p>
    <w:p>
      <w:pPr>
        <w:pStyle w:val="839"/>
        <w:ind w:left="0" w:firstLine="420"/>
        <w:spacing w:line="360" w:lineRule="auto"/>
        <w:rPr>
          <w:sz w:val="21"/>
          <w:szCs w:val="21"/>
        </w:rPr>
      </w:pPr>
      <w:r>
        <w:rPr>
          <w:rFonts w:hint="eastAsia"/>
          <w:sz w:val="21"/>
          <w:szCs w:val="21"/>
        </w:rPr>
        <w:t xml:space="preserve">24.灯具可满足手提、肩挎。</w:t>
      </w:r>
      <w:r/>
    </w:p>
    <w:p>
      <w:pPr>
        <w:pStyle w:val="839"/>
        <w:ind w:left="0" w:firstLine="420"/>
        <w:spacing w:line="360" w:lineRule="auto"/>
        <w:rPr>
          <w:rFonts w:hint="eastAsia"/>
          <w:sz w:val="21"/>
          <w:szCs w:val="21"/>
        </w:rPr>
      </w:pPr>
      <w:r>
        <w:rPr>
          <w:rFonts w:hint="eastAsia"/>
          <w:sz w:val="21"/>
          <w:szCs w:val="21"/>
        </w:rPr>
        <w:t xml:space="preserve">25.灯具可直观查看电池电量、剩余工作时间及灯具工作状态。</w:t>
      </w:r>
      <w:r/>
    </w:p>
    <w:p>
      <w:pPr>
        <w:ind w:left="0" w:firstLine="0"/>
      </w:pPr>
      <w:r/>
      <w:r/>
    </w:p>
    <w:p>
      <w:pPr>
        <w:pStyle w:val="839"/>
        <w:ind w:left="0" w:firstLine="422"/>
        <w:spacing w:line="360" w:lineRule="auto"/>
        <w:rPr>
          <w:b/>
          <w:bCs/>
          <w:sz w:val="21"/>
          <w:szCs w:val="21"/>
        </w:rPr>
        <w:outlineLvl w:val="0"/>
      </w:pPr>
      <w:r>
        <w:rPr>
          <w:rFonts w:hint="eastAsia"/>
          <w:b/>
          <w:bCs/>
          <w:sz w:val="21"/>
          <w:szCs w:val="21"/>
        </w:rPr>
        <w:t xml:space="preserve">包三（消防用红外热像仪）：</w:t>
      </w:r>
      <w:r/>
    </w:p>
    <w:tbl>
      <w:tblPr>
        <w:tblStyle w:val="887"/>
        <w:tblW w:w="87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0"/>
        <w:gridCol w:w="2069"/>
        <w:gridCol w:w="737"/>
        <w:gridCol w:w="737"/>
        <w:gridCol w:w="883"/>
        <w:gridCol w:w="1196"/>
        <w:gridCol w:w="2217"/>
      </w:tblGrid>
      <w:tr>
        <w:trPr>
          <w:jc w:val="center"/>
          <w:trHeight w:val="448"/>
        </w:trPr>
        <w:tc>
          <w:tcPr>
            <w:tcW w:w="910" w:type="dxa"/>
            <w:vAlign w:val="center"/>
            <w:textDirection w:val="lrTb"/>
            <w:noWrap w:val="false"/>
          </w:tcPr>
          <w:p>
            <w:pPr>
              <w:ind w:left="0"/>
              <w:jc w:val="center"/>
              <w:spacing w:line="24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包号</w:t>
            </w:r>
            <w:r/>
          </w:p>
        </w:tc>
        <w:tc>
          <w:tcPr>
            <w:tcW w:w="2069" w:type="dxa"/>
            <w:vAlign w:val="center"/>
            <w:textDirection w:val="lrTb"/>
            <w:noWrap w:val="false"/>
          </w:tcPr>
          <w:p>
            <w:pPr>
              <w:ind w:left="0"/>
              <w:jc w:val="center"/>
              <w:spacing w:line="24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装备名称</w:t>
            </w:r>
            <w:r/>
          </w:p>
        </w:tc>
        <w:tc>
          <w:tcPr>
            <w:tcW w:w="737" w:type="dxa"/>
            <w:vAlign w:val="center"/>
            <w:textDirection w:val="lrTb"/>
            <w:noWrap w:val="false"/>
          </w:tcPr>
          <w:p>
            <w:pPr>
              <w:ind w:left="0"/>
              <w:jc w:val="center"/>
              <w:spacing w:line="24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计量单位</w:t>
            </w:r>
            <w:r/>
          </w:p>
        </w:tc>
        <w:tc>
          <w:tcPr>
            <w:tcW w:w="737" w:type="dxa"/>
            <w:vAlign w:val="center"/>
            <w:textDirection w:val="lrTb"/>
            <w:noWrap w:val="false"/>
          </w:tcPr>
          <w:p>
            <w:pPr>
              <w:ind w:left="0"/>
              <w:jc w:val="center"/>
              <w:spacing w:line="24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数量</w:t>
            </w:r>
            <w:r/>
          </w:p>
        </w:tc>
        <w:tc>
          <w:tcPr>
            <w:tcW w:w="883" w:type="dxa"/>
            <w:vAlign w:val="center"/>
            <w:textDirection w:val="lrTb"/>
            <w:noWrap w:val="false"/>
          </w:tcPr>
          <w:p>
            <w:pPr>
              <w:ind w:left="0"/>
              <w:jc w:val="center"/>
              <w:spacing w:line="24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单价限价（万元）</w:t>
            </w:r>
            <w:r/>
          </w:p>
        </w:tc>
        <w:tc>
          <w:tcPr>
            <w:tcW w:w="1196" w:type="dxa"/>
            <w:vAlign w:val="center"/>
            <w:textDirection w:val="lrTb"/>
            <w:noWrap w:val="false"/>
          </w:tcPr>
          <w:p>
            <w:pPr>
              <w:ind w:left="0"/>
              <w:jc w:val="center"/>
              <w:spacing w:line="24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核心产品</w:t>
            </w:r>
            <w:r/>
          </w:p>
        </w:tc>
        <w:tc>
          <w:tcPr>
            <w:tcW w:w="2217" w:type="dxa"/>
            <w:vAlign w:val="center"/>
            <w:textDirection w:val="lrTb"/>
            <w:noWrap w:val="false"/>
          </w:tcPr>
          <w:p>
            <w:pPr>
              <w:ind w:left="0"/>
              <w:jc w:val="center"/>
              <w:spacing w:line="24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备注</w:t>
            </w:r>
            <w:r/>
          </w:p>
        </w:tc>
      </w:tr>
      <w:tr>
        <w:trPr>
          <w:jc w:val="center"/>
          <w:trHeight w:val="17"/>
        </w:trPr>
        <w:tc>
          <w:tcPr>
            <w:tcW w:w="910"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w:t>
            </w:r>
            <w:r/>
          </w:p>
        </w:tc>
        <w:tc>
          <w:tcPr>
            <w:tcW w:w="2069"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pacing w:val="-4"/>
                <w:sz w:val="21"/>
                <w:szCs w:val="21"/>
              </w:rPr>
            </w:pPr>
            <w:r>
              <w:rPr>
                <w:rFonts w:hint="eastAsia" w:asciiTheme="minorEastAsia" w:hAnsiTheme="minorEastAsia" w:eastAsiaTheme="minorEastAsia" w:cstheme="minorEastAsia"/>
                <w:spacing w:val="-4"/>
                <w:sz w:val="21"/>
                <w:szCs w:val="21"/>
              </w:rPr>
              <w:t xml:space="preserve">消防用红外热像仪</w:t>
            </w:r>
            <w:r/>
          </w:p>
        </w:tc>
        <w:tc>
          <w:tcPr>
            <w:tcW w:w="737"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 xml:space="preserve">个</w:t>
            </w:r>
            <w:r/>
          </w:p>
        </w:tc>
        <w:tc>
          <w:tcPr>
            <w:tcW w:w="737"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34</w:t>
            </w:r>
            <w:r/>
          </w:p>
        </w:tc>
        <w:tc>
          <w:tcPr>
            <w:tcW w:w="883"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7.5</w:t>
            </w:r>
            <w:r/>
          </w:p>
        </w:tc>
        <w:tc>
          <w:tcPr>
            <w:tcW w:w="1196"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2217" w:type="dxa"/>
            <w:vAlign w:val="center"/>
            <w:textDirection w:val="lrTb"/>
            <w:noWrap w:val="false"/>
          </w:tcPr>
          <w:p>
            <w:pPr>
              <w:ind w:left="0"/>
              <w:jc w:val="center"/>
              <w:keepLines w:val="0"/>
              <w:keepNext w:val="0"/>
              <w:pageBreakBefore w:val="0"/>
              <w:spacing w:line="24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lang w:val="en-US" w:eastAsia="zh-CN"/>
              </w:rPr>
              <w:t xml:space="preserve">提供</w:t>
            </w:r>
            <w:r>
              <w:rPr>
                <w:rFonts w:hint="eastAsia" w:asciiTheme="minorEastAsia" w:hAnsiTheme="minorEastAsia" w:eastAsiaTheme="minorEastAsia" w:cstheme="minorEastAsia"/>
                <w:b/>
                <w:bCs/>
                <w:sz w:val="21"/>
                <w:szCs w:val="21"/>
              </w:rPr>
              <w:t xml:space="preserve">演示视频</w:t>
            </w:r>
            <w:r>
              <w:rPr>
                <w:rFonts w:hint="eastAsia" w:asciiTheme="minorEastAsia" w:hAnsiTheme="minorEastAsia" w:eastAsiaTheme="minorEastAsia" w:cstheme="minorEastAsia"/>
                <w:b/>
                <w:bCs/>
                <w:sz w:val="21"/>
                <w:szCs w:val="21"/>
                <w:lang w:val="en-US" w:eastAsia="zh-CN"/>
              </w:rPr>
              <w:t xml:space="preserve">将在评分标准中参与打分，未提供不得分。</w:t>
            </w:r>
            <w:r/>
          </w:p>
        </w:tc>
      </w:tr>
    </w:tbl>
    <w:p>
      <w:pPr>
        <w:ind w:left="0" w:firstLine="422"/>
        <w:rPr>
          <w:b/>
          <w:bCs/>
          <w:sz w:val="21"/>
          <w:szCs w:val="21"/>
        </w:rPr>
      </w:pPr>
      <w:r>
        <w:rPr>
          <w:rFonts w:hint="eastAsia" w:ascii="宋体" w:hAnsi="宋体"/>
          <w:b/>
          <w:sz w:val="21"/>
          <w:szCs w:val="21"/>
        </w:rPr>
        <w:t xml:space="preserve">注：</w:t>
      </w:r>
      <w:r>
        <w:rPr>
          <w:rFonts w:hint="eastAsia" w:ascii="宋体" w:hAnsi="宋体"/>
          <w:b/>
          <w:bCs/>
          <w:sz w:val="21"/>
          <w:szCs w:val="21"/>
          <w:lang w:val="zh-CN"/>
        </w:rPr>
        <w:t xml:space="preserve">公开分项报价中的单价报价不可高于最高单价限价，否则为非实质性响应，投标无效。</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（一）消防用红外热像仪</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1.热像仪尺寸≤220mm*110mm*100mm。</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▲2.重量（含充电电池）≤1000克。</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3.电源系统：需标配不少于两块磷酸铁锂充电电池，完全充放电次数大于1000次，每块电池使用时间大于2小时，电池电量需在屏幕中显示。电源需标配国标可替换插头及车载12V电源线。</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4.屏幕：LCD屏幕尺寸≥2.7英寸，分辨率≥384 x 288 阵列，探测器刷新率≥60Hz; 屏幕刷新率≥30Hz;2倍和4倍数字变焦。</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▲5.传感器：需采用非晶硅材料，传感器敏感度NETD≤50mK (0.05℃)。</w:t>
      </w:r>
      <w:r/>
    </w:p>
    <w:p>
      <w:pPr>
        <w:ind w:left="0" w:firstLine="420"/>
        <w:spacing w:line="360" w:lineRule="auto"/>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 xml:space="preserve">★6.需提供高温锗材质滤镜，锗镜头直径需大于20毫米，锗镜头厚度大于1.8毫米并涂有耐磨涂层</w:t>
      </w:r>
      <w:r>
        <w:rPr>
          <w:rFonts w:hint="eastAsia" w:asciiTheme="minorEastAsia" w:hAnsiTheme="minorEastAsia" w:eastAsiaTheme="minorEastAsia" w:cstheme="minorEastAsia"/>
          <w:sz w:val="21"/>
          <w:szCs w:val="21"/>
          <w:lang w:eastAsia="zh-CN"/>
        </w:rPr>
        <w:t xml:space="preserve">。</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7.屏幕色彩模式不低于6种，分别提供火场、人员搜救、预估、检测、失踪人员、火情模式便于各种情况下使用；色彩模式、系统故障警告、温度过热警告等信息需要以中文显示。</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8.热像仪防护等级需满足IP67，可以短暂置于水中；满足2米跌落试验。在-20℃至85℃之间可持续工作，在150℃环境下工作10分钟，在260℃环境下工作5分钟。</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9.直接温度测量范围需满足：-40℃---1000℃，并具有温度变化指针显示功能。需标配火场中最高温及最低温指针搜寻功能，并同时显示最高及最低温度，便于火场中快速定位及冷热追踪。</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10.充电座需同时具有充电、数据传输、下载照片及视频功能，并标配充电座固定支架、充电座与电脑USB连接线、热像仪可伸缩挂绳、热像仪口袋夹。</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11.热像仪需标配功能设置软件，与电脑连接后可以更改按键功能设置。</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12.需标配内置存储卡，可存储拍摄的照片和视频，存储容量≥16G。</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▲13.热像仪开机时间≤6秒，关机时间≤3秒。</w:t>
      </w:r>
      <w:r/>
    </w:p>
    <w:p>
      <w:pPr>
        <w:pStyle w:val="839"/>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▲14.功能按键可分配并满足以下热像仪功能：变焦、色彩模式循环切换、图像冻结、图像拍摄、视频录制、图像播放、视频播放、最高/最低温度搜索。</w:t>
      </w:r>
      <w:r/>
    </w:p>
    <w:p>
      <w:pPr>
        <w:pStyle w:val="839"/>
        <w:ind w:left="0" w:firstLine="422"/>
        <w:spacing w:line="360" w:lineRule="auto"/>
        <w:rPr>
          <w:rFonts w:hint="eastAsia" w:asciiTheme="minorEastAsia" w:hAnsiTheme="minorEastAsia" w:eastAsiaTheme="minorEastAsia" w:cstheme="minorEastAsia"/>
          <w:b/>
          <w:bCs/>
          <w:sz w:val="21"/>
          <w:szCs w:val="21"/>
          <w:lang w:eastAsia="zh-CN"/>
        </w:rPr>
      </w:pPr>
      <w:r>
        <w:rPr>
          <w:rFonts w:hint="eastAsia"/>
          <w:b/>
          <w:bCs/>
          <w:sz w:val="21"/>
          <w:szCs w:val="21"/>
          <w:lang w:val="en-US" w:eastAsia="zh-CN"/>
        </w:rPr>
        <w:t xml:space="preserve">注：</w:t>
      </w:r>
      <w:r>
        <w:rPr>
          <w:rFonts w:hint="eastAsia" w:asciiTheme="minorEastAsia" w:hAnsiTheme="minorEastAsia" w:eastAsiaTheme="minorEastAsia" w:cstheme="minorEastAsia"/>
          <w:b/>
          <w:bCs/>
          <w:sz w:val="21"/>
          <w:szCs w:val="21"/>
          <w:lang w:val="en-US" w:eastAsia="zh-CN"/>
        </w:rPr>
        <w:t xml:space="preserve">标</w:t>
      </w:r>
      <w:r>
        <w:rPr>
          <w:rFonts w:hint="eastAsia"/>
          <w:b/>
          <w:bCs/>
          <w:sz w:val="21"/>
          <w:szCs w:val="21"/>
        </w:rPr>
        <w:t xml:space="preserve">★</w:t>
      </w:r>
      <w:r>
        <w:rPr>
          <w:rFonts w:hint="eastAsia"/>
          <w:b/>
          <w:bCs/>
          <w:sz w:val="21"/>
          <w:szCs w:val="21"/>
          <w:lang w:val="en-US" w:eastAsia="zh-CN"/>
        </w:rPr>
        <w:t xml:space="preserve">项须提供以下任意一种证明材料：1.相关技术资料支持（技术支持资料须为制造商公开发布的印刷资料或技术规格书或使用说明书）；2.制造商网站最新发布的资料打印件；3.国家认可的检测机构出具的检验(检测)报告；未提供视作负偏离。</w:t>
      </w:r>
      <w:r>
        <w:rPr>
          <w:rFonts w:hint="eastAsia" w:asciiTheme="minorEastAsia" w:hAnsiTheme="minorEastAsia" w:eastAsiaTheme="minorEastAsia" w:cstheme="minorEastAsia"/>
          <w:b/>
          <w:bCs/>
          <w:sz w:val="21"/>
          <w:szCs w:val="21"/>
          <w:lang w:val="en-US" w:eastAsia="zh-CN"/>
        </w:rPr>
        <w:t xml:space="preserve">标</w:t>
      </w:r>
      <w:r>
        <w:rPr>
          <w:rFonts w:hint="eastAsia"/>
          <w:b/>
          <w:bCs/>
          <w:sz w:val="21"/>
          <w:szCs w:val="21"/>
        </w:rPr>
        <w:t xml:space="preserve">★</w:t>
      </w:r>
      <w:r>
        <w:rPr>
          <w:rFonts w:hint="eastAsia"/>
          <w:b/>
          <w:bCs/>
          <w:sz w:val="21"/>
          <w:szCs w:val="21"/>
          <w:lang w:val="en-US" w:eastAsia="zh-CN"/>
        </w:rPr>
        <w:t xml:space="preserve">项不允许负偏离，负偏离</w:t>
      </w:r>
      <w:r>
        <w:rPr>
          <w:rFonts w:hint="eastAsia" w:asciiTheme="minorEastAsia" w:hAnsiTheme="minorEastAsia" w:eastAsiaTheme="minorEastAsia" w:cstheme="minorEastAsia"/>
          <w:b/>
          <w:bCs/>
          <w:sz w:val="21"/>
          <w:szCs w:val="21"/>
        </w:rPr>
        <w:t xml:space="preserve">视作非实质性响应招标文件</w:t>
      </w:r>
      <w:r>
        <w:rPr>
          <w:rFonts w:hint="eastAsia" w:asciiTheme="minorEastAsia" w:hAnsiTheme="minorEastAsia" w:eastAsiaTheme="minorEastAsia" w:cstheme="minorEastAsia"/>
          <w:b/>
          <w:bCs/>
          <w:sz w:val="21"/>
          <w:szCs w:val="21"/>
          <w:lang w:eastAsia="zh-CN"/>
        </w:rPr>
        <w:t xml:space="preserve">。</w:t>
      </w:r>
      <w:r/>
    </w:p>
    <w:p>
      <w:pPr>
        <w:ind w:left="0" w:firstLine="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firstLine="422"/>
        <w:spacing w:line="360" w:lineRule="auto"/>
        <w:rPr>
          <w:rFonts w:asciiTheme="minorEastAsia" w:hAnsiTheme="minorEastAsia" w:eastAsiaTheme="minorEastAsia" w:cstheme="minorEastAsia"/>
          <w:b/>
          <w:bCs/>
          <w:sz w:val="21"/>
          <w:szCs w:val="21"/>
        </w:rPr>
        <w:outlineLvl w:val="0"/>
      </w:pPr>
      <w:r>
        <w:rPr>
          <w:rFonts w:hint="eastAsia" w:asciiTheme="minorEastAsia" w:hAnsiTheme="minorEastAsia" w:eastAsiaTheme="minorEastAsia" w:cstheme="minorEastAsia"/>
          <w:b/>
          <w:bCs/>
          <w:sz w:val="21"/>
          <w:szCs w:val="21"/>
        </w:rPr>
        <w:t xml:space="preserve">包四（有毒气体探测仪、漏电探测仪（漏电探测棒））：</w:t>
      </w:r>
      <w:r/>
    </w:p>
    <w:tbl>
      <w:tblPr>
        <w:tblStyle w:val="887"/>
        <w:tblW w:w="87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2069"/>
        <w:gridCol w:w="737"/>
        <w:gridCol w:w="737"/>
        <w:gridCol w:w="883"/>
        <w:gridCol w:w="1196"/>
        <w:gridCol w:w="2217"/>
      </w:tblGrid>
      <w:tr>
        <w:trPr>
          <w:jc w:val="center"/>
          <w:trHeight w:val="448"/>
        </w:trPr>
        <w:tc>
          <w:tcPr>
            <w:tcW w:w="864"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包号</w:t>
            </w:r>
            <w:r/>
          </w:p>
        </w:tc>
        <w:tc>
          <w:tcPr>
            <w:tcW w:w="2069"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装备名称</w:t>
            </w:r>
            <w:r/>
          </w:p>
        </w:tc>
        <w:tc>
          <w:tcPr>
            <w:tcW w:w="737"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计量单位</w:t>
            </w:r>
            <w:r/>
          </w:p>
        </w:tc>
        <w:tc>
          <w:tcPr>
            <w:tcW w:w="737"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数量</w:t>
            </w:r>
            <w:r/>
          </w:p>
        </w:tc>
        <w:tc>
          <w:tcPr>
            <w:tcW w:w="883"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Theme="minorEastAsia" w:hAnsiTheme="minorEastAsia" w:eastAsiaTheme="minorEastAsia" w:cstheme="minorEastAsia"/>
                <w:b/>
                <w:bCs/>
                <w:sz w:val="21"/>
                <w:szCs w:val="21"/>
              </w:rPr>
              <w:t xml:space="preserve">单价限价（万元）</w:t>
            </w:r>
            <w:r/>
          </w:p>
        </w:tc>
        <w:tc>
          <w:tcPr>
            <w:tcW w:w="1196"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核心产品</w:t>
            </w:r>
            <w:r/>
          </w:p>
        </w:tc>
        <w:tc>
          <w:tcPr>
            <w:tcW w:w="2217"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备注</w:t>
            </w:r>
            <w:r/>
          </w:p>
        </w:tc>
      </w:tr>
      <w:tr>
        <w:trPr>
          <w:jc w:val="center"/>
          <w:trHeight w:val="17"/>
        </w:trPr>
        <w:tc>
          <w:tcPr>
            <w:tcW w:w="864" w:type="dxa"/>
            <w:vAlign w:val="center"/>
            <w:vMerge w:val="restart"/>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4</w:t>
            </w:r>
            <w:r/>
          </w:p>
        </w:tc>
        <w:tc>
          <w:tcPr>
            <w:tcW w:w="2069"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有毒气体探测仪</w:t>
            </w:r>
            <w:r/>
          </w:p>
        </w:tc>
        <w:tc>
          <w:tcPr>
            <w:tcW w:w="737"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bCs/>
                <w:sz w:val="21"/>
                <w:szCs w:val="21"/>
              </w:rPr>
              <w:t xml:space="preserve">个</w:t>
            </w:r>
            <w:r/>
          </w:p>
        </w:tc>
        <w:tc>
          <w:tcPr>
            <w:tcW w:w="737"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53</w:t>
            </w:r>
            <w:r/>
          </w:p>
        </w:tc>
        <w:tc>
          <w:tcPr>
            <w:tcW w:w="883"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1.2</w:t>
            </w:r>
            <w:r/>
          </w:p>
        </w:tc>
        <w:tc>
          <w:tcPr>
            <w:tcW w:w="1196"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核心产品</w:t>
            </w:r>
            <w:r/>
          </w:p>
        </w:tc>
        <w:tc>
          <w:tcPr>
            <w:tcW w:w="2217" w:type="dxa"/>
            <w:vAlign w:val="center"/>
            <w:textDirection w:val="lrTb"/>
            <w:noWrap w:val="false"/>
          </w:tcPr>
          <w:p>
            <w:pPr>
              <w:ind w:left="0"/>
              <w:jc w:val="center"/>
              <w:keepLines w:val="0"/>
              <w:keepNext w:val="0"/>
              <w:pageBreakBefore w:val="0"/>
              <w:spacing w:line="240" w:lineRule="auto"/>
              <w:widowControl w:val="off"/>
              <w:rPr>
                <w:rFonts w:ascii="宋体" w:hAnsi="宋体"/>
                <w:sz w:val="21"/>
                <w:szCs w:val="21"/>
              </w:rPr>
            </w:pPr>
            <w:r>
              <w:rPr>
                <w:rFonts w:hint="eastAsia" w:asciiTheme="minorEastAsia" w:hAnsiTheme="minorEastAsia" w:eastAsiaTheme="minorEastAsia" w:cstheme="minorEastAsia"/>
                <w:b/>
                <w:bCs/>
                <w:sz w:val="21"/>
                <w:szCs w:val="21"/>
              </w:rPr>
              <w:t xml:space="preserve">提供样品</w:t>
            </w:r>
            <w:r>
              <w:rPr>
                <w:rFonts w:hint="eastAsia" w:asciiTheme="minorEastAsia" w:hAnsiTheme="minorEastAsia" w:eastAsiaTheme="minorEastAsia" w:cstheme="minorEastAsia"/>
                <w:b/>
                <w:bCs/>
                <w:sz w:val="21"/>
                <w:szCs w:val="21"/>
                <w:lang w:val="en-US" w:eastAsia="zh-CN"/>
              </w:rPr>
              <w:t xml:space="preserve">将在评分标准中参与打分，未提供不得分。</w:t>
            </w:r>
            <w:r/>
          </w:p>
        </w:tc>
      </w:tr>
      <w:tr>
        <w:trPr>
          <w:jc w:val="center"/>
          <w:trHeight w:val="17"/>
        </w:trPr>
        <w:tc>
          <w:tcPr>
            <w:tcW w:w="864" w:type="dxa"/>
            <w:vAlign w:val="center"/>
            <w:vMerge w:val="continue"/>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2069"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漏电探测仪</w:t>
            </w:r>
            <w:r/>
          </w:p>
          <w:p>
            <w:pPr>
              <w:ind w:left="0"/>
              <w:jc w:val="center"/>
              <w:spacing w:line="276" w:lineRule="auto"/>
              <w:widowControl w:val="off"/>
              <w:rPr>
                <w:rFonts w:ascii="宋体" w:hAnsi="宋体"/>
                <w:sz w:val="21"/>
                <w:szCs w:val="21"/>
              </w:rPr>
            </w:pPr>
            <w:r>
              <w:rPr>
                <w:rFonts w:hint="eastAsia" w:ascii="宋体" w:hAnsi="宋体"/>
                <w:sz w:val="21"/>
                <w:szCs w:val="21"/>
              </w:rPr>
              <w:t xml:space="preserve">（漏电探测棒）</w:t>
            </w:r>
            <w:r/>
          </w:p>
        </w:tc>
        <w:tc>
          <w:tcPr>
            <w:tcW w:w="737" w:type="dxa"/>
            <w:vAlign w:val="center"/>
            <w:textDirection w:val="lrTb"/>
            <w:noWrap w:val="false"/>
          </w:tcPr>
          <w:p>
            <w:pPr>
              <w:ind w:left="0"/>
              <w:jc w:val="center"/>
              <w:spacing w:line="276" w:lineRule="auto"/>
              <w:widowControl w:val="off"/>
              <w:rPr>
                <w:rFonts w:ascii="宋体" w:hAnsi="宋体"/>
                <w:bCs/>
                <w:sz w:val="21"/>
                <w:szCs w:val="21"/>
              </w:rPr>
            </w:pPr>
            <w:r>
              <w:rPr>
                <w:rFonts w:hint="eastAsia" w:ascii="宋体" w:hAnsi="宋体"/>
                <w:bCs/>
                <w:sz w:val="21"/>
                <w:szCs w:val="21"/>
              </w:rPr>
              <w:t xml:space="preserve">个</w:t>
            </w:r>
            <w:r/>
          </w:p>
        </w:tc>
        <w:tc>
          <w:tcPr>
            <w:tcW w:w="737"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82</w:t>
            </w:r>
            <w:r/>
          </w:p>
        </w:tc>
        <w:tc>
          <w:tcPr>
            <w:tcW w:w="883"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0.3</w:t>
            </w:r>
            <w:r/>
          </w:p>
        </w:tc>
        <w:tc>
          <w:tcPr>
            <w:tcW w:w="1196" w:type="dxa"/>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2217" w:type="dxa"/>
            <w:vAlign w:val="center"/>
            <w:textDirection w:val="lrTb"/>
            <w:noWrap w:val="false"/>
          </w:tcPr>
          <w:p>
            <w:pPr>
              <w:ind w:left="0"/>
              <w:jc w:val="center"/>
              <w:keepLines w:val="0"/>
              <w:keepNext w:val="0"/>
              <w:pageBreakBefore w:val="0"/>
              <w:spacing w:line="240" w:lineRule="auto"/>
              <w:widowControl w:val="off"/>
              <w:rPr>
                <w:rFonts w:ascii="宋体" w:hAnsi="宋体"/>
                <w:sz w:val="21"/>
                <w:szCs w:val="21"/>
              </w:rPr>
            </w:pPr>
            <w:r>
              <w:rPr>
                <w:rFonts w:hint="eastAsia" w:asciiTheme="minorEastAsia" w:hAnsiTheme="minorEastAsia" w:eastAsiaTheme="minorEastAsia" w:cstheme="minorEastAsia"/>
                <w:b/>
                <w:bCs/>
                <w:sz w:val="21"/>
                <w:szCs w:val="21"/>
              </w:rPr>
              <w:t xml:space="preserve">提供样品</w:t>
            </w:r>
            <w:r>
              <w:rPr>
                <w:rFonts w:hint="eastAsia" w:asciiTheme="minorEastAsia" w:hAnsiTheme="minorEastAsia" w:eastAsiaTheme="minorEastAsia" w:cstheme="minorEastAsia"/>
                <w:b/>
                <w:bCs/>
                <w:sz w:val="21"/>
                <w:szCs w:val="21"/>
                <w:lang w:val="en-US" w:eastAsia="zh-CN"/>
              </w:rPr>
              <w:t xml:space="preserve">将在评分标准中参与打分，未提供不得分。</w:t>
            </w:r>
            <w:r/>
          </w:p>
        </w:tc>
      </w:tr>
    </w:tbl>
    <w:p>
      <w:pPr>
        <w:ind w:left="0" w:firstLine="422"/>
        <w:spacing w:line="360" w:lineRule="auto"/>
        <w:rPr>
          <w:rFonts w:ascii="宋体" w:hAnsi="宋体"/>
          <w:b/>
          <w:bCs/>
          <w:sz w:val="21"/>
          <w:szCs w:val="21"/>
          <w:lang w:val="zh-CN"/>
        </w:rPr>
      </w:pPr>
      <w:r>
        <w:rPr>
          <w:rFonts w:hint="eastAsia" w:ascii="宋体" w:hAnsi="宋体"/>
          <w:b/>
          <w:sz w:val="21"/>
          <w:szCs w:val="21"/>
        </w:rPr>
        <w:t xml:space="preserve">注：</w:t>
      </w:r>
      <w:r>
        <w:rPr>
          <w:rFonts w:hint="eastAsia" w:ascii="宋体" w:hAnsi="宋体"/>
          <w:b/>
          <w:bCs/>
          <w:sz w:val="21"/>
          <w:szCs w:val="21"/>
          <w:lang w:val="zh-CN"/>
        </w:rPr>
        <w:t xml:space="preserve">公开分项报价中的单价报价不可高于最高单价限价，否则为非实质性响应，投标无效。</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（一）有毒气体探测仪</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1.结构组成：四合一气体探测仪主机、内置四种传感器、充电套装（电池仓及充电器）。主要应用场景：用于火灾或泄漏、受限空间等救援现场有毒有害气体探测。</w:t>
      </w:r>
      <w:r/>
    </w:p>
    <w:p>
      <w:pPr>
        <w:ind w:left="0" w:firstLine="420"/>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▲2.提供所投产品的消防产品认证证书，出具证书的认证机构应经国务院认证认可监督管理部门批准依法取得相应资质。</w:t>
      </w:r>
      <w:r/>
    </w:p>
    <w:p>
      <w:pPr>
        <w:ind w:left="0" w:firstLine="420"/>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▲3.提供防爆合格证，防爆等级不低于 Ex ia IIC T4 Ga。</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4.防护等级不低于IP68。 </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5.至少需要提供可燃气体、O2、H2S、CO 4个气体传感器。</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6.催化燃烧式传感器同时具有0-100%LEL和0-5%VOLCH4两个量程，传感器寿命≥4年。 </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▲7.传感器可检测多种可燃性气体，内置可检测气体库。探测仪可设置测量气体、校准气体和功能测试气体。 </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8.催化燃烧式可燃气体传感器具有高抗中毒性：H2S 1000ppmh≤±2%（灵敏度）；HMDS 10ppmh ≤±5%（灵敏度）。 </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▲9.探测仪感知分辨率约为0.01%VOL，报警值可设定为 0.2%VOL和0.5%VOL。 </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10.O2 为独立传感器，量程 0—25%VOL，分辨率 0.1%VOL，T90≤10s，寿命≥5 年。 </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11.CO 为独立传感器，量程 0-1900ppm，分辨率1ppm，T90≤15s，寿命≥5 年。 </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12.H2S 为独立传感器，量程 0-100ppm，分辨率0.1ppm，T90≤15s，寿命≥5 年。 </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13.具有报警功能，提供声、光和振动报警，多音频，30 厘米处≥90 分贝。</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14.具有数据存储能力，数据存储≥1000 小时。</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15.可在-40～50℃的温度范围内正常工作。</w:t>
      </w:r>
      <w:r/>
    </w:p>
    <w:p>
      <w:pPr>
        <w:pStyle w:val="839"/>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16.具有较强的抗震和抗摔性能，整机有效抗跌落≥2米。</w:t>
      </w:r>
      <w:r/>
    </w:p>
    <w:p>
      <w:pPr>
        <w:ind w:left="0"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（二）漏电探测仪（漏电探测棒）</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1.用于检测各类事故造成的漏电，无需接触电源即可探测安全距离范围内泄漏电源的具体位置。</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▲2.具有3档灵敏度探测方式。在最高灵敏度探测方式下，探测46KV的测量距离≥150m，探测120/240V交流电的测量距离≥5m。</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▲3.探测棒采用符合国家电气绝缘标准的绝缘材质，长度≤550mm，直径≤50mm。具备声光报警功能，警报声和频率会随着探测到的信号强弱而自动变化。</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4.操作温度范围不低于：-20～50℃。</w:t>
      </w:r>
      <w:r/>
    </w:p>
    <w:p>
      <w:pPr>
        <w:pStyle w:val="839"/>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5.配备可充电电池，满电状态下可持续工作≥8h。</w:t>
      </w:r>
      <w:r/>
    </w:p>
    <w:p>
      <w:r/>
      <w:r/>
    </w:p>
    <w:p>
      <w:pPr>
        <w:ind w:left="0" w:firstLine="422"/>
        <w:spacing w:line="360" w:lineRule="auto"/>
        <w:rPr>
          <w:rFonts w:asciiTheme="minorEastAsia" w:hAnsiTheme="minorEastAsia" w:eastAsiaTheme="minorEastAsia" w:cstheme="minorEastAsia"/>
          <w:b/>
          <w:bCs/>
          <w:sz w:val="21"/>
          <w:szCs w:val="21"/>
        </w:rPr>
        <w:outlineLvl w:val="0"/>
      </w:pPr>
      <w:r>
        <w:rPr>
          <w:rFonts w:hint="eastAsia" w:asciiTheme="minorEastAsia" w:hAnsiTheme="minorEastAsia" w:eastAsiaTheme="minorEastAsia" w:cstheme="minorEastAsia"/>
          <w:b/>
          <w:bCs/>
          <w:sz w:val="21"/>
          <w:szCs w:val="21"/>
        </w:rPr>
        <w:t xml:space="preserve">包五（高压森林消防泵、消防拉梯（6米竹制）、消防员降温背心）：</w:t>
      </w:r>
      <w:r/>
    </w:p>
    <w:tbl>
      <w:tblPr>
        <w:tblStyle w:val="887"/>
        <w:tblW w:w="87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2069"/>
        <w:gridCol w:w="737"/>
        <w:gridCol w:w="737"/>
        <w:gridCol w:w="883"/>
        <w:gridCol w:w="1196"/>
        <w:gridCol w:w="2217"/>
      </w:tblGrid>
      <w:tr>
        <w:trPr>
          <w:jc w:val="center"/>
          <w:trHeight w:val="448"/>
        </w:trPr>
        <w:tc>
          <w:tcPr>
            <w:tcW w:w="864"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包号</w:t>
            </w:r>
            <w:r/>
          </w:p>
        </w:tc>
        <w:tc>
          <w:tcPr>
            <w:tcW w:w="2069"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装备名称</w:t>
            </w:r>
            <w:r/>
          </w:p>
        </w:tc>
        <w:tc>
          <w:tcPr>
            <w:tcW w:w="737"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计量单位</w:t>
            </w:r>
            <w:r/>
          </w:p>
        </w:tc>
        <w:tc>
          <w:tcPr>
            <w:tcW w:w="737"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数量</w:t>
            </w:r>
            <w:r/>
          </w:p>
        </w:tc>
        <w:tc>
          <w:tcPr>
            <w:tcW w:w="883"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Theme="minorEastAsia" w:hAnsiTheme="minorEastAsia" w:eastAsiaTheme="minorEastAsia" w:cstheme="minorEastAsia"/>
                <w:b/>
                <w:bCs/>
                <w:sz w:val="21"/>
                <w:szCs w:val="21"/>
              </w:rPr>
              <w:t xml:space="preserve">单价限价（万元）</w:t>
            </w:r>
            <w:r/>
          </w:p>
        </w:tc>
        <w:tc>
          <w:tcPr>
            <w:tcW w:w="1196"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核心产品</w:t>
            </w:r>
            <w:r/>
          </w:p>
        </w:tc>
        <w:tc>
          <w:tcPr>
            <w:tcW w:w="2217"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备注</w:t>
            </w:r>
            <w:r/>
          </w:p>
        </w:tc>
      </w:tr>
      <w:tr>
        <w:trPr>
          <w:jc w:val="center"/>
          <w:trHeight w:val="17"/>
        </w:trPr>
        <w:tc>
          <w:tcPr>
            <w:tcW w:w="864" w:type="dxa"/>
            <w:vAlign w:val="center"/>
            <w:vMerge w:val="restart"/>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5</w:t>
            </w:r>
            <w:r/>
          </w:p>
        </w:tc>
        <w:tc>
          <w:tcPr>
            <w:tcW w:w="2069"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高压森林消防泵</w:t>
            </w:r>
            <w:r/>
          </w:p>
        </w:tc>
        <w:tc>
          <w:tcPr>
            <w:tcW w:w="737"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bCs/>
                <w:sz w:val="21"/>
                <w:szCs w:val="21"/>
              </w:rPr>
              <w:t xml:space="preserve">个</w:t>
            </w:r>
            <w:r/>
          </w:p>
        </w:tc>
        <w:tc>
          <w:tcPr>
            <w:tcW w:w="737"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14</w:t>
            </w:r>
            <w:r/>
          </w:p>
        </w:tc>
        <w:tc>
          <w:tcPr>
            <w:tcW w:w="883"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6</w:t>
            </w:r>
            <w:r/>
          </w:p>
        </w:tc>
        <w:tc>
          <w:tcPr>
            <w:tcW w:w="1196"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核心产品</w:t>
            </w:r>
            <w:r/>
          </w:p>
        </w:tc>
        <w:tc>
          <w:tcPr>
            <w:tcW w:w="2217" w:type="dxa"/>
            <w:vAlign w:val="center"/>
            <w:textDirection w:val="lrTb"/>
            <w:noWrap w:val="false"/>
          </w:tcPr>
          <w:p>
            <w:pPr>
              <w:ind w:left="0"/>
              <w:jc w:val="center"/>
              <w:keepLines w:val="0"/>
              <w:keepNext w:val="0"/>
              <w:pageBreakBefore w:val="0"/>
              <w:spacing w:line="240" w:lineRule="auto"/>
              <w:widowControl w:val="off"/>
              <w:rPr>
                <w:rFonts w:ascii="宋体" w:hAnsi="宋体"/>
                <w:sz w:val="21"/>
                <w:szCs w:val="21"/>
              </w:rPr>
            </w:pPr>
            <w:r>
              <w:rPr>
                <w:rFonts w:hint="eastAsia" w:asciiTheme="minorEastAsia" w:hAnsiTheme="minorEastAsia" w:eastAsiaTheme="minorEastAsia" w:cstheme="minorEastAsia"/>
                <w:b/>
                <w:bCs/>
                <w:sz w:val="21"/>
                <w:szCs w:val="21"/>
              </w:rPr>
              <w:t xml:space="preserve">提供样品</w:t>
            </w:r>
            <w:r>
              <w:rPr>
                <w:rFonts w:hint="eastAsia" w:asciiTheme="minorEastAsia" w:hAnsiTheme="minorEastAsia" w:eastAsiaTheme="minorEastAsia" w:cstheme="minorEastAsia"/>
                <w:b/>
                <w:bCs/>
                <w:sz w:val="21"/>
                <w:szCs w:val="21"/>
                <w:lang w:val="en-US" w:eastAsia="zh-CN"/>
              </w:rPr>
              <w:t xml:space="preserve">将在评分标准中参与打分，未提供不得分。</w:t>
            </w:r>
            <w:r/>
          </w:p>
        </w:tc>
      </w:tr>
      <w:tr>
        <w:trPr>
          <w:jc w:val="center"/>
          <w:trHeight w:val="16"/>
        </w:trPr>
        <w:tc>
          <w:tcPr>
            <w:tcW w:w="864" w:type="dxa"/>
            <w:vAlign w:val="center"/>
            <w:vMerge w:val="continue"/>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2069"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消防拉梯</w:t>
            </w:r>
            <w:r/>
          </w:p>
          <w:p>
            <w:pPr>
              <w:ind w:left="0"/>
              <w:jc w:val="center"/>
              <w:spacing w:line="240" w:lineRule="exact"/>
              <w:widowControl w:val="off"/>
              <w:rPr>
                <w:rFonts w:ascii="宋体" w:hAnsi="宋体"/>
                <w:sz w:val="21"/>
                <w:szCs w:val="21"/>
              </w:rPr>
            </w:pPr>
            <w:r>
              <w:rPr>
                <w:rFonts w:hint="eastAsia" w:ascii="宋体" w:hAnsi="宋体"/>
                <w:sz w:val="21"/>
                <w:szCs w:val="21"/>
              </w:rPr>
              <w:t xml:space="preserve">（6米竹制）</w:t>
            </w:r>
            <w:r/>
          </w:p>
        </w:tc>
        <w:tc>
          <w:tcPr>
            <w:tcW w:w="737"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bCs/>
                <w:sz w:val="21"/>
                <w:szCs w:val="21"/>
              </w:rPr>
              <w:t xml:space="preserve">驾</w:t>
            </w:r>
            <w:r/>
          </w:p>
        </w:tc>
        <w:tc>
          <w:tcPr>
            <w:tcW w:w="737"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141</w:t>
            </w:r>
            <w:r/>
          </w:p>
        </w:tc>
        <w:tc>
          <w:tcPr>
            <w:tcW w:w="883"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0.1</w:t>
            </w:r>
            <w:r/>
          </w:p>
        </w:tc>
        <w:tc>
          <w:tcPr>
            <w:tcW w:w="1196" w:type="dxa"/>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2217" w:type="dxa"/>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r>
      <w:tr>
        <w:trPr>
          <w:jc w:val="center"/>
          <w:trHeight w:val="16"/>
        </w:trPr>
        <w:tc>
          <w:tcPr>
            <w:tcW w:w="864" w:type="dxa"/>
            <w:vAlign w:val="center"/>
            <w:vMerge w:val="continue"/>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2069"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消防员降温背心</w:t>
            </w:r>
            <w:r/>
          </w:p>
        </w:tc>
        <w:tc>
          <w:tcPr>
            <w:tcW w:w="737" w:type="dxa"/>
            <w:vAlign w:val="center"/>
            <w:textDirection w:val="lrTb"/>
            <w:noWrap w:val="false"/>
          </w:tcPr>
          <w:p>
            <w:pPr>
              <w:ind w:left="0"/>
              <w:jc w:val="center"/>
              <w:spacing w:line="276" w:lineRule="auto"/>
              <w:widowControl w:val="off"/>
              <w:rPr>
                <w:rFonts w:ascii="宋体" w:hAnsi="宋体"/>
                <w:bCs/>
                <w:sz w:val="21"/>
                <w:szCs w:val="21"/>
              </w:rPr>
            </w:pPr>
            <w:r>
              <w:rPr>
                <w:rFonts w:hint="eastAsia" w:ascii="宋体" w:hAnsi="宋体"/>
                <w:bCs/>
                <w:sz w:val="21"/>
                <w:szCs w:val="21"/>
              </w:rPr>
              <w:t xml:space="preserve">件</w:t>
            </w:r>
            <w:r/>
          </w:p>
        </w:tc>
        <w:tc>
          <w:tcPr>
            <w:tcW w:w="737"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132</w:t>
            </w:r>
            <w:r/>
          </w:p>
        </w:tc>
        <w:tc>
          <w:tcPr>
            <w:tcW w:w="883"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0.065</w:t>
            </w:r>
            <w:r/>
          </w:p>
        </w:tc>
        <w:tc>
          <w:tcPr>
            <w:tcW w:w="1196" w:type="dxa"/>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2217" w:type="dxa"/>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r>
    </w:tbl>
    <w:p>
      <w:pPr>
        <w:ind w:left="0" w:firstLine="422"/>
        <w:spacing w:line="360" w:lineRule="auto"/>
        <w:rPr>
          <w:rFonts w:ascii="宋体" w:hAnsi="宋体"/>
          <w:b/>
          <w:bCs/>
          <w:sz w:val="21"/>
          <w:szCs w:val="21"/>
          <w:lang w:val="zh-CN"/>
        </w:rPr>
      </w:pPr>
      <w:r>
        <w:rPr>
          <w:rFonts w:hint="eastAsia" w:ascii="宋体" w:hAnsi="宋体"/>
          <w:b/>
          <w:sz w:val="21"/>
          <w:szCs w:val="21"/>
        </w:rPr>
        <w:t xml:space="preserve">注：</w:t>
      </w:r>
      <w:r>
        <w:rPr>
          <w:rFonts w:hint="eastAsia" w:ascii="宋体" w:hAnsi="宋体"/>
          <w:b/>
          <w:bCs/>
          <w:sz w:val="21"/>
          <w:szCs w:val="21"/>
          <w:lang w:val="zh-CN"/>
        </w:rPr>
        <w:t xml:space="preserve">公开分项报价中的单价报价不可高于最高单价限价，否则为非实质性响应，投标无效。</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（一）高压森林消防泵</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1.产品适用于森林消防上的灭火、供水系统等其他应急救援任务需要,可背负携带，可串联使用。</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2.二冲程风冷汽油发动机，电子点火系统。</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3.四级离心泵，泵壳、泵体具有轻质高强度防腐蚀材料制成。出水口尺寸：40±2mm。</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★4.功率≥7kw。</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▲5.最大转速≥8000RPM。</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▲6.重量≤35kg。</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7.具备电力启动、手动启动多种启动方式。</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8.发动机防超速功能。</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9.设备可连续工作时间≥6小时（一次加满燃油且全速运行时）。</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▲10.吸程不小于5米。</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★11.最大扬程≥250m；水泵出口最大压力≥2.5MPa；最大流量≥20m³/h。</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12.泵组之间可以串联架设、并联架设、串并联架设，并能正常工作。配有智能数据表，可显示发动机运行累计时间与转速。</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13.油箱容量≥20L。配套油箱背包1个：包括油管1个、吸水管1根，测试压力≥5.5MPa，重量≤3公斤，最小弯曲半径≤40厘米，接头用扩张式铜环固定，长度不小于3米。</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14.至少配备以下附件：</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(1)止回式底阀与滤器各1个;</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(2)备用火花塞2个、火花塞套筒1个；</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(3)电动引水泵1个（快速接头）；</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(4)直流喷枪1个（快速接头）；</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(5)直流水雾喷枪1个（快速接头）；</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(6)止水钳1个、水带扳手2个；</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(7)水带修补环2个;</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(8)三通阀1个（快速接头），压力≥2.4MPa;</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(9)单向阀1个（两端快速接头）;</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(10)内螺纹快速接头1个:</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(11)外螺纹快速接头1个;</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(12)充电器1个:</w:t>
      </w:r>
      <w:r/>
    </w:p>
    <w:p>
      <w:pPr>
        <w:pStyle w:val="839"/>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(13)二分水器1个，进水口通径:65mm,出水口通径:40mm×2，适用介质:水及水泡沫混合液。</w:t>
      </w:r>
      <w:r/>
    </w:p>
    <w:p>
      <w:pPr>
        <w:pStyle w:val="839"/>
        <w:ind w:left="0" w:firstLine="422"/>
        <w:spacing w:line="360" w:lineRule="auto"/>
        <w:rPr>
          <w:rFonts w:hint="eastAsia" w:asciiTheme="minorEastAsia" w:hAnsiTheme="minorEastAsia" w:eastAsiaTheme="minorEastAsia" w:cstheme="minorEastAsia"/>
          <w:b/>
          <w:bCs/>
          <w:sz w:val="21"/>
          <w:szCs w:val="21"/>
          <w:lang w:eastAsia="zh-CN"/>
        </w:rPr>
      </w:pPr>
      <w:r>
        <w:rPr>
          <w:rFonts w:hint="eastAsia"/>
          <w:b/>
          <w:bCs/>
          <w:sz w:val="21"/>
          <w:szCs w:val="21"/>
          <w:lang w:val="en-US" w:eastAsia="zh-CN"/>
        </w:rPr>
        <w:t xml:space="preserve">注：</w:t>
      </w:r>
      <w:r>
        <w:rPr>
          <w:rFonts w:hint="eastAsia" w:asciiTheme="minorEastAsia" w:hAnsiTheme="minorEastAsia" w:eastAsiaTheme="minorEastAsia" w:cstheme="minorEastAsia"/>
          <w:b/>
          <w:bCs/>
          <w:sz w:val="21"/>
          <w:szCs w:val="21"/>
          <w:lang w:val="en-US" w:eastAsia="zh-CN"/>
        </w:rPr>
        <w:t xml:space="preserve">标</w:t>
      </w:r>
      <w:r>
        <w:rPr>
          <w:rFonts w:hint="eastAsia"/>
          <w:b/>
          <w:bCs/>
          <w:sz w:val="21"/>
          <w:szCs w:val="21"/>
        </w:rPr>
        <w:t xml:space="preserve">★</w:t>
      </w:r>
      <w:r>
        <w:rPr>
          <w:rFonts w:hint="eastAsia"/>
          <w:b/>
          <w:bCs/>
          <w:sz w:val="21"/>
          <w:szCs w:val="21"/>
          <w:lang w:val="en-US" w:eastAsia="zh-CN"/>
        </w:rPr>
        <w:t xml:space="preserve">项须提供以下任意一种证明材料：1.相关技术资料支持（技术支持资料须为制造商公开发布的印刷资料或技术规格书或使用说明书）；2.制造商网站最新发布的资料打印件；3.国家认可的检测机构出具的检验(检测)报告；未提供视作负偏离。</w:t>
      </w:r>
      <w:r>
        <w:rPr>
          <w:rFonts w:hint="eastAsia" w:asciiTheme="minorEastAsia" w:hAnsiTheme="minorEastAsia" w:eastAsiaTheme="minorEastAsia" w:cstheme="minorEastAsia"/>
          <w:b/>
          <w:bCs/>
          <w:sz w:val="21"/>
          <w:szCs w:val="21"/>
          <w:lang w:val="en-US" w:eastAsia="zh-CN"/>
        </w:rPr>
        <w:t xml:space="preserve">标</w:t>
      </w:r>
      <w:r>
        <w:rPr>
          <w:rFonts w:hint="eastAsia"/>
          <w:b/>
          <w:bCs/>
          <w:sz w:val="21"/>
          <w:szCs w:val="21"/>
        </w:rPr>
        <w:t xml:space="preserve">★</w:t>
      </w:r>
      <w:r>
        <w:rPr>
          <w:rFonts w:hint="eastAsia"/>
          <w:b/>
          <w:bCs/>
          <w:sz w:val="21"/>
          <w:szCs w:val="21"/>
          <w:lang w:val="en-US" w:eastAsia="zh-CN"/>
        </w:rPr>
        <w:t xml:space="preserve">项不允许负偏离，负偏离</w:t>
      </w:r>
      <w:r>
        <w:rPr>
          <w:rFonts w:hint="eastAsia" w:asciiTheme="minorEastAsia" w:hAnsiTheme="minorEastAsia" w:eastAsiaTheme="minorEastAsia" w:cstheme="minorEastAsia"/>
          <w:b/>
          <w:bCs/>
          <w:sz w:val="21"/>
          <w:szCs w:val="21"/>
        </w:rPr>
        <w:t xml:space="preserve">视作非实质性响应招标文件</w:t>
      </w:r>
      <w:r>
        <w:rPr>
          <w:rFonts w:hint="eastAsia" w:asciiTheme="minorEastAsia" w:hAnsiTheme="minorEastAsia" w:eastAsiaTheme="minorEastAsia" w:cstheme="minorEastAsia"/>
          <w:b/>
          <w:bCs/>
          <w:sz w:val="21"/>
          <w:szCs w:val="21"/>
          <w:lang w:eastAsia="zh-CN"/>
        </w:rPr>
        <w:t xml:space="preserve">。</w:t>
      </w:r>
      <w:r/>
    </w:p>
    <w:p>
      <w:pPr>
        <w:ind w:left="0"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（二）消防拉梯（6米竹制）</w:t>
      </w:r>
      <w:r/>
    </w:p>
    <w:p>
      <w:pPr>
        <w:ind w:left="0" w:firstLine="420"/>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★1.提供所投产品完整有效的检验</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lang w:val="en-US" w:eastAsia="zh-CN"/>
        </w:rPr>
        <w:t xml:space="preserve">检测</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报告，检验结果和结论都应符合XF137-2007《消防梯》标准要求。</w:t>
      </w:r>
      <w:r>
        <w:rPr>
          <w:rFonts w:hint="eastAsia"/>
          <w:b/>
          <w:bCs/>
          <w:sz w:val="21"/>
          <w:szCs w:val="21"/>
          <w:highlight w:val="none"/>
          <w:lang w:eastAsia="zh-CN"/>
        </w:rPr>
        <w:t xml:space="preserve">（</w:t>
      </w:r>
      <w:r>
        <w:rPr>
          <w:rFonts w:hint="eastAsia"/>
          <w:b/>
          <w:bCs/>
          <w:sz w:val="21"/>
          <w:szCs w:val="21"/>
          <w:highlight w:val="none"/>
          <w:lang w:val="en-US" w:eastAsia="zh-CN"/>
        </w:rPr>
        <w:t xml:space="preserve">须</w:t>
      </w:r>
      <w:r>
        <w:rPr>
          <w:rFonts w:hint="eastAsia"/>
          <w:b/>
          <w:bCs/>
          <w:sz w:val="21"/>
          <w:szCs w:val="21"/>
          <w:highlight w:val="none"/>
          <w:lang w:eastAsia="zh-CN"/>
        </w:rPr>
        <w:t xml:space="preserve">提供由国家认可的检测机构出具与所投产品型号一致、完整有效的检验(检测)报告。</w:t>
      </w:r>
      <w:r>
        <w:rPr>
          <w:rFonts w:hint="eastAsia" w:asciiTheme="minorEastAsia" w:hAnsiTheme="minorEastAsia" w:eastAsiaTheme="minorEastAsia" w:cstheme="minorEastAsia"/>
          <w:b/>
          <w:bCs/>
          <w:sz w:val="21"/>
          <w:szCs w:val="21"/>
          <w:highlight w:val="none"/>
        </w:rPr>
        <w:t xml:space="preserve">未提供视作非实质性响应招标文件</w:t>
      </w:r>
      <w:r>
        <w:rPr>
          <w:rFonts w:hint="eastAsia" w:asciiTheme="minorEastAsia" w:hAnsiTheme="minorEastAsia" w:eastAsiaTheme="minorEastAsia" w:cstheme="minorEastAsia"/>
          <w:b/>
          <w:bCs/>
          <w:sz w:val="21"/>
          <w:szCs w:val="21"/>
          <w:highlight w:val="none"/>
          <w:lang w:eastAsia="zh-CN"/>
        </w:rPr>
        <w:t xml:space="preserve">。</w:t>
      </w:r>
      <w:r>
        <w:rPr>
          <w:rFonts w:hint="eastAsia"/>
          <w:b/>
          <w:bCs/>
          <w:sz w:val="21"/>
          <w:szCs w:val="21"/>
          <w:highlight w:val="none"/>
          <w:lang w:eastAsia="zh-CN"/>
        </w:rPr>
        <w:t xml:space="preserve">）</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2.工作高度：6±0.2m。</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3.最小梯宽：300±3mm。</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4.梯蹬间距：280±2mm。</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5.整梯质量：≤35kg。</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6.梯节扭转角：≤20°。</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7.水平弯曲残余变形比值：≤0.3%。</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8.梯蹬弯曲残余变形比值：≤0.5%。</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9.侧板悬臂弯曲最大变形值(mm)≤5</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10.侧摇摆弯曲残余变形比值(%)≤0.3。</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11.梯蹬剪切强度：梯蹬与侧板的连接处和梯蹬本身无任何断裂现象。</w:t>
      </w:r>
      <w:r/>
    </w:p>
    <w:p>
      <w:pPr>
        <w:pStyle w:val="839"/>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12.拉梯进行单撑脚载荷试验后，撑脚及连接件没有松动、损伤及变形。</w:t>
      </w:r>
      <w:r/>
    </w:p>
    <w:p>
      <w:pPr>
        <w:ind w:left="0" w:firstLine="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（三）消防员降温背心</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1.结构组成：由外层、隔热层、舒适层组成。</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2.主要应用场景：用于消防员进入灾害事故现场保护消防员使用。</w:t>
      </w:r>
      <w:r/>
    </w:p>
    <w:p>
      <w:pPr>
        <w:ind w:left="0" w:firstLine="420"/>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★3.提供所投产品完整有效的检验</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lang w:val="en-US" w:eastAsia="zh-CN"/>
        </w:rPr>
        <w:t xml:space="preserve">检测</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报告，检验结果和结论都应符合XF1265-2015《蓄冷型消防员降温背心》标准要求。</w:t>
      </w:r>
      <w:r>
        <w:rPr>
          <w:rFonts w:hint="eastAsia"/>
          <w:b/>
          <w:bCs/>
          <w:sz w:val="21"/>
          <w:szCs w:val="21"/>
          <w:highlight w:val="none"/>
          <w:lang w:eastAsia="zh-CN"/>
        </w:rPr>
        <w:t xml:space="preserve">（</w:t>
      </w:r>
      <w:r>
        <w:rPr>
          <w:rFonts w:hint="eastAsia"/>
          <w:b/>
          <w:bCs/>
          <w:sz w:val="21"/>
          <w:szCs w:val="21"/>
          <w:highlight w:val="none"/>
          <w:lang w:val="en-US" w:eastAsia="zh-CN"/>
        </w:rPr>
        <w:t xml:space="preserve">须</w:t>
      </w:r>
      <w:r>
        <w:rPr>
          <w:rFonts w:hint="eastAsia"/>
          <w:b/>
          <w:bCs/>
          <w:sz w:val="21"/>
          <w:szCs w:val="21"/>
          <w:highlight w:val="none"/>
          <w:lang w:eastAsia="zh-CN"/>
        </w:rPr>
        <w:t xml:space="preserve">提供由国家认可的检测机构出具与所投产品型号一致、完整有效的检验(检测)报告。</w:t>
      </w:r>
      <w:r>
        <w:rPr>
          <w:rFonts w:hint="eastAsia" w:asciiTheme="minorEastAsia" w:hAnsiTheme="minorEastAsia" w:eastAsiaTheme="minorEastAsia" w:cstheme="minorEastAsia"/>
          <w:b/>
          <w:bCs/>
          <w:sz w:val="21"/>
          <w:szCs w:val="21"/>
          <w:highlight w:val="none"/>
        </w:rPr>
        <w:t xml:space="preserve">未提供视作非实质性响应招标文件</w:t>
      </w:r>
      <w:r>
        <w:rPr>
          <w:rFonts w:hint="eastAsia" w:asciiTheme="minorEastAsia" w:hAnsiTheme="minorEastAsia" w:eastAsiaTheme="minorEastAsia" w:cstheme="minorEastAsia"/>
          <w:b/>
          <w:bCs/>
          <w:sz w:val="21"/>
          <w:szCs w:val="21"/>
          <w:highlight w:val="none"/>
          <w:lang w:eastAsia="zh-CN"/>
        </w:rPr>
        <w:t xml:space="preserve">。</w:t>
      </w:r>
      <w:r>
        <w:rPr>
          <w:rFonts w:hint="eastAsia"/>
          <w:b/>
          <w:bCs/>
          <w:sz w:val="21"/>
          <w:szCs w:val="21"/>
          <w:highlight w:val="none"/>
          <w:lang w:eastAsia="zh-CN"/>
        </w:rPr>
        <w:t xml:space="preserve">）</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▲4.外层面料经阻燃性能试验后，损毁长度≤100mm,续燃时间≤1s,且不有熔融、滴落现象。</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▲5.舒适层经阻燃性能试验后不有熔融、滴落现象。</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▲6.隔冷层经180℃±5℃热稳定性能试验后，沿经、纬方向尺寸变化率≤1%,试样表面无明显变化。</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▲7.蓄冷剂相变热≥200kj/kg。总蓄冷量≥300kj。</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8.降温背心接触温度≥5℃。</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▲9.质量≤2kg。</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10.冷时间≥2h。</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11.温背心使用防止脱散工艺缝制。</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12.有永久性标签。</w:t>
      </w:r>
      <w:r/>
    </w:p>
    <w:p>
      <w:pPr>
        <w:pStyle w:val="839"/>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13.冷剂至少提供1:1备份。</w:t>
      </w:r>
      <w:r/>
    </w:p>
    <w:p>
      <w:pPr>
        <w:ind w:left="0"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firstLine="422"/>
        <w:spacing w:line="360" w:lineRule="auto"/>
        <w:rPr>
          <w:rFonts w:asciiTheme="minorEastAsia" w:hAnsiTheme="minorEastAsia" w:eastAsiaTheme="minorEastAsia" w:cstheme="minorEastAsia"/>
          <w:b/>
          <w:bCs/>
          <w:sz w:val="21"/>
          <w:szCs w:val="21"/>
        </w:rPr>
        <w:outlineLvl w:val="0"/>
      </w:pPr>
      <w:r>
        <w:rPr>
          <w:rFonts w:hint="eastAsia" w:asciiTheme="minorEastAsia" w:hAnsiTheme="minorEastAsia" w:eastAsiaTheme="minorEastAsia" w:cstheme="minorEastAsia"/>
          <w:b/>
          <w:bCs/>
          <w:sz w:val="21"/>
          <w:szCs w:val="21"/>
        </w:rPr>
        <w:t xml:space="preserve">包六（抗醇性水成膜泡沫灭火剂）：</w:t>
      </w:r>
      <w:r/>
    </w:p>
    <w:tbl>
      <w:tblPr>
        <w:tblStyle w:val="887"/>
        <w:tblW w:w="87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2069"/>
        <w:gridCol w:w="737"/>
        <w:gridCol w:w="737"/>
        <w:gridCol w:w="883"/>
        <w:gridCol w:w="1196"/>
        <w:gridCol w:w="2217"/>
      </w:tblGrid>
      <w:tr>
        <w:trPr>
          <w:jc w:val="center"/>
          <w:trHeight w:val="448"/>
        </w:trPr>
        <w:tc>
          <w:tcPr>
            <w:tcW w:w="864"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包号</w:t>
            </w:r>
            <w:r/>
          </w:p>
        </w:tc>
        <w:tc>
          <w:tcPr>
            <w:tcW w:w="2069"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装备名称</w:t>
            </w:r>
            <w:r/>
          </w:p>
        </w:tc>
        <w:tc>
          <w:tcPr>
            <w:tcW w:w="737"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计量单位</w:t>
            </w:r>
            <w:r/>
          </w:p>
        </w:tc>
        <w:tc>
          <w:tcPr>
            <w:tcW w:w="737"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数量</w:t>
            </w:r>
            <w:r/>
          </w:p>
        </w:tc>
        <w:tc>
          <w:tcPr>
            <w:tcW w:w="883"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Theme="minorEastAsia" w:hAnsiTheme="minorEastAsia" w:eastAsiaTheme="minorEastAsia" w:cstheme="minorEastAsia"/>
                <w:b/>
                <w:bCs/>
                <w:sz w:val="21"/>
                <w:szCs w:val="21"/>
              </w:rPr>
              <w:t xml:space="preserve">单价限价（万元）</w:t>
            </w:r>
            <w:r/>
          </w:p>
        </w:tc>
        <w:tc>
          <w:tcPr>
            <w:tcW w:w="1196"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核心产品</w:t>
            </w:r>
            <w:r/>
          </w:p>
        </w:tc>
        <w:tc>
          <w:tcPr>
            <w:tcW w:w="2217"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备注</w:t>
            </w:r>
            <w:r/>
          </w:p>
        </w:tc>
      </w:tr>
      <w:tr>
        <w:trPr>
          <w:jc w:val="center"/>
          <w:trHeight w:val="14"/>
        </w:trPr>
        <w:tc>
          <w:tcPr>
            <w:tcW w:w="864"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6</w:t>
            </w:r>
            <w:r/>
          </w:p>
        </w:tc>
        <w:tc>
          <w:tcPr>
            <w:tcW w:w="2069"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抗醇性水成膜泡沫灭火剂</w:t>
            </w:r>
            <w:r/>
          </w:p>
        </w:tc>
        <w:tc>
          <w:tcPr>
            <w:tcW w:w="737"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bCs/>
                <w:sz w:val="21"/>
                <w:szCs w:val="21"/>
              </w:rPr>
              <w:t xml:space="preserve">吨</w:t>
            </w:r>
            <w:r/>
          </w:p>
        </w:tc>
        <w:tc>
          <w:tcPr>
            <w:tcW w:w="737"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120</w:t>
            </w:r>
            <w:r/>
          </w:p>
        </w:tc>
        <w:tc>
          <w:tcPr>
            <w:tcW w:w="883"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0.75</w:t>
            </w:r>
            <w:r/>
          </w:p>
        </w:tc>
        <w:tc>
          <w:tcPr>
            <w:tcW w:w="1196" w:type="dxa"/>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2217" w:type="dxa"/>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r>
    </w:tbl>
    <w:p>
      <w:pPr>
        <w:ind w:left="0" w:firstLine="422"/>
        <w:spacing w:line="360" w:lineRule="auto"/>
        <w:rPr>
          <w:rFonts w:ascii="宋体" w:hAnsi="宋体"/>
          <w:b/>
          <w:bCs/>
          <w:sz w:val="21"/>
          <w:szCs w:val="21"/>
          <w:lang w:val="zh-CN"/>
        </w:rPr>
      </w:pPr>
      <w:r>
        <w:rPr>
          <w:rFonts w:hint="eastAsia" w:ascii="宋体" w:hAnsi="宋体"/>
          <w:b/>
          <w:sz w:val="21"/>
          <w:szCs w:val="21"/>
        </w:rPr>
        <w:t xml:space="preserve">注：</w:t>
      </w:r>
      <w:r>
        <w:rPr>
          <w:rFonts w:hint="eastAsia" w:ascii="宋体" w:hAnsi="宋体"/>
          <w:b/>
          <w:bCs/>
          <w:sz w:val="21"/>
          <w:szCs w:val="21"/>
          <w:lang w:val="zh-CN"/>
        </w:rPr>
        <w:t xml:space="preserve">公开分项报价中的单价报价不可高于最高单价限价，否则为非实质性响应，投标无效。</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（一）抗醇性水成膜泡沫灭火剂</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1.结构组成：发泡剂、泡沫稳定剂、降粘剂、抗冻剂、助溶剂、防腐剂以及水组成。</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2.主要应用场景：可对着火物质进行阻隔、冷却、稀释。</w:t>
      </w:r>
      <w:r/>
    </w:p>
    <w:p>
      <w:pPr>
        <w:ind w:left="0" w:firstLine="420"/>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★3.提供所投产品完整有效的检验报告（具有CMA标志），检验结果和结论都应符合GB15308-2006《泡沫灭火剂》标准要求。</w:t>
      </w:r>
      <w:r>
        <w:rPr>
          <w:rFonts w:hint="eastAsia"/>
          <w:b/>
          <w:bCs/>
          <w:sz w:val="21"/>
          <w:szCs w:val="21"/>
          <w:highlight w:val="none"/>
          <w:lang w:eastAsia="zh-CN"/>
        </w:rPr>
        <w:t xml:space="preserve">（</w:t>
      </w:r>
      <w:r>
        <w:rPr>
          <w:rFonts w:hint="eastAsia"/>
          <w:b/>
          <w:bCs/>
          <w:sz w:val="21"/>
          <w:szCs w:val="21"/>
          <w:highlight w:val="none"/>
          <w:lang w:val="en-US" w:eastAsia="zh-CN"/>
        </w:rPr>
        <w:t xml:space="preserve">须</w:t>
      </w:r>
      <w:r>
        <w:rPr>
          <w:rFonts w:hint="eastAsia"/>
          <w:b/>
          <w:bCs/>
          <w:sz w:val="21"/>
          <w:szCs w:val="21"/>
          <w:highlight w:val="none"/>
          <w:lang w:eastAsia="zh-CN"/>
        </w:rPr>
        <w:t xml:space="preserve">提供由国家认可的检测机构出具与所投产品型号一致、完整有效的检验报告（</w:t>
      </w:r>
      <w:r>
        <w:rPr>
          <w:rFonts w:hint="eastAsia"/>
          <w:b/>
          <w:bCs/>
          <w:sz w:val="21"/>
          <w:szCs w:val="21"/>
          <w:highlight w:val="none"/>
          <w:lang w:val="en-US" w:eastAsia="zh-CN"/>
        </w:rPr>
        <w:t xml:space="preserve">具有CMA标志</w:t>
      </w:r>
      <w:r>
        <w:rPr>
          <w:rFonts w:hint="eastAsia"/>
          <w:b/>
          <w:bCs/>
          <w:sz w:val="21"/>
          <w:szCs w:val="21"/>
          <w:highlight w:val="none"/>
          <w:lang w:eastAsia="zh-CN"/>
        </w:rPr>
        <w:t xml:space="preserve">）。</w:t>
      </w:r>
      <w:r>
        <w:rPr>
          <w:rFonts w:hint="eastAsia" w:asciiTheme="minorEastAsia" w:hAnsiTheme="minorEastAsia" w:eastAsiaTheme="minorEastAsia" w:cstheme="minorEastAsia"/>
          <w:b/>
          <w:bCs/>
          <w:sz w:val="21"/>
          <w:szCs w:val="21"/>
          <w:highlight w:val="none"/>
        </w:rPr>
        <w:t xml:space="preserve">未提供视作非实质性响应招标文件</w:t>
      </w:r>
      <w:r>
        <w:rPr>
          <w:rFonts w:hint="eastAsia" w:asciiTheme="minorEastAsia" w:hAnsiTheme="minorEastAsia" w:eastAsiaTheme="minorEastAsia" w:cstheme="minorEastAsia"/>
          <w:b/>
          <w:bCs/>
          <w:sz w:val="21"/>
          <w:szCs w:val="21"/>
          <w:highlight w:val="none"/>
          <w:lang w:eastAsia="zh-CN"/>
        </w:rPr>
        <w:t xml:space="preserve">。</w:t>
      </w:r>
      <w:r>
        <w:rPr>
          <w:rFonts w:hint="eastAsia"/>
          <w:b/>
          <w:bCs/>
          <w:sz w:val="21"/>
          <w:szCs w:val="21"/>
          <w:highlight w:val="none"/>
          <w:lang w:eastAsia="zh-CN"/>
        </w:rPr>
        <w:t xml:space="preserve">）</w:t>
      </w:r>
      <w:r/>
    </w:p>
    <w:p>
      <w:pPr>
        <w:ind w:left="0" w:firstLine="420"/>
        <w:spacing w:line="360" w:lineRule="auto"/>
        <w:rPr>
          <w:rFonts w:hint="eastAsia" w:eastAsia="宋体" w:asciiTheme="minorEastAsia" w:hAnsi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rPr>
        <w:t xml:space="preserve">★4.符合联合国环境规划署《关于持久性有机污染物的斯德哥尔摩公约》相关要求，不含 PFOS 以及 PFOA 类物质，提供检验报告对此项进行验证。</w:t>
      </w:r>
      <w:r>
        <w:rPr>
          <w:rFonts w:hint="eastAsia" w:asciiTheme="minorEastAsia" w:hAnsiTheme="minorEastAsia" w:eastAsiaTheme="minorEastAsia" w:cstheme="minorEastAsia"/>
          <w:b/>
          <w:bCs/>
          <w:sz w:val="21"/>
          <w:szCs w:val="21"/>
          <w:highlight w:val="none"/>
          <w:lang w:eastAsia="zh-CN"/>
        </w:rPr>
        <w:t xml:space="preserve">（</w:t>
      </w:r>
      <w:r>
        <w:rPr>
          <w:rFonts w:hint="eastAsia" w:ascii="宋体" w:hAnsi="宋体" w:eastAsia="宋体" w:cs="宋体"/>
          <w:b/>
          <w:bCs/>
          <w:sz w:val="21"/>
          <w:szCs w:val="21"/>
          <w:highlight w:val="none"/>
        </w:rPr>
        <w:t xml:space="preserve">未</w:t>
      </w:r>
      <w:r>
        <w:rPr>
          <w:rFonts w:hint="eastAsia" w:ascii="宋体" w:hAnsi="宋体" w:cs="宋体"/>
          <w:b/>
          <w:bCs/>
          <w:sz w:val="21"/>
          <w:szCs w:val="21"/>
          <w:highlight w:val="none"/>
          <w:lang w:val="en-US" w:eastAsia="zh-CN"/>
        </w:rPr>
        <w:t xml:space="preserve">按要求</w:t>
      </w:r>
      <w:r>
        <w:rPr>
          <w:rFonts w:hint="eastAsia" w:ascii="宋体" w:hAnsi="宋体" w:eastAsia="宋体" w:cs="宋体"/>
          <w:b/>
          <w:bCs/>
          <w:sz w:val="21"/>
          <w:szCs w:val="21"/>
          <w:highlight w:val="none"/>
        </w:rPr>
        <w:t xml:space="preserve">提供</w:t>
      </w:r>
      <w:r>
        <w:rPr>
          <w:rFonts w:hint="eastAsia" w:ascii="宋体" w:hAnsi="宋体" w:cs="宋体"/>
          <w:b/>
          <w:bCs/>
          <w:sz w:val="21"/>
          <w:szCs w:val="21"/>
          <w:highlight w:val="none"/>
          <w:lang w:val="en-US" w:eastAsia="zh-CN"/>
        </w:rPr>
        <w:t xml:space="preserve">检验报告</w:t>
      </w:r>
      <w:r>
        <w:rPr>
          <w:rFonts w:hint="eastAsia" w:ascii="宋体" w:hAnsi="宋体" w:eastAsia="宋体" w:cs="宋体"/>
          <w:b/>
          <w:bCs/>
          <w:sz w:val="21"/>
          <w:szCs w:val="21"/>
          <w:highlight w:val="none"/>
        </w:rPr>
        <w:t xml:space="preserve">视作非实质性响应招标文件</w:t>
      </w:r>
      <w:r>
        <w:rPr>
          <w:rFonts w:hint="eastAsia" w:ascii="宋体" w:hAnsi="宋体" w:cs="宋体"/>
          <w:b/>
          <w:bCs/>
          <w:sz w:val="21"/>
          <w:szCs w:val="21"/>
          <w:highlight w:val="none"/>
          <w:lang w:eastAsia="zh-CN"/>
        </w:rPr>
        <w:t xml:space="preserve">）</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▲5.凝固点≤-15℃。</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6.抗冻结：温度处理前：无可见分层和非均相。温度处理后：无可见分层和非均相。</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7.融化性：温度处理前：无可见分层和非均相。温度处理后：无可见分层和非均相。</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8.比流动性。温度处理前：泡沫液流量不小于标准参比液的流量。温度处理后：泡沫液流量不小于标准参比液的流量。</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▲9.表面张力温度处理前：与特征值的偏差≤10%。</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10.界面张力温度处理前，与特征值的偏差≤1.0mN/m或≤特征值的10%。</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11.扩散系数：温度处理前：mN/m:≥0温度处理后：mN/m:≥0。</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12.腐蚀率：温度处理前：Q235A钢片 ≤15.0 mg/(d·dm²)，3A21铝片 ≤15.0 mg/(d·dm²)。</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13.发泡倍数与特征值的偏差≤1.0不大于特征值的20%,按上述两个二个差值中较大者判定。</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▲14.25%析液时间：与特征值的偏差≤20%。</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▲15.灭火性能：温度处理前IA级别强释放灭火时间min≤3、抗烧时间min≥10、ARIB级别灭火时间min≤3、抗烧时间min≥10。</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16.体积混合比：6%。</w:t>
      </w:r>
      <w:r/>
    </w:p>
    <w:p>
      <w:pPr>
        <w:pStyle w:val="839"/>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17.保质期≥2年（保质期从送货之日起算）。</w:t>
      </w:r>
      <w:r/>
    </w:p>
    <w:p>
      <w:pPr>
        <w:ind w:left="0" w:firstLine="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firstLine="422"/>
        <w:spacing w:line="360" w:lineRule="auto"/>
        <w:rPr>
          <w:rFonts w:asciiTheme="minorEastAsia" w:hAnsiTheme="minorEastAsia" w:eastAsiaTheme="minorEastAsia" w:cstheme="minorEastAsia"/>
          <w:b/>
          <w:bCs/>
          <w:sz w:val="21"/>
          <w:szCs w:val="21"/>
        </w:rPr>
        <w:outlineLvl w:val="0"/>
      </w:pPr>
      <w:r>
        <w:rPr>
          <w:rFonts w:hint="eastAsia" w:asciiTheme="minorEastAsia" w:hAnsiTheme="minorEastAsia" w:eastAsiaTheme="minorEastAsia" w:cstheme="minorEastAsia"/>
          <w:b/>
          <w:bCs/>
          <w:sz w:val="21"/>
          <w:szCs w:val="21"/>
        </w:rPr>
        <w:t xml:space="preserve">包七（通讯面罩）：</w:t>
      </w:r>
      <w:r/>
    </w:p>
    <w:tbl>
      <w:tblPr>
        <w:tblStyle w:val="887"/>
        <w:tblW w:w="87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2069"/>
        <w:gridCol w:w="737"/>
        <w:gridCol w:w="737"/>
        <w:gridCol w:w="883"/>
        <w:gridCol w:w="1196"/>
        <w:gridCol w:w="2217"/>
      </w:tblGrid>
      <w:tr>
        <w:trPr>
          <w:jc w:val="center"/>
          <w:trHeight w:val="448"/>
        </w:trPr>
        <w:tc>
          <w:tcPr>
            <w:tcW w:w="864"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包号</w:t>
            </w:r>
            <w:r/>
          </w:p>
        </w:tc>
        <w:tc>
          <w:tcPr>
            <w:tcW w:w="2069"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装备名称</w:t>
            </w:r>
            <w:r/>
          </w:p>
        </w:tc>
        <w:tc>
          <w:tcPr>
            <w:tcW w:w="737"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计量单位</w:t>
            </w:r>
            <w:r/>
          </w:p>
        </w:tc>
        <w:tc>
          <w:tcPr>
            <w:tcW w:w="737"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数量</w:t>
            </w:r>
            <w:r/>
          </w:p>
        </w:tc>
        <w:tc>
          <w:tcPr>
            <w:tcW w:w="883"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Theme="minorEastAsia" w:hAnsiTheme="minorEastAsia" w:eastAsiaTheme="minorEastAsia" w:cstheme="minorEastAsia"/>
                <w:b/>
                <w:bCs/>
                <w:sz w:val="21"/>
                <w:szCs w:val="21"/>
              </w:rPr>
              <w:t xml:space="preserve">单价限价（万元）</w:t>
            </w:r>
            <w:r/>
          </w:p>
        </w:tc>
        <w:tc>
          <w:tcPr>
            <w:tcW w:w="1196"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核心产品</w:t>
            </w:r>
            <w:r/>
          </w:p>
        </w:tc>
        <w:tc>
          <w:tcPr>
            <w:tcW w:w="2217"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备注</w:t>
            </w:r>
            <w:r/>
          </w:p>
        </w:tc>
      </w:tr>
      <w:tr>
        <w:trPr>
          <w:jc w:val="center"/>
          <w:trHeight w:val="12"/>
        </w:trPr>
        <w:tc>
          <w:tcPr>
            <w:tcW w:w="864"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7</w:t>
            </w:r>
            <w:r/>
          </w:p>
        </w:tc>
        <w:tc>
          <w:tcPr>
            <w:tcW w:w="2069"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通讯面罩</w:t>
            </w:r>
            <w:r/>
          </w:p>
        </w:tc>
        <w:tc>
          <w:tcPr>
            <w:tcW w:w="737"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bCs/>
                <w:sz w:val="21"/>
                <w:szCs w:val="21"/>
              </w:rPr>
              <w:t xml:space="preserve">个</w:t>
            </w:r>
            <w:r/>
          </w:p>
        </w:tc>
        <w:tc>
          <w:tcPr>
            <w:tcW w:w="737"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40</w:t>
            </w:r>
            <w:r/>
          </w:p>
        </w:tc>
        <w:tc>
          <w:tcPr>
            <w:tcW w:w="883"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1</w:t>
            </w:r>
            <w:r/>
          </w:p>
        </w:tc>
        <w:tc>
          <w:tcPr>
            <w:tcW w:w="1196" w:type="dxa"/>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2217" w:type="dxa"/>
            <w:vAlign w:val="center"/>
            <w:textDirection w:val="lrTb"/>
            <w:noWrap w:val="false"/>
          </w:tcPr>
          <w:p>
            <w:pPr>
              <w:ind w:left="0"/>
              <w:jc w:val="center"/>
              <w:keepLines w:val="0"/>
              <w:keepNext w:val="0"/>
              <w:pageBreakBefore w:val="0"/>
              <w:spacing w:line="240" w:lineRule="auto"/>
              <w:widowControl w:val="off"/>
              <w:rPr>
                <w:rFonts w:ascii="宋体" w:hAnsi="宋体"/>
                <w:sz w:val="21"/>
                <w:szCs w:val="21"/>
              </w:rPr>
            </w:pPr>
            <w:r>
              <w:rPr>
                <w:rFonts w:hint="eastAsia" w:asciiTheme="minorEastAsia" w:hAnsiTheme="minorEastAsia" w:eastAsiaTheme="minorEastAsia" w:cstheme="minorEastAsia"/>
                <w:b/>
                <w:bCs/>
                <w:sz w:val="21"/>
                <w:szCs w:val="21"/>
              </w:rPr>
              <w:t xml:space="preserve">提供样品</w:t>
            </w:r>
            <w:r>
              <w:rPr>
                <w:rFonts w:hint="eastAsia" w:asciiTheme="minorEastAsia" w:hAnsiTheme="minorEastAsia" w:eastAsiaTheme="minorEastAsia" w:cstheme="minorEastAsia"/>
                <w:b/>
                <w:bCs/>
                <w:sz w:val="21"/>
                <w:szCs w:val="21"/>
                <w:lang w:val="en-US" w:eastAsia="zh-CN"/>
              </w:rPr>
              <w:t xml:space="preserve">将在评分标准中参与打分，未提供不得分。</w:t>
            </w:r>
            <w:r/>
          </w:p>
        </w:tc>
      </w:tr>
    </w:tbl>
    <w:p>
      <w:pPr>
        <w:ind w:left="0" w:firstLine="422"/>
        <w:spacing w:line="360" w:lineRule="auto"/>
        <w:rPr>
          <w:rFonts w:ascii="宋体" w:hAnsi="宋体"/>
          <w:b/>
          <w:bCs/>
          <w:sz w:val="21"/>
          <w:szCs w:val="21"/>
          <w:lang w:val="zh-CN"/>
        </w:rPr>
      </w:pPr>
      <w:r>
        <w:rPr>
          <w:rFonts w:hint="eastAsia" w:ascii="宋体" w:hAnsi="宋体"/>
          <w:b/>
          <w:sz w:val="21"/>
          <w:szCs w:val="21"/>
        </w:rPr>
        <w:t xml:space="preserve">注：</w:t>
      </w:r>
      <w:r>
        <w:rPr>
          <w:rFonts w:hint="eastAsia" w:ascii="宋体" w:hAnsi="宋体"/>
          <w:b/>
          <w:bCs/>
          <w:sz w:val="21"/>
          <w:szCs w:val="21"/>
          <w:lang w:val="zh-CN"/>
        </w:rPr>
        <w:t xml:space="preserve">公开分项报价中的单价报价不可高于最高单价限价，否则为非实质性响应，投标无效。</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（一）</w:t>
      </w:r>
      <w:r>
        <w:rPr>
          <w:rFonts w:asciiTheme="minorEastAsia" w:hAnsiTheme="minorEastAsia" w:eastAsiaTheme="minorEastAsia" w:cstheme="minorEastAsia"/>
          <w:sz w:val="21"/>
          <w:szCs w:val="21"/>
        </w:rPr>
        <w:t xml:space="preserve">通讯面罩</w:t>
      </w:r>
      <w:r/>
    </w:p>
    <w:p>
      <w:pPr>
        <w:ind w:left="0"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1. 结构组成：主要部件包括全面罩、通讯组件、听筒、通讯线等。</w:t>
      </w:r>
      <w:r/>
    </w:p>
    <w:p>
      <w:pPr>
        <w:ind w:left="0"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2</w:t>
      </w:r>
      <w:r>
        <w:rPr>
          <w:rFonts w:hint="eastAsia" w:asciiTheme="minorEastAsia" w:hAnsiTheme="minorEastAsia" w:eastAsiaTheme="minorEastAsia" w:cstheme="minorEastAsia"/>
          <w:sz w:val="21"/>
          <w:szCs w:val="21"/>
        </w:rPr>
        <w:t xml:space="preserve">.</w:t>
      </w:r>
      <w:r>
        <w:rPr>
          <w:rFonts w:asciiTheme="minorEastAsia" w:hAnsiTheme="minorEastAsia" w:eastAsiaTheme="minorEastAsia" w:cstheme="minorEastAsia"/>
          <w:sz w:val="21"/>
          <w:szCs w:val="21"/>
        </w:rPr>
        <w:t xml:space="preserve">防护等级：不低于IP67。</w:t>
      </w:r>
      <w:r/>
    </w:p>
    <w:p>
      <w:pPr>
        <w:ind w:left="0"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3</w:t>
      </w:r>
      <w:r>
        <w:rPr>
          <w:rFonts w:hint="eastAsia" w:asciiTheme="minorEastAsia" w:hAnsiTheme="minorEastAsia" w:eastAsiaTheme="minorEastAsia" w:cstheme="minorEastAsia"/>
          <w:sz w:val="21"/>
          <w:szCs w:val="21"/>
        </w:rPr>
        <w:t xml:space="preserve">.</w:t>
      </w:r>
      <w:r>
        <w:rPr>
          <w:rFonts w:asciiTheme="minorEastAsia" w:hAnsiTheme="minorEastAsia" w:eastAsiaTheme="minorEastAsia" w:cstheme="minorEastAsia"/>
          <w:sz w:val="21"/>
          <w:szCs w:val="21"/>
        </w:rPr>
        <w:t xml:space="preserve">防爆性能：不低于EX ib IIC T3级。</w:t>
      </w:r>
      <w:r/>
    </w:p>
    <w:p>
      <w:pPr>
        <w:ind w:left="0"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4</w:t>
      </w:r>
      <w:r>
        <w:rPr>
          <w:rFonts w:hint="eastAsia" w:asciiTheme="minorEastAsia" w:hAnsiTheme="minorEastAsia" w:eastAsiaTheme="minorEastAsia" w:cstheme="minorEastAsia"/>
          <w:sz w:val="21"/>
          <w:szCs w:val="21"/>
        </w:rPr>
        <w:t xml:space="preserve">.</w:t>
      </w:r>
      <w:r>
        <w:rPr>
          <w:rFonts w:asciiTheme="minorEastAsia" w:hAnsiTheme="minorEastAsia" w:eastAsiaTheme="minorEastAsia" w:cstheme="minorEastAsia"/>
          <w:sz w:val="21"/>
          <w:szCs w:val="21"/>
        </w:rPr>
        <w:t xml:space="preserve">阻燃性能：通讯面罩整体经（950±50）℃火焰高温燃烧试验后，续燃时间≤1s。</w:t>
      </w:r>
      <w:r/>
    </w:p>
    <w:p>
      <w:pPr>
        <w:ind w:left="0"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▲5</w:t>
      </w:r>
      <w:r>
        <w:rPr>
          <w:rFonts w:hint="eastAsia" w:asciiTheme="minorEastAsia" w:hAnsiTheme="minorEastAsia" w:eastAsiaTheme="minorEastAsia" w:cstheme="minorEastAsia"/>
          <w:sz w:val="21"/>
          <w:szCs w:val="21"/>
        </w:rPr>
        <w:t xml:space="preserve">.</w:t>
      </w:r>
      <w:r>
        <w:rPr>
          <w:rFonts w:asciiTheme="minorEastAsia" w:hAnsiTheme="minorEastAsia" w:eastAsiaTheme="minorEastAsia" w:cstheme="minorEastAsia"/>
          <w:sz w:val="21"/>
          <w:szCs w:val="21"/>
        </w:rPr>
        <w:t xml:space="preserve">面罩性能：总视野保留率≥80％，双目视野保留率≥70%，下方视野保留率≥35°，镜片透光率≥90％，吸入气体中的二氧化碳含量≤1％。</w:t>
      </w:r>
      <w:r/>
    </w:p>
    <w:p>
      <w:pPr>
        <w:ind w:left="0"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6</w:t>
      </w:r>
      <w:r>
        <w:rPr>
          <w:rFonts w:hint="eastAsia" w:asciiTheme="minorEastAsia" w:hAnsiTheme="minorEastAsia" w:eastAsiaTheme="minorEastAsia" w:cstheme="minorEastAsia"/>
          <w:sz w:val="21"/>
          <w:szCs w:val="21"/>
        </w:rPr>
        <w:t xml:space="preserve">.</w:t>
      </w:r>
      <w:r>
        <w:rPr>
          <w:rFonts w:asciiTheme="minorEastAsia" w:hAnsiTheme="minorEastAsia" w:eastAsiaTheme="minorEastAsia" w:cstheme="minorEastAsia"/>
          <w:sz w:val="21"/>
          <w:szCs w:val="21"/>
        </w:rPr>
        <w:t xml:space="preserve">面罩接头与供气阀接头之间的连接强度≥250N。</w:t>
      </w:r>
      <w:r/>
    </w:p>
    <w:p>
      <w:pPr>
        <w:ind w:left="0"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7</w:t>
      </w:r>
      <w:r>
        <w:rPr>
          <w:rFonts w:hint="eastAsia" w:asciiTheme="minorEastAsia" w:hAnsiTheme="minorEastAsia" w:eastAsiaTheme="minorEastAsia" w:cstheme="minorEastAsia"/>
          <w:sz w:val="21"/>
          <w:szCs w:val="21"/>
        </w:rPr>
        <w:t xml:space="preserve">.</w:t>
      </w:r>
      <w:r>
        <w:rPr>
          <w:rFonts w:asciiTheme="minorEastAsia" w:hAnsiTheme="minorEastAsia" w:eastAsiaTheme="minorEastAsia" w:cstheme="minorEastAsia"/>
          <w:sz w:val="21"/>
          <w:szCs w:val="21"/>
        </w:rPr>
        <w:t xml:space="preserve">在30MPa～2MPa范围内，以呼吸频率40次/min, 呼吸流量100 L/min呼吸，呼吸器的面罩内始终保持正压，且吸气阻力≤500 Pa, 呼气阻力≤1000 Pa；在2MPa～1MPa范围内，以呼吸频率25次/min, 呼吸流量50L/min呼吸，呼吸器的全面罩内保持正压，且吸气阻力≤500Pa,呼气阻力≤700Pa。</w:t>
      </w:r>
      <w:r/>
    </w:p>
    <w:p>
      <w:pPr>
        <w:ind w:left="0"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▲8</w:t>
      </w:r>
      <w:r>
        <w:rPr>
          <w:rFonts w:hint="eastAsia" w:asciiTheme="minorEastAsia" w:hAnsiTheme="minorEastAsia" w:eastAsiaTheme="minorEastAsia" w:cstheme="minorEastAsia"/>
          <w:sz w:val="21"/>
          <w:szCs w:val="21"/>
        </w:rPr>
        <w:t xml:space="preserve">.</w:t>
      </w:r>
      <w:r>
        <w:rPr>
          <w:rFonts w:asciiTheme="minorEastAsia" w:hAnsiTheme="minorEastAsia" w:eastAsiaTheme="minorEastAsia" w:cstheme="minorEastAsia"/>
          <w:sz w:val="21"/>
          <w:szCs w:val="21"/>
        </w:rPr>
        <w:t xml:space="preserve">AI智能通讯面罩具备语音指令音控控制功能，无需手动操作TPP键或肩咪，即可控制对讲机音量、照明、对讲开启和关闭功能。</w:t>
      </w:r>
      <w:r/>
    </w:p>
    <w:p>
      <w:pPr>
        <w:ind w:left="0"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9</w:t>
      </w:r>
      <w:r>
        <w:rPr>
          <w:rFonts w:hint="eastAsia" w:asciiTheme="minorEastAsia" w:hAnsiTheme="minorEastAsia" w:eastAsiaTheme="minorEastAsia" w:cstheme="minorEastAsia"/>
          <w:sz w:val="21"/>
          <w:szCs w:val="21"/>
        </w:rPr>
        <w:t xml:space="preserve">.</w:t>
      </w:r>
      <w:r>
        <w:rPr>
          <w:rFonts w:asciiTheme="minorEastAsia" w:hAnsiTheme="minorEastAsia" w:eastAsiaTheme="minorEastAsia" w:cstheme="minorEastAsia"/>
          <w:sz w:val="21"/>
          <w:szCs w:val="21"/>
        </w:rPr>
        <w:t xml:space="preserve">具有双扩音功能，可增大佩戴者讲话声音及对讲机声音。</w:t>
      </w:r>
      <w:r/>
    </w:p>
    <w:p>
      <w:pPr>
        <w:ind w:left="0"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★10</w:t>
      </w:r>
      <w:r>
        <w:rPr>
          <w:rFonts w:hint="eastAsia" w:asciiTheme="minorEastAsia" w:hAnsiTheme="minorEastAsia" w:eastAsiaTheme="minorEastAsia" w:cstheme="minorEastAsia"/>
          <w:sz w:val="21"/>
          <w:szCs w:val="21"/>
        </w:rPr>
        <w:t xml:space="preserve">.</w:t>
      </w:r>
      <w:r>
        <w:rPr>
          <w:rFonts w:asciiTheme="minorEastAsia" w:hAnsiTheme="minorEastAsia" w:eastAsiaTheme="minorEastAsia" w:cstheme="minorEastAsia"/>
          <w:sz w:val="21"/>
          <w:szCs w:val="21"/>
        </w:rPr>
        <w:t xml:space="preserve">具有降噪功能，确保通讯音质清晰，避免啸叫和回声。</w:t>
      </w:r>
      <w:r/>
    </w:p>
    <w:p>
      <w:pPr>
        <w:ind w:left="0"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▲11</w:t>
      </w:r>
      <w:r>
        <w:rPr>
          <w:rFonts w:hint="eastAsia" w:asciiTheme="minorEastAsia" w:hAnsiTheme="minorEastAsia" w:eastAsiaTheme="minorEastAsia" w:cstheme="minorEastAsia"/>
          <w:sz w:val="21"/>
          <w:szCs w:val="21"/>
        </w:rPr>
        <w:t xml:space="preserve">.</w:t>
      </w:r>
      <w:r>
        <w:rPr>
          <w:rFonts w:asciiTheme="minorEastAsia" w:hAnsiTheme="minorEastAsia" w:eastAsiaTheme="minorEastAsia" w:cstheme="minorEastAsia"/>
          <w:sz w:val="21"/>
          <w:szCs w:val="21"/>
        </w:rPr>
        <w:t xml:space="preserve">球形面屏能够承受速度≥180m/s、直径≥6mm的钢珠冲击而不破裂穿透。</w:t>
      </w:r>
      <w:r/>
    </w:p>
    <w:p>
      <w:pPr>
        <w:ind w:left="0"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12</w:t>
      </w:r>
      <w:r>
        <w:rPr>
          <w:rFonts w:hint="eastAsia" w:asciiTheme="minorEastAsia" w:hAnsiTheme="minorEastAsia" w:eastAsiaTheme="minorEastAsia" w:cstheme="minorEastAsia"/>
          <w:sz w:val="21"/>
          <w:szCs w:val="21"/>
        </w:rPr>
        <w:t xml:space="preserve">.</w:t>
      </w:r>
      <w:r>
        <w:rPr>
          <w:rFonts w:asciiTheme="minorEastAsia" w:hAnsiTheme="minorEastAsia" w:eastAsiaTheme="minorEastAsia" w:cstheme="minorEastAsia"/>
          <w:sz w:val="21"/>
          <w:szCs w:val="21"/>
        </w:rPr>
        <w:t xml:space="preserve">面罩内半面罩采用医用级硅胶材质，贴合面部，密封性能良好，适合亚洲人脸型。头网罩采用阻燃芳纶材质，为编织网状，透气，采用五点式固定方式。</w:t>
      </w:r>
      <w:r/>
    </w:p>
    <w:p>
      <w:pPr>
        <w:ind w:left="0"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13</w:t>
      </w:r>
      <w:r>
        <w:rPr>
          <w:rFonts w:hint="eastAsia" w:asciiTheme="minorEastAsia" w:hAnsiTheme="minorEastAsia" w:eastAsiaTheme="minorEastAsia" w:cstheme="minorEastAsia"/>
          <w:sz w:val="21"/>
          <w:szCs w:val="21"/>
        </w:rPr>
        <w:t xml:space="preserve">.</w:t>
      </w:r>
      <w:r>
        <w:rPr>
          <w:rFonts w:asciiTheme="minorEastAsia" w:hAnsiTheme="minorEastAsia" w:eastAsiaTheme="minorEastAsia" w:cstheme="minorEastAsia"/>
          <w:sz w:val="21"/>
          <w:szCs w:val="21"/>
        </w:rPr>
        <w:t xml:space="preserve">自动关机功能：在静止未使用超过30min后自动关机，以延长电池使用寿命。</w:t>
      </w:r>
      <w:r/>
    </w:p>
    <w:p>
      <w:pPr>
        <w:ind w:left="0"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14</w:t>
      </w:r>
      <w:r>
        <w:rPr>
          <w:rFonts w:hint="eastAsia" w:asciiTheme="minorEastAsia" w:hAnsiTheme="minorEastAsia" w:eastAsiaTheme="minorEastAsia" w:cstheme="minorEastAsia"/>
          <w:sz w:val="21"/>
          <w:szCs w:val="21"/>
        </w:rPr>
        <w:t xml:space="preserve">.</w:t>
      </w:r>
      <w:r>
        <w:rPr>
          <w:rFonts w:asciiTheme="minorEastAsia" w:hAnsiTheme="minorEastAsia" w:eastAsiaTheme="minorEastAsia" w:cstheme="minorEastAsia"/>
          <w:sz w:val="21"/>
          <w:szCs w:val="21"/>
        </w:rPr>
        <w:t xml:space="preserve">电池欠压指示：电池欠压时，指示灯黄灯常亮，确保用户及时掌握电池状态。</w:t>
      </w:r>
      <w:r/>
    </w:p>
    <w:p>
      <w:pPr>
        <w:ind w:left="0"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▲15</w:t>
      </w:r>
      <w:r>
        <w:rPr>
          <w:rFonts w:hint="eastAsia" w:asciiTheme="minorEastAsia" w:hAnsiTheme="minorEastAsia" w:eastAsiaTheme="minorEastAsia" w:cstheme="minorEastAsia"/>
          <w:sz w:val="21"/>
          <w:szCs w:val="21"/>
        </w:rPr>
        <w:t xml:space="preserve">.</w:t>
      </w:r>
      <w:r>
        <w:rPr>
          <w:rFonts w:asciiTheme="minorEastAsia" w:hAnsiTheme="minorEastAsia" w:eastAsiaTheme="minorEastAsia" w:cstheme="minorEastAsia"/>
          <w:sz w:val="21"/>
          <w:szCs w:val="21"/>
        </w:rPr>
        <w:t xml:space="preserve">连续工作时间：≥10小时，供电模式为干电池（换电）。</w:t>
      </w:r>
      <w:r/>
    </w:p>
    <w:p>
      <w:pPr>
        <w:ind w:left="0"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16</w:t>
      </w:r>
      <w:r>
        <w:rPr>
          <w:rFonts w:hint="eastAsia" w:asciiTheme="minorEastAsia" w:hAnsiTheme="minorEastAsia" w:eastAsiaTheme="minorEastAsia" w:cstheme="minorEastAsia"/>
          <w:sz w:val="21"/>
          <w:szCs w:val="21"/>
        </w:rPr>
        <w:t xml:space="preserve">.</w:t>
      </w:r>
      <w:r>
        <w:rPr>
          <w:rFonts w:asciiTheme="minorEastAsia" w:hAnsiTheme="minorEastAsia" w:eastAsiaTheme="minorEastAsia" w:cstheme="minorEastAsia"/>
          <w:sz w:val="21"/>
          <w:szCs w:val="21"/>
        </w:rPr>
        <w:t xml:space="preserve">整机重量（含通讯线）：≤0.85kg。 </w:t>
      </w:r>
      <w:r/>
    </w:p>
    <w:p>
      <w:pPr>
        <w:pStyle w:val="839"/>
        <w:ind w:left="0"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17</w:t>
      </w:r>
      <w:r>
        <w:rPr>
          <w:rFonts w:hint="eastAsia" w:asciiTheme="minorEastAsia" w:hAnsiTheme="minorEastAsia" w:eastAsiaTheme="minorEastAsia" w:cstheme="minorEastAsia"/>
          <w:sz w:val="21"/>
          <w:szCs w:val="21"/>
        </w:rPr>
        <w:t xml:space="preserve">.</w:t>
      </w:r>
      <w:r>
        <w:rPr>
          <w:rFonts w:asciiTheme="minorEastAsia" w:hAnsiTheme="minorEastAsia" w:eastAsiaTheme="minorEastAsia" w:cstheme="minorEastAsia"/>
          <w:sz w:val="21"/>
          <w:szCs w:val="21"/>
        </w:rPr>
        <w:t xml:space="preserve">提供数据线，需与使用单位所使用对讲机匹配（包括但不限于森虎SPH6035、中兴高达ph790ExU（3）7.4V DC、优能NDP-878Z、优能NDP-878、海能达pd780）。</w:t>
      </w:r>
      <w:r/>
    </w:p>
    <w:p>
      <w:pPr>
        <w:pStyle w:val="839"/>
        <w:ind w:left="0" w:firstLine="422"/>
        <w:spacing w:line="360" w:lineRule="auto"/>
        <w:rPr>
          <w:rFonts w:hint="eastAsia" w:asciiTheme="minorEastAsia" w:hAnsiTheme="minorEastAsia" w:eastAsiaTheme="minorEastAsia" w:cstheme="minorEastAsia"/>
          <w:b/>
          <w:bCs/>
          <w:sz w:val="21"/>
          <w:szCs w:val="21"/>
          <w:lang w:eastAsia="zh-CN"/>
        </w:rPr>
      </w:pPr>
      <w:r>
        <w:rPr>
          <w:rFonts w:hint="eastAsia"/>
          <w:b/>
          <w:bCs/>
          <w:sz w:val="21"/>
          <w:szCs w:val="21"/>
          <w:lang w:val="en-US" w:eastAsia="zh-CN"/>
        </w:rPr>
        <w:t xml:space="preserve">注：</w:t>
      </w:r>
      <w:r>
        <w:rPr>
          <w:rFonts w:hint="eastAsia" w:asciiTheme="minorEastAsia" w:hAnsiTheme="minorEastAsia" w:eastAsiaTheme="minorEastAsia" w:cstheme="minorEastAsia"/>
          <w:b/>
          <w:bCs/>
          <w:sz w:val="21"/>
          <w:szCs w:val="21"/>
          <w:lang w:val="en-US" w:eastAsia="zh-CN"/>
        </w:rPr>
        <w:t xml:space="preserve">标</w:t>
      </w:r>
      <w:r>
        <w:rPr>
          <w:rFonts w:hint="eastAsia"/>
          <w:b/>
          <w:bCs/>
          <w:sz w:val="21"/>
          <w:szCs w:val="21"/>
        </w:rPr>
        <w:t xml:space="preserve">★</w:t>
      </w:r>
      <w:r>
        <w:rPr>
          <w:rFonts w:hint="eastAsia"/>
          <w:b/>
          <w:bCs/>
          <w:sz w:val="21"/>
          <w:szCs w:val="21"/>
          <w:lang w:val="en-US" w:eastAsia="zh-CN"/>
        </w:rPr>
        <w:t xml:space="preserve">项须提供以下任意一种证明材料：1.相关技术资料支持（技术支持资料须为制造商公开发布的印刷资料或技术规格书或使用说明书）；2.制造商网站最新发布的资料打印件；3.国家认可的检测机构出具的检验(检测)报告；未提供视作负偏离。</w:t>
      </w:r>
      <w:r>
        <w:rPr>
          <w:rFonts w:hint="eastAsia" w:asciiTheme="minorEastAsia" w:hAnsiTheme="minorEastAsia" w:eastAsiaTheme="minorEastAsia" w:cstheme="minorEastAsia"/>
          <w:b/>
          <w:bCs/>
          <w:sz w:val="21"/>
          <w:szCs w:val="21"/>
          <w:lang w:val="en-US" w:eastAsia="zh-CN"/>
        </w:rPr>
        <w:t xml:space="preserve">标</w:t>
      </w:r>
      <w:r>
        <w:rPr>
          <w:rFonts w:hint="eastAsia"/>
          <w:b/>
          <w:bCs/>
          <w:sz w:val="21"/>
          <w:szCs w:val="21"/>
        </w:rPr>
        <w:t xml:space="preserve">★</w:t>
      </w:r>
      <w:r>
        <w:rPr>
          <w:rFonts w:hint="eastAsia"/>
          <w:b/>
          <w:bCs/>
          <w:sz w:val="21"/>
          <w:szCs w:val="21"/>
          <w:lang w:val="en-US" w:eastAsia="zh-CN"/>
        </w:rPr>
        <w:t xml:space="preserve">项不允许负偏离，负偏离</w:t>
      </w:r>
      <w:r>
        <w:rPr>
          <w:rFonts w:hint="eastAsia" w:asciiTheme="minorEastAsia" w:hAnsiTheme="minorEastAsia" w:eastAsiaTheme="minorEastAsia" w:cstheme="minorEastAsia"/>
          <w:b/>
          <w:bCs/>
          <w:sz w:val="21"/>
          <w:szCs w:val="21"/>
        </w:rPr>
        <w:t xml:space="preserve">视作非实质性响应招标文件</w:t>
      </w:r>
      <w:r>
        <w:rPr>
          <w:rFonts w:hint="eastAsia" w:asciiTheme="minorEastAsia" w:hAnsiTheme="minorEastAsia" w:eastAsiaTheme="minorEastAsia" w:cstheme="minorEastAsia"/>
          <w:b/>
          <w:bCs/>
          <w:sz w:val="21"/>
          <w:szCs w:val="21"/>
          <w:lang w:eastAsia="zh-CN"/>
        </w:rPr>
        <w:t xml:space="preserve">。</w:t>
      </w:r>
      <w:r/>
    </w:p>
    <w:p>
      <w:pPr>
        <w:pStyle w:val="839"/>
        <w:ind w:left="0" w:firstLine="422"/>
        <w:spacing w:line="360" w:lineRule="auto"/>
        <w:rPr>
          <w:rFonts w:hint="eastAsia" w:asciiTheme="minorEastAsia" w:hAnsiTheme="minorEastAsia" w:eastAsiaTheme="minorEastAsia" w:cstheme="minorEastAsia"/>
          <w:b/>
          <w:bCs/>
          <w:sz w:val="21"/>
          <w:szCs w:val="21"/>
          <w:highlight w:val="none"/>
          <w:lang w:eastAsia="zh-CN"/>
        </w:rPr>
      </w:pPr>
      <w:r>
        <w:rPr>
          <w:rFonts w:hint="eastAsia" w:asciiTheme="minorEastAsia" w:hAnsiTheme="minorEastAsia" w:eastAsiaTheme="minorEastAsia" w:cstheme="minorEastAsia"/>
          <w:b/>
          <w:bCs/>
          <w:sz w:val="21"/>
          <w:szCs w:val="21"/>
          <w:highlight w:val="none"/>
          <w:lang w:eastAsia="zh-CN"/>
        </w:rPr>
      </w:r>
      <w:r/>
    </w:p>
    <w:p>
      <w:pPr>
        <w:ind w:left="0"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spacing w:line="360" w:lineRule="auto"/>
        <w:widowControl w:val="off"/>
        <w:rPr>
          <w:rFonts w:asciiTheme="minorEastAsia" w:hAnsiTheme="minorEastAsia" w:eastAsiaTheme="minorEastAsia" w:cstheme="minorEastAsia"/>
          <w:b/>
          <w:bCs/>
          <w:sz w:val="21"/>
          <w:szCs w:val="21"/>
        </w:rPr>
      </w:pPr>
      <w:r>
        <w:rPr>
          <w:rFonts w:asciiTheme="minorEastAsia" w:hAnsiTheme="minorEastAsia" w:eastAsiaTheme="minorEastAsia" w:cstheme="minorEastAsia"/>
          <w:b/>
          <w:bCs/>
          <w:sz w:val="21"/>
          <w:szCs w:val="21"/>
        </w:rPr>
      </w:r>
      <w:r/>
    </w:p>
    <w:p>
      <w:pPr>
        <w:ind w:left="0" w:firstLine="422"/>
        <w:spacing w:line="360" w:lineRule="auto"/>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出样要求（适用于包一、包二、包四、包五、包七）：</w:t>
      </w:r>
      <w:r/>
    </w:p>
    <w:p>
      <w:pPr>
        <w:ind w:left="0" w:firstLine="420"/>
        <w:spacing w:line="360" w:lineRule="auto"/>
        <w:widowControl w:val="off"/>
        <w:rPr>
          <w:rFonts w:ascii="宋体" w:hAnsi="宋体" w:cs="Times New Roman"/>
          <w:b/>
          <w:bCs/>
          <w:sz w:val="21"/>
          <w:szCs w:val="21"/>
        </w:rPr>
      </w:pPr>
      <w:r>
        <w:rPr>
          <w:rFonts w:hint="eastAsia" w:ascii="宋体" w:hAnsi="宋体" w:cs="Times New Roman"/>
          <w:sz w:val="21"/>
          <w:szCs w:val="21"/>
        </w:rPr>
        <w:t xml:space="preserve">1、</w:t>
      </w:r>
      <w:r>
        <w:rPr>
          <w:rFonts w:cs="Times New Roman" w:asciiTheme="minorEastAsia" w:hAnsiTheme="minorEastAsia" w:eastAsiaTheme="minorEastAsia"/>
          <w:bCs/>
          <w:iCs/>
          <w:sz w:val="21"/>
          <w:szCs w:val="21"/>
        </w:rPr>
        <w:t xml:space="preserve">样品采用明标评审，各投标人将样品存放在</w:t>
      </w:r>
      <w:r>
        <w:rPr>
          <w:rFonts w:hint="eastAsia" w:cs="Times New Roman" w:asciiTheme="minorEastAsia" w:hAnsiTheme="minorEastAsia"/>
          <w:bCs/>
          <w:iCs/>
          <w:sz w:val="21"/>
          <w:szCs w:val="21"/>
        </w:rPr>
        <w:t xml:space="preserve">一个</w:t>
      </w:r>
      <w:r>
        <w:rPr>
          <w:rFonts w:cs="Times New Roman" w:asciiTheme="minorEastAsia" w:hAnsiTheme="minorEastAsia" w:eastAsiaTheme="minorEastAsia"/>
          <w:bCs/>
          <w:iCs/>
          <w:sz w:val="21"/>
          <w:szCs w:val="21"/>
        </w:rPr>
        <w:t xml:space="preserve">包装箱内</w:t>
      </w:r>
      <w:r>
        <w:rPr>
          <w:rFonts w:hint="eastAsia" w:cs="Times New Roman" w:asciiTheme="minorEastAsia" w:hAnsiTheme="minorEastAsia" w:eastAsiaTheme="minorEastAsia"/>
          <w:bCs/>
          <w:iCs/>
          <w:sz w:val="21"/>
          <w:szCs w:val="21"/>
          <w:lang w:eastAsia="zh-CN"/>
        </w:rPr>
        <w:t xml:space="preserve">（</w:t>
      </w:r>
      <w:r>
        <w:rPr>
          <w:rFonts w:hint="eastAsia" w:cs="Times New Roman" w:asciiTheme="minorEastAsia" w:hAnsiTheme="minorEastAsia" w:eastAsiaTheme="minorEastAsia"/>
          <w:bCs/>
          <w:iCs/>
          <w:sz w:val="21"/>
          <w:szCs w:val="21"/>
          <w:lang w:val="en-US" w:eastAsia="zh-CN"/>
        </w:rPr>
        <w:t xml:space="preserve">如投多个包请按包号单独封箱</w:t>
      </w:r>
      <w:r>
        <w:rPr>
          <w:rFonts w:hint="eastAsia" w:cs="Times New Roman" w:asciiTheme="minorEastAsia" w:hAnsiTheme="minorEastAsia" w:eastAsiaTheme="minorEastAsia"/>
          <w:bCs/>
          <w:iCs/>
          <w:sz w:val="21"/>
          <w:szCs w:val="21"/>
          <w:lang w:eastAsia="zh-CN"/>
        </w:rPr>
        <w:t xml:space="preserve">）</w:t>
      </w:r>
      <w:r>
        <w:rPr>
          <w:rFonts w:cs="Times New Roman" w:asciiTheme="minorEastAsia" w:hAnsiTheme="minorEastAsia" w:eastAsiaTheme="minorEastAsia"/>
          <w:bCs/>
          <w:iCs/>
          <w:sz w:val="21"/>
          <w:szCs w:val="21"/>
        </w:rPr>
        <w:t xml:space="preserve">，箱上需标明投标人名称，包装箱需密封。</w:t>
      </w:r>
      <w:r>
        <w:rPr>
          <w:rFonts w:hint="eastAsia" w:ascii="宋体" w:hAnsi="宋体" w:cs="Times New Roman"/>
          <w:sz w:val="21"/>
          <w:szCs w:val="21"/>
        </w:rPr>
        <w:t xml:space="preserve">投标人按上述要求提供有关样品供评标委员会评审使用，评标结束后，中标人样品应立刻封样保存，并运送至采购人指定地点；未中标人样品务必在当天内各自自行取回。</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2、出样地点：</w:t>
      </w:r>
      <w:r/>
    </w:p>
    <w:p>
      <w:pPr>
        <w:ind w:left="208" w:firstLine="210"/>
        <w:spacing w:line="360" w:lineRule="auto"/>
        <w:widowControl w:val="off"/>
        <w:rPr>
          <w:rFonts w:ascii="宋体" w:hAnsi="宋体" w:cs="Times New Roman"/>
          <w:sz w:val="21"/>
          <w:szCs w:val="21"/>
        </w:rPr>
      </w:pPr>
      <w:r>
        <w:rPr>
          <w:rFonts w:ascii="宋体" w:hAnsi="宋体" w:cs="Times New Roman"/>
          <w:sz w:val="21"/>
          <w:szCs w:val="21"/>
        </w:rPr>
        <w:t xml:space="preserve">样品接收开始时间：202</w:t>
      </w:r>
      <w:r>
        <w:rPr>
          <w:rFonts w:hint="eastAsia" w:ascii="宋体" w:hAnsi="宋体" w:cs="Times New Roman"/>
          <w:sz w:val="21"/>
          <w:szCs w:val="21"/>
        </w:rPr>
        <w:t xml:space="preserve">6</w:t>
      </w:r>
      <w:r>
        <w:rPr>
          <w:rFonts w:ascii="宋体" w:hAnsi="宋体" w:cs="Times New Roman"/>
          <w:sz w:val="21"/>
          <w:szCs w:val="21"/>
        </w:rPr>
        <w:t xml:space="preserve">年</w:t>
      </w:r>
      <w:r>
        <w:rPr>
          <w:rFonts w:hint="eastAsia" w:ascii="宋体" w:hAnsi="宋体" w:cs="Times New Roman"/>
          <w:sz w:val="21"/>
          <w:szCs w:val="21"/>
          <w:lang w:val="en-US" w:eastAsia="zh-CN"/>
        </w:rPr>
        <w:t xml:space="preserve">7</w:t>
      </w:r>
      <w:r>
        <w:rPr>
          <w:rFonts w:ascii="宋体" w:hAnsi="宋体" w:cs="Times New Roman"/>
          <w:sz w:val="21"/>
          <w:szCs w:val="21"/>
        </w:rPr>
        <w:t xml:space="preserve">月</w:t>
      </w:r>
      <w:r>
        <w:rPr>
          <w:rFonts w:hint="eastAsia" w:ascii="宋体" w:hAnsi="宋体" w:cs="Times New Roman"/>
          <w:sz w:val="21"/>
          <w:szCs w:val="21"/>
          <w:lang w:val="en-US" w:eastAsia="zh-CN"/>
        </w:rPr>
        <w:t xml:space="preserve">30</w:t>
      </w:r>
      <w:r>
        <w:rPr>
          <w:rFonts w:ascii="宋体" w:hAnsi="宋体" w:cs="Times New Roman"/>
          <w:sz w:val="21"/>
          <w:szCs w:val="21"/>
        </w:rPr>
        <w:t xml:space="preserve">日</w:t>
      </w:r>
      <w:r>
        <w:rPr>
          <w:rFonts w:hint="eastAsia" w:ascii="宋体" w:hAnsi="宋体" w:cs="Times New Roman"/>
          <w:sz w:val="21"/>
          <w:szCs w:val="21"/>
          <w:lang w:val="en-US" w:eastAsia="zh-CN"/>
        </w:rPr>
        <w:t xml:space="preserve">8</w:t>
      </w:r>
      <w:r>
        <w:rPr>
          <w:rFonts w:hint="eastAsia" w:ascii="宋体" w:hAnsi="宋体" w:cs="Times New Roman"/>
          <w:sz w:val="21"/>
          <w:szCs w:val="21"/>
        </w:rPr>
        <w:t xml:space="preserve">点</w:t>
      </w:r>
      <w:r>
        <w:rPr>
          <w:rFonts w:hint="eastAsia" w:ascii="宋体" w:hAnsi="宋体" w:cs="Times New Roman"/>
          <w:sz w:val="21"/>
          <w:szCs w:val="21"/>
          <w:lang w:val="en-US" w:eastAsia="zh-CN"/>
        </w:rPr>
        <w:t xml:space="preserve">3</w:t>
      </w:r>
      <w:r>
        <w:rPr>
          <w:rFonts w:ascii="宋体" w:hAnsi="宋体" w:cs="Times New Roman"/>
          <w:sz w:val="21"/>
          <w:szCs w:val="21"/>
        </w:rPr>
        <w:t xml:space="preserve">0</w:t>
      </w:r>
      <w:r>
        <w:rPr>
          <w:rFonts w:hint="eastAsia" w:ascii="宋体" w:hAnsi="宋体" w:cs="Times New Roman"/>
          <w:sz w:val="21"/>
          <w:szCs w:val="21"/>
        </w:rPr>
        <w:t xml:space="preserve">分</w:t>
      </w:r>
      <w:r>
        <w:rPr>
          <w:rFonts w:ascii="宋体" w:hAnsi="宋体" w:cs="Times New Roman"/>
          <w:sz w:val="21"/>
          <w:szCs w:val="21"/>
        </w:rPr>
        <w:t xml:space="preserve">（北京时间），样品接收截止时间：202</w:t>
      </w:r>
      <w:r>
        <w:rPr>
          <w:rFonts w:hint="eastAsia" w:ascii="宋体" w:hAnsi="宋体" w:cs="Times New Roman"/>
          <w:sz w:val="21"/>
          <w:szCs w:val="21"/>
          <w:lang w:val="en-US" w:eastAsia="zh-CN"/>
        </w:rPr>
        <w:t xml:space="preserve">6</w:t>
      </w:r>
      <w:r>
        <w:rPr>
          <w:rFonts w:ascii="宋体" w:hAnsi="宋体" w:cs="Times New Roman"/>
          <w:sz w:val="21"/>
          <w:szCs w:val="21"/>
        </w:rPr>
        <w:t xml:space="preserve">年</w:t>
      </w:r>
      <w:r>
        <w:rPr>
          <w:rFonts w:hint="eastAsia" w:ascii="宋体" w:hAnsi="宋体" w:cs="Times New Roman"/>
          <w:sz w:val="21"/>
          <w:szCs w:val="21"/>
          <w:lang w:val="en-US" w:eastAsia="zh-CN"/>
        </w:rPr>
        <w:t xml:space="preserve">7</w:t>
      </w:r>
      <w:r>
        <w:rPr>
          <w:rFonts w:ascii="宋体" w:hAnsi="宋体" w:cs="Times New Roman"/>
          <w:sz w:val="21"/>
          <w:szCs w:val="21"/>
        </w:rPr>
        <w:t xml:space="preserve">月</w:t>
      </w:r>
      <w:r>
        <w:rPr>
          <w:rFonts w:hint="eastAsia" w:ascii="宋体" w:hAnsi="宋体" w:cs="Times New Roman"/>
          <w:sz w:val="21"/>
          <w:szCs w:val="21"/>
          <w:lang w:val="en-US" w:eastAsia="zh-CN"/>
        </w:rPr>
        <w:t xml:space="preserve">30</w:t>
      </w:r>
      <w:r>
        <w:rPr>
          <w:rFonts w:ascii="宋体" w:hAnsi="宋体" w:cs="Times New Roman"/>
          <w:sz w:val="21"/>
          <w:szCs w:val="21"/>
        </w:rPr>
        <w:t xml:space="preserve">日</w:t>
      </w:r>
      <w:r>
        <w:rPr>
          <w:rFonts w:hint="eastAsia" w:ascii="宋体" w:hAnsi="宋体" w:cs="Times New Roman"/>
          <w:sz w:val="21"/>
          <w:szCs w:val="21"/>
        </w:rPr>
        <w:t xml:space="preserve"> </w:t>
      </w:r>
      <w:r>
        <w:rPr>
          <w:rFonts w:hint="eastAsia" w:ascii="宋体" w:hAnsi="宋体" w:cs="Times New Roman"/>
          <w:sz w:val="21"/>
          <w:szCs w:val="21"/>
          <w:lang w:val="en-US" w:eastAsia="zh-CN"/>
        </w:rPr>
        <w:t xml:space="preserve">9</w:t>
      </w:r>
      <w:r>
        <w:rPr>
          <w:rFonts w:hint="eastAsia" w:ascii="宋体" w:hAnsi="宋体" w:cs="Times New Roman"/>
          <w:sz w:val="21"/>
          <w:szCs w:val="21"/>
        </w:rPr>
        <w:t xml:space="preserve">点</w:t>
      </w:r>
      <w:r>
        <w:rPr>
          <w:rFonts w:hint="eastAsia" w:ascii="宋体" w:hAnsi="宋体" w:cs="Times New Roman"/>
          <w:sz w:val="21"/>
          <w:szCs w:val="21"/>
          <w:lang w:val="en-US" w:eastAsia="zh-CN"/>
        </w:rPr>
        <w:t xml:space="preserve">30</w:t>
      </w:r>
      <w:r>
        <w:rPr>
          <w:rFonts w:hint="eastAsia" w:ascii="宋体" w:hAnsi="宋体" w:cs="Times New Roman"/>
          <w:sz w:val="21"/>
          <w:szCs w:val="21"/>
        </w:rPr>
        <w:t xml:space="preserve">分</w:t>
      </w:r>
      <w:r>
        <w:rPr>
          <w:rFonts w:ascii="宋体" w:hAnsi="宋体" w:cs="Times New Roman"/>
          <w:sz w:val="21"/>
          <w:szCs w:val="21"/>
        </w:rPr>
        <w:t xml:space="preserve">（北京时间）</w:t>
      </w:r>
      <w:r/>
    </w:p>
    <w:p>
      <w:pPr>
        <w:ind w:left="0" w:firstLine="420"/>
        <w:spacing w:line="360" w:lineRule="auto"/>
        <w:widowControl w:val="off"/>
        <w:rPr>
          <w:rFonts w:hint="default" w:ascii="宋体" w:hAnsi="宋体" w:eastAsia="宋体" w:cs="Times New Roman"/>
          <w:sz w:val="21"/>
          <w:szCs w:val="21"/>
          <w:lang w:val="en-US" w:eastAsia="zh-CN"/>
        </w:rPr>
      </w:pPr>
      <w:r>
        <w:rPr>
          <w:rFonts w:ascii="宋体" w:hAnsi="宋体" w:cs="Times New Roman"/>
          <w:sz w:val="21"/>
          <w:szCs w:val="21"/>
        </w:rPr>
        <w:t xml:space="preserve">样品接收</w:t>
      </w:r>
      <w:r>
        <w:rPr>
          <w:rFonts w:hint="eastAsia" w:ascii="宋体" w:hAnsi="宋体" w:cs="Times New Roman"/>
          <w:sz w:val="21"/>
          <w:szCs w:val="21"/>
        </w:rPr>
        <w:t xml:space="preserve">地点：</w:t>
      </w:r>
      <w:r>
        <w:rPr>
          <w:rFonts w:hint="eastAsia" w:ascii="宋体" w:hAnsi="宋体"/>
          <w:sz w:val="21"/>
          <w:szCs w:val="21"/>
        </w:rPr>
        <w:t xml:space="preserve">苏州高新区邓尉路105号狮山科技馆</w:t>
      </w:r>
      <w:r>
        <w:rPr>
          <w:rFonts w:hint="eastAsia" w:ascii="宋体" w:hAnsi="宋体"/>
          <w:sz w:val="21"/>
          <w:szCs w:val="21"/>
          <w:lang w:val="en-US" w:eastAsia="zh-CN"/>
        </w:rPr>
        <w:t xml:space="preserve">7</w:t>
      </w:r>
      <w:r>
        <w:rPr>
          <w:rFonts w:hint="eastAsia" w:ascii="宋体" w:hAnsi="宋体"/>
          <w:sz w:val="21"/>
          <w:szCs w:val="21"/>
        </w:rPr>
        <w:t xml:space="preserve">楼</w:t>
      </w:r>
      <w:r>
        <w:rPr>
          <w:rFonts w:hint="eastAsia" w:ascii="宋体" w:hAnsi="宋体"/>
          <w:sz w:val="21"/>
          <w:szCs w:val="21"/>
          <w:lang w:val="en-US" w:eastAsia="zh-CN"/>
        </w:rPr>
        <w:t xml:space="preserve">710室。</w:t>
      </w:r>
      <w:bookmarkStart w:id="113" w:name="_GoBack"/>
      <w:r/>
      <w:bookmarkEnd w:id="113"/>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样品接收联系人：</w:t>
      </w:r>
      <w:r>
        <w:rPr>
          <w:rFonts w:hint="eastAsia" w:ascii="宋体" w:hAnsi="宋体" w:cs="Times New Roman"/>
          <w:sz w:val="21"/>
          <w:szCs w:val="21"/>
        </w:rPr>
        <w:t xml:space="preserve">朱工</w:t>
      </w:r>
      <w:r>
        <w:rPr>
          <w:rFonts w:ascii="宋体" w:hAnsi="宋体" w:cs="Times New Roman"/>
          <w:sz w:val="21"/>
          <w:szCs w:val="21"/>
        </w:rPr>
        <w:t xml:space="preserve">；联系电话：</w:t>
      </w:r>
      <w:r>
        <w:rPr>
          <w:rFonts w:hint="eastAsia" w:ascii="宋体" w:hAnsi="宋体" w:cs="Times New Roman"/>
          <w:sz w:val="21"/>
          <w:szCs w:val="21"/>
        </w:rPr>
        <w:t xml:space="preserve">0</w:t>
      </w:r>
      <w:r>
        <w:rPr>
          <w:rFonts w:ascii="宋体" w:hAnsi="宋体" w:cs="Times New Roman"/>
          <w:sz w:val="21"/>
          <w:szCs w:val="21"/>
        </w:rPr>
        <w:t xml:space="preserve">512-69820</w:t>
      </w:r>
      <w:r>
        <w:rPr>
          <w:rFonts w:hint="eastAsia" w:ascii="宋体" w:hAnsi="宋体" w:cs="Times New Roman"/>
          <w:sz w:val="21"/>
          <w:szCs w:val="21"/>
        </w:rPr>
        <w:t xml:space="preserve">691</w:t>
      </w:r>
      <w:r>
        <w:rPr>
          <w:rFonts w:ascii="宋体" w:hAnsi="宋体" w:cs="Times New Roman"/>
          <w:sz w:val="21"/>
          <w:szCs w:val="21"/>
        </w:rPr>
        <w:t xml:space="preserve">  。</w:t>
      </w:r>
      <w:r/>
    </w:p>
    <w:p>
      <w:pPr>
        <w:ind w:left="0" w:firstLine="422"/>
        <w:spacing w:line="360" w:lineRule="auto"/>
        <w:widowControl w:val="off"/>
        <w:rPr>
          <w:rFonts w:ascii="宋体" w:hAnsi="宋体" w:cs="Times New Roman"/>
          <w:b/>
          <w:bCs/>
          <w:sz w:val="21"/>
          <w:szCs w:val="21"/>
        </w:rPr>
      </w:pPr>
      <w:r>
        <w:rPr>
          <w:rFonts w:hint="eastAsia" w:ascii="宋体" w:hAnsi="宋体" w:cs="Times New Roman"/>
          <w:b/>
          <w:bCs/>
          <w:sz w:val="21"/>
          <w:szCs w:val="21"/>
        </w:rPr>
        <w:t xml:space="preserve">3、投标供应商将样品在样品接收截止时间前送至出样地点。评审结束前，供应商不要离开现场，直至样品取回。</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4、投标供应商按照采购文件项目需求中的技术要求制作样品。</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5、中标后，中标单位的样品将封存给采购单位作为最终的验收依据之一。</w:t>
      </w:r>
      <w:r/>
    </w:p>
    <w:p>
      <w:pPr>
        <w:ind w:left="0" w:firstLine="420"/>
        <w:spacing w:line="360" w:lineRule="auto"/>
        <w:widowControl w:val="off"/>
        <w:rPr>
          <w:rFonts w:ascii="宋体" w:hAnsi="宋体" w:cs="Times New Roman"/>
          <w:sz w:val="21"/>
          <w:szCs w:val="21"/>
        </w:rPr>
      </w:pPr>
      <w:r>
        <w:rPr>
          <w:rFonts w:hint="eastAsia" w:ascii="宋体" w:hAnsi="宋体"/>
          <w:sz w:val="21"/>
          <w:szCs w:val="21"/>
        </w:rPr>
        <w:t xml:space="preserve">6、</w:t>
      </w:r>
      <w:r>
        <w:rPr>
          <w:rFonts w:hint="eastAsia" w:ascii="宋体" w:hAnsi="宋体"/>
          <w:b/>
          <w:bCs/>
          <w:sz w:val="21"/>
          <w:szCs w:val="21"/>
        </w:rPr>
        <w:t xml:space="preserve">投标供应商提交样品时须携带授权委托书（见附件13），未提供授权委托书现场将拒绝接受样品。</w:t>
      </w:r>
      <w:r/>
    </w:p>
    <w:p>
      <w:pPr>
        <w:ind w:left="0" w:firstLine="400"/>
        <w:spacing w:line="360" w:lineRule="auto"/>
      </w:pPr>
      <w:r/>
      <w:r/>
    </w:p>
    <w:p>
      <w:pPr>
        <w:ind w:left="0" w:firstLine="422"/>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商务要求（适用于全部包）：</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（一）交付时间</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签订合同后60日历天内将货物送达指定地点。</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（二）交付地点</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以具体签署的采购合同中货物交付地点为准。</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（三）履约保证金（函）</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自合同签订之日起7个工作日内，乙方向甲方缴纳合同总金额5%的履约保证金（或金融机构出具的独立保函，该保</w:t>
      </w:r>
      <w:r>
        <w:rPr>
          <w:rFonts w:hint="eastAsia" w:asciiTheme="minorEastAsia" w:hAnsiTheme="minorEastAsia" w:eastAsiaTheme="minorEastAsia" w:cstheme="minorEastAsia"/>
          <w:sz w:val="21"/>
          <w:szCs w:val="21"/>
        </w:rPr>
        <w:t xml:space="preserve">函需载明：（1）见索即付；（2）收到甲方法定代表人或授权委托代理人签字确认并加盖公章的书面索赔通知后即应不争辩、不挑剔、不可撤销地向甲方支付索赔款，直至最高担保金额；（3）有效期为保函开具之日起至验收合格后三十个工作日为止；（4）担保金额为合同金额的5%）。如乙方提供的保函未载明前述内容的，甲方可以拒收该保函，并要求乙方以银行转账的方式提供履约保证金。合同履行完毕且在乙方无违约情形或无其它甲方有权扣除时，履约保证金将在合同履行完毕后1个月内全额（无息）退回。若甲方超期未退还，则按照银行同期贷款利率支付利息。</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 付款条件（进度和方式）</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甲方在收到履约保证金（函）后，30天内向乙方支付合同总金额30%的价款。乙方按照合同约定交货，经甲方对合同中所有装备到货验收合格（甲方签署到货验收合格报告），凭乙方等额有效发票及甲方签署验收合格报告，甲方在30天内向乙方支付至合同金额的100%。</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 售后服务要求</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（1）乙方应按采购文件规定的货物性能、技术要求、质量标准向甲方提供未经使用的近六个月生产的全新产品。</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（2）中标人须负责送货上门及安装调试、使用培训。过程中的全部运输、装卸、保管等均由中标人负责。</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（3）质量保证期：从验收合格后三十六个月（双方签署验收报告时起算）。抗醇性水成膜泡沫灭火剂保质期≥2年。</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（4）响应时间：质保期内，中标人必须在接到报修电话后8小时内响应，24小时内到达现场免费维修，24小时内修复。如 24小时内无法修复的，必须全免费提供不低于故障产品规格型号档次的备用产品（或采用应急措施）供招标人临时使用，不得影响招标人的正常工作，直到故障产品修复。中标人对所有设备实行终身维护，保修期外发生维修只收配件、材料及维修期人工工时费。</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中标人须提供全天候7×24的售后服务，中标人提供统一的售后服务受理电话，在投标文件中明确售后服务受理电话号码及专门为招标人服务的客户服务经理姓名、电话。中标人应免费为招标人培训使用及维护人员，确保招标人使用人员能正确使用、维护保养。</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（6）所投产品如有备品备件，投标人须编制质保期后三年内必须的备品备件报价表。</w:t>
      </w:r>
      <w:r/>
    </w:p>
    <w:p>
      <w:pPr>
        <w:ind w:left="0" w:firstLine="420"/>
        <w:spacing w:line="360" w:lineRule="auto"/>
        <w:rPr>
          <w:rFonts w:hint="eastAsia" w:ascii="宋体" w:hAnsi="宋体"/>
          <w:sz w:val="21"/>
        </w:rPr>
      </w:pPr>
      <w:r>
        <w:rPr>
          <w:rFonts w:hint="eastAsia" w:asciiTheme="minorEastAsia" w:hAnsiTheme="minorEastAsia" w:eastAsiaTheme="minorEastAsia" w:cstheme="minorEastAsia"/>
          <w:sz w:val="21"/>
          <w:szCs w:val="21"/>
          <w:lang w:val="en-US" w:eastAsia="zh-CN"/>
        </w:rPr>
        <w:t xml:space="preserve">（四）</w:t>
      </w:r>
      <w:r>
        <w:rPr>
          <w:rFonts w:hint="eastAsia" w:ascii="宋体" w:hAnsi="宋体"/>
          <w:sz w:val="21"/>
        </w:rPr>
        <w:t xml:space="preserve">投标人根据本项目特点，制定下列</w:t>
      </w:r>
      <w:r>
        <w:rPr>
          <w:rFonts w:hint="eastAsia" w:asciiTheme="minorEastAsia" w:hAnsiTheme="minorEastAsia" w:eastAsiaTheme="minorEastAsia" w:cstheme="minorEastAsia"/>
          <w:sz w:val="21"/>
          <w:szCs w:val="21"/>
          <w:lang w:val="en-US" w:eastAsia="zh-CN"/>
        </w:rPr>
        <w:t xml:space="preserve">培训方案</w:t>
      </w:r>
      <w:r>
        <w:rPr>
          <w:rFonts w:hint="eastAsia" w:ascii="宋体" w:hAnsi="宋体"/>
          <w:sz w:val="21"/>
        </w:rPr>
        <w:t xml:space="preserve">。</w:t>
      </w:r>
      <w:r/>
    </w:p>
    <w:p>
      <w:pPr>
        <w:ind w:left="0" w:firstLine="420"/>
        <w:spacing w:line="36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1.培训时间计划及培训人员安排；</w:t>
      </w:r>
      <w:r/>
    </w:p>
    <w:p>
      <w:pPr>
        <w:ind w:left="0" w:firstLine="420"/>
        <w:spacing w:line="36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2.培训内容设计安排；</w:t>
      </w:r>
      <w:r/>
    </w:p>
    <w:p>
      <w:pPr>
        <w:ind w:left="0" w:firstLine="420"/>
        <w:spacing w:line="36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3.重点难点及培训结果保障措施</w:t>
      </w:r>
      <w:r/>
    </w:p>
    <w:p>
      <w:pPr>
        <w:ind w:left="0" w:firstLine="420"/>
        <w:spacing w:line="360" w:lineRule="auto"/>
        <w:rPr>
          <w:rFonts w:hint="eastAsia" w:ascii="宋体" w:hAnsi="宋体"/>
          <w:sz w:val="21"/>
        </w:rPr>
      </w:pPr>
      <w:r>
        <w:rPr>
          <w:rFonts w:hint="eastAsia" w:asciiTheme="minorEastAsia" w:hAnsiTheme="minorEastAsia" w:eastAsiaTheme="minorEastAsia" w:cstheme="minorEastAsia"/>
          <w:sz w:val="21"/>
          <w:szCs w:val="21"/>
          <w:lang w:val="en-US" w:eastAsia="zh-CN"/>
        </w:rPr>
        <w:t xml:space="preserve">（五）</w:t>
      </w:r>
      <w:r>
        <w:rPr>
          <w:rFonts w:hint="eastAsia" w:ascii="宋体" w:hAnsi="宋体"/>
          <w:sz w:val="21"/>
        </w:rPr>
        <w:t xml:space="preserve">投标人根据本项目特点，制定下列</w:t>
      </w:r>
      <w:r>
        <w:rPr>
          <w:rFonts w:hint="eastAsia" w:ascii="宋体" w:hAnsi="宋体"/>
          <w:sz w:val="21"/>
          <w:lang w:val="en-US" w:eastAsia="zh-CN"/>
        </w:rPr>
        <w:t xml:space="preserve">售后服务</w:t>
      </w:r>
      <w:r>
        <w:rPr>
          <w:rFonts w:hint="eastAsia" w:asciiTheme="minorEastAsia" w:hAnsiTheme="minorEastAsia" w:eastAsiaTheme="minorEastAsia" w:cstheme="minorEastAsia"/>
          <w:sz w:val="21"/>
          <w:szCs w:val="21"/>
          <w:lang w:val="en-US" w:eastAsia="zh-CN"/>
        </w:rPr>
        <w:t xml:space="preserve">方案</w:t>
      </w:r>
      <w:r>
        <w:rPr>
          <w:rFonts w:hint="eastAsia" w:ascii="宋体" w:hAnsi="宋体"/>
          <w:sz w:val="21"/>
        </w:rPr>
        <w:t xml:space="preserve">。</w:t>
      </w:r>
      <w:r/>
    </w:p>
    <w:p>
      <w:pPr>
        <w:pStyle w:val="895"/>
        <w:ind w:left="0" w:firstLine="420"/>
        <w:keepLines w:val="0"/>
        <w:keepNext w:val="0"/>
        <w:pageBreakBefore w:val="0"/>
        <w:spacing w:after="0"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1.售后服务机构及人员网点配置；</w:t>
      </w:r>
      <w:r/>
    </w:p>
    <w:p>
      <w:pPr>
        <w:pStyle w:val="895"/>
        <w:ind w:left="0" w:firstLine="420"/>
        <w:keepLines w:val="0"/>
        <w:keepNext w:val="0"/>
        <w:pageBreakBefore w:val="0"/>
        <w:spacing w:after="0"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2.响应时间；</w:t>
      </w:r>
      <w:r/>
    </w:p>
    <w:p>
      <w:pPr>
        <w:pStyle w:val="895"/>
        <w:ind w:left="0" w:firstLine="420"/>
        <w:keepLines w:val="0"/>
        <w:keepNext w:val="0"/>
        <w:pageBreakBefore w:val="0"/>
        <w:spacing w:after="0"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3.零配件供应周期、备货储存、工时费等；</w:t>
      </w:r>
      <w:r/>
    </w:p>
    <w:p>
      <w:pPr>
        <w:pStyle w:val="895"/>
        <w:ind w:left="0" w:firstLine="420"/>
        <w:keepLines w:val="0"/>
        <w:keepNext w:val="0"/>
        <w:pageBreakBefore w:val="0"/>
        <w:spacing w:after="0"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4.定期安排技术人员针对产品的使用环境、使用频率及更新等进行回访、巡检、维护、保养等方案</w:t>
      </w:r>
      <w:r/>
    </w:p>
    <w:p>
      <w:pPr>
        <w:pStyle w:val="895"/>
        <w:ind w:left="0" w:firstLine="420"/>
        <w:keepLines w:val="0"/>
        <w:keepNext w:val="0"/>
        <w:pageBreakBefore w:val="0"/>
        <w:spacing w:after="0" w:line="360" w:lineRule="auto"/>
        <w:widowControl/>
        <w:rPr>
          <w:rFonts w:hint="eastAsia" w:ascii="宋体" w:hAnsi="宋体"/>
          <w:sz w:val="21"/>
        </w:rPr>
      </w:pPr>
      <w:r>
        <w:rPr>
          <w:rFonts w:hint="eastAsia" w:asciiTheme="minorEastAsia" w:hAnsiTheme="minorEastAsia" w:eastAsiaTheme="minorEastAsia" w:cstheme="minorEastAsia"/>
          <w:sz w:val="21"/>
          <w:szCs w:val="21"/>
          <w:lang w:val="en-US" w:eastAsia="zh-CN"/>
        </w:rPr>
        <w:t xml:space="preserve">（六）</w:t>
      </w:r>
      <w:r>
        <w:rPr>
          <w:rFonts w:hint="eastAsia" w:ascii="宋体" w:hAnsi="宋体"/>
          <w:sz w:val="21"/>
        </w:rPr>
        <w:t xml:space="preserve">投标人根据本项目特点，制定下列</w:t>
      </w:r>
      <w:r>
        <w:rPr>
          <w:rFonts w:hint="eastAsia" w:ascii="宋体" w:hAnsi="宋体"/>
          <w:sz w:val="21"/>
          <w:lang w:val="en-US" w:eastAsia="zh-CN"/>
        </w:rPr>
        <w:t xml:space="preserve">供货</w:t>
      </w:r>
      <w:r>
        <w:rPr>
          <w:rFonts w:hint="eastAsia" w:asciiTheme="minorEastAsia" w:hAnsiTheme="minorEastAsia" w:eastAsiaTheme="minorEastAsia" w:cstheme="minorEastAsia"/>
          <w:sz w:val="21"/>
          <w:szCs w:val="21"/>
          <w:lang w:val="en-US" w:eastAsia="zh-CN"/>
        </w:rPr>
        <w:t xml:space="preserve">方案</w:t>
      </w:r>
      <w:r>
        <w:rPr>
          <w:rFonts w:hint="eastAsia" w:ascii="宋体" w:hAnsi="宋体"/>
          <w:sz w:val="21"/>
        </w:rPr>
        <w:t xml:space="preserve">。</w:t>
      </w:r>
      <w:r/>
    </w:p>
    <w:p>
      <w:pPr>
        <w:pStyle w:val="895"/>
        <w:ind w:left="0" w:firstLine="420"/>
        <w:keepLines w:val="0"/>
        <w:keepNext w:val="0"/>
        <w:pageBreakBefore w:val="0"/>
        <w:spacing w:after="0"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1.送货车辆的具体安排；</w:t>
      </w:r>
      <w:r/>
    </w:p>
    <w:p>
      <w:pPr>
        <w:pStyle w:val="895"/>
        <w:ind w:left="0" w:firstLine="420"/>
        <w:keepLines w:val="0"/>
        <w:keepNext w:val="0"/>
        <w:pageBreakBefore w:val="0"/>
        <w:spacing w:after="0"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2.送货人员；</w:t>
      </w:r>
      <w:r/>
    </w:p>
    <w:p>
      <w:pPr>
        <w:pStyle w:val="895"/>
        <w:ind w:left="0" w:firstLine="420"/>
        <w:keepLines w:val="0"/>
        <w:keepNext w:val="0"/>
        <w:pageBreakBefore w:val="0"/>
        <w:spacing w:after="0"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3.卸货人员的配备；</w:t>
      </w:r>
      <w:r/>
    </w:p>
    <w:p>
      <w:pPr>
        <w:pStyle w:val="895"/>
        <w:ind w:left="0" w:firstLine="420"/>
        <w:keepLines w:val="0"/>
        <w:keepNext w:val="0"/>
        <w:pageBreakBefore w:val="0"/>
        <w:spacing w:after="0"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4.卸货辅助设备的配备情况；</w:t>
      </w:r>
      <w:r/>
    </w:p>
    <w:p>
      <w:pPr>
        <w:pStyle w:val="895"/>
        <w:ind w:left="0" w:firstLine="420"/>
        <w:keepLines w:val="0"/>
        <w:keepNext w:val="0"/>
        <w:pageBreakBefore w:val="0"/>
        <w:spacing w:after="0"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5.运输的方案；</w:t>
      </w:r>
      <w:r/>
    </w:p>
    <w:p>
      <w:pPr>
        <w:pStyle w:val="895"/>
        <w:ind w:left="0" w:firstLine="420"/>
        <w:keepLines w:val="0"/>
        <w:keepNext w:val="0"/>
        <w:pageBreakBefore w:val="0"/>
        <w:spacing w:after="0"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6.对现场的防护等内容</w:t>
      </w:r>
      <w:r/>
    </w:p>
    <w:p>
      <w:pPr>
        <w:ind w:left="0" w:firstLine="210"/>
        <w:jc w:val="left"/>
        <w:spacing w:line="360" w:lineRule="auto"/>
        <w:widowControl w:val="off"/>
        <w:tabs>
          <w:tab w:val="left" w:pos="420" w:leader="none"/>
        </w:tabs>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（七）履约验收</w:t>
      </w:r>
      <w:r/>
    </w:p>
    <w:p>
      <w:pPr>
        <w:ind w:left="0" w:firstLine="420"/>
        <w:jc w:val="left"/>
        <w:keepLines w:val="0"/>
        <w:keepNext w:val="0"/>
        <w:pageBreakBefore w:val="0"/>
        <w:spacing w:line="360" w:lineRule="auto"/>
        <w:widowControl w:val="off"/>
        <w:tabs>
          <w:tab w:val="left" w:pos="420" w:leader="none"/>
        </w:tabs>
        <w:rPr>
          <w:rFonts w:ascii="宋体" w:hAnsi="宋体"/>
          <w:sz w:val="21"/>
        </w:rPr>
      </w:pPr>
      <w:r>
        <w:rPr>
          <w:rFonts w:hint="eastAsia" w:ascii="宋体" w:hAnsi="宋体"/>
          <w:sz w:val="21"/>
          <w:lang w:val="en-US" w:eastAsia="zh-CN"/>
        </w:rPr>
        <w:t xml:space="preserve">1.</w:t>
      </w:r>
      <w:r>
        <w:rPr>
          <w:rFonts w:hint="eastAsia" w:ascii="宋体" w:hAnsi="宋体"/>
          <w:sz w:val="21"/>
        </w:rPr>
        <w:t xml:space="preserve">采购人将根据《江苏省财政厅关于印发&lt;江苏省政府采购履约验收管理办法&gt;的通知》(苏财规(2024)7号)相关要求，组织项目履约验收基本工作。</w:t>
      </w:r>
      <w:r/>
    </w:p>
    <w:p>
      <w:pPr>
        <w:ind w:left="0" w:firstLine="420"/>
        <w:jc w:val="left"/>
        <w:keepLines w:val="0"/>
        <w:keepNext w:val="0"/>
        <w:pageBreakBefore w:val="0"/>
        <w:spacing w:line="360" w:lineRule="auto"/>
        <w:widowControl w:val="off"/>
        <w:tabs>
          <w:tab w:val="left" w:pos="420" w:leader="none"/>
        </w:tabs>
        <w:rPr>
          <w:rFonts w:hint="eastAsia" w:ascii="宋体" w:hAnsi="宋体"/>
          <w:sz w:val="21"/>
        </w:rPr>
      </w:pPr>
      <w:r>
        <w:rPr>
          <w:rFonts w:hint="eastAsia" w:ascii="宋体" w:hAnsi="宋体"/>
          <w:sz w:val="21"/>
          <w:lang w:val="en-US" w:eastAsia="zh-CN"/>
        </w:rPr>
        <w:t xml:space="preserve">2.</w:t>
      </w:r>
      <w:r>
        <w:rPr>
          <w:rFonts w:hint="eastAsia" w:ascii="宋体" w:hAnsi="宋体"/>
          <w:sz w:val="21"/>
        </w:rPr>
        <w:t xml:space="preserve">采购文件、投标文件、政府采购合同等是履约验收工作的重要依据。在政府采购合同约定的履行验收条件达到时，中标供应商可以主动联系采购人启动履约验收工作。</w:t>
      </w:r>
      <w:r/>
    </w:p>
    <w:p>
      <w:pPr>
        <w:ind w:left="0" w:firstLine="420"/>
        <w:jc w:val="left"/>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sz w:val="21"/>
          <w:szCs w:val="21"/>
          <w:lang w:val="en-US" w:eastAsia="zh-CN"/>
        </w:rPr>
      </w:pPr>
      <w:r>
        <w:rPr>
          <w:rFonts w:hint="eastAsia" w:ascii="宋体" w:hAnsi="宋体"/>
          <w:sz w:val="21"/>
          <w:lang w:val="en-US" w:eastAsia="zh-CN"/>
        </w:rPr>
        <w:t xml:space="preserve">3.</w:t>
      </w:r>
      <w:r>
        <w:rPr>
          <w:rFonts w:hint="eastAsia" w:ascii="宋体" w:hAnsi="宋体"/>
          <w:bCs/>
          <w:color w:val="000000"/>
          <w:sz w:val="21"/>
          <w:szCs w:val="21"/>
          <w14:ligatures w14:val="standardContextual"/>
        </w:rPr>
        <w:t xml:space="preserve">采购单位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rPr>
          <w:b/>
          <w:bCs/>
          <w:sz w:val="21"/>
          <w:szCs w:val="21"/>
        </w:rPr>
      </w:pPr>
      <w:r>
        <w:rPr>
          <w:b/>
          <w:bCs/>
          <w:sz w:val="21"/>
          <w:szCs w:val="21"/>
        </w:rPr>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七、综合说明</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0" w:leader="none"/>
        </w:tabs>
        <w:rPr>
          <w:rFonts w:ascii="宋体" w:hAnsi="宋体"/>
          <w:sz w:val="21"/>
        </w:rPr>
      </w:pPr>
      <w:r>
        <w:rPr>
          <w:rFonts w:hint="eastAsia" w:ascii="宋体" w:hAnsi="宋体"/>
          <w:b/>
          <w:bCs/>
          <w:sz w:val="21"/>
        </w:rPr>
        <w:t xml:space="preserve">5、投标消防产品必须符合国家标准；没有国家标准的，必须符合行业标准。依法实行强制性产品认证的消防产品，必须由具有法定资质的认证机构按照国家标准、行业标准的强制性要求认证合格。新研制的尚未制定国家标准、行业标准的消防产品，应当按照国务院产品质量监督部门会同国务院应急管理部门规定的办法，经技术鉴定符合消防安全要求。</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根据《政府采购促进中小企业发展管理办法》（财库〔2020〕46号）、《江苏省财政厅关于进一步加大政府采购支持中小企业力度的通知》（苏财购〔2022〕</w:t>
      </w:r>
      <w:r>
        <w:rPr>
          <w:rFonts w:ascii="宋体" w:hAnsi="宋体"/>
          <w:sz w:val="21"/>
        </w:rPr>
        <w:t xml:space="preserve">45</w:t>
      </w:r>
      <w:r>
        <w:rPr>
          <w:rFonts w:hint="eastAsia" w:ascii="宋体" w:hAnsi="宋体"/>
          <w:sz w:val="21"/>
        </w:rPr>
        <w:t xml:space="preserve">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根据《政府采购促进中小企业发展管理办法》（财库〔2020〕4</w:t>
      </w:r>
      <w:r>
        <w:rPr>
          <w:rFonts w:hint="eastAsia" w:ascii="Times New Roman" w:hAnsi="Times New Roman" w:cs="Times New Roman"/>
          <w:sz w:val="21"/>
        </w:rPr>
        <w:t xml:space="preserve">6号）及《中小企业划型标准规定》（工信部联企业〔2011〕300号），</w:t>
      </w:r>
      <w:r>
        <w:rPr>
          <w:rFonts w:hint="eastAsia" w:ascii="Times New Roman" w:hAnsi="Times New Roman" w:cs="Times New Roman"/>
          <w:b/>
          <w:sz w:val="21"/>
        </w:rPr>
        <w:t xml:space="preserve">本采购标的对应的中小企业划分标准所属行业为：工业。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839"/>
      </w:p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28"/>
        <w:ind w:left="0" w:firstLine="0"/>
        <w:jc w:val="center"/>
        <w:rPr>
          <w:rFonts w:ascii="宋体" w:hAnsi="宋体"/>
          <w:b/>
          <w:sz w:val="44"/>
          <w:szCs w:val="22"/>
        </w:rPr>
      </w:pPr>
      <w:r/>
      <w:bookmarkStart w:id="97" w:name="_Toc5111"/>
      <w:r/>
      <w:bookmarkStart w:id="98" w:name="_Toc11789"/>
      <w:r/>
      <w:bookmarkStart w:id="99" w:name="_Hlk55741158"/>
      <w:r>
        <w:rPr>
          <w:rFonts w:hint="eastAsia" w:ascii="宋体" w:hAnsi="宋体"/>
          <w:b/>
          <w:sz w:val="44"/>
          <w:szCs w:val="22"/>
        </w:rPr>
        <w:br w:type="page" w:clear="all"/>
      </w:r>
      <w:bookmarkStart w:id="100" w:name="_Toc105397794"/>
      <w:r>
        <w:rPr>
          <w:rFonts w:hint="eastAsia" w:ascii="宋体" w:hAnsi="宋体"/>
          <w:b/>
          <w:sz w:val="44"/>
          <w:szCs w:val="22"/>
        </w:rPr>
        <w:t xml:space="preserve">第五章  </w:t>
      </w:r>
      <w:bookmarkStart w:id="101" w:name="合同的特殊条款"/>
      <w:r/>
      <w:bookmarkEnd w:id="101"/>
      <w:r>
        <w:rPr>
          <w:rFonts w:hint="eastAsia" w:ascii="宋体" w:hAnsi="宋体"/>
          <w:b/>
          <w:sz w:val="44"/>
          <w:szCs w:val="22"/>
        </w:rPr>
        <w:t xml:space="preserve">合同及主要条款</w:t>
      </w:r>
      <w:bookmarkEnd w:id="97"/>
      <w:r/>
      <w:bookmarkEnd w:id="98"/>
      <w:r/>
      <w:bookmarkEnd w:id="100"/>
      <w:r/>
      <w:bookmarkEnd w:id="99"/>
      <w:r/>
    </w:p>
    <w:p>
      <w:pPr>
        <w:ind w:left="0"/>
        <w:jc w:val="center"/>
        <w:spacing w:line="360" w:lineRule="auto"/>
        <w:widowControl w:val="off"/>
        <w:rPr>
          <w:rFonts w:ascii="宋体" w:hAnsi="宋体"/>
          <w:sz w:val="21"/>
          <w:szCs w:val="21"/>
        </w:rPr>
      </w:pPr>
      <w:r/>
      <w:bookmarkStart w:id="102" w:name="_Toc27667"/>
      <w:r/>
      <w:bookmarkStart w:id="103" w:name="_Toc57376410"/>
      <w:r/>
      <w:bookmarkStart w:id="104" w:name="_Toc8564"/>
      <w:r>
        <w:rPr>
          <w:rFonts w:hint="eastAsia" w:ascii="宋体" w:hAnsi="宋体"/>
          <w:b/>
          <w:sz w:val="32"/>
          <w:szCs w:val="32"/>
        </w:rPr>
        <w:t xml:space="preserve">采购合同</w:t>
      </w:r>
      <w:r/>
    </w:p>
    <w:p>
      <w:pPr>
        <w:ind w:left="0"/>
        <w:spacing w:line="360" w:lineRule="auto"/>
        <w:widowControl w:val="off"/>
        <w:rPr>
          <w:rFonts w:ascii="宋体" w:hAnsi="宋体"/>
          <w:sz w:val="22"/>
          <w:szCs w:val="22"/>
        </w:rPr>
      </w:pPr>
      <w:r>
        <w:rPr>
          <w:rFonts w:hint="eastAsia" w:ascii="宋体" w:hAnsi="宋体"/>
          <w:sz w:val="22"/>
          <w:szCs w:val="22"/>
        </w:rPr>
        <w:t xml:space="preserve">甲方：</w:t>
      </w:r>
      <w:r/>
    </w:p>
    <w:p>
      <w:pPr>
        <w:ind w:left="0"/>
        <w:spacing w:line="360" w:lineRule="auto"/>
        <w:widowControl w:val="off"/>
        <w:rPr>
          <w:rFonts w:ascii="宋体" w:hAnsi="宋体"/>
          <w:sz w:val="22"/>
          <w:szCs w:val="22"/>
        </w:rPr>
      </w:pPr>
      <w:r>
        <w:rPr>
          <w:rFonts w:hint="eastAsia" w:ascii="宋体" w:hAnsi="宋体"/>
          <w:sz w:val="22"/>
          <w:szCs w:val="22"/>
        </w:rPr>
        <w:t xml:space="preserve">乙方：</w:t>
      </w:r>
      <w:r/>
    </w:p>
    <w:p>
      <w:pPr>
        <w:ind w:left="0" w:firstLine="440"/>
        <w:spacing w:line="360" w:lineRule="auto"/>
        <w:widowControl w:val="off"/>
        <w:rPr>
          <w:rFonts w:ascii="宋体" w:hAnsi="宋体"/>
          <w:sz w:val="22"/>
          <w:szCs w:val="22"/>
        </w:rPr>
      </w:pPr>
      <w:r>
        <w:rPr>
          <w:rFonts w:hint="eastAsia" w:ascii="宋体" w:hAnsi="宋体"/>
          <w:sz w:val="22"/>
          <w:szCs w:val="22"/>
        </w:rPr>
        <w:t xml:space="preserve">根据《中华人民共和国政府采购法》《中华人民共和国民法典》等法律、法规和相关规定，通过（招标编号：</w:t>
      </w:r>
      <w:r>
        <w:rPr>
          <w:rFonts w:hint="eastAsia" w:ascii="宋体" w:hAnsi="宋体"/>
          <w:sz w:val="22"/>
          <w:szCs w:val="22"/>
          <w:u w:val="single"/>
        </w:rPr>
        <w:t xml:space="preserve">       </w:t>
      </w:r>
      <w:r>
        <w:rPr>
          <w:rFonts w:hint="eastAsia" w:ascii="宋体" w:hAnsi="宋体"/>
          <w:sz w:val="22"/>
          <w:szCs w:val="22"/>
        </w:rPr>
        <w:t xml:space="preserve">）的招标并经评审专家评定，确定为中标单位。甲方与乙方经友好商，在平等自愿、诚实守信的原则下，同意按照下面条款签属本合同。</w:t>
      </w:r>
      <w:r/>
    </w:p>
    <w:p>
      <w:pPr>
        <w:ind w:left="0" w:firstLine="440"/>
        <w:spacing w:line="360" w:lineRule="auto"/>
        <w:widowControl w:val="off"/>
        <w:rPr>
          <w:rFonts w:ascii="宋体" w:hAnsi="宋体"/>
          <w:sz w:val="22"/>
          <w:szCs w:val="22"/>
        </w:rPr>
      </w:pPr>
      <w:r>
        <w:rPr>
          <w:rFonts w:hint="eastAsia" w:ascii="宋体" w:hAnsi="宋体"/>
          <w:sz w:val="22"/>
          <w:szCs w:val="22"/>
        </w:rPr>
        <w:t xml:space="preserve">一、合同文件及优先解释顺序</w:t>
      </w:r>
      <w:r/>
    </w:p>
    <w:p>
      <w:pPr>
        <w:ind w:left="0" w:firstLine="440"/>
        <w:spacing w:line="360" w:lineRule="auto"/>
        <w:widowControl w:val="off"/>
        <w:rPr>
          <w:rFonts w:ascii="宋体" w:hAnsi="宋体"/>
          <w:sz w:val="22"/>
          <w:szCs w:val="22"/>
        </w:rPr>
      </w:pPr>
      <w:r>
        <w:rPr>
          <w:rFonts w:hint="eastAsia" w:ascii="宋体" w:hAnsi="宋体"/>
          <w:sz w:val="22"/>
          <w:szCs w:val="22"/>
        </w:rPr>
        <w:t xml:space="preserve">1.1 本合同由下列文件共同构成并视为一个整体，彼此相互解释，相互补充。各合同构成文件的优先解释顺序如下：</w:t>
      </w:r>
      <w:r/>
    </w:p>
    <w:p>
      <w:pPr>
        <w:ind w:left="0" w:firstLine="440"/>
        <w:spacing w:line="360" w:lineRule="auto"/>
        <w:widowControl w:val="off"/>
        <w:rPr>
          <w:rFonts w:ascii="宋体" w:hAnsi="宋体"/>
          <w:sz w:val="22"/>
          <w:szCs w:val="22"/>
        </w:rPr>
      </w:pPr>
      <w:r>
        <w:rPr>
          <w:rFonts w:hint="eastAsia" w:ascii="宋体" w:hAnsi="宋体"/>
          <w:sz w:val="22"/>
          <w:szCs w:val="22"/>
        </w:rPr>
        <w:t xml:space="preserve">a.合同补充协议（如有）</w:t>
      </w:r>
      <w:r/>
    </w:p>
    <w:p>
      <w:pPr>
        <w:ind w:left="0" w:firstLine="440"/>
        <w:spacing w:line="360" w:lineRule="auto"/>
        <w:widowControl w:val="off"/>
        <w:rPr>
          <w:rFonts w:ascii="宋体" w:hAnsi="宋体"/>
          <w:sz w:val="22"/>
          <w:szCs w:val="22"/>
        </w:rPr>
      </w:pPr>
      <w:r>
        <w:rPr>
          <w:rFonts w:hint="eastAsia" w:ascii="宋体" w:hAnsi="宋体"/>
          <w:sz w:val="22"/>
          <w:szCs w:val="22"/>
        </w:rPr>
        <w:t xml:space="preserve">b.本合同文本；</w:t>
      </w:r>
      <w:r/>
    </w:p>
    <w:p>
      <w:pPr>
        <w:ind w:left="0" w:firstLine="440"/>
        <w:spacing w:line="360" w:lineRule="auto"/>
        <w:widowControl w:val="off"/>
        <w:rPr>
          <w:rFonts w:ascii="宋体" w:hAnsi="宋体"/>
          <w:sz w:val="22"/>
          <w:szCs w:val="22"/>
        </w:rPr>
      </w:pPr>
      <w:r>
        <w:rPr>
          <w:rFonts w:hint="eastAsia" w:ascii="宋体" w:hAnsi="宋体"/>
          <w:sz w:val="22"/>
          <w:szCs w:val="22"/>
        </w:rPr>
        <w:t xml:space="preserve">c.合同附件（包括：报价明细表；技术协议；列明产品名称型号、详细的中文技术规格书（与投标文件技术偏离表一致）；清晰的外观照片；工具、零备件清单；产品全寿命周期的主要耗损件、易损件及维修费用价格清单（须承诺保证供应且价格合理））；</w:t>
      </w:r>
      <w:r/>
    </w:p>
    <w:p>
      <w:pPr>
        <w:ind w:left="0" w:firstLine="440"/>
        <w:spacing w:line="360" w:lineRule="auto"/>
        <w:widowControl w:val="off"/>
        <w:rPr>
          <w:rFonts w:ascii="宋体" w:hAnsi="宋体"/>
          <w:sz w:val="22"/>
          <w:szCs w:val="22"/>
        </w:rPr>
      </w:pPr>
      <w:r>
        <w:rPr>
          <w:rFonts w:hint="eastAsia" w:ascii="宋体" w:hAnsi="宋体"/>
          <w:sz w:val="22"/>
          <w:szCs w:val="22"/>
        </w:rPr>
        <w:t xml:space="preserve">d. 中标人的投标文件(含澄清文件)；</w:t>
      </w:r>
      <w:r/>
    </w:p>
    <w:p>
      <w:pPr>
        <w:ind w:left="0" w:firstLine="440"/>
        <w:spacing w:line="360" w:lineRule="auto"/>
        <w:widowControl w:val="off"/>
        <w:rPr>
          <w:rFonts w:ascii="宋体" w:hAnsi="宋体"/>
          <w:sz w:val="22"/>
          <w:szCs w:val="22"/>
        </w:rPr>
      </w:pPr>
      <w:r>
        <w:rPr>
          <w:rFonts w:hint="eastAsia" w:ascii="宋体" w:hAnsi="宋体"/>
          <w:sz w:val="22"/>
          <w:szCs w:val="22"/>
        </w:rPr>
        <w:t xml:space="preserve">e. 本项目招标文件（含招标文件补充通知、澄清文件）。</w:t>
      </w:r>
      <w:r/>
    </w:p>
    <w:p>
      <w:pPr>
        <w:ind w:left="0" w:firstLine="440"/>
        <w:spacing w:line="360" w:lineRule="auto"/>
        <w:widowControl w:val="off"/>
        <w:rPr>
          <w:rFonts w:ascii="宋体" w:hAnsi="宋体"/>
          <w:sz w:val="22"/>
          <w:szCs w:val="22"/>
        </w:rPr>
      </w:pPr>
      <w:r>
        <w:rPr>
          <w:rFonts w:hint="eastAsia" w:ascii="宋体" w:hAnsi="宋体"/>
          <w:sz w:val="22"/>
          <w:szCs w:val="22"/>
        </w:rPr>
        <w:t xml:space="preserve">1.2 本项目合同按照招标文件要求和中标人投标文件中的承诺进行签订。对于同一事项在中标人投标文件中的承诺优于招标文件要求的，或招标文件中未提出明确要求的事项，均以中标人投标文件内容为准。</w:t>
      </w:r>
      <w:r>
        <w:rPr>
          <w:rFonts w:hint="eastAsia" w:ascii="宋体" w:hAnsi="宋体"/>
          <w:b/>
          <w:sz w:val="22"/>
          <w:szCs w:val="22"/>
        </w:rPr>
        <w:t xml:space="preserve">对于招标文件中提出明确要求，但中标人投标文件中不满足或不一致的相关内容，按如下原则处理：若中标人投标文件商务偏离表和技术偏离表中明确表示无偏离、或未明确提出偏离的，均以招标文件要求为准，否则以中标人投标文件内容为准。</w:t>
      </w:r>
      <w:r/>
    </w:p>
    <w:p>
      <w:pPr>
        <w:ind w:left="0" w:firstLine="440"/>
        <w:spacing w:line="360" w:lineRule="auto"/>
        <w:widowControl w:val="off"/>
        <w:rPr>
          <w:rFonts w:ascii="宋体" w:hAnsi="宋体"/>
          <w:sz w:val="22"/>
          <w:szCs w:val="22"/>
        </w:rPr>
      </w:pPr>
      <w:r>
        <w:rPr>
          <w:rFonts w:hint="eastAsia" w:ascii="宋体" w:hAnsi="宋体"/>
          <w:sz w:val="22"/>
          <w:szCs w:val="22"/>
        </w:rPr>
        <w:t xml:space="preserve">1.3 本合同及附件的订立、效力、解释、履行、争议的解决等适用本合同签订时有效的中华人民共和国法律、法规的有关规定。</w:t>
      </w:r>
      <w:r/>
    </w:p>
    <w:p>
      <w:pPr>
        <w:ind w:left="0" w:firstLine="440"/>
        <w:spacing w:line="360" w:lineRule="auto"/>
        <w:widowControl w:val="off"/>
        <w:rPr>
          <w:rFonts w:ascii="宋体" w:hAnsi="宋体"/>
          <w:sz w:val="22"/>
          <w:szCs w:val="22"/>
        </w:rPr>
      </w:pPr>
      <w:r>
        <w:rPr>
          <w:rFonts w:hint="eastAsia" w:ascii="宋体" w:hAnsi="宋体"/>
          <w:sz w:val="22"/>
          <w:szCs w:val="22"/>
        </w:rPr>
        <w:t xml:space="preserve">1.4 在本合同履行期间，因中国法律、法规、政策的变化致使本合同的部分条款相冲突、无效或失去可强制执行效力时，双方同意将密切合作，尽快修改本合同中相冲突或无效或失去强制执行效力的有关条款。</w:t>
      </w:r>
      <w:r/>
    </w:p>
    <w:p>
      <w:pPr>
        <w:ind w:left="0" w:firstLine="440"/>
        <w:spacing w:line="360" w:lineRule="auto"/>
        <w:widowControl w:val="off"/>
        <w:rPr>
          <w:rFonts w:ascii="宋体" w:hAnsi="宋体"/>
          <w:sz w:val="22"/>
          <w:szCs w:val="22"/>
        </w:rPr>
      </w:pPr>
      <w:r>
        <w:rPr>
          <w:rFonts w:ascii="宋体" w:hAnsi="宋体"/>
          <w:sz w:val="22"/>
          <w:szCs w:val="22"/>
        </w:rPr>
      </w:r>
      <w:r/>
    </w:p>
    <w:p>
      <w:pPr>
        <w:ind w:left="0" w:firstLine="440"/>
        <w:spacing w:line="360" w:lineRule="auto"/>
        <w:widowControl w:val="off"/>
        <w:rPr>
          <w:rFonts w:ascii="宋体" w:hAnsi="宋体"/>
          <w:sz w:val="22"/>
          <w:szCs w:val="22"/>
        </w:rPr>
      </w:pPr>
      <w:r>
        <w:rPr>
          <w:rFonts w:hint="eastAsia" w:ascii="宋体" w:hAnsi="宋体"/>
          <w:sz w:val="22"/>
          <w:szCs w:val="22"/>
        </w:rPr>
        <w:t xml:space="preserve">二、产品名称、单价</w:t>
      </w:r>
      <w:r/>
    </w:p>
    <w:tbl>
      <w:tblPr>
        <w:tblStyle w:val="83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92"/>
        <w:gridCol w:w="1342"/>
        <w:gridCol w:w="1342"/>
        <w:gridCol w:w="1342"/>
        <w:gridCol w:w="1344"/>
        <w:gridCol w:w="1348"/>
        <w:gridCol w:w="2066"/>
      </w:tblGrid>
      <w:tr>
        <w:trPr>
          <w:jc w:val="center"/>
          <w:trHeight w:val="57"/>
        </w:trPr>
        <w:tc>
          <w:tcPr>
            <w:tcW w:w="641" w:type="pct"/>
            <w:vAlign w:val="center"/>
            <w:textDirection w:val="lrTb"/>
            <w:noWrap w:val="false"/>
          </w:tcPr>
          <w:p>
            <w:pPr>
              <w:ind w:left="0"/>
              <w:jc w:val="center"/>
              <w:widowControl w:val="off"/>
              <w:rPr>
                <w:rFonts w:ascii="宋体" w:hAnsi="宋体"/>
                <w:sz w:val="22"/>
                <w:szCs w:val="22"/>
              </w:rPr>
            </w:pPr>
            <w:r>
              <w:rPr>
                <w:rFonts w:hint="eastAsia" w:ascii="宋体" w:hAnsi="宋体"/>
                <w:sz w:val="22"/>
                <w:szCs w:val="22"/>
              </w:rPr>
              <w:t xml:space="preserve">品名</w:t>
            </w:r>
            <w:r/>
          </w:p>
        </w:tc>
        <w:tc>
          <w:tcPr>
            <w:tcW w:w="666" w:type="pct"/>
            <w:vAlign w:val="center"/>
            <w:textDirection w:val="lrTb"/>
            <w:noWrap w:val="false"/>
          </w:tcPr>
          <w:p>
            <w:pPr>
              <w:ind w:left="0"/>
              <w:jc w:val="center"/>
              <w:widowControl w:val="off"/>
              <w:rPr>
                <w:rFonts w:ascii="宋体" w:hAnsi="宋体"/>
                <w:sz w:val="22"/>
                <w:szCs w:val="22"/>
              </w:rPr>
            </w:pPr>
            <w:r>
              <w:rPr>
                <w:rFonts w:hint="eastAsia" w:ascii="宋体" w:hAnsi="宋体"/>
                <w:sz w:val="22"/>
                <w:szCs w:val="22"/>
              </w:rPr>
              <w:t xml:space="preserve">品牌型号</w:t>
            </w:r>
            <w:r/>
          </w:p>
        </w:tc>
        <w:tc>
          <w:tcPr>
            <w:tcW w:w="666" w:type="pct"/>
            <w:vAlign w:val="center"/>
            <w:textDirection w:val="lrTb"/>
            <w:noWrap w:val="false"/>
          </w:tcPr>
          <w:p>
            <w:pPr>
              <w:ind w:left="0"/>
              <w:jc w:val="center"/>
              <w:widowControl w:val="off"/>
              <w:rPr>
                <w:rFonts w:ascii="宋体" w:hAnsi="宋体"/>
                <w:sz w:val="22"/>
                <w:szCs w:val="22"/>
              </w:rPr>
            </w:pPr>
            <w:r>
              <w:rPr>
                <w:rFonts w:hint="eastAsia" w:ascii="宋体" w:hAnsi="宋体"/>
                <w:sz w:val="22"/>
                <w:szCs w:val="22"/>
              </w:rPr>
              <w:t xml:space="preserve">单位</w:t>
            </w:r>
            <w:r/>
          </w:p>
        </w:tc>
        <w:tc>
          <w:tcPr>
            <w:tcW w:w="666" w:type="pct"/>
            <w:vAlign w:val="center"/>
            <w:textDirection w:val="lrTb"/>
            <w:noWrap w:val="false"/>
          </w:tcPr>
          <w:p>
            <w:pPr>
              <w:ind w:left="0"/>
              <w:jc w:val="center"/>
              <w:widowControl w:val="off"/>
              <w:rPr>
                <w:rFonts w:ascii="宋体" w:hAnsi="宋体"/>
                <w:sz w:val="22"/>
                <w:szCs w:val="22"/>
              </w:rPr>
            </w:pPr>
            <w:r>
              <w:rPr>
                <w:rFonts w:hint="eastAsia" w:ascii="宋体" w:hAnsi="宋体"/>
                <w:sz w:val="22"/>
                <w:szCs w:val="22"/>
              </w:rPr>
              <w:t xml:space="preserve">数量</w:t>
            </w:r>
            <w:r/>
          </w:p>
        </w:tc>
        <w:tc>
          <w:tcPr>
            <w:tcW w:w="667" w:type="pct"/>
            <w:vAlign w:val="center"/>
            <w:textDirection w:val="lrTb"/>
            <w:noWrap w:val="false"/>
          </w:tcPr>
          <w:p>
            <w:pPr>
              <w:ind w:left="0"/>
              <w:jc w:val="center"/>
              <w:widowControl w:val="off"/>
              <w:rPr>
                <w:rFonts w:ascii="宋体" w:hAnsi="宋体"/>
                <w:sz w:val="22"/>
                <w:szCs w:val="22"/>
              </w:rPr>
            </w:pPr>
            <w:r>
              <w:rPr>
                <w:rFonts w:hint="eastAsia" w:ascii="宋体" w:hAnsi="宋体"/>
                <w:sz w:val="22"/>
                <w:szCs w:val="22"/>
              </w:rPr>
              <w:t xml:space="preserve">单价（元）</w:t>
            </w:r>
            <w:r/>
          </w:p>
        </w:tc>
        <w:tc>
          <w:tcPr>
            <w:tcW w:w="669" w:type="pct"/>
            <w:vAlign w:val="center"/>
            <w:textDirection w:val="lrTb"/>
            <w:noWrap w:val="false"/>
          </w:tcPr>
          <w:p>
            <w:pPr>
              <w:ind w:left="0"/>
              <w:jc w:val="center"/>
              <w:widowControl w:val="off"/>
              <w:rPr>
                <w:rFonts w:ascii="宋体" w:hAnsi="宋体"/>
                <w:sz w:val="22"/>
                <w:szCs w:val="22"/>
              </w:rPr>
            </w:pPr>
            <w:r>
              <w:rPr>
                <w:rFonts w:hint="eastAsia" w:ascii="宋体" w:hAnsi="宋体"/>
                <w:sz w:val="22"/>
                <w:szCs w:val="22"/>
              </w:rPr>
              <w:t xml:space="preserve">合计</w:t>
            </w:r>
            <w:r/>
          </w:p>
          <w:p>
            <w:pPr>
              <w:ind w:left="0"/>
              <w:jc w:val="center"/>
              <w:widowControl w:val="off"/>
              <w:rPr>
                <w:rFonts w:ascii="宋体" w:hAnsi="宋体"/>
                <w:sz w:val="22"/>
                <w:szCs w:val="22"/>
              </w:rPr>
            </w:pPr>
            <w:r>
              <w:rPr>
                <w:rFonts w:hint="eastAsia" w:ascii="宋体" w:hAnsi="宋体"/>
                <w:sz w:val="22"/>
                <w:szCs w:val="22"/>
              </w:rPr>
              <w:t xml:space="preserve">（元）</w:t>
            </w:r>
            <w:r/>
          </w:p>
        </w:tc>
        <w:tc>
          <w:tcPr>
            <w:tcW w:w="1025" w:type="pct"/>
            <w:vAlign w:val="center"/>
            <w:textDirection w:val="lrTb"/>
            <w:noWrap w:val="false"/>
          </w:tcPr>
          <w:p>
            <w:pPr>
              <w:ind w:left="0"/>
              <w:jc w:val="center"/>
              <w:widowControl w:val="off"/>
              <w:rPr>
                <w:rFonts w:ascii="宋体" w:hAnsi="宋体"/>
                <w:sz w:val="22"/>
                <w:szCs w:val="22"/>
              </w:rPr>
            </w:pPr>
            <w:r>
              <w:rPr>
                <w:rFonts w:hint="eastAsia" w:ascii="宋体" w:hAnsi="宋体"/>
                <w:sz w:val="22"/>
                <w:szCs w:val="22"/>
              </w:rPr>
              <w:t xml:space="preserve">备注</w:t>
            </w:r>
            <w:r/>
          </w:p>
        </w:tc>
      </w:tr>
      <w:tr>
        <w:trPr>
          <w:jc w:val="center"/>
          <w:trHeight w:val="964"/>
        </w:trPr>
        <w:tc>
          <w:tcPr>
            <w:tcW w:w="641"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7"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9"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1025" w:type="pct"/>
            <w:vAlign w:val="center"/>
            <w:vMerge w:val="restart"/>
            <w:textDirection w:val="lrTb"/>
            <w:noWrap w:val="false"/>
          </w:tcPr>
          <w:p>
            <w:pPr>
              <w:ind w:left="0"/>
              <w:widowControl w:val="off"/>
              <w:rPr>
                <w:rFonts w:ascii="宋体" w:hAnsi="宋体"/>
                <w:sz w:val="22"/>
                <w:szCs w:val="22"/>
              </w:rPr>
            </w:pPr>
            <w:r>
              <w:rPr>
                <w:rFonts w:hint="eastAsia" w:ascii="宋体" w:hAnsi="宋体"/>
                <w:sz w:val="22"/>
                <w:szCs w:val="22"/>
              </w:rPr>
              <w:t xml:space="preserve">（需满足为完成该项目的相关运输、安装、培训、售后服务、维修、更换和质保、检验等所有费用）</w:t>
            </w:r>
            <w:r/>
          </w:p>
          <w:p>
            <w:pPr>
              <w:ind w:left="0"/>
              <w:widowControl w:val="off"/>
              <w:rPr>
                <w:rFonts w:ascii="宋体" w:hAnsi="宋体"/>
                <w:sz w:val="22"/>
                <w:szCs w:val="22"/>
              </w:rPr>
            </w:pPr>
            <w:r>
              <w:rPr>
                <w:rFonts w:hint="eastAsia" w:ascii="宋体" w:hAnsi="宋体"/>
                <w:sz w:val="22"/>
                <w:szCs w:val="22"/>
              </w:rPr>
              <w:t xml:space="preserve">如投标文件中技术条款或商务条款有正偏离，应在合同中进行明确。</w:t>
            </w:r>
            <w:r/>
          </w:p>
        </w:tc>
      </w:tr>
      <w:tr>
        <w:trPr>
          <w:jc w:val="center"/>
          <w:trHeight w:val="964"/>
        </w:trPr>
        <w:tc>
          <w:tcPr>
            <w:tcW w:w="641"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7"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9"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1025" w:type="pct"/>
            <w:vAlign w:val="center"/>
            <w:vMerge w:val="continue"/>
            <w:textDirection w:val="lrTb"/>
            <w:noWrap w:val="false"/>
          </w:tcPr>
          <w:p>
            <w:pPr>
              <w:ind w:left="0"/>
              <w:widowControl w:val="off"/>
              <w:rPr>
                <w:rFonts w:ascii="宋体" w:hAnsi="宋体"/>
                <w:sz w:val="22"/>
                <w:szCs w:val="22"/>
              </w:rPr>
            </w:pPr>
            <w:r>
              <w:rPr>
                <w:rFonts w:ascii="宋体" w:hAnsi="宋体"/>
                <w:sz w:val="22"/>
                <w:szCs w:val="22"/>
              </w:rPr>
            </w:r>
            <w:r/>
          </w:p>
        </w:tc>
      </w:tr>
      <w:tr>
        <w:trPr>
          <w:jc w:val="center"/>
          <w:trHeight w:val="964"/>
        </w:trPr>
        <w:tc>
          <w:tcPr>
            <w:tcW w:w="641"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7"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9"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1025" w:type="pct"/>
            <w:vAlign w:val="center"/>
            <w:vMerge w:val="continue"/>
            <w:textDirection w:val="lrTb"/>
            <w:noWrap w:val="false"/>
          </w:tcPr>
          <w:p>
            <w:pPr>
              <w:ind w:left="0"/>
              <w:widowControl w:val="off"/>
              <w:rPr>
                <w:rFonts w:ascii="宋体" w:hAnsi="宋体"/>
                <w:sz w:val="22"/>
                <w:szCs w:val="22"/>
              </w:rPr>
            </w:pPr>
            <w:r>
              <w:rPr>
                <w:rFonts w:ascii="宋体" w:hAnsi="宋体"/>
                <w:sz w:val="22"/>
                <w:szCs w:val="22"/>
              </w:rPr>
            </w:r>
            <w:r/>
          </w:p>
        </w:tc>
      </w:tr>
    </w:tbl>
    <w:p>
      <w:pPr>
        <w:spacing w:line="360" w:lineRule="auto"/>
        <w:widowControl w:val="off"/>
        <w:rPr>
          <w:rFonts w:ascii="宋体" w:hAnsi="宋体"/>
          <w:sz w:val="22"/>
          <w:szCs w:val="22"/>
        </w:rPr>
      </w:pPr>
      <w:r>
        <w:rPr>
          <w:rFonts w:ascii="宋体" w:hAnsi="宋体"/>
          <w:sz w:val="22"/>
          <w:szCs w:val="22"/>
        </w:rPr>
      </w:r>
      <w:r/>
    </w:p>
    <w:p>
      <w:pPr>
        <w:ind w:left="0" w:firstLine="440"/>
        <w:spacing w:line="360" w:lineRule="auto"/>
        <w:widowControl w:val="off"/>
        <w:rPr>
          <w:rFonts w:ascii="宋体" w:hAnsi="宋体"/>
          <w:sz w:val="22"/>
          <w:szCs w:val="22"/>
        </w:rPr>
      </w:pPr>
      <w:r>
        <w:rPr>
          <w:rFonts w:hint="eastAsia" w:ascii="宋体" w:hAnsi="宋体"/>
          <w:sz w:val="22"/>
          <w:szCs w:val="22"/>
        </w:rPr>
        <w:t xml:space="preserve">三、合同总金额</w:t>
      </w:r>
      <w:r/>
    </w:p>
    <w:p>
      <w:pPr>
        <w:ind w:left="0" w:firstLine="440"/>
        <w:spacing w:line="360" w:lineRule="auto"/>
        <w:widowControl w:val="off"/>
        <w:rPr>
          <w:rFonts w:ascii="宋体" w:hAnsi="宋体"/>
          <w:sz w:val="22"/>
          <w:szCs w:val="22"/>
        </w:rPr>
      </w:pPr>
      <w:r>
        <w:rPr>
          <w:rFonts w:hint="eastAsia" w:ascii="宋体" w:hAnsi="宋体"/>
          <w:sz w:val="22"/>
          <w:szCs w:val="22"/>
        </w:rPr>
        <w:t xml:space="preserve">3.1 本合同金额为（大写）：</w:t>
      </w:r>
      <w:r>
        <w:rPr>
          <w:rFonts w:hint="eastAsia" w:ascii="宋体" w:hAnsi="宋体"/>
          <w:sz w:val="22"/>
          <w:szCs w:val="22"/>
          <w:u w:val="single"/>
        </w:rPr>
        <w:t xml:space="preserve">    </w:t>
      </w:r>
      <w:r>
        <w:rPr>
          <w:rFonts w:hint="eastAsia" w:ascii="宋体" w:hAnsi="宋体"/>
          <w:sz w:val="22"/>
          <w:szCs w:val="22"/>
        </w:rPr>
        <w:t xml:space="preserve">元人民币（¥：</w:t>
      </w:r>
      <w:r>
        <w:rPr>
          <w:rFonts w:hint="eastAsia" w:ascii="宋体" w:hAnsi="宋体"/>
          <w:sz w:val="22"/>
          <w:szCs w:val="22"/>
          <w:u w:val="single"/>
        </w:rPr>
        <w:t xml:space="preserve">    </w:t>
      </w:r>
      <w:r>
        <w:rPr>
          <w:rFonts w:hint="eastAsia" w:ascii="宋体" w:hAnsi="宋体"/>
          <w:sz w:val="22"/>
          <w:szCs w:val="22"/>
        </w:rPr>
        <w:t xml:space="preserve">元）。</w:t>
      </w:r>
      <w:r/>
    </w:p>
    <w:p>
      <w:pPr>
        <w:ind w:left="0" w:firstLine="440"/>
        <w:spacing w:line="360" w:lineRule="auto"/>
        <w:widowControl w:val="off"/>
        <w:rPr>
          <w:rFonts w:ascii="宋体" w:hAnsi="宋体"/>
          <w:sz w:val="22"/>
          <w:szCs w:val="22"/>
        </w:rPr>
      </w:pPr>
      <w:r>
        <w:rPr>
          <w:rFonts w:hint="eastAsia" w:ascii="宋体" w:hAnsi="宋体"/>
          <w:sz w:val="22"/>
          <w:szCs w:val="22"/>
        </w:rPr>
        <w:t xml:space="preserve">3.2本合同总金额为乙方完成本合同项下全部义务（包括但不仅限于产品设计及制造、标准附件、备品备件、专用工具、系统集成、包装、运输、装卸、保险、税金、货到就位以及安装、调试、培训、保修维护等一切税金和费用等）的费用和报酬，除本合同另有约定外，甲方无须支付其他任何费用和款项。</w:t>
      </w:r>
      <w:r/>
    </w:p>
    <w:p>
      <w:pPr>
        <w:ind w:left="0"/>
        <w:spacing w:line="360" w:lineRule="auto"/>
        <w:widowControl w:val="off"/>
        <w:rPr>
          <w:rFonts w:ascii="宋体" w:hAnsi="宋体"/>
          <w:sz w:val="22"/>
          <w:szCs w:val="22"/>
        </w:rPr>
      </w:pPr>
      <w:r>
        <w:rPr>
          <w:rFonts w:ascii="宋体" w:hAnsi="宋体"/>
          <w:sz w:val="22"/>
          <w:szCs w:val="22"/>
        </w:rPr>
      </w:r>
      <w:r/>
    </w:p>
    <w:p>
      <w:pPr>
        <w:ind w:left="0" w:firstLine="440"/>
        <w:spacing w:line="360" w:lineRule="auto"/>
        <w:widowControl w:val="off"/>
        <w:rPr>
          <w:rFonts w:ascii="宋体" w:hAnsi="宋体"/>
          <w:sz w:val="22"/>
          <w:szCs w:val="22"/>
        </w:rPr>
      </w:pPr>
      <w:r>
        <w:rPr>
          <w:rFonts w:hint="eastAsia" w:ascii="宋体" w:hAnsi="宋体"/>
          <w:sz w:val="22"/>
          <w:szCs w:val="22"/>
        </w:rPr>
        <w:t xml:space="preserve">四、质量要求及技术准备</w:t>
      </w:r>
      <w:r/>
    </w:p>
    <w:p>
      <w:pPr>
        <w:ind w:left="0" w:firstLine="440"/>
        <w:spacing w:line="360" w:lineRule="auto"/>
        <w:widowControl w:val="off"/>
        <w:rPr>
          <w:rFonts w:ascii="宋体" w:hAnsi="宋体"/>
          <w:sz w:val="22"/>
          <w:szCs w:val="22"/>
        </w:rPr>
      </w:pPr>
      <w:r>
        <w:rPr>
          <w:rFonts w:hint="eastAsia" w:ascii="宋体" w:hAnsi="宋体"/>
          <w:sz w:val="22"/>
          <w:szCs w:val="22"/>
        </w:rPr>
        <w:t xml:space="preserve">4.1 乙方提供的产品或服务须符合（招标编号：</w:t>
      </w:r>
      <w:r>
        <w:rPr>
          <w:rFonts w:hint="eastAsia" w:ascii="宋体" w:hAnsi="宋体"/>
          <w:sz w:val="22"/>
          <w:szCs w:val="22"/>
          <w:u w:val="single"/>
        </w:rPr>
        <w:t xml:space="preserve">    </w:t>
      </w:r>
      <w:r>
        <w:rPr>
          <w:rFonts w:hint="eastAsia" w:ascii="宋体" w:hAnsi="宋体"/>
          <w:sz w:val="22"/>
          <w:szCs w:val="22"/>
        </w:rPr>
        <w:t xml:space="preserve">）招标文件指定标准及国家标准、行业标准、环保要求（上述标准不一致的，以严格或最新的标准为准），若本合同所涉产品涉及《强制性产品认证管理规定》，则须提供相关证明资料。</w:t>
      </w:r>
      <w:r/>
    </w:p>
    <w:p>
      <w:pPr>
        <w:ind w:left="0" w:firstLine="440"/>
        <w:spacing w:line="360" w:lineRule="auto"/>
        <w:widowControl w:val="off"/>
        <w:rPr>
          <w:rFonts w:ascii="宋体" w:hAnsi="宋体"/>
          <w:sz w:val="22"/>
          <w:szCs w:val="22"/>
        </w:rPr>
      </w:pPr>
      <w:r>
        <w:rPr>
          <w:rFonts w:hint="eastAsia" w:ascii="宋体" w:hAnsi="宋体"/>
          <w:sz w:val="22"/>
          <w:szCs w:val="22"/>
        </w:rPr>
        <w:t xml:space="preserve">4.2 乙方所供装备保证是近六个月内生产的全新的、未使用过的，完全符合合同规定的质量、规格型号和性能要求。保证所提供的装备经正确安装、正常运转和保养，在其使用寿命期内应符合合同约定的性能，并且确保通过各项检验和测试。在装备质量保证期内，乙方应对由于设计、工艺、材料和配套件缺陷所产生的任何不足或故障负责。（如因装备质量缺陷等问题导致甲方消防员或第三方在使用过程中发生伤亡的，由乙方负责一切后果，并承担法律责任）</w:t>
      </w:r>
      <w:r/>
    </w:p>
    <w:p>
      <w:pPr>
        <w:ind w:left="0" w:firstLine="440"/>
        <w:spacing w:line="360" w:lineRule="auto"/>
        <w:widowControl w:val="off"/>
        <w:rPr>
          <w:rFonts w:ascii="宋体" w:hAnsi="宋体"/>
          <w:sz w:val="22"/>
          <w:szCs w:val="22"/>
        </w:rPr>
      </w:pPr>
      <w:r>
        <w:rPr>
          <w:rFonts w:hint="eastAsia" w:ascii="宋体" w:hAnsi="宋体"/>
          <w:sz w:val="22"/>
          <w:szCs w:val="22"/>
        </w:rPr>
        <w:t xml:space="preserve">4.3 乙方除应履行按期按量交付合格装备的义务外，还应当提供下列服务:①装备现场安装、启动、调试；②装备组装和一般维修所必须的工具；③对甲方技术人员的技术指导或培训；④提供装备使用说明、影音视频等资料；⑤投标文件承诺的所有服务。</w:t>
      </w:r>
      <w:r/>
    </w:p>
    <w:p>
      <w:pPr>
        <w:ind w:left="0" w:firstLine="440"/>
        <w:spacing w:line="360" w:lineRule="auto"/>
        <w:widowControl w:val="off"/>
        <w:rPr>
          <w:rFonts w:ascii="宋体" w:hAnsi="宋体"/>
          <w:sz w:val="22"/>
          <w:szCs w:val="22"/>
        </w:rPr>
      </w:pPr>
      <w:r>
        <w:rPr>
          <w:rFonts w:hint="eastAsia" w:ascii="宋体" w:hAnsi="宋体"/>
          <w:sz w:val="22"/>
          <w:szCs w:val="22"/>
        </w:rPr>
        <w:t xml:space="preserve">4.4 根据消防救援局发布的新版装备管理系统要求，乙方须在交货前自行登录装备基础信息采集子系统，按照系统内各类交货装备信息维护要求及赋码标准，录入相关装备信息，生成装备的专属二维码和 RFID 码。交货时须将生成的二维码标签和 RFID 码标签制作成标签固定安装在每件(套)装备上赋码要求：二维码和 RFID 实现二合一(即在一个标签上体现)），实现单件(套)装备的扫码登记功能。</w:t>
      </w:r>
      <w:r/>
    </w:p>
    <w:p>
      <w:pPr>
        <w:ind w:left="0" w:firstLine="440"/>
        <w:spacing w:line="360" w:lineRule="auto"/>
        <w:widowControl w:val="off"/>
        <w:rPr>
          <w:rFonts w:ascii="宋体" w:hAnsi="宋体"/>
          <w:sz w:val="22"/>
          <w:szCs w:val="22"/>
        </w:rPr>
      </w:pPr>
      <w:r>
        <w:rPr>
          <w:rFonts w:hint="eastAsia" w:ascii="宋体" w:hAnsi="宋体"/>
          <w:sz w:val="22"/>
          <w:szCs w:val="22"/>
        </w:rPr>
        <w:t xml:space="preserve">注: 装备基础信息采集子系统为免费注册应用，系统网址 http:/xfzb.119.gov.cn。</w:t>
      </w:r>
      <w:r/>
    </w:p>
    <w:p>
      <w:pPr>
        <w:jc w:val="left"/>
        <w:spacing w:line="360" w:lineRule="auto"/>
        <w:widowControl w:val="off"/>
        <w:rPr>
          <w:rFonts w:ascii="宋体" w:hAnsi="宋体"/>
          <w:sz w:val="22"/>
          <w:szCs w:val="22"/>
        </w:rPr>
      </w:pPr>
      <w:r>
        <w:rPr>
          <w:rFonts w:ascii="宋体" w:hAnsi="宋体"/>
          <w:sz w:val="22"/>
          <w:szCs w:val="22"/>
        </w:rPr>
      </w:r>
      <w:r/>
    </w:p>
    <w:p>
      <w:pPr>
        <w:ind w:left="0" w:firstLine="440"/>
        <w:jc w:val="left"/>
        <w:spacing w:line="360" w:lineRule="auto"/>
        <w:widowControl w:val="off"/>
        <w:rPr>
          <w:rFonts w:ascii="宋体" w:hAnsi="宋体"/>
          <w:sz w:val="22"/>
          <w:szCs w:val="22"/>
        </w:rPr>
      </w:pPr>
      <w:r>
        <w:rPr>
          <w:rFonts w:hint="eastAsia" w:ascii="宋体" w:hAnsi="宋体"/>
          <w:sz w:val="22"/>
          <w:szCs w:val="22"/>
        </w:rPr>
        <w:t xml:space="preserve">五、交付使用时间、交货方式及交货地点</w:t>
      </w:r>
      <w:r/>
    </w:p>
    <w:p>
      <w:pPr>
        <w:ind w:left="0" w:firstLine="440"/>
        <w:spacing w:line="360" w:lineRule="auto"/>
        <w:widowControl w:val="off"/>
        <w:rPr>
          <w:rFonts w:ascii="宋体" w:hAnsi="宋体"/>
          <w:sz w:val="22"/>
          <w:szCs w:val="22"/>
        </w:rPr>
      </w:pPr>
      <w:r>
        <w:rPr>
          <w:rFonts w:hint="eastAsia" w:ascii="宋体" w:hAnsi="宋体"/>
          <w:sz w:val="22"/>
          <w:szCs w:val="22"/>
        </w:rPr>
        <w:t xml:space="preserve">5.1 交付使用时间：</w:t>
      </w:r>
      <w:r>
        <w:rPr>
          <w:rFonts w:hint="eastAsia" w:ascii="宋体" w:hAnsi="宋体"/>
          <w:bCs/>
          <w:sz w:val="22"/>
          <w:szCs w:val="22"/>
        </w:rPr>
        <w:t xml:space="preserve">签订合同后60日历天内将货物送达指定地点。</w:t>
      </w:r>
      <w:r/>
    </w:p>
    <w:p>
      <w:pPr>
        <w:ind w:left="0" w:firstLine="440"/>
        <w:spacing w:line="360" w:lineRule="auto"/>
        <w:widowControl w:val="off"/>
        <w:rPr>
          <w:rFonts w:ascii="宋体" w:hAnsi="宋体"/>
          <w:sz w:val="22"/>
          <w:szCs w:val="22"/>
        </w:rPr>
      </w:pPr>
      <w:r>
        <w:rPr>
          <w:rFonts w:hint="eastAsia" w:ascii="宋体" w:hAnsi="宋体"/>
          <w:sz w:val="22"/>
          <w:szCs w:val="22"/>
        </w:rPr>
        <w:t xml:space="preserve">5.2 交货地点： </w:t>
      </w:r>
      <w:r/>
    </w:p>
    <w:p>
      <w:pPr>
        <w:ind w:left="0" w:firstLine="440"/>
        <w:spacing w:line="360" w:lineRule="auto"/>
        <w:widowControl w:val="off"/>
        <w:rPr>
          <w:rFonts w:ascii="宋体" w:hAnsi="宋体"/>
          <w:sz w:val="22"/>
          <w:szCs w:val="22"/>
        </w:rPr>
      </w:pPr>
      <w:r>
        <w:rPr>
          <w:rFonts w:hint="eastAsia" w:ascii="宋体" w:hAnsi="宋体"/>
          <w:sz w:val="22"/>
          <w:szCs w:val="22"/>
        </w:rPr>
        <w:t xml:space="preserve">5.3 交货方式：由乙方送货上门。交货时甲乙双方均要有人在场负责清点移交。乙方应当按照约定或者交易习惯向甲方交付与产品有关的单证和资料。</w:t>
      </w:r>
      <w:r/>
    </w:p>
    <w:p>
      <w:pPr>
        <w:ind w:left="0"/>
        <w:spacing w:line="360" w:lineRule="auto"/>
        <w:widowControl w:val="off"/>
        <w:rPr>
          <w:rFonts w:ascii="宋体" w:hAnsi="宋体"/>
          <w:sz w:val="22"/>
          <w:szCs w:val="22"/>
        </w:rPr>
      </w:pPr>
      <w:r>
        <w:rPr>
          <w:rFonts w:ascii="宋体" w:hAnsi="宋体"/>
          <w:sz w:val="22"/>
          <w:szCs w:val="22"/>
        </w:rPr>
      </w:r>
      <w:r/>
    </w:p>
    <w:p>
      <w:pPr>
        <w:ind w:left="0" w:firstLine="440"/>
        <w:spacing w:line="360" w:lineRule="auto"/>
        <w:widowControl w:val="off"/>
        <w:rPr>
          <w:rFonts w:ascii="宋体" w:hAnsi="宋体"/>
          <w:sz w:val="22"/>
          <w:szCs w:val="22"/>
        </w:rPr>
      </w:pPr>
      <w:r>
        <w:rPr>
          <w:rFonts w:hint="eastAsia" w:ascii="宋体" w:hAnsi="宋体"/>
          <w:sz w:val="22"/>
          <w:szCs w:val="22"/>
        </w:rPr>
        <w:t xml:space="preserve">六、货款支付</w:t>
      </w:r>
      <w:r/>
    </w:p>
    <w:p>
      <w:pPr>
        <w:ind w:left="0" w:firstLine="440"/>
        <w:spacing w:line="360" w:lineRule="auto"/>
        <w:widowControl w:val="off"/>
        <w:rPr>
          <w:rFonts w:ascii="宋体" w:hAnsi="宋体"/>
          <w:sz w:val="22"/>
          <w:szCs w:val="22"/>
        </w:rPr>
      </w:pPr>
      <w:r>
        <w:rPr>
          <w:rFonts w:hint="eastAsia" w:ascii="宋体" w:hAnsi="宋体"/>
          <w:sz w:val="22"/>
          <w:szCs w:val="22"/>
        </w:rPr>
        <w:t xml:space="preserve">6 付款方式：甲方在收到履约保证金（函）后，30天内向乙方支付合同总金额30%的价款。乙方按照合同约定交货，经甲方对合同中所有装备到货验收合格（甲方签署到货验收合格报告），凭乙方等额有效发票及甲方签署验收合格报告，甲方在30天内向乙方支付至合同金额100%。</w:t>
      </w:r>
      <w:r/>
    </w:p>
    <w:p>
      <w:pPr>
        <w:ind w:left="0"/>
        <w:spacing w:line="360" w:lineRule="auto"/>
        <w:widowControl w:val="off"/>
        <w:rPr>
          <w:rFonts w:ascii="宋体" w:hAnsi="宋体"/>
          <w:sz w:val="22"/>
          <w:szCs w:val="22"/>
        </w:rPr>
      </w:pPr>
      <w:r>
        <w:rPr>
          <w:rFonts w:ascii="宋体" w:hAnsi="宋体"/>
          <w:sz w:val="22"/>
          <w:szCs w:val="22"/>
        </w:rPr>
      </w:r>
      <w:r/>
    </w:p>
    <w:p>
      <w:pPr>
        <w:ind w:left="0" w:firstLine="440"/>
        <w:spacing w:line="360" w:lineRule="auto"/>
        <w:widowControl w:val="off"/>
        <w:rPr>
          <w:rFonts w:ascii="宋体" w:hAnsi="宋体"/>
          <w:sz w:val="22"/>
          <w:szCs w:val="22"/>
        </w:rPr>
      </w:pPr>
      <w:r>
        <w:rPr>
          <w:rFonts w:hint="eastAsia" w:ascii="宋体" w:hAnsi="宋体"/>
          <w:sz w:val="22"/>
          <w:szCs w:val="22"/>
        </w:rPr>
        <w:t xml:space="preserve">七、履约保证金</w:t>
      </w:r>
      <w:r/>
    </w:p>
    <w:p>
      <w:pPr>
        <w:ind w:left="0" w:firstLine="440"/>
        <w:spacing w:line="360" w:lineRule="auto"/>
        <w:widowControl w:val="off"/>
        <w:rPr>
          <w:rFonts w:ascii="宋体" w:hAnsi="宋体"/>
          <w:sz w:val="22"/>
          <w:szCs w:val="24"/>
        </w:rPr>
      </w:pPr>
      <w:r>
        <w:rPr>
          <w:rFonts w:hint="eastAsia" w:ascii="宋体" w:hAnsi="宋体"/>
          <w:sz w:val="22"/>
          <w:szCs w:val="22"/>
        </w:rPr>
        <w:t xml:space="preserve">7.1 </w:t>
      </w:r>
      <w:r>
        <w:rPr>
          <w:rFonts w:hint="eastAsia" w:ascii="宋体" w:hAnsi="宋体"/>
          <w:sz w:val="22"/>
          <w:szCs w:val="24"/>
        </w:rPr>
        <w:t xml:space="preserve">自合同签订之日起7个工作日内，乙方向甲方缴纳合同总金额5%的履约保证金或金融机构出具的独立保函。出具的独立保函需载明：（1）见索即付；（2）收到甲方法定代表人或授权委托代理人签字确认并加盖公章的书面索赔通知后即应不争辩、不挑剔、不可撤销地向甲方支付索赔款，直至最高担保金额；（3）有效期为保函开具之日起至验收合格后三十个工作日为止；（4）担保金额为合同金额的5%），如乙方提供的保函未载明前述内容的，甲方可以拒收该保函，并要求乙方以银行转账的方式提供履约保证金。</w:t>
      </w:r>
      <w:r/>
    </w:p>
    <w:p>
      <w:pPr>
        <w:ind w:left="0" w:firstLine="440"/>
        <w:spacing w:line="360" w:lineRule="auto"/>
        <w:widowControl w:val="off"/>
        <w:rPr>
          <w:rFonts w:ascii="宋体" w:hAnsi="宋体"/>
          <w:sz w:val="22"/>
          <w:szCs w:val="22"/>
        </w:rPr>
      </w:pPr>
      <w:r>
        <w:rPr>
          <w:rFonts w:hint="eastAsia" w:ascii="宋体" w:hAnsi="宋体"/>
          <w:sz w:val="22"/>
          <w:szCs w:val="22"/>
        </w:rPr>
        <w:t xml:space="preserve">7.2 合同履行完毕且在乙方无违约情形或无其它甲方有权扣除时，履约保证金将在合同履行完毕后1个月内全额（无息）退回。若甲方超期未退还，则按照银行同期贷款利率支付利息。</w:t>
      </w:r>
      <w:r/>
    </w:p>
    <w:p>
      <w:pPr>
        <w:ind w:left="0" w:firstLine="440"/>
        <w:spacing w:line="360" w:lineRule="auto"/>
        <w:widowControl w:val="off"/>
        <w:rPr>
          <w:rFonts w:ascii="宋体" w:hAnsi="宋体"/>
          <w:sz w:val="22"/>
          <w:szCs w:val="22"/>
        </w:rPr>
      </w:pPr>
      <w:r>
        <w:rPr>
          <w:rFonts w:hint="eastAsia" w:ascii="宋体" w:hAnsi="宋体"/>
          <w:sz w:val="22"/>
          <w:szCs w:val="22"/>
        </w:rPr>
        <w:t xml:space="preserve">7.3 对于乙方应承担的违约责任/索赔金额，甲方有权直接使用履约保证金进行抵扣或向出具独立保函的金融机构主张索赔。</w:t>
      </w:r>
      <w:r/>
    </w:p>
    <w:p>
      <w:pPr>
        <w:ind w:left="0" w:firstLine="440"/>
        <w:spacing w:line="360" w:lineRule="auto"/>
        <w:widowControl w:val="off"/>
        <w:rPr>
          <w:rFonts w:ascii="宋体" w:hAnsi="宋体"/>
          <w:sz w:val="22"/>
          <w:szCs w:val="22"/>
        </w:rPr>
      </w:pPr>
      <w:r>
        <w:rPr>
          <w:rFonts w:hint="eastAsia" w:ascii="宋体" w:hAnsi="宋体"/>
          <w:sz w:val="22"/>
          <w:szCs w:val="22"/>
        </w:rPr>
        <w:t xml:space="preserve">7.4 乙方应当自履约保证金抵扣发生之日起二日内向甲方补足履约保证金。</w:t>
      </w:r>
      <w:r/>
    </w:p>
    <w:p>
      <w:pPr>
        <w:ind w:left="0"/>
        <w:spacing w:line="360" w:lineRule="auto"/>
        <w:widowControl w:val="off"/>
        <w:rPr>
          <w:rFonts w:ascii="宋体" w:hAnsi="宋体"/>
          <w:sz w:val="22"/>
          <w:szCs w:val="22"/>
        </w:rPr>
      </w:pPr>
      <w:r>
        <w:rPr>
          <w:rFonts w:ascii="宋体" w:hAnsi="宋体"/>
          <w:sz w:val="22"/>
          <w:szCs w:val="22"/>
        </w:rPr>
      </w:r>
      <w:r/>
    </w:p>
    <w:p>
      <w:pPr>
        <w:ind w:left="0" w:firstLine="440"/>
        <w:spacing w:line="360" w:lineRule="auto"/>
        <w:widowControl w:val="off"/>
        <w:rPr>
          <w:rFonts w:ascii="宋体" w:hAnsi="宋体"/>
          <w:sz w:val="22"/>
          <w:szCs w:val="22"/>
        </w:rPr>
      </w:pPr>
      <w:r>
        <w:rPr>
          <w:rFonts w:hint="eastAsia" w:ascii="宋体" w:hAnsi="宋体"/>
          <w:sz w:val="22"/>
          <w:szCs w:val="22"/>
        </w:rPr>
        <w:t xml:space="preserve">八、税费</w:t>
      </w:r>
      <w:r/>
    </w:p>
    <w:p>
      <w:pPr>
        <w:ind w:left="0" w:firstLine="440"/>
        <w:spacing w:line="360" w:lineRule="auto"/>
        <w:widowControl w:val="off"/>
        <w:rPr>
          <w:rFonts w:ascii="宋体" w:hAnsi="宋体"/>
          <w:sz w:val="22"/>
          <w:szCs w:val="22"/>
        </w:rPr>
      </w:pPr>
      <w:r>
        <w:rPr>
          <w:rFonts w:hint="eastAsia" w:ascii="宋体" w:hAnsi="宋体"/>
          <w:sz w:val="22"/>
          <w:szCs w:val="22"/>
        </w:rPr>
        <w:t xml:space="preserve">8 本合同执行中相关的一切税费均由乙方负担。</w:t>
      </w:r>
      <w:r/>
    </w:p>
    <w:p>
      <w:pPr>
        <w:ind w:left="0"/>
        <w:spacing w:line="360" w:lineRule="auto"/>
        <w:widowControl w:val="off"/>
        <w:rPr>
          <w:rFonts w:ascii="宋体" w:hAnsi="宋体"/>
          <w:sz w:val="22"/>
          <w:szCs w:val="22"/>
        </w:rPr>
      </w:pPr>
      <w:r>
        <w:rPr>
          <w:rFonts w:ascii="宋体" w:hAnsi="宋体"/>
          <w:sz w:val="22"/>
          <w:szCs w:val="22"/>
        </w:rPr>
      </w:r>
      <w:r/>
    </w:p>
    <w:p>
      <w:pPr>
        <w:ind w:left="0" w:firstLine="440"/>
        <w:spacing w:line="360" w:lineRule="auto"/>
        <w:widowControl w:val="off"/>
        <w:rPr>
          <w:rFonts w:ascii="宋体" w:hAnsi="宋体"/>
          <w:sz w:val="22"/>
          <w:szCs w:val="22"/>
        </w:rPr>
      </w:pPr>
      <w:r>
        <w:rPr>
          <w:rFonts w:hint="eastAsia" w:ascii="宋体" w:hAnsi="宋体"/>
          <w:sz w:val="22"/>
          <w:szCs w:val="22"/>
        </w:rPr>
        <w:t xml:space="preserve">九、质量保证及售后服务</w:t>
      </w:r>
      <w:r/>
    </w:p>
    <w:p>
      <w:pPr>
        <w:ind w:left="0" w:firstLine="440"/>
        <w:spacing w:line="360" w:lineRule="auto"/>
        <w:widowControl w:val="off"/>
        <w:rPr>
          <w:rFonts w:ascii="宋体" w:hAnsi="宋体"/>
          <w:sz w:val="22"/>
          <w:szCs w:val="22"/>
        </w:rPr>
      </w:pPr>
      <w:r>
        <w:rPr>
          <w:rFonts w:hint="eastAsia" w:ascii="宋体" w:hAnsi="宋体"/>
          <w:sz w:val="22"/>
          <w:szCs w:val="22"/>
        </w:rPr>
        <w:t xml:space="preserve">9.1 乙方应按采购文件规定的货物性能、技术要求、质量标准向甲方提供未经使用的全新产品。</w:t>
      </w:r>
      <w:r/>
    </w:p>
    <w:p>
      <w:pPr>
        <w:ind w:left="0" w:firstLine="440"/>
        <w:spacing w:line="360" w:lineRule="auto"/>
        <w:widowControl w:val="off"/>
        <w:rPr>
          <w:rFonts w:ascii="宋体" w:hAnsi="宋体"/>
          <w:sz w:val="22"/>
          <w:szCs w:val="22"/>
        </w:rPr>
      </w:pPr>
      <w:r>
        <w:rPr>
          <w:rFonts w:hint="eastAsia" w:ascii="宋体" w:hAnsi="宋体"/>
          <w:sz w:val="22"/>
          <w:szCs w:val="22"/>
        </w:rPr>
        <w:t xml:space="preserve">9.2 乙方提供的货物质保期具体以投标文件为准且不得低于三十六个月，乙方提供的货物在质保期内因货物本身的质量问题发生故障，乙方应负责免费更换。对超过质保期发生故障的货物，乙方应当负责维修并按照成本价收取零配件费用。对达不到技术要求者，根据实际情况，经双方协商，可按以下办法处理：</w:t>
      </w:r>
      <w:r/>
    </w:p>
    <w:p>
      <w:pPr>
        <w:ind w:left="0" w:firstLine="440"/>
        <w:spacing w:line="360" w:lineRule="auto"/>
        <w:widowControl w:val="off"/>
        <w:rPr>
          <w:rFonts w:ascii="宋体" w:hAnsi="宋体"/>
          <w:sz w:val="22"/>
          <w:szCs w:val="22"/>
        </w:rPr>
      </w:pPr>
      <w:r>
        <w:rPr>
          <w:rFonts w:hint="eastAsia" w:ascii="宋体" w:hAnsi="宋体"/>
          <w:sz w:val="22"/>
          <w:szCs w:val="22"/>
        </w:rPr>
        <w:t xml:space="preserve">（1）更换：由乙方承担所发生的全部费用。</w:t>
      </w:r>
      <w:r/>
    </w:p>
    <w:p>
      <w:pPr>
        <w:ind w:left="0" w:firstLine="440"/>
        <w:spacing w:line="360" w:lineRule="auto"/>
        <w:widowControl w:val="off"/>
        <w:rPr>
          <w:rFonts w:ascii="宋体" w:hAnsi="宋体"/>
          <w:sz w:val="22"/>
          <w:szCs w:val="22"/>
        </w:rPr>
      </w:pPr>
      <w:r>
        <w:rPr>
          <w:rFonts w:hint="eastAsia" w:ascii="宋体" w:hAnsi="宋体"/>
          <w:sz w:val="22"/>
          <w:szCs w:val="22"/>
        </w:rPr>
        <w:t xml:space="preserve">（2）退货处理：乙方应退还甲方支付的合同款，同时应承担该货物的直接费用（运输、保险、检验）。</w:t>
      </w:r>
      <w:r/>
    </w:p>
    <w:p>
      <w:pPr>
        <w:ind w:left="0" w:firstLine="440"/>
        <w:spacing w:line="360" w:lineRule="auto"/>
        <w:widowControl w:val="off"/>
        <w:rPr>
          <w:rFonts w:ascii="宋体" w:hAnsi="宋体"/>
          <w:sz w:val="22"/>
          <w:szCs w:val="22"/>
        </w:rPr>
      </w:pPr>
      <w:r>
        <w:rPr>
          <w:rFonts w:hint="eastAsia" w:ascii="宋体" w:hAnsi="宋体"/>
          <w:sz w:val="22"/>
          <w:szCs w:val="22"/>
        </w:rPr>
        <w:t xml:space="preserve">9.3 响应时间：质保期内，乙方必须在接到报修电话后8小时内响应，24小时内到达现场免费维修，24小时内修复。如 24小时内无法修复的，必须全免费提供不低于故障产品规格型号档次的备用产品（或采用应急措施）供招标人临时使用，不得影响招标人的正常工作，直到故障产品修复。乙方对所有设备实行终身维护，保修期外发生维修只收配件、材料及维修期人工工时费。</w:t>
      </w:r>
      <w:r/>
    </w:p>
    <w:p>
      <w:pPr>
        <w:ind w:left="0" w:firstLine="440"/>
        <w:spacing w:after="120" w:line="360" w:lineRule="auto"/>
        <w:widowControl w:val="off"/>
        <w:rPr>
          <w:rFonts w:ascii="宋体" w:hAnsi="宋体"/>
          <w:sz w:val="22"/>
          <w:szCs w:val="22"/>
        </w:rPr>
      </w:pPr>
      <w:r>
        <w:rPr>
          <w:rFonts w:hint="eastAsia" w:ascii="宋体" w:hAnsi="宋体"/>
          <w:sz w:val="22"/>
          <w:szCs w:val="22"/>
        </w:rPr>
        <w:t xml:space="preserve">9.4 乙方须提供全天候7×24的售后服务，乙方提供统一的售后服务受理电话，在投标文件中明确售后服务受理电话号码及专门为招标人服务的客户服务经理姓名、电话。乙方应免费为招标人培训使用及维护人员，确保招标人使用人员能正确使用、维护保养。</w:t>
      </w:r>
      <w:r/>
    </w:p>
    <w:p>
      <w:pPr>
        <w:ind w:left="0" w:firstLine="440"/>
        <w:spacing w:after="120" w:line="360" w:lineRule="auto"/>
        <w:widowControl w:val="off"/>
        <w:rPr>
          <w:rFonts w:ascii="宋体" w:hAnsi="宋体"/>
          <w:sz w:val="22"/>
          <w:szCs w:val="22"/>
        </w:rPr>
      </w:pPr>
      <w:r>
        <w:rPr>
          <w:rFonts w:hint="eastAsia" w:ascii="宋体" w:hAnsi="宋体"/>
          <w:sz w:val="22"/>
          <w:szCs w:val="22"/>
        </w:rPr>
        <w:t xml:space="preserve">9.5 所投产品如有备品备件，乙方须编制质保期后三年内必须的备品备件报价表，并承诺质保期后三年内，以报价表中的单价向甲方供应备品备件。</w:t>
      </w:r>
      <w:r/>
    </w:p>
    <w:p>
      <w:pPr>
        <w:ind w:left="0"/>
        <w:spacing w:line="360" w:lineRule="auto"/>
        <w:widowControl w:val="off"/>
        <w:rPr>
          <w:rFonts w:ascii="宋体" w:hAnsi="宋体"/>
          <w:sz w:val="22"/>
          <w:szCs w:val="22"/>
        </w:rPr>
      </w:pPr>
      <w:r>
        <w:rPr>
          <w:rFonts w:ascii="宋体" w:hAnsi="宋体"/>
          <w:sz w:val="22"/>
          <w:szCs w:val="22"/>
        </w:rPr>
      </w:r>
      <w:r/>
    </w:p>
    <w:p>
      <w:pPr>
        <w:ind w:left="0" w:firstLine="440"/>
        <w:spacing w:line="360" w:lineRule="auto"/>
        <w:widowControl w:val="off"/>
        <w:rPr>
          <w:rFonts w:ascii="宋体" w:hAnsi="宋体"/>
          <w:sz w:val="22"/>
          <w:szCs w:val="22"/>
        </w:rPr>
      </w:pPr>
      <w:r>
        <w:rPr>
          <w:rFonts w:hint="eastAsia" w:ascii="宋体" w:hAnsi="宋体"/>
          <w:sz w:val="22"/>
          <w:szCs w:val="22"/>
        </w:rPr>
        <w:t xml:space="preserve">十、调试和验收</w:t>
      </w:r>
      <w:r/>
    </w:p>
    <w:p>
      <w:pPr>
        <w:ind w:left="0" w:firstLine="440"/>
        <w:spacing w:line="360" w:lineRule="auto"/>
        <w:widowControl w:val="off"/>
        <w:rPr>
          <w:rFonts w:ascii="宋体" w:hAnsi="宋体"/>
          <w:sz w:val="22"/>
          <w:szCs w:val="22"/>
        </w:rPr>
      </w:pPr>
      <w:r>
        <w:rPr>
          <w:rFonts w:hint="eastAsia" w:ascii="宋体" w:hAnsi="宋体"/>
          <w:sz w:val="22"/>
          <w:szCs w:val="22"/>
        </w:rPr>
        <w:t xml:space="preserve">10.1 乙方交付的产品为原制造厂商生产的全新产品，整体无污染，无侵权行为。表面无划损，无任何缺陷隐患，在中国境内可依常规安全合法使用。甲方对乙方提交的货物清单数量核对给予签收，由甲方出具签收单视为交付。甲方对乙方提交的货物依据采购文件、合同上的技术规格要求和国家有关质量标准、环保标准或行业标准（以最严标准为准）进行现场验收，符合采购文件技术要求的，由甲方出具验收结果报告视为验收合格。甲方有权委托国家消防装备质量检验检测中心或其他权威第三方检测机构进行抽检送检，检测方案由甲方依据招标文件确定。</w:t>
      </w:r>
      <w:r/>
    </w:p>
    <w:p>
      <w:pPr>
        <w:ind w:left="0" w:firstLine="440"/>
        <w:spacing w:line="360" w:lineRule="auto"/>
        <w:widowControl w:val="off"/>
        <w:rPr>
          <w:rFonts w:ascii="宋体" w:hAnsi="宋体"/>
          <w:sz w:val="22"/>
          <w:szCs w:val="22"/>
        </w:rPr>
      </w:pPr>
      <w:r>
        <w:rPr>
          <w:rFonts w:hint="eastAsia" w:ascii="宋体" w:hAnsi="宋体"/>
          <w:sz w:val="22"/>
          <w:szCs w:val="22"/>
        </w:rPr>
        <w:t xml:space="preserve">10.2 乙方交货前应对产品作出全面检查和对验收文件进行整理，并列出清单，作为甲方收货验收和使用的技术条件依据，检验的结果应随货物交甲方，但不能作为交付产品质量、规格、数量或性能的最终检验结果。</w:t>
      </w:r>
      <w:r>
        <w:rPr>
          <w:rFonts w:hint="eastAsia" w:ascii="宋体" w:hAnsi="宋体"/>
          <w:b/>
          <w:sz w:val="22"/>
          <w:szCs w:val="22"/>
        </w:rPr>
        <w:t xml:space="preserve">验收时乙方须提供投标文件内检测报告原件供验收使用。</w:t>
      </w:r>
      <w:r/>
    </w:p>
    <w:p>
      <w:pPr>
        <w:ind w:left="0" w:firstLine="440"/>
        <w:spacing w:line="360" w:lineRule="auto"/>
        <w:widowControl w:val="off"/>
        <w:rPr>
          <w:rFonts w:ascii="宋体" w:hAnsi="宋体"/>
          <w:sz w:val="22"/>
          <w:szCs w:val="22"/>
        </w:rPr>
      </w:pPr>
      <w:r>
        <w:rPr>
          <w:rFonts w:hint="eastAsia" w:ascii="宋体" w:hAnsi="宋体"/>
          <w:sz w:val="22"/>
          <w:szCs w:val="22"/>
        </w:rPr>
        <w:t xml:space="preserve">10.3 依据法律规定或直观观察等日常工作经验能够直接确认的事实，可以直接作为判断是否有质量问题的依据，无需鉴定；确需鉴定的，以国家相关检测机构出具的书面鉴定意见为准，鉴定费用由乙方先行垫付。货物符合质量标准的，鉴定费用由甲方承担；货物不符合质量标准的，鉴定费用由乙方承担，并且甲方有权追究乙方的违约责任。</w:t>
      </w:r>
      <w:r/>
    </w:p>
    <w:p>
      <w:pPr>
        <w:ind w:left="0" w:firstLine="440"/>
        <w:spacing w:line="360" w:lineRule="auto"/>
        <w:widowControl w:val="off"/>
        <w:rPr>
          <w:rFonts w:ascii="宋体" w:hAnsi="宋体"/>
          <w:sz w:val="22"/>
          <w:szCs w:val="22"/>
        </w:rPr>
      </w:pPr>
      <w:r>
        <w:rPr>
          <w:rFonts w:hint="eastAsia" w:ascii="宋体" w:hAnsi="宋体"/>
          <w:sz w:val="22"/>
          <w:szCs w:val="22"/>
        </w:rPr>
        <w:t xml:space="preserve">10.4 验收时乙方必须在现场，验收完毕后作出验收结果报告。验收通过并不免除乙方因产品质量瑕疵而应承担的维修、赔偿等责任。</w:t>
      </w:r>
      <w:r/>
    </w:p>
    <w:p>
      <w:pPr>
        <w:ind w:left="0" w:firstLine="440"/>
        <w:spacing w:line="360" w:lineRule="auto"/>
        <w:widowControl w:val="off"/>
        <w:rPr>
          <w:rFonts w:ascii="宋体" w:hAnsi="宋体"/>
          <w:sz w:val="22"/>
          <w:szCs w:val="22"/>
        </w:rPr>
      </w:pPr>
      <w:r>
        <w:rPr>
          <w:rFonts w:hint="eastAsia" w:ascii="宋体" w:hAnsi="宋体"/>
          <w:sz w:val="22"/>
          <w:szCs w:val="22"/>
        </w:rPr>
        <w:t xml:space="preserve">10.5 验收通过的，由甲方提供书面验</w:t>
      </w:r>
      <w:r>
        <w:rPr>
          <w:rFonts w:hint="eastAsia" w:ascii="宋体" w:hAnsi="宋体"/>
          <w:sz w:val="22"/>
          <w:szCs w:val="22"/>
        </w:rPr>
        <w:t xml:space="preserve">收结果报告。若产品不符合合同约定，甲方有权拒收货物，同时要求乙方进行整改，整改累积次数不超过 2 次，整改时限不得超过30天。整改后仍未通过验收的，甲方将拒收或退货，并由乙方赔偿甲方由此造成的一切损失。乙方需整改的，整改期计入交货期限，乙方因整改超过交货期限交货的，甲方有权按照本合同相应要求乙方承担合同约定的逾期违约责任。乙方供货的产品经甲方3次验收不合格，甲方可以单方面解除合同，乙方在甲方解约后3个工作日内退还已付款，并按照合同总价款的5%承担违约金，违约金不足以弥补甲方损失的，还应赔偿给甲方造成的损失。</w:t>
      </w:r>
      <w:r/>
    </w:p>
    <w:p>
      <w:pPr>
        <w:ind w:left="0" w:firstLine="440"/>
        <w:spacing w:line="360" w:lineRule="auto"/>
        <w:widowControl w:val="off"/>
        <w:rPr>
          <w:rFonts w:ascii="宋体" w:hAnsi="宋体"/>
          <w:sz w:val="22"/>
          <w:szCs w:val="22"/>
        </w:rPr>
      </w:pPr>
      <w:r>
        <w:rPr>
          <w:rFonts w:hint="eastAsia" w:ascii="宋体" w:hAnsi="宋体"/>
          <w:sz w:val="22"/>
          <w:szCs w:val="22"/>
        </w:rPr>
        <w:t xml:space="preserve">10.6 产品用户手册、保修手册、有关单证资料及配备件、随机工具等均应列明清单并按清单交付给甲方。使用操作及安全须知等重要资料应附有中文说明。</w:t>
      </w:r>
      <w:r/>
    </w:p>
    <w:p>
      <w:pPr>
        <w:ind w:left="0" w:firstLine="440"/>
        <w:spacing w:line="360" w:lineRule="auto"/>
        <w:widowControl w:val="off"/>
        <w:rPr>
          <w:rFonts w:ascii="宋体" w:hAnsi="宋体"/>
          <w:sz w:val="22"/>
          <w:szCs w:val="22"/>
        </w:rPr>
      </w:pPr>
      <w:r>
        <w:rPr>
          <w:rFonts w:hint="eastAsia" w:ascii="宋体" w:hAnsi="宋体"/>
          <w:sz w:val="22"/>
          <w:szCs w:val="22"/>
        </w:rPr>
        <w:t xml:space="preserve">10.7 产品使用进口配件的，必须提供原产地证明和商检局的检验证明及合法进货渠道证明。</w:t>
      </w:r>
      <w:r/>
    </w:p>
    <w:p>
      <w:pPr>
        <w:ind w:left="0" w:firstLine="440"/>
        <w:spacing w:line="360" w:lineRule="auto"/>
        <w:widowControl w:val="off"/>
        <w:rPr>
          <w:rFonts w:ascii="宋体" w:hAnsi="宋体"/>
          <w:sz w:val="22"/>
          <w:szCs w:val="22"/>
        </w:rPr>
      </w:pPr>
      <w:r>
        <w:rPr>
          <w:rFonts w:hint="eastAsia" w:ascii="宋体" w:hAnsi="宋体"/>
          <w:sz w:val="22"/>
          <w:szCs w:val="22"/>
        </w:rPr>
        <w:t xml:space="preserve">10.8其他具体要求见附件《履约验收方案》。</w:t>
      </w:r>
      <w:r/>
    </w:p>
    <w:p>
      <w:pPr>
        <w:ind w:left="0" w:firstLine="440"/>
        <w:spacing w:line="360" w:lineRule="auto"/>
        <w:widowControl w:val="off"/>
        <w:rPr>
          <w:rFonts w:ascii="宋体" w:hAnsi="宋体"/>
          <w:sz w:val="22"/>
          <w:szCs w:val="22"/>
        </w:rPr>
      </w:pPr>
      <w:r>
        <w:rPr>
          <w:rFonts w:ascii="宋体" w:hAnsi="宋体"/>
          <w:sz w:val="22"/>
          <w:szCs w:val="22"/>
        </w:rPr>
      </w:r>
      <w:r/>
    </w:p>
    <w:p>
      <w:pPr>
        <w:ind w:left="0" w:firstLine="440"/>
        <w:spacing w:line="360" w:lineRule="auto"/>
        <w:widowControl w:val="off"/>
        <w:rPr>
          <w:rFonts w:ascii="宋体" w:hAnsi="宋体"/>
          <w:sz w:val="22"/>
          <w:szCs w:val="22"/>
        </w:rPr>
      </w:pPr>
      <w:r>
        <w:rPr>
          <w:rFonts w:hint="eastAsia" w:ascii="宋体" w:hAnsi="宋体"/>
          <w:sz w:val="22"/>
          <w:szCs w:val="22"/>
        </w:rPr>
        <w:t xml:space="preserve">十一、货物包装、发运及运输</w:t>
      </w:r>
      <w:r/>
    </w:p>
    <w:p>
      <w:pPr>
        <w:ind w:left="0" w:firstLine="440"/>
        <w:spacing w:line="360" w:lineRule="auto"/>
        <w:widowControl w:val="off"/>
        <w:rPr>
          <w:rFonts w:ascii="宋体" w:hAnsi="宋体"/>
          <w:sz w:val="22"/>
          <w:szCs w:val="22"/>
        </w:rPr>
      </w:pPr>
      <w:r>
        <w:rPr>
          <w:rFonts w:hint="eastAsia" w:ascii="宋体" w:hAnsi="宋体"/>
          <w:sz w:val="22"/>
          <w:szCs w:val="22"/>
        </w:rPr>
        <w:t xml:space="preserve">11.1 乙方应在货物发运前对其进行满足运输距离、防潮和防破损装卸等要求包装，以保证货物安全运达甲方指定地点。</w:t>
      </w:r>
      <w:r/>
    </w:p>
    <w:p>
      <w:pPr>
        <w:ind w:left="0" w:firstLine="440"/>
        <w:spacing w:line="360" w:lineRule="auto"/>
        <w:widowControl w:val="off"/>
        <w:rPr>
          <w:rFonts w:ascii="宋体" w:hAnsi="宋体"/>
          <w:sz w:val="22"/>
          <w:szCs w:val="22"/>
        </w:rPr>
      </w:pPr>
      <w:r>
        <w:rPr>
          <w:rFonts w:hint="eastAsia" w:ascii="宋体" w:hAnsi="宋体"/>
          <w:sz w:val="22"/>
          <w:szCs w:val="22"/>
        </w:rPr>
        <w:t xml:space="preserve">11.2 使用说明书、质量检验证明书以及清单一并附于货物内。</w:t>
      </w:r>
      <w:r/>
    </w:p>
    <w:p>
      <w:pPr>
        <w:ind w:left="0" w:firstLine="440"/>
        <w:spacing w:line="360" w:lineRule="auto"/>
        <w:widowControl w:val="off"/>
        <w:rPr>
          <w:rFonts w:ascii="宋体" w:hAnsi="宋体"/>
          <w:sz w:val="22"/>
          <w:szCs w:val="22"/>
        </w:rPr>
      </w:pPr>
      <w:r>
        <w:rPr>
          <w:rFonts w:hint="eastAsia" w:ascii="宋体" w:hAnsi="宋体"/>
          <w:sz w:val="22"/>
          <w:szCs w:val="22"/>
        </w:rPr>
        <w:t xml:space="preserve">11.3 乙方在货物发运手续办理完毕后24小时内或货到甲方48小时前通知甲方，以准备接货。</w:t>
      </w:r>
      <w:r/>
    </w:p>
    <w:p>
      <w:pPr>
        <w:ind w:left="0" w:firstLine="440"/>
        <w:spacing w:line="360" w:lineRule="auto"/>
        <w:widowControl w:val="off"/>
        <w:rPr>
          <w:rFonts w:ascii="宋体" w:hAnsi="宋体"/>
          <w:sz w:val="22"/>
          <w:szCs w:val="22"/>
        </w:rPr>
      </w:pPr>
      <w:r>
        <w:rPr>
          <w:rFonts w:hint="eastAsia" w:ascii="宋体" w:hAnsi="宋体"/>
          <w:sz w:val="22"/>
          <w:szCs w:val="22"/>
        </w:rPr>
        <w:t xml:space="preserve">11.4 货物在交付甲方前发生的风险均由乙方负责。</w:t>
      </w:r>
      <w:r/>
    </w:p>
    <w:p>
      <w:pPr>
        <w:ind w:left="0" w:firstLine="440"/>
        <w:spacing w:line="360" w:lineRule="auto"/>
        <w:widowControl w:val="off"/>
        <w:rPr>
          <w:rFonts w:ascii="宋体" w:hAnsi="宋体"/>
          <w:sz w:val="22"/>
          <w:szCs w:val="22"/>
        </w:rPr>
      </w:pPr>
      <w:r>
        <w:rPr>
          <w:rFonts w:hint="eastAsia" w:ascii="宋体" w:hAnsi="宋体"/>
          <w:sz w:val="22"/>
          <w:szCs w:val="22"/>
        </w:rPr>
        <w:t xml:space="preserve">11.5 货物在规定的交付期限内由乙方送达甲方指定的地点甲方出具签收单视为交付，乙方同时需通知甲方货物已送达。</w:t>
      </w:r>
      <w:r/>
    </w:p>
    <w:p>
      <w:pPr>
        <w:ind w:left="0"/>
        <w:spacing w:line="360" w:lineRule="auto"/>
        <w:widowControl w:val="off"/>
        <w:rPr>
          <w:rFonts w:ascii="宋体" w:hAnsi="宋体"/>
          <w:sz w:val="22"/>
          <w:szCs w:val="22"/>
        </w:rPr>
      </w:pPr>
      <w:r>
        <w:rPr>
          <w:rFonts w:ascii="宋体" w:hAnsi="宋体"/>
          <w:sz w:val="22"/>
          <w:szCs w:val="22"/>
        </w:rPr>
      </w:r>
      <w:r/>
    </w:p>
    <w:p>
      <w:pPr>
        <w:ind w:left="0" w:firstLine="440"/>
        <w:spacing w:line="360" w:lineRule="auto"/>
        <w:widowControl w:val="off"/>
        <w:rPr>
          <w:rFonts w:ascii="宋体" w:hAnsi="宋体"/>
          <w:sz w:val="22"/>
          <w:szCs w:val="22"/>
        </w:rPr>
      </w:pPr>
      <w:r>
        <w:rPr>
          <w:rFonts w:hint="eastAsia" w:ascii="宋体" w:hAnsi="宋体"/>
          <w:sz w:val="22"/>
          <w:szCs w:val="22"/>
        </w:rPr>
        <w:t xml:space="preserve">十二、违约责任</w:t>
      </w:r>
      <w:r/>
    </w:p>
    <w:p>
      <w:pPr>
        <w:ind w:left="0" w:firstLine="440"/>
        <w:spacing w:line="360" w:lineRule="auto"/>
        <w:widowControl w:val="off"/>
        <w:rPr>
          <w:rFonts w:ascii="宋体" w:hAnsi="宋体"/>
          <w:sz w:val="22"/>
          <w:szCs w:val="22"/>
        </w:rPr>
      </w:pPr>
      <w:r>
        <w:rPr>
          <w:rFonts w:hint="eastAsia" w:ascii="宋体" w:hAnsi="宋体"/>
          <w:sz w:val="22"/>
          <w:szCs w:val="22"/>
        </w:rPr>
        <w:t xml:space="preserve">12.1 甲方无正当理由拒收货物的，甲方向乙方偿付拒收货款总值的千分之五违约金。</w:t>
      </w:r>
      <w:r/>
    </w:p>
    <w:p>
      <w:pPr>
        <w:ind w:left="0" w:firstLine="440"/>
        <w:spacing w:line="360" w:lineRule="auto"/>
        <w:widowControl w:val="off"/>
        <w:rPr>
          <w:rFonts w:ascii="宋体" w:hAnsi="宋体"/>
          <w:sz w:val="22"/>
          <w:szCs w:val="22"/>
        </w:rPr>
      </w:pPr>
      <w:r>
        <w:rPr>
          <w:rFonts w:hint="eastAsia" w:ascii="宋体" w:hAnsi="宋体"/>
          <w:sz w:val="22"/>
          <w:szCs w:val="22"/>
        </w:rPr>
        <w:t xml:space="preserve">12.2 甲方无故逾期付款的，依法承担逾期付款责任，不超过合同总价款的5%。</w:t>
      </w:r>
      <w:r/>
    </w:p>
    <w:p>
      <w:pPr>
        <w:ind w:left="0" w:firstLine="440"/>
        <w:spacing w:line="360" w:lineRule="auto"/>
        <w:widowControl w:val="off"/>
        <w:rPr>
          <w:rFonts w:ascii="宋体" w:hAnsi="宋体"/>
          <w:sz w:val="22"/>
          <w:szCs w:val="22"/>
        </w:rPr>
      </w:pPr>
      <w:r>
        <w:rPr>
          <w:rFonts w:hint="eastAsia" w:ascii="宋体" w:hAnsi="宋体"/>
          <w:sz w:val="22"/>
          <w:szCs w:val="22"/>
        </w:rPr>
        <w:t xml:space="preserve">12.3 乙方逾期交付货物的，乙方应按逾期交货总额每日千分之六向甲方支付违约金，由甲方从待付货款中扣除。逾期超过约定日期10个工作日不能交货的，甲方可解除本合同或者起诉。乙方因逾期交货或因其他违约行为导致甲方解除合同的，乙方应在甲方解约后3个工作日内退还甲方已付款（如有），并向甲方支付合同总值5%的违约金，如造成甲方损失超过违约金的，超出部分由乙方继续承担赔偿责任。</w:t>
      </w:r>
      <w:r/>
    </w:p>
    <w:p>
      <w:pPr>
        <w:ind w:left="0" w:firstLine="440"/>
        <w:spacing w:line="360" w:lineRule="auto"/>
        <w:widowControl w:val="off"/>
        <w:rPr>
          <w:rFonts w:ascii="宋体" w:hAnsi="宋体"/>
          <w:sz w:val="22"/>
          <w:szCs w:val="22"/>
        </w:rPr>
      </w:pPr>
      <w:r>
        <w:rPr>
          <w:rFonts w:hint="eastAsia" w:ascii="宋体" w:hAnsi="宋体"/>
          <w:sz w:val="22"/>
          <w:szCs w:val="22"/>
        </w:rPr>
        <w:t xml:space="preserve">12.4 乙方所交的货物品种、型号、规格、技术参数、质量不符合合同规定及采购文件规定标准的，甲方有权拒收该货物，乙方愿意更换货物但逾期交货的，按乙方逾期交货处理。乙方拒绝更换货物或未能如期更换货物的，甲方可单方面解除合同，并要求乙方承担合同总额5%的违约金，如造成甲方损失超过违约金的，超出部分由乙方继续承担赔偿责任。</w:t>
      </w:r>
      <w:r/>
    </w:p>
    <w:p>
      <w:pPr>
        <w:ind w:left="0" w:firstLine="440"/>
        <w:spacing w:line="360" w:lineRule="auto"/>
        <w:widowControl w:val="off"/>
        <w:rPr>
          <w:rFonts w:ascii="宋体" w:hAnsi="宋体"/>
          <w:sz w:val="22"/>
          <w:szCs w:val="22"/>
        </w:rPr>
      </w:pPr>
      <w:r>
        <w:rPr>
          <w:rFonts w:hint="eastAsia" w:ascii="宋体" w:hAnsi="宋体"/>
          <w:sz w:val="22"/>
          <w:szCs w:val="22"/>
        </w:rPr>
        <w:t xml:space="preserve">12.</w:t>
      </w:r>
      <w:r>
        <w:rPr>
          <w:rFonts w:hint="eastAsia" w:ascii="宋体" w:hAnsi="宋体"/>
          <w:sz w:val="22"/>
          <w:szCs w:val="22"/>
        </w:rPr>
        <w:t xml:space="preserve">5 乙方所交的货物品种、规格、型号、技术参数、产品质量不符合合同约定和法律规定的，甲方一律拒收该货物，乙方实施更换货物或整改但逾期交货的，按乙方逾期交货处理，并追究违约责任；乙方未在合同约定的整改次数或期限内更换或整改的，甲方可按照合同约定单方面解除合同；未达验收标准责令乙方限期整改，整改次数不超过2次或总的整改时间不超过30天。因乙方责任不能按合同履约，在整改验收期间，造成该装备或配套产品不能如期装备队伍，影响队伍执勤备战，甲方有权追究乙方所造成的经济损失、法律和社会责任。签署本合同即视同乙方认可本条款。</w:t>
      </w:r>
      <w:r/>
    </w:p>
    <w:p>
      <w:pPr>
        <w:ind w:left="0" w:firstLine="440"/>
        <w:spacing w:line="360" w:lineRule="auto"/>
        <w:widowControl w:val="off"/>
        <w:rPr>
          <w:rFonts w:ascii="宋体" w:hAnsi="宋体"/>
          <w:sz w:val="22"/>
          <w:szCs w:val="22"/>
        </w:rPr>
      </w:pPr>
      <w:r>
        <w:rPr>
          <w:rFonts w:hint="eastAsia" w:ascii="宋体" w:hAnsi="宋体"/>
          <w:sz w:val="22"/>
          <w:szCs w:val="22"/>
        </w:rPr>
        <w:t xml:space="preserve">12.6 乙方应赔偿甲方的损失、支付给甲方的违约金以及其它根据本合同应支付给甲方的费用，甲方有权直接从未付货款或保证金中扣除，不足部分有权要求乙方补足。乙方赔偿甲方的损失，包括但不限于甲方为起诉、行动、请求产生的所有损失、费用和支出，包括诉讼费、保全费、保全担保费、执行申请费、鉴定费、律师费、差旅费等。</w:t>
      </w:r>
      <w:r/>
    </w:p>
    <w:p>
      <w:pPr>
        <w:ind w:left="0"/>
        <w:spacing w:line="360" w:lineRule="auto"/>
        <w:widowControl w:val="off"/>
        <w:rPr>
          <w:rFonts w:ascii="宋体" w:hAnsi="宋体"/>
          <w:sz w:val="22"/>
          <w:szCs w:val="22"/>
        </w:rPr>
      </w:pPr>
      <w:r>
        <w:rPr>
          <w:rFonts w:ascii="宋体" w:hAnsi="宋体"/>
          <w:sz w:val="22"/>
          <w:szCs w:val="22"/>
        </w:rPr>
      </w:r>
      <w:r/>
    </w:p>
    <w:p>
      <w:pPr>
        <w:ind w:left="0" w:firstLine="440"/>
        <w:spacing w:line="360" w:lineRule="auto"/>
        <w:widowControl w:val="off"/>
        <w:rPr>
          <w:rFonts w:ascii="宋体" w:hAnsi="宋体"/>
          <w:sz w:val="22"/>
          <w:szCs w:val="22"/>
        </w:rPr>
      </w:pPr>
      <w:r>
        <w:rPr>
          <w:rFonts w:hint="eastAsia" w:ascii="宋体" w:hAnsi="宋体"/>
          <w:sz w:val="22"/>
          <w:szCs w:val="22"/>
        </w:rPr>
        <w:t xml:space="preserve">十三、不可抗力事件处理</w:t>
      </w:r>
      <w:r/>
    </w:p>
    <w:p>
      <w:pPr>
        <w:ind w:left="0" w:firstLine="440"/>
        <w:spacing w:line="360" w:lineRule="auto"/>
        <w:widowControl w:val="off"/>
        <w:rPr>
          <w:rFonts w:ascii="宋体" w:hAnsi="宋体"/>
          <w:sz w:val="22"/>
          <w:szCs w:val="22"/>
        </w:rPr>
      </w:pPr>
      <w:r>
        <w:rPr>
          <w:rFonts w:hint="eastAsia" w:ascii="宋体" w:hAnsi="宋体"/>
          <w:sz w:val="22"/>
          <w:szCs w:val="22"/>
        </w:rPr>
        <w:t xml:space="preserve">13.1 在合同有效期内，任何一方因不可抗力事件导致不能履行合同，则合同履行期可延长，其延长期与不可抗力影响期相同。（不可抗力，是指不能预见、不能避免且不能克服的客观情况，例如战争、严重的地震、洪水、疫情等，但一方违约或疏忽导致合同不能履行的不属于不可抗力因素。）</w:t>
      </w:r>
      <w:r/>
    </w:p>
    <w:p>
      <w:pPr>
        <w:ind w:left="0" w:firstLine="440"/>
        <w:spacing w:line="360" w:lineRule="auto"/>
        <w:widowControl w:val="off"/>
        <w:rPr>
          <w:rFonts w:ascii="宋体" w:hAnsi="宋体"/>
          <w:sz w:val="22"/>
          <w:szCs w:val="22"/>
        </w:rPr>
      </w:pPr>
      <w:r>
        <w:rPr>
          <w:rFonts w:hint="eastAsia" w:ascii="宋体" w:hAnsi="宋体"/>
          <w:sz w:val="22"/>
          <w:szCs w:val="22"/>
        </w:rPr>
        <w:t xml:space="preserve">13.2 不可抗力事件发生后，应立即通知对方，并寄送有关权威机构出具的证明。</w:t>
      </w:r>
      <w:r/>
    </w:p>
    <w:p>
      <w:pPr>
        <w:ind w:left="0" w:firstLine="440"/>
        <w:spacing w:line="360" w:lineRule="auto"/>
        <w:widowControl w:val="off"/>
        <w:rPr>
          <w:rFonts w:ascii="宋体" w:hAnsi="宋体"/>
          <w:sz w:val="22"/>
          <w:szCs w:val="22"/>
        </w:rPr>
      </w:pPr>
      <w:r>
        <w:rPr>
          <w:rFonts w:hint="eastAsia" w:ascii="宋体" w:hAnsi="宋体"/>
          <w:sz w:val="22"/>
          <w:szCs w:val="22"/>
        </w:rPr>
        <w:t xml:space="preserve">13.3 不可抗力事件延续120天以上，双方应通过友好协商，确定是否继续履行合同。</w:t>
      </w:r>
      <w:r/>
    </w:p>
    <w:p>
      <w:pPr>
        <w:ind w:left="0"/>
        <w:spacing w:line="360" w:lineRule="auto"/>
        <w:widowControl w:val="off"/>
        <w:rPr>
          <w:rFonts w:ascii="宋体" w:hAnsi="宋体"/>
          <w:sz w:val="22"/>
          <w:szCs w:val="22"/>
        </w:rPr>
      </w:pPr>
      <w:r>
        <w:rPr>
          <w:rFonts w:ascii="宋体" w:hAnsi="宋体"/>
          <w:sz w:val="22"/>
          <w:szCs w:val="22"/>
        </w:rPr>
      </w:r>
      <w:r/>
    </w:p>
    <w:p>
      <w:pPr>
        <w:ind w:left="0" w:firstLine="440"/>
        <w:spacing w:line="360" w:lineRule="auto"/>
        <w:widowControl w:val="off"/>
        <w:rPr>
          <w:rFonts w:ascii="宋体" w:hAnsi="宋体"/>
          <w:sz w:val="22"/>
          <w:szCs w:val="22"/>
        </w:rPr>
      </w:pPr>
      <w:r>
        <w:rPr>
          <w:rFonts w:hint="eastAsia" w:ascii="宋体" w:hAnsi="宋体"/>
          <w:sz w:val="22"/>
          <w:szCs w:val="22"/>
        </w:rPr>
        <w:t xml:space="preserve">十四、诉讼</w:t>
      </w:r>
      <w:r/>
    </w:p>
    <w:p>
      <w:pPr>
        <w:ind w:left="0" w:firstLine="440"/>
        <w:spacing w:line="360" w:lineRule="auto"/>
        <w:widowControl w:val="off"/>
        <w:rPr>
          <w:rFonts w:ascii="宋体" w:hAnsi="宋体"/>
          <w:sz w:val="22"/>
          <w:szCs w:val="22"/>
        </w:rPr>
      </w:pPr>
      <w:r>
        <w:rPr>
          <w:rFonts w:hint="eastAsia" w:ascii="宋体" w:hAnsi="宋体"/>
          <w:sz w:val="22"/>
          <w:szCs w:val="22"/>
        </w:rPr>
        <w:t xml:space="preserve">14 双方在执行合同中所发生的一切争议，应通过协商解决。如协商不成，可向甲方所在地法院起诉。</w:t>
      </w:r>
      <w:r/>
    </w:p>
    <w:p>
      <w:pPr>
        <w:ind w:left="0"/>
        <w:spacing w:line="360" w:lineRule="auto"/>
        <w:widowControl w:val="off"/>
        <w:rPr>
          <w:rFonts w:ascii="宋体" w:hAnsi="宋体"/>
          <w:sz w:val="22"/>
          <w:szCs w:val="22"/>
        </w:rPr>
      </w:pPr>
      <w:r>
        <w:rPr>
          <w:rFonts w:ascii="宋体" w:hAnsi="宋体"/>
          <w:sz w:val="22"/>
          <w:szCs w:val="22"/>
        </w:rPr>
      </w:r>
      <w:r/>
    </w:p>
    <w:p>
      <w:pPr>
        <w:ind w:left="0" w:firstLine="440"/>
        <w:spacing w:line="360" w:lineRule="auto"/>
        <w:widowControl w:val="off"/>
        <w:rPr>
          <w:rFonts w:ascii="宋体" w:hAnsi="宋体"/>
          <w:sz w:val="22"/>
          <w:szCs w:val="22"/>
        </w:rPr>
      </w:pPr>
      <w:r>
        <w:rPr>
          <w:rFonts w:hint="eastAsia" w:ascii="宋体" w:hAnsi="宋体"/>
          <w:sz w:val="22"/>
          <w:szCs w:val="22"/>
        </w:rPr>
        <w:t xml:space="preserve">十五、转包</w:t>
      </w:r>
      <w:r/>
    </w:p>
    <w:p>
      <w:pPr>
        <w:ind w:left="0" w:firstLine="440"/>
        <w:spacing w:line="360" w:lineRule="auto"/>
        <w:widowControl w:val="off"/>
        <w:rPr>
          <w:rFonts w:ascii="宋体" w:hAnsi="宋体"/>
          <w:sz w:val="22"/>
          <w:szCs w:val="22"/>
        </w:rPr>
      </w:pPr>
      <w:r>
        <w:rPr>
          <w:rFonts w:hint="eastAsia" w:ascii="宋体" w:hAnsi="宋体"/>
          <w:sz w:val="22"/>
          <w:szCs w:val="22"/>
        </w:rPr>
        <w:t xml:space="preserve">15 本合同禁止转包，本合同范围的货物，应由乙方直接供应的，不得转让他人供应。</w:t>
      </w:r>
      <w:r/>
    </w:p>
    <w:p>
      <w:pPr>
        <w:ind w:left="0"/>
        <w:spacing w:line="360" w:lineRule="auto"/>
        <w:widowControl w:val="off"/>
        <w:rPr>
          <w:rFonts w:ascii="宋体" w:hAnsi="宋体"/>
          <w:sz w:val="22"/>
          <w:szCs w:val="22"/>
        </w:rPr>
      </w:pPr>
      <w:r>
        <w:rPr>
          <w:rFonts w:ascii="宋体" w:hAnsi="宋体"/>
          <w:sz w:val="22"/>
          <w:szCs w:val="22"/>
        </w:rPr>
      </w:r>
      <w:r/>
    </w:p>
    <w:p>
      <w:pPr>
        <w:ind w:left="0" w:firstLine="440"/>
        <w:spacing w:line="360" w:lineRule="auto"/>
        <w:widowControl w:val="off"/>
        <w:rPr>
          <w:rFonts w:ascii="宋体" w:hAnsi="宋体"/>
          <w:sz w:val="22"/>
          <w:szCs w:val="22"/>
        </w:rPr>
      </w:pPr>
      <w:r>
        <w:rPr>
          <w:rFonts w:hint="eastAsia" w:ascii="宋体" w:hAnsi="宋体"/>
          <w:sz w:val="22"/>
          <w:szCs w:val="22"/>
        </w:rPr>
        <w:t xml:space="preserve">十六、知识产权</w:t>
      </w:r>
      <w:r/>
    </w:p>
    <w:p>
      <w:pPr>
        <w:ind w:left="0" w:firstLine="440"/>
        <w:spacing w:line="360" w:lineRule="auto"/>
        <w:widowControl w:val="off"/>
        <w:rPr>
          <w:rFonts w:ascii="宋体" w:hAnsi="宋体"/>
          <w:sz w:val="22"/>
          <w:szCs w:val="22"/>
        </w:rPr>
      </w:pPr>
      <w:r>
        <w:rPr>
          <w:rFonts w:hint="eastAsia" w:ascii="宋体" w:hAnsi="宋体"/>
          <w:sz w:val="22"/>
          <w:szCs w:val="22"/>
        </w:rPr>
        <w:t xml:space="preserve">16.1 乙方应保证甲方在使用、接受本合同货物和服务或其任何一部分时不受第三方提出侵犯其专利权、版权、商标权和工业设计权等知识产权的起诉。一旦出现侵权，由乙方负全部责任。</w:t>
      </w:r>
      <w:r/>
    </w:p>
    <w:p>
      <w:pPr>
        <w:ind w:left="0"/>
        <w:spacing w:line="360" w:lineRule="auto"/>
        <w:widowControl w:val="off"/>
        <w:rPr>
          <w:rFonts w:ascii="宋体" w:hAnsi="宋体"/>
          <w:sz w:val="22"/>
          <w:szCs w:val="22"/>
        </w:rPr>
      </w:pPr>
      <w:r>
        <w:rPr>
          <w:rFonts w:ascii="宋体" w:hAnsi="宋体"/>
          <w:sz w:val="22"/>
          <w:szCs w:val="22"/>
        </w:rPr>
      </w:r>
      <w:r/>
    </w:p>
    <w:p>
      <w:pPr>
        <w:ind w:left="0" w:firstLine="440"/>
        <w:spacing w:line="360" w:lineRule="auto"/>
        <w:widowControl w:val="off"/>
        <w:rPr>
          <w:rFonts w:ascii="宋体" w:hAnsi="宋体"/>
          <w:sz w:val="22"/>
          <w:szCs w:val="22"/>
        </w:rPr>
      </w:pPr>
      <w:r>
        <w:rPr>
          <w:rFonts w:hint="eastAsia" w:ascii="宋体" w:hAnsi="宋体"/>
          <w:sz w:val="22"/>
          <w:szCs w:val="22"/>
        </w:rPr>
        <w:t xml:space="preserve">十七、合同生效及其它</w:t>
      </w:r>
      <w:r/>
    </w:p>
    <w:p>
      <w:pPr>
        <w:ind w:left="0" w:firstLine="440"/>
        <w:spacing w:line="360" w:lineRule="auto"/>
        <w:widowControl w:val="off"/>
        <w:rPr>
          <w:rFonts w:ascii="宋体" w:hAnsi="宋体"/>
          <w:sz w:val="22"/>
          <w:szCs w:val="22"/>
        </w:rPr>
      </w:pPr>
      <w:r>
        <w:rPr>
          <w:rFonts w:hint="eastAsia" w:ascii="宋体" w:hAnsi="宋体"/>
          <w:sz w:val="22"/>
          <w:szCs w:val="22"/>
        </w:rPr>
        <w:t xml:space="preserve">17.1 合同经甲乙双方法定代表或授权委托代表签字且加盖单位公章后生效。</w:t>
      </w:r>
      <w:r/>
    </w:p>
    <w:p>
      <w:pPr>
        <w:ind w:left="0" w:firstLine="440"/>
        <w:spacing w:line="360" w:lineRule="auto"/>
        <w:widowControl w:val="off"/>
        <w:rPr>
          <w:rFonts w:ascii="宋体" w:hAnsi="宋体"/>
          <w:sz w:val="22"/>
          <w:szCs w:val="22"/>
        </w:rPr>
      </w:pPr>
      <w:r>
        <w:rPr>
          <w:rFonts w:hint="eastAsia" w:ascii="宋体" w:hAnsi="宋体"/>
          <w:sz w:val="22"/>
          <w:szCs w:val="22"/>
        </w:rPr>
        <w:t xml:space="preserve">17.2 本合同未尽事宜，遵照《中华人民共和国民法典》有关条文执行。</w:t>
      </w:r>
      <w:r/>
    </w:p>
    <w:p>
      <w:pPr>
        <w:ind w:left="0" w:firstLine="440"/>
        <w:spacing w:line="360" w:lineRule="auto"/>
        <w:widowControl w:val="off"/>
        <w:rPr>
          <w:rFonts w:ascii="宋体" w:hAnsi="宋体"/>
          <w:sz w:val="22"/>
          <w:szCs w:val="22"/>
        </w:rPr>
      </w:pPr>
      <w:r>
        <w:rPr>
          <w:rFonts w:hint="eastAsia" w:ascii="宋体" w:hAnsi="宋体"/>
          <w:sz w:val="22"/>
          <w:szCs w:val="22"/>
        </w:rPr>
        <w:t xml:space="preserve">17.3 本合同一式肆份，具有同等法律效力，甲方、乙方各执贰份。</w:t>
      </w:r>
      <w:r/>
    </w:p>
    <w:p>
      <w:pPr>
        <w:ind w:left="0" w:firstLine="440"/>
        <w:spacing w:line="360" w:lineRule="auto"/>
        <w:widowControl w:val="off"/>
        <w:rPr>
          <w:rFonts w:ascii="宋体" w:hAnsi="宋体"/>
          <w:sz w:val="22"/>
          <w:szCs w:val="22"/>
        </w:rPr>
      </w:pPr>
      <w:r>
        <w:rPr>
          <w:rFonts w:hint="eastAsia" w:ascii="宋体" w:hAnsi="宋体"/>
          <w:sz w:val="22"/>
          <w:szCs w:val="22"/>
        </w:rPr>
        <w:t xml:space="preserve">17.4 附件：</w:t>
      </w:r>
      <w:r/>
    </w:p>
    <w:p>
      <w:pPr>
        <w:ind w:left="0" w:firstLine="440"/>
        <w:spacing w:line="360" w:lineRule="auto"/>
        <w:widowControl w:val="off"/>
        <w:rPr>
          <w:rFonts w:ascii="宋体" w:hAnsi="宋体"/>
          <w:sz w:val="22"/>
          <w:szCs w:val="22"/>
        </w:rPr>
      </w:pPr>
      <w:r>
        <w:rPr>
          <w:rFonts w:hint="eastAsia" w:ascii="宋体" w:hAnsi="宋体"/>
          <w:sz w:val="22"/>
          <w:szCs w:val="22"/>
        </w:rPr>
        <w:t xml:space="preserve">（1）投标文件中服务承诺；</w:t>
      </w:r>
      <w:r/>
    </w:p>
    <w:p>
      <w:pPr>
        <w:ind w:left="0" w:firstLine="440"/>
        <w:spacing w:line="360" w:lineRule="auto"/>
        <w:widowControl w:val="off"/>
        <w:rPr>
          <w:rFonts w:ascii="宋体" w:hAnsi="宋体"/>
          <w:sz w:val="22"/>
          <w:szCs w:val="22"/>
        </w:rPr>
      </w:pPr>
      <w:r>
        <w:rPr>
          <w:rFonts w:hint="eastAsia" w:ascii="宋体" w:hAnsi="宋体"/>
          <w:sz w:val="22"/>
          <w:szCs w:val="22"/>
        </w:rPr>
        <w:t xml:space="preserve">（2）投标明细清单及产品图片（图片展示标签黏贴标记处）；</w:t>
      </w:r>
      <w:r/>
    </w:p>
    <w:p>
      <w:pPr>
        <w:ind w:left="0" w:firstLine="440"/>
        <w:spacing w:line="360" w:lineRule="auto"/>
        <w:widowControl w:val="off"/>
        <w:rPr>
          <w:rFonts w:ascii="宋体" w:hAnsi="宋体"/>
          <w:sz w:val="22"/>
          <w:szCs w:val="22"/>
        </w:rPr>
      </w:pPr>
      <w:r>
        <w:rPr>
          <w:rFonts w:hint="eastAsia" w:ascii="宋体" w:hAnsi="宋体"/>
          <w:sz w:val="22"/>
          <w:szCs w:val="22"/>
        </w:rPr>
        <w:t xml:space="preserve">（3）投标文件技术偏离表；</w:t>
      </w:r>
      <w:r/>
    </w:p>
    <w:p>
      <w:pPr>
        <w:ind w:left="0" w:firstLine="440"/>
        <w:spacing w:line="360" w:lineRule="auto"/>
        <w:widowControl w:val="off"/>
        <w:rPr>
          <w:rFonts w:ascii="宋体" w:hAnsi="宋体"/>
          <w:sz w:val="22"/>
          <w:szCs w:val="22"/>
        </w:rPr>
      </w:pPr>
      <w:r>
        <w:rPr>
          <w:rFonts w:hint="eastAsia" w:ascii="宋体" w:hAnsi="宋体"/>
          <w:sz w:val="22"/>
          <w:szCs w:val="22"/>
        </w:rPr>
        <w:t xml:space="preserve">（4）投标文件分项报价格；</w:t>
      </w:r>
      <w:r/>
    </w:p>
    <w:p>
      <w:pPr>
        <w:ind w:left="0" w:firstLine="440"/>
        <w:spacing w:line="360" w:lineRule="auto"/>
        <w:widowControl w:val="off"/>
        <w:rPr>
          <w:rFonts w:ascii="宋体" w:hAnsi="宋体"/>
          <w:sz w:val="22"/>
          <w:szCs w:val="22"/>
        </w:rPr>
      </w:pPr>
      <w:r>
        <w:rPr>
          <w:rFonts w:hint="eastAsia" w:ascii="宋体" w:hAnsi="宋体"/>
          <w:sz w:val="22"/>
          <w:szCs w:val="22"/>
        </w:rPr>
        <w:t xml:space="preserve">（5）履约验收方案。</w:t>
      </w:r>
      <w:r/>
    </w:p>
    <w:p>
      <w:pPr>
        <w:pStyle w:val="839"/>
      </w:pPr>
      <w:r/>
      <w:r/>
    </w:p>
    <w:p>
      <w:pPr>
        <w:ind w:left="0" w:firstLine="440"/>
        <w:spacing w:line="360" w:lineRule="auto"/>
        <w:widowControl w:val="off"/>
        <w:rPr>
          <w:rFonts w:ascii="宋体" w:hAnsi="宋体"/>
          <w:sz w:val="22"/>
          <w:szCs w:val="22"/>
        </w:rPr>
      </w:pPr>
      <w:r>
        <w:rPr>
          <w:rFonts w:hint="eastAsia" w:ascii="宋体" w:hAnsi="宋体"/>
          <w:sz w:val="22"/>
          <w:szCs w:val="22"/>
        </w:rPr>
        <w:t xml:space="preserve">补充条款：（支队根据实际情况与供货单位签署的售后服务承诺等保障合同履行的内容，但不得偏离合同实质性条款。）</w:t>
      </w:r>
      <w:r/>
    </w:p>
    <w:tbl>
      <w:tblPr>
        <w:tblStyle w:val="838"/>
        <w:tblW w:w="4998" w:type="pct"/>
        <w:jc w:val="center"/>
        <w:tblLayout w:type="autofit"/>
        <w:tblCellMar>
          <w:left w:w="0" w:type="dxa"/>
          <w:top w:w="0" w:type="dxa"/>
          <w:right w:w="0" w:type="dxa"/>
          <w:bottom w:w="0" w:type="dxa"/>
        </w:tblCellMar>
        <w:tblLook w:val="04A0" w:firstRow="1" w:lastRow="0" w:firstColumn="1" w:lastColumn="0" w:noHBand="0" w:noVBand="1"/>
      </w:tblPr>
      <w:tblGrid>
        <w:gridCol w:w="5312"/>
        <w:gridCol w:w="4578"/>
      </w:tblGrid>
      <w:tr>
        <w:trPr>
          <w:jc w:val="center"/>
          <w:trHeight w:val="510"/>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685"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甲    方:</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314"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乙    方：</w:t>
            </w:r>
            <w:r/>
          </w:p>
        </w:tc>
      </w:tr>
      <w:tr>
        <w:trPr>
          <w:jc w:val="center"/>
          <w:trHeight w:val="510"/>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685"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单位名称（盖章）：</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314"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单位名称（盖章）:</w:t>
            </w:r>
            <w:r/>
          </w:p>
        </w:tc>
      </w:tr>
      <w:tr>
        <w:trPr>
          <w:jc w:val="center"/>
          <w:trHeight w:val="386"/>
        </w:trPr>
        <w:tc>
          <w:tcPr>
            <w:shd w:val="clear" w:color="auto" w:fill="ffffff"/>
            <w:tcBorders>
              <w:top w:val="single" w:color="auto" w:sz="4" w:space="0"/>
              <w:left w:val="single" w:color="auto" w:sz="4" w:space="0"/>
              <w:right w:val="single" w:color="auto" w:sz="4" w:space="0"/>
            </w:tcBorders>
            <w:tcMar>
              <w:left w:w="15" w:type="dxa"/>
              <w:top w:w="15" w:type="dxa"/>
              <w:right w:w="15" w:type="dxa"/>
            </w:tcMar>
            <w:tcW w:w="2685"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单位地址：</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314"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单位地址:</w:t>
            </w:r>
            <w:r/>
          </w:p>
        </w:tc>
      </w:tr>
      <w:tr>
        <w:trPr>
          <w:jc w:val="center"/>
          <w:trHeight w:val="410"/>
        </w:trPr>
        <w:tc>
          <w:tcPr>
            <w:shd w:val="clear" w:color="auto" w:fill="ffffff"/>
            <w:tcBorders>
              <w:left w:val="single" w:color="auto" w:sz="4" w:space="0"/>
              <w:right w:val="single" w:color="auto" w:sz="4" w:space="0"/>
            </w:tcBorders>
            <w:tcMar>
              <w:left w:w="15" w:type="dxa"/>
              <w:top w:w="15" w:type="dxa"/>
              <w:right w:w="15" w:type="dxa"/>
            </w:tcMar>
            <w:tcW w:w="2685"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银行账户信息：</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314"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银行账户信息：</w:t>
            </w:r>
            <w:r/>
          </w:p>
        </w:tc>
      </w:tr>
      <w:tr>
        <w:trPr>
          <w:jc w:val="center"/>
          <w:trHeight w:val="510"/>
        </w:trPr>
        <w:tc>
          <w:tcPr>
            <w:shd w:val="clear" w:color="auto" w:fill="ffffff"/>
            <w:tcBorders>
              <w:left w:val="single" w:color="auto" w:sz="4" w:space="0"/>
              <w:bottom w:val="single" w:color="auto" w:sz="4" w:space="0"/>
              <w:right w:val="single" w:color="auto" w:sz="4" w:space="0"/>
            </w:tcBorders>
            <w:tcMar>
              <w:left w:w="15" w:type="dxa"/>
              <w:top w:w="15" w:type="dxa"/>
              <w:right w:w="15" w:type="dxa"/>
            </w:tcMar>
            <w:tcW w:w="2685"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法定代表人（签字或盖章）：</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314"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法定代表人（签字或盖章）：</w:t>
            </w:r>
            <w:r/>
          </w:p>
        </w:tc>
      </w:tr>
      <w:tr>
        <w:trPr>
          <w:jc w:val="center"/>
          <w:trHeight w:val="769"/>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685"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委托代理人：</w:t>
            </w:r>
            <w:r/>
          </w:p>
          <w:p>
            <w:pPr>
              <w:ind w:left="0"/>
              <w:widowControl w:val="off"/>
              <w:rPr>
                <w:rFonts w:ascii="宋体" w:hAnsi="宋体"/>
                <w:sz w:val="22"/>
                <w:szCs w:val="22"/>
              </w:rPr>
            </w:pPr>
            <w:r>
              <w:rPr>
                <w:rFonts w:hint="eastAsia" w:ascii="宋体" w:hAnsi="宋体"/>
                <w:sz w:val="22"/>
                <w:szCs w:val="22"/>
              </w:rPr>
              <w:t xml:space="preserve">签约日期：</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314"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委托代理人：</w:t>
            </w:r>
            <w:r/>
          </w:p>
          <w:p>
            <w:pPr>
              <w:ind w:left="0"/>
              <w:widowControl w:val="off"/>
              <w:rPr>
                <w:rFonts w:ascii="宋体" w:hAnsi="宋体"/>
                <w:sz w:val="22"/>
                <w:szCs w:val="22"/>
              </w:rPr>
            </w:pPr>
            <w:r>
              <w:rPr>
                <w:rFonts w:hint="eastAsia" w:ascii="宋体" w:hAnsi="宋体"/>
                <w:sz w:val="22"/>
                <w:szCs w:val="22"/>
              </w:rPr>
              <w:t xml:space="preserve">签约日期：</w:t>
            </w:r>
            <w:r/>
          </w:p>
        </w:tc>
      </w:tr>
    </w:tbl>
    <w:p>
      <w:pPr>
        <w:ind w:left="0"/>
        <w:spacing w:line="360" w:lineRule="auto"/>
        <w:widowControl w:val="off"/>
        <w:rPr>
          <w:rFonts w:ascii="宋体" w:hAnsi="宋体"/>
          <w:sz w:val="21"/>
          <w:szCs w:val="21"/>
        </w:rPr>
      </w:pPr>
      <w:r>
        <w:rPr>
          <w:rFonts w:ascii="宋体" w:hAnsi="宋体"/>
          <w:sz w:val="21"/>
          <w:szCs w:val="21"/>
        </w:rPr>
      </w:r>
      <w:r/>
    </w:p>
    <w:p>
      <w:pPr>
        <w:pStyle w:val="886"/>
        <w:ind w:left="400" w:firstLine="883"/>
        <w:rPr>
          <w:rFonts w:ascii="宋体" w:hAnsi="宋体"/>
          <w:b/>
          <w:sz w:val="44"/>
          <w:szCs w:val="22"/>
        </w:rPr>
      </w:pPr>
      <w:r>
        <w:rPr>
          <w:rFonts w:hint="eastAsia" w:ascii="宋体" w:hAnsi="宋体"/>
          <w:b/>
          <w:sz w:val="44"/>
          <w:szCs w:val="22"/>
        </w:rPr>
        <w:t xml:space="preserve"> </w:t>
      </w:r>
      <w:r/>
    </w:p>
    <w:p>
      <w:pPr>
        <w:rPr>
          <w:rFonts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br w:type="page" w:clear="all"/>
      </w:r>
      <w:r/>
    </w:p>
    <w:p>
      <w:pPr>
        <w:ind w:left="0" w:firstLine="422"/>
        <w:jc w:val="center"/>
        <w:spacing w:line="59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附件：履约验收方案</w:t>
      </w:r>
      <w:r/>
    </w:p>
    <w:p>
      <w:pPr>
        <w:spacing w:after="120"/>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一、验收程序</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1、在装备生产的关键环节（如装备生产调试期间），视情组织装备骨干、使用单位人员入厂开展节点验收，加强消防装备生产过程中质量控制。</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装备到货后，供应商应做好装备清理、性能测试、随车器材核对、装备自验和停放待验等准备工作，将《装备验收申请表》（附件1）及消防装备验收供应商提交资料清单（附件2）提交至支队相关使用单位申请验收。</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二、验收方法</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1、履约验收应对照合同文本以及投标文件响应逐条核查。</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2、测试验收应对照投标技术响应开展一致性核查和质量性能核查。</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一致性核查应对交付装备与投标文件约定的信息是否一致、装备组成部件和文件资料是否齐全开展逐项核查。</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质量性能核查应对交付装备的功能、性能指标进行实地测试后，与投标文件、检验报告等技术文本约定的信息进行核查。</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3、后勤装备部门验收时，视情组织抽样送专业机构检测。</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三、验收评定</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1、履约验收情况和测试验收情况均合格的方可评定为验收合格。</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2、履约验收情况经投标商务响应核查通过和检验报告、认证证书真实性核查通过的，方可评定为验收合格。</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3、测试验收情况经一致性核查、质量性能核查通过的，方可评定为验收合格。</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交付装备的名称、厂牌型号、数量规模、尺寸大小、性能参数等信息与采购合同、标书文件约定的信息一致，组成部件和文件资料齐全的，评定为一致性核查合格。</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交付装备的性能指标经过实地测试、检验报告证实或抽样送检合格，达到投标文件、检验报告等技术文本中性能指标要求的，评定为质量性能核查合格。</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4、合同约定交货期满后，整改次数不得超过2次，整改时限不得超过30天，质量未能达到投标文件承诺、供应商对存在的问题无法整改或整改超时限的，验收评定为不合格。</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附件：</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1、装备验收申请表</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2、消防装备验收供应商提交资料清单</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3、装备到货交付确认表</w:t>
      </w:r>
      <w:r/>
    </w:p>
    <w:p>
      <w:pPr>
        <w:ind w:left="0"/>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br w:type="page" w:clear="all"/>
      </w:r>
      <w:r/>
    </w:p>
    <w:p>
      <w:pPr>
        <w:ind w:left="0" w:firstLine="422"/>
        <w:spacing w:line="59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附件1：</w:t>
      </w:r>
      <w:r/>
    </w:p>
    <w:p>
      <w:pPr>
        <w:ind w:left="0" w:firstLine="420"/>
        <w:jc w:val="center"/>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装备验收申请表</w:t>
      </w:r>
      <w:r/>
    </w:p>
    <w:p>
      <w:pPr>
        <w:ind w:left="0" w:firstLine="63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我公司（盖章）下列产品已送达贵单位指定收货地点，验收资料准备完毕，现提出到货验收申请，请贵单位人员组织验收。</w:t>
      </w:r>
      <w:r/>
    </w:p>
    <w:tbl>
      <w:tblPr>
        <w:tblStyle w:val="887"/>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559"/>
        <w:gridCol w:w="2694"/>
        <w:gridCol w:w="992"/>
        <w:gridCol w:w="992"/>
        <w:gridCol w:w="906"/>
        <w:gridCol w:w="1504"/>
      </w:tblGrid>
      <w:tr>
        <w:trPr>
          <w:jc w:val="center"/>
        </w:trPr>
        <w:tc>
          <w:tcPr>
            <w:gridSpan w:val="2"/>
            <w:tcW w:w="2263"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项目/合同编号</w:t>
            </w:r>
            <w:r/>
          </w:p>
        </w:tc>
        <w:tc>
          <w:tcPr>
            <w:tcW w:w="2694"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装备名称</w:t>
            </w:r>
            <w:r/>
          </w:p>
        </w:tc>
        <w:tc>
          <w:tcPr>
            <w:tcW w:w="992"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数量</w:t>
            </w:r>
            <w:r/>
          </w:p>
        </w:tc>
        <w:tc>
          <w:tcPr>
            <w:tcW w:w="992"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单价</w:t>
            </w:r>
            <w:r/>
          </w:p>
        </w:tc>
        <w:tc>
          <w:tcPr>
            <w:tcW w:w="906"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总价</w:t>
            </w:r>
            <w:r/>
          </w:p>
        </w:tc>
        <w:tc>
          <w:tcPr>
            <w:tcW w:w="1504"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使用单位</w:t>
            </w:r>
            <w:r/>
          </w:p>
        </w:tc>
      </w:tr>
      <w:tr>
        <w:trPr>
          <w:jc w:val="center"/>
        </w:trPr>
        <w:tc>
          <w:tcPr>
            <w:gridSpan w:val="2"/>
            <w:tcW w:w="2263"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269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gridSpan w:val="2"/>
            <w:tcW w:w="2263"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269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gridSpan w:val="2"/>
            <w:tcW w:w="2263"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269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gridSpan w:val="2"/>
            <w:tcW w:w="2263"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269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gridSpan w:val="2"/>
            <w:tcW w:w="2263"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备注</w:t>
            </w:r>
            <w:r/>
          </w:p>
        </w:tc>
        <w:tc>
          <w:tcPr>
            <w:gridSpan w:val="5"/>
            <w:tcW w:w="7088"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如：车架号</w:t>
            </w:r>
            <w:r/>
          </w:p>
        </w:tc>
      </w:tr>
      <w:tr>
        <w:trPr>
          <w:jc w:val="center"/>
        </w:trPr>
        <w:tc>
          <w:tcPr>
            <w:gridSpan w:val="3"/>
            <w:tcW w:w="4957" w:type="dxa"/>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验收准备资料</w:t>
            </w:r>
            <w:r/>
          </w:p>
        </w:tc>
        <w:tc>
          <w:tcPr>
            <w:gridSpan w:val="4"/>
            <w:tcW w:w="4394"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是否齐全</w:t>
            </w:r>
            <w:r/>
          </w:p>
        </w:tc>
      </w:tr>
      <w:tr>
        <w:trPr>
          <w:jc w:val="center"/>
        </w:trPr>
        <w:tc>
          <w:tcPr>
            <w:tcW w:w="704"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gridSpan w:val="2"/>
            <w:tcW w:w="4253"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有效的检验报告原件、复印件</w:t>
            </w:r>
            <w:r/>
          </w:p>
        </w:tc>
        <w:tc>
          <w:tcPr>
            <w:tcW w:w="992" w:type="dxa"/>
            <w:vAlign w:val="center"/>
            <w:textDirection w:val="lrTb"/>
            <w:noWrap w:val="false"/>
          </w:tcPr>
          <w:p>
            <w:pPr>
              <w:ind w:left="0" w:firstLine="42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704"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p>
        </w:tc>
        <w:tc>
          <w:tcPr>
            <w:gridSpan w:val="2"/>
            <w:tcW w:w="4253"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生产合格证、出厂检验合格证及其复印件</w:t>
            </w:r>
            <w:r/>
          </w:p>
        </w:tc>
        <w:tc>
          <w:tcPr>
            <w:tcW w:w="992" w:type="dxa"/>
            <w:vAlign w:val="center"/>
            <w:textDirection w:val="lrTb"/>
            <w:noWrap w:val="false"/>
          </w:tcPr>
          <w:p>
            <w:pPr>
              <w:ind w:left="0" w:firstLine="42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704"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w:t>
            </w:r>
            <w:r/>
          </w:p>
        </w:tc>
        <w:tc>
          <w:tcPr>
            <w:gridSpan w:val="2"/>
            <w:tcW w:w="4253"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装备操作手册（产品说明书）、保养保修手册</w:t>
            </w:r>
            <w:r/>
          </w:p>
        </w:tc>
        <w:tc>
          <w:tcPr>
            <w:tcW w:w="992" w:type="dxa"/>
            <w:vAlign w:val="center"/>
            <w:textDirection w:val="lrTb"/>
            <w:noWrap w:val="false"/>
          </w:tcPr>
          <w:p>
            <w:pPr>
              <w:ind w:left="0" w:firstLine="42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704"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w:t>
            </w:r>
            <w:r/>
          </w:p>
        </w:tc>
        <w:tc>
          <w:tcPr>
            <w:gridSpan w:val="2"/>
            <w:tcW w:w="4253"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采购合同及投标文件中商务响应复印件</w:t>
            </w:r>
            <w:r/>
          </w:p>
        </w:tc>
        <w:tc>
          <w:tcPr>
            <w:tcW w:w="992" w:type="dxa"/>
            <w:vAlign w:val="center"/>
            <w:textDirection w:val="lrTb"/>
            <w:noWrap w:val="false"/>
          </w:tcPr>
          <w:p>
            <w:pPr>
              <w:ind w:left="0" w:firstLine="42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704"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w:t>
            </w:r>
            <w:r/>
          </w:p>
        </w:tc>
        <w:tc>
          <w:tcPr>
            <w:gridSpan w:val="2"/>
            <w:tcW w:w="4253"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其他验收有关资料</w:t>
            </w:r>
            <w:r/>
          </w:p>
        </w:tc>
        <w:tc>
          <w:tcPr>
            <w:tcW w:w="992" w:type="dxa"/>
            <w:vAlign w:val="center"/>
            <w:textDirection w:val="lrTb"/>
            <w:noWrap w:val="false"/>
          </w:tcPr>
          <w:p>
            <w:pPr>
              <w:ind w:left="0" w:firstLine="42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704"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gridSpan w:val="2"/>
            <w:tcW w:w="4253" w:type="dxa"/>
            <w:textDirection w:val="lrTb"/>
            <w:noWrap w:val="false"/>
          </w:tcPr>
          <w:p>
            <w:pPr>
              <w:ind w:left="0" w:firstLine="42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firstLine="42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704"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gridSpan w:val="2"/>
            <w:tcW w:w="4253" w:type="dxa"/>
            <w:textDirection w:val="lrTb"/>
            <w:noWrap w:val="false"/>
          </w:tcPr>
          <w:p>
            <w:pPr>
              <w:ind w:left="0" w:firstLine="42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firstLine="42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704"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gridSpan w:val="2"/>
            <w:tcW w:w="4253" w:type="dxa"/>
            <w:textDirection w:val="lrTb"/>
            <w:noWrap w:val="false"/>
          </w:tcPr>
          <w:p>
            <w:pPr>
              <w:ind w:left="0" w:firstLine="42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firstLine="42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704"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gridSpan w:val="2"/>
            <w:tcW w:w="4253" w:type="dxa"/>
            <w:textDirection w:val="lrTb"/>
            <w:noWrap w:val="false"/>
          </w:tcPr>
          <w:p>
            <w:pPr>
              <w:ind w:left="0" w:firstLine="42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firstLine="42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bl>
    <w:p>
      <w:pPr>
        <w:ind w:left="0" w:firstLine="420"/>
        <w:spacing w:line="590" w:lineRule="exact"/>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br w:type="page" w:clear="all"/>
      </w:r>
      <w:r/>
    </w:p>
    <w:p>
      <w:pPr>
        <w:ind w:left="0" w:firstLine="422"/>
        <w:spacing w:line="59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附件2：</w:t>
      </w:r>
      <w:r/>
    </w:p>
    <w:p>
      <w:pPr>
        <w:ind w:left="0" w:firstLine="420"/>
        <w:jc w:val="center"/>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消防装备验收供应商提交资料清单</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1、采购合同及投标文件中商务响应复印件；</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2、有效的检验报告原件、复印件；</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3、生产合格证、出厂检验合格证及其复印件；</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4、装备操作手册（产品说明书）、保养保修手册；</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5、其他按要求须提供的资料文本。</w:t>
      </w:r>
      <w:r/>
    </w:p>
    <w:p>
      <w:pPr>
        <w:ind w:left="0" w:firstLine="420"/>
        <w:spacing w:line="590" w:lineRule="exact"/>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firstLine="422"/>
        <w:spacing w:line="59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所有资料必须为中文，资料不齐全或不符合要求的不予验收。</w:t>
      </w:r>
      <w:r/>
    </w:p>
    <w:p>
      <w:pPr>
        <w:ind w:left="0" w:firstLine="422"/>
        <w:spacing w:line="590" w:lineRule="exact"/>
        <w:widowControl w:val="off"/>
        <w:rPr>
          <w:rFonts w:asciiTheme="minorEastAsia" w:hAnsiTheme="minorEastAsia" w:eastAsiaTheme="minorEastAsia" w:cstheme="minorEastAsia"/>
          <w:b/>
          <w:bCs/>
          <w:sz w:val="21"/>
          <w:szCs w:val="21"/>
        </w:rPr>
      </w:pPr>
      <w:r>
        <w:rPr>
          <w:rFonts w:asciiTheme="minorEastAsia" w:hAnsiTheme="minorEastAsia" w:eastAsiaTheme="minorEastAsia" w:cstheme="minorEastAsia"/>
          <w:b/>
          <w:bCs/>
          <w:sz w:val="21"/>
          <w:szCs w:val="21"/>
        </w:rPr>
      </w:r>
      <w:r/>
    </w:p>
    <w:p>
      <w:pPr>
        <w:ind w:left="0" w:firstLine="422"/>
        <w:spacing w:line="590" w:lineRule="exact"/>
        <w:widowControl w:val="off"/>
        <w:rPr>
          <w:rFonts w:asciiTheme="minorEastAsia" w:hAnsiTheme="minorEastAsia" w:eastAsiaTheme="minorEastAsia" w:cstheme="minorEastAsia"/>
          <w:b/>
          <w:bCs/>
          <w:sz w:val="21"/>
          <w:szCs w:val="21"/>
        </w:rPr>
      </w:pPr>
      <w:r>
        <w:rPr>
          <w:rFonts w:asciiTheme="minorEastAsia" w:hAnsiTheme="minorEastAsia" w:eastAsiaTheme="minorEastAsia" w:cstheme="minorEastAsia"/>
          <w:b/>
          <w:bCs/>
          <w:sz w:val="21"/>
          <w:szCs w:val="21"/>
        </w:rPr>
      </w:r>
      <w:r/>
    </w:p>
    <w:p>
      <w:pPr>
        <w:ind w:left="0" w:firstLine="422"/>
        <w:spacing w:line="590" w:lineRule="exact"/>
        <w:widowControl w:val="off"/>
        <w:rPr>
          <w:rFonts w:asciiTheme="minorEastAsia" w:hAnsiTheme="minorEastAsia" w:eastAsiaTheme="minorEastAsia" w:cstheme="minorEastAsia"/>
          <w:b/>
          <w:bCs/>
          <w:sz w:val="21"/>
          <w:szCs w:val="21"/>
        </w:rPr>
      </w:pPr>
      <w:r>
        <w:rPr>
          <w:rFonts w:asciiTheme="minorEastAsia" w:hAnsiTheme="minorEastAsia" w:eastAsiaTheme="minorEastAsia" w:cstheme="minorEastAsia"/>
          <w:b/>
          <w:bCs/>
          <w:sz w:val="21"/>
          <w:szCs w:val="21"/>
        </w:rPr>
      </w:r>
      <w:r/>
    </w:p>
    <w:p>
      <w:pPr>
        <w:ind w:left="0" w:firstLine="422"/>
        <w:spacing w:line="590" w:lineRule="exact"/>
        <w:widowControl w:val="off"/>
        <w:rPr>
          <w:rFonts w:asciiTheme="minorEastAsia" w:hAnsiTheme="minorEastAsia" w:eastAsiaTheme="minorEastAsia" w:cstheme="minorEastAsia"/>
          <w:b/>
          <w:bCs/>
          <w:sz w:val="21"/>
          <w:szCs w:val="21"/>
        </w:rPr>
      </w:pPr>
      <w:r>
        <w:rPr>
          <w:rFonts w:asciiTheme="minorEastAsia" w:hAnsiTheme="minorEastAsia" w:eastAsiaTheme="minorEastAsia" w:cstheme="minorEastAsia"/>
          <w:b/>
          <w:bCs/>
          <w:sz w:val="21"/>
          <w:szCs w:val="21"/>
        </w:rPr>
      </w:r>
      <w:r/>
    </w:p>
    <w:p>
      <w:pPr>
        <w:ind w:left="0" w:firstLine="422"/>
        <w:spacing w:line="590" w:lineRule="exact"/>
        <w:widowControl w:val="off"/>
        <w:rPr>
          <w:rFonts w:asciiTheme="minorEastAsia" w:hAnsiTheme="minorEastAsia" w:eastAsiaTheme="minorEastAsia" w:cstheme="minorEastAsia"/>
          <w:b/>
          <w:bCs/>
          <w:sz w:val="21"/>
          <w:szCs w:val="21"/>
        </w:rPr>
      </w:pPr>
      <w:r>
        <w:rPr>
          <w:rFonts w:asciiTheme="minorEastAsia" w:hAnsiTheme="minorEastAsia" w:eastAsiaTheme="minorEastAsia" w:cstheme="minorEastAsia"/>
          <w:b/>
          <w:bCs/>
          <w:sz w:val="21"/>
          <w:szCs w:val="21"/>
        </w:rPr>
      </w:r>
      <w:r/>
    </w:p>
    <w:p>
      <w:pPr>
        <w:ind w:left="0" w:firstLine="422"/>
        <w:spacing w:line="590" w:lineRule="exact"/>
        <w:widowControl w:val="off"/>
        <w:rPr>
          <w:rFonts w:asciiTheme="minorEastAsia" w:hAnsiTheme="minorEastAsia" w:eastAsiaTheme="minorEastAsia" w:cstheme="minorEastAsia"/>
          <w:b/>
          <w:bCs/>
          <w:sz w:val="21"/>
          <w:szCs w:val="21"/>
        </w:rPr>
      </w:pPr>
      <w:r>
        <w:rPr>
          <w:rFonts w:asciiTheme="minorEastAsia" w:hAnsiTheme="minorEastAsia" w:eastAsiaTheme="minorEastAsia" w:cstheme="minorEastAsia"/>
          <w:b/>
          <w:bCs/>
          <w:sz w:val="21"/>
          <w:szCs w:val="21"/>
        </w:rPr>
      </w:r>
      <w:r/>
    </w:p>
    <w:p>
      <w:pPr>
        <w:ind w:left="0" w:firstLine="422"/>
        <w:spacing w:line="590" w:lineRule="exact"/>
        <w:widowControl w:val="off"/>
        <w:rPr>
          <w:rFonts w:asciiTheme="minorEastAsia" w:hAnsiTheme="minorEastAsia" w:eastAsiaTheme="minorEastAsia" w:cstheme="minorEastAsia"/>
          <w:b/>
          <w:bCs/>
          <w:sz w:val="21"/>
          <w:szCs w:val="21"/>
        </w:rPr>
      </w:pPr>
      <w:r>
        <w:rPr>
          <w:rFonts w:asciiTheme="minorEastAsia" w:hAnsiTheme="minorEastAsia" w:eastAsiaTheme="minorEastAsia" w:cstheme="minorEastAsia"/>
          <w:b/>
          <w:bCs/>
          <w:sz w:val="21"/>
          <w:szCs w:val="21"/>
        </w:rPr>
      </w:r>
      <w:r/>
    </w:p>
    <w:p>
      <w:pPr>
        <w:ind w:left="0" w:firstLine="422"/>
        <w:spacing w:line="590" w:lineRule="exact"/>
        <w:widowControl w:val="off"/>
        <w:rPr>
          <w:rFonts w:asciiTheme="minorEastAsia" w:hAnsiTheme="minorEastAsia" w:eastAsiaTheme="minorEastAsia" w:cstheme="minorEastAsia"/>
          <w:b/>
          <w:bCs/>
          <w:sz w:val="21"/>
          <w:szCs w:val="21"/>
        </w:rPr>
      </w:pPr>
      <w:r>
        <w:rPr>
          <w:rFonts w:asciiTheme="minorEastAsia" w:hAnsiTheme="minorEastAsia" w:eastAsiaTheme="minorEastAsia" w:cstheme="minorEastAsia"/>
          <w:b/>
          <w:bCs/>
          <w:sz w:val="21"/>
          <w:szCs w:val="21"/>
        </w:rPr>
      </w:r>
      <w:r/>
    </w:p>
    <w:p>
      <w:pPr>
        <w:ind w:left="0" w:firstLine="422"/>
        <w:spacing w:line="590" w:lineRule="exact"/>
        <w:widowControl w:val="off"/>
        <w:rPr>
          <w:rFonts w:asciiTheme="minorEastAsia" w:hAnsiTheme="minorEastAsia" w:eastAsiaTheme="minorEastAsia" w:cstheme="minorEastAsia"/>
          <w:b/>
          <w:bCs/>
          <w:sz w:val="21"/>
          <w:szCs w:val="21"/>
        </w:rPr>
      </w:pPr>
      <w:r>
        <w:rPr>
          <w:rFonts w:asciiTheme="minorEastAsia" w:hAnsiTheme="minorEastAsia" w:eastAsiaTheme="minorEastAsia" w:cstheme="minorEastAsia"/>
          <w:b/>
          <w:bCs/>
          <w:sz w:val="21"/>
          <w:szCs w:val="21"/>
        </w:rPr>
      </w:r>
      <w:r/>
    </w:p>
    <w:p>
      <w:pPr>
        <w:ind w:left="0" w:firstLine="422"/>
        <w:spacing w:line="590" w:lineRule="exact"/>
        <w:widowControl w:val="off"/>
        <w:rPr>
          <w:rFonts w:asciiTheme="minorEastAsia" w:hAnsiTheme="minorEastAsia" w:eastAsiaTheme="minorEastAsia" w:cstheme="minorEastAsia"/>
          <w:b/>
          <w:bCs/>
          <w:sz w:val="21"/>
          <w:szCs w:val="21"/>
        </w:rPr>
      </w:pPr>
      <w:r>
        <w:rPr>
          <w:rFonts w:asciiTheme="minorEastAsia" w:hAnsiTheme="minorEastAsia" w:eastAsiaTheme="minorEastAsia" w:cstheme="minorEastAsia"/>
          <w:b/>
          <w:bCs/>
          <w:sz w:val="21"/>
          <w:szCs w:val="21"/>
        </w:rPr>
      </w:r>
      <w:r/>
    </w:p>
    <w:p>
      <w:pPr>
        <w:ind w:left="0" w:firstLine="422"/>
        <w:spacing w:line="590" w:lineRule="exact"/>
        <w:widowControl w:val="off"/>
        <w:rPr>
          <w:rFonts w:asciiTheme="minorEastAsia" w:hAnsiTheme="minorEastAsia" w:eastAsiaTheme="minorEastAsia" w:cstheme="minorEastAsia"/>
          <w:b/>
          <w:bCs/>
          <w:sz w:val="21"/>
          <w:szCs w:val="21"/>
        </w:rPr>
      </w:pPr>
      <w:r>
        <w:rPr>
          <w:rFonts w:asciiTheme="minorEastAsia" w:hAnsiTheme="minorEastAsia" w:eastAsiaTheme="minorEastAsia" w:cstheme="minorEastAsia"/>
          <w:b/>
          <w:bCs/>
          <w:sz w:val="21"/>
          <w:szCs w:val="21"/>
        </w:rPr>
      </w:r>
      <w:r/>
    </w:p>
    <w:p>
      <w:pPr>
        <w:ind w:left="0" w:firstLine="422"/>
        <w:spacing w:line="590" w:lineRule="exact"/>
        <w:widowControl w:val="off"/>
        <w:rPr>
          <w:rFonts w:asciiTheme="minorEastAsia" w:hAnsiTheme="minorEastAsia" w:eastAsiaTheme="minorEastAsia" w:cstheme="minorEastAsia"/>
          <w:b/>
          <w:bCs/>
          <w:sz w:val="21"/>
          <w:szCs w:val="21"/>
        </w:rPr>
      </w:pPr>
      <w:r>
        <w:rPr>
          <w:rFonts w:asciiTheme="minorEastAsia" w:hAnsiTheme="minorEastAsia" w:eastAsiaTheme="minorEastAsia" w:cstheme="minorEastAsia"/>
          <w:b/>
          <w:bCs/>
          <w:sz w:val="21"/>
          <w:szCs w:val="21"/>
        </w:rPr>
      </w:r>
      <w:r/>
    </w:p>
    <w:p>
      <w:pPr>
        <w:ind w:left="0"/>
        <w:spacing w:line="590" w:lineRule="exact"/>
        <w:widowControl w:val="off"/>
        <w:rPr>
          <w:rFonts w:asciiTheme="minorEastAsia" w:hAnsiTheme="minorEastAsia" w:eastAsiaTheme="minorEastAsia" w:cstheme="minorEastAsia"/>
          <w:b/>
          <w:bCs/>
          <w:sz w:val="21"/>
          <w:szCs w:val="21"/>
        </w:rPr>
      </w:pPr>
      <w:r>
        <w:rPr>
          <w:rFonts w:asciiTheme="minorEastAsia" w:hAnsiTheme="minorEastAsia" w:eastAsiaTheme="minorEastAsia" w:cstheme="minorEastAsia"/>
          <w:b/>
          <w:bCs/>
          <w:sz w:val="21"/>
          <w:szCs w:val="21"/>
        </w:rPr>
      </w:r>
      <w:r/>
    </w:p>
    <w:p>
      <w:pP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br w:type="page" w:clear="all"/>
      </w:r>
      <w:r/>
    </w:p>
    <w:p>
      <w:pPr>
        <w:ind w:left="0" w:firstLine="422"/>
        <w:spacing w:line="59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附件3：</w:t>
      </w:r>
      <w:r/>
    </w:p>
    <w:p>
      <w:pPr>
        <w:ind w:left="0" w:firstLine="420"/>
        <w:spacing w:line="590" w:lineRule="exact"/>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firstLine="420"/>
        <w:jc w:val="center"/>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苏州市消防救援支队装备到货交付时间确认表</w:t>
      </w:r>
      <w:r/>
    </w:p>
    <w:p>
      <w:pPr>
        <w:ind w:left="0" w:firstLine="420"/>
        <w:jc w:val="center"/>
        <w:spacing w:line="590" w:lineRule="exact"/>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bl>
      <w:tblPr>
        <w:tblStyle w:val="8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63"/>
        <w:gridCol w:w="1560"/>
        <w:gridCol w:w="1134"/>
        <w:gridCol w:w="1417"/>
        <w:gridCol w:w="1276"/>
        <w:gridCol w:w="1184"/>
      </w:tblGrid>
      <w:tr>
        <w:trPr>
          <w:jc w:val="center"/>
        </w:trPr>
        <w:tc>
          <w:tcPr>
            <w:tcW w:w="2263"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项目/合同编号</w:t>
            </w:r>
            <w:r/>
          </w:p>
        </w:tc>
        <w:tc>
          <w:tcPr>
            <w:tcW w:w="1560"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装备名称</w:t>
            </w:r>
            <w:r/>
          </w:p>
        </w:tc>
        <w:tc>
          <w:tcPr>
            <w:tcW w:w="1134"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数量</w:t>
            </w:r>
            <w:r/>
          </w:p>
        </w:tc>
        <w:tc>
          <w:tcPr>
            <w:tcW w:w="1417"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单价</w:t>
            </w:r>
            <w:r/>
          </w:p>
        </w:tc>
        <w:tc>
          <w:tcPr>
            <w:tcW w:w="1276"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总价</w:t>
            </w:r>
            <w:r/>
          </w:p>
        </w:tc>
        <w:tc>
          <w:tcPr>
            <w:tcW w:w="1184"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备注</w:t>
            </w:r>
            <w:r/>
          </w:p>
        </w:tc>
      </w:tr>
      <w:tr>
        <w:trPr>
          <w:jc w:val="center"/>
        </w:trPr>
        <w:tc>
          <w:tcPr>
            <w:tcW w:w="2263"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供应厂商</w:t>
            </w:r>
            <w:r/>
          </w:p>
        </w:tc>
        <w:tc>
          <w:tcPr>
            <w:tcW w:w="1560"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使用单位</w:t>
            </w:r>
            <w:r/>
          </w:p>
        </w:tc>
        <w:tc>
          <w:tcPr>
            <w:gridSpan w:val="3"/>
            <w:tcW w:w="3877"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Height w:val="1060"/>
        </w:trPr>
        <w:tc>
          <w:tcPr>
            <w:tcW w:w="2263"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合同交货时间</w:t>
            </w:r>
            <w:r/>
          </w:p>
        </w:tc>
        <w:tc>
          <w:tcPr>
            <w:tcW w:w="1560"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vMerge w:val="restart"/>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供应商（厂家）签名</w:t>
            </w:r>
            <w:r/>
          </w:p>
        </w:tc>
        <w:tc>
          <w:tcPr>
            <w:gridSpan w:val="3"/>
            <w:tcW w:w="3877" w:type="dxa"/>
            <w:vAlign w:val="center"/>
            <w:vMerge w:val="restart"/>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Height w:val="812"/>
        </w:trPr>
        <w:tc>
          <w:tcPr>
            <w:tcW w:w="2263"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实际到货时间</w:t>
            </w:r>
            <w:r/>
          </w:p>
        </w:tc>
        <w:tc>
          <w:tcPr>
            <w:tcW w:w="1560"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vMerge w:val="continue"/>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gridSpan w:val="3"/>
            <w:tcW w:w="3877" w:type="dxa"/>
            <w:vAlign w:val="center"/>
            <w:vMerge w:val="continue"/>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使用单位</w:t>
            </w:r>
            <w:r/>
          </w:p>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确认意见</w:t>
            </w:r>
            <w:r/>
          </w:p>
        </w:tc>
        <w:tc>
          <w:tcPr>
            <w:gridSpan w:val="5"/>
            <w:tcW w:w="6571"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备注</w:t>
            </w:r>
            <w:r/>
          </w:p>
        </w:tc>
        <w:tc>
          <w:tcPr>
            <w:gridSpan w:val="5"/>
            <w:tcW w:w="6571"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bl>
    <w:p>
      <w:pPr>
        <w:ind w:left="0"/>
        <w:widowControl w:val="off"/>
        <w:rPr>
          <w:rFonts w:cs="Times New Roman"/>
          <w:sz w:val="21"/>
          <w:szCs w:val="22"/>
        </w:rPr>
      </w:pPr>
      <w:r>
        <w:rPr>
          <w:rFonts w:cs="Times New Roman"/>
          <w:sz w:val="21"/>
          <w:szCs w:val="22"/>
        </w:rPr>
      </w:r>
      <w:r/>
    </w:p>
    <w:p>
      <w:pPr>
        <w:pStyle w:val="886"/>
        <w:ind w:left="400" w:firstLine="883"/>
        <w:rPr>
          <w:rFonts w:ascii="宋体" w:hAnsi="宋体"/>
          <w:b/>
          <w:sz w:val="44"/>
          <w:szCs w:val="22"/>
        </w:rPr>
      </w:pPr>
      <w:r>
        <w:rPr>
          <w:rFonts w:hint="eastAsia" w:ascii="宋体" w:hAnsi="宋体"/>
          <w:b/>
          <w:sz w:val="44"/>
          <w:szCs w:val="22"/>
        </w:rPr>
        <w:br w:type="page" w:clear="all"/>
      </w:r>
      <w:r/>
    </w:p>
    <w:p>
      <w:pPr>
        <w:pStyle w:val="828"/>
        <w:ind w:left="0" w:firstLine="0"/>
        <w:jc w:val="center"/>
        <w:rPr>
          <w:rFonts w:ascii="宋体" w:hAnsi="宋体"/>
          <w:b/>
          <w:sz w:val="44"/>
          <w:szCs w:val="22"/>
        </w:rPr>
      </w:pPr>
      <w:r/>
      <w:bookmarkStart w:id="105" w:name="_Toc105397795"/>
      <w:r>
        <w:rPr>
          <w:rFonts w:hint="eastAsia" w:ascii="宋体" w:hAnsi="宋体"/>
          <w:b/>
          <w:sz w:val="44"/>
          <w:szCs w:val="22"/>
        </w:rPr>
        <w:t xml:space="preserve">第六章 </w:t>
      </w:r>
      <w:bookmarkStart w:id="106" w:name="评分要点"/>
      <w:r/>
      <w:bookmarkEnd w:id="106"/>
      <w:r>
        <w:rPr>
          <w:rFonts w:hint="eastAsia" w:ascii="宋体" w:hAnsi="宋体"/>
          <w:b/>
          <w:sz w:val="44"/>
          <w:szCs w:val="22"/>
        </w:rPr>
        <w:t xml:space="preserve"> 评标办法和评分标准</w:t>
      </w:r>
      <w:bookmarkEnd w:id="102"/>
      <w:r/>
      <w:bookmarkEnd w:id="103"/>
      <w:r/>
      <w:bookmarkEnd w:id="104"/>
      <w:r/>
      <w:bookmarkEnd w:id="105"/>
      <w:r/>
      <w:r/>
    </w:p>
    <w:p>
      <w:pPr>
        <w:ind w:left="0" w:firstLine="422"/>
        <w:spacing w:line="360" w:lineRule="auto"/>
        <w:rPr>
          <w:rFonts w:ascii="宋体" w:hAnsi="宋体"/>
          <w:b/>
          <w:sz w:val="21"/>
          <w:szCs w:val="21"/>
        </w:rPr>
      </w:pPr>
      <w:r/>
      <w:bookmarkStart w:id="107" w:name="_Toc16264"/>
      <w:r/>
      <w:bookmarkStart w:id="108" w:name="_Toc698"/>
      <w:r/>
      <w:bookmarkStart w:id="109" w:name="_Toc17476"/>
      <w:r>
        <w:rPr>
          <w:rFonts w:hint="eastAsia" w:ascii="宋体" w:hAnsi="宋体"/>
          <w:b/>
          <w:sz w:val="21"/>
          <w:szCs w:val="21"/>
        </w:rPr>
        <w:t xml:space="preserve">一、评标办法：</w:t>
      </w:r>
      <w:bookmarkEnd w:id="107"/>
      <w:r/>
      <w:bookmarkEnd w:id="108"/>
      <w:r/>
      <w:bookmarkEnd w:id="109"/>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b/>
          <w:sz w:val="21"/>
          <w:szCs w:val="21"/>
        </w:rPr>
      </w:pPr>
      <w:r>
        <w:rPr>
          <w:rFonts w:ascii="宋体" w:hAnsi="宋体"/>
          <w:sz w:val="21"/>
        </w:rPr>
        <w:t xml:space="preserve">5</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b/>
          <w:bCs/>
          <w:sz w:val="21"/>
          <w:szCs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江苏省财政厅关于进一步加大政府采购支持中小企业力度的通知》（苏财购〔2022〕45号）的有关规定，</w:t>
      </w:r>
      <w:r>
        <w:rPr>
          <w:rFonts w:hint="eastAsia" w:ascii="宋体" w:hAnsi="宋体"/>
          <w:b/>
          <w:bCs/>
          <w:sz w:val="21"/>
          <w:szCs w:val="21"/>
        </w:rPr>
        <w:t xml:space="preserve">本项目为专门面向中小企业采购的项目，不再执行价格评审优惠的扶持政策。</w:t>
      </w:r>
      <w:r/>
    </w:p>
    <w:p>
      <w:pPr>
        <w:ind w:left="0" w:firstLine="420"/>
        <w:spacing w:line="360" w:lineRule="auto"/>
        <w:rPr>
          <w:rFonts w:ascii="宋体" w:hAnsi="宋体"/>
          <w:b/>
          <w:bCs/>
          <w:sz w:val="21"/>
          <w:szCs w:val="21"/>
        </w:rPr>
      </w:pPr>
      <w:r>
        <w:rPr>
          <w:rFonts w:hint="eastAsia" w:ascii="宋体" w:hAnsi="宋体"/>
          <w:bCs/>
          <w:sz w:val="21"/>
        </w:rPr>
        <w:t xml:space="preserve">投标人必须提供《中小企业声明函》或《残疾人福利性单位声明函》或由省级以上监狱管理局、戒毒管理局（含新疆生产建设兵团）出具</w:t>
      </w:r>
      <w:r>
        <w:rPr>
          <w:rFonts w:hint="eastAsia" w:ascii="宋体" w:hAnsi="宋体"/>
          <w:sz w:val="21"/>
        </w:rPr>
        <w:t xml:space="preserve">的属于监狱企业的证明文件。</w:t>
      </w:r>
      <w:r>
        <w:rPr>
          <w:rFonts w:hint="eastAsia" w:ascii="宋体" w:hAnsi="宋体"/>
          <w:b/>
          <w:bCs/>
          <w:sz w:val="21"/>
          <w:szCs w:val="21"/>
        </w:rPr>
        <w:t xml:space="preserve">投标人提供的货物既有中小企业制造货物，也有大型企业制造货物的，不享受中小企业扶持政策。</w:t>
      </w:r>
      <w:r/>
    </w:p>
    <w:p>
      <w:pPr>
        <w:ind w:left="0" w:firstLine="420"/>
        <w:spacing w:line="360" w:lineRule="auto"/>
        <w:rPr>
          <w:rFonts w:ascii="宋体" w:hAnsi="宋体"/>
          <w:sz w:val="21"/>
        </w:rPr>
      </w:pPr>
      <w:r>
        <w:rPr>
          <w:rFonts w:ascii="宋体" w:hAnsi="宋体"/>
          <w:sz w:val="21"/>
        </w:rPr>
        <w:t xml:space="preserve">6.</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10" w:name="OLE_LINK25"/>
      <w:r/>
      <w:bookmarkStart w:id="111" w:name="OLE_LINK17"/>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12"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10"/>
      <w:bookmarkEnd w:id="111"/>
      <w:bookmarkEnd w:id="112"/>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39"/>
      </w:pPr>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39"/>
      </w:pPr>
      <w:r/>
      <w:r/>
    </w:p>
    <w:p>
      <w:pPr>
        <w:pStyle w:val="845"/>
        <w:rPr>
          <w:rFonts w:ascii="宋体" w:hAnsi="宋体" w:cs="Times New Roman"/>
        </w:rPr>
      </w:pPr>
      <w:r>
        <w:rPr>
          <w:rFonts w:ascii="宋体" w:hAnsi="宋体" w:cs="Times New Roman"/>
        </w:rPr>
      </w:r>
      <w:r/>
    </w:p>
    <w:p>
      <w:r/>
      <w:r/>
    </w:p>
    <w:p>
      <w:pPr>
        <w:pStyle w:val="839"/>
      </w:pPr>
      <w:r/>
      <w:r/>
    </w:p>
    <w:p>
      <w:r/>
      <w:r/>
    </w:p>
    <w:p>
      <w:pPr>
        <w:pStyle w:val="839"/>
      </w:pPr>
      <w:r/>
      <w:r/>
    </w:p>
    <w:p>
      <w:r/>
      <w:r/>
    </w:p>
    <w:p>
      <w:pPr>
        <w:pStyle w:val="839"/>
      </w:pPr>
      <w:r/>
      <w:r/>
    </w:p>
    <w:p>
      <w:r/>
      <w:r/>
    </w:p>
    <w:p>
      <w:pPr>
        <w:pStyle w:val="839"/>
      </w:pPr>
      <w:r/>
      <w:r/>
    </w:p>
    <w:p>
      <w:r/>
      <w:r/>
    </w:p>
    <w:p>
      <w:pPr>
        <w:pStyle w:val="839"/>
      </w:pPr>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二、评分标准：</w:t>
      </w:r>
      <w:r/>
    </w:p>
    <w:p>
      <w:pPr>
        <w:ind w:left="0" w:firstLine="422"/>
        <w:spacing w:line="360" w:lineRule="auto"/>
        <w:outlineLvl w:val="0"/>
      </w:pPr>
      <w:r>
        <w:rPr>
          <w:rFonts w:hint="eastAsia" w:ascii="宋体" w:hAnsi="宋体" w:cs="Times New Roman"/>
          <w:b/>
          <w:sz w:val="21"/>
          <w:szCs w:val="21"/>
        </w:rPr>
        <w:t xml:space="preserve">包一：</w:t>
      </w:r>
      <w:r/>
    </w:p>
    <w:tbl>
      <w:tblPr>
        <w:tblStyle w:val="838"/>
        <w:tblpPr w:horzAnchor="text" w:tblpXSpec="left" w:vertAnchor="text" w:tblpY="1" w:leftFromText="180" w:topFromText="0" w:rightFromText="180" w:bottomFromText="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30</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投标报价得分＝（评标基准价/投标报价）×30％×100</w:t>
            </w:r>
            <w:r/>
          </w:p>
        </w:tc>
        <w:tc>
          <w:tcPr>
            <w:tcW w:w="2410"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lang w:bidi="ar"/>
              </w:rPr>
              <w:t xml:space="preserve">3</w:t>
            </w:r>
            <w:r>
              <w:rPr>
                <w:rFonts w:ascii="宋体" w:hAnsi="宋体"/>
                <w:sz w:val="21"/>
                <w:szCs w:val="21"/>
                <w:lang w:bidi="ar"/>
              </w:rPr>
              <w:t xml:space="preserve">0</w:t>
            </w:r>
            <w:r/>
          </w:p>
          <w:p>
            <w:pPr>
              <w:ind w:left="0"/>
              <w:widowControl w:val="off"/>
              <w:rPr>
                <w:rFonts w:ascii="宋体" w:hAnsi="宋体" w:cs="Tahoma"/>
                <w:sz w:val="21"/>
                <w:szCs w:val="21"/>
              </w:rPr>
            </w:pPr>
            <w:r>
              <w:rPr>
                <w:rFonts w:ascii="宋体" w:hAnsi="宋体" w:cs="Tahoma"/>
                <w:sz w:val="21"/>
                <w:szCs w:val="21"/>
              </w:rPr>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b/>
                <w:bCs/>
                <w:sz w:val="21"/>
              </w:rPr>
              <w:t xml:space="preserve">▲</w:t>
            </w:r>
            <w:r>
              <w:rPr>
                <w:rFonts w:hint="eastAsia" w:ascii="宋体" w:hAnsi="宋体"/>
                <w:sz w:val="21"/>
                <w:szCs w:val="21"/>
              </w:rPr>
              <w:t xml:space="preserve">技术参数</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1.投标人所投设备产品“▲”重要技术参数（技术参数要求共9项）完全满足招标文件要求的得满分27分，每负偏离一项扣3分，扣完27分止；</w:t>
            </w:r>
            <w:r/>
          </w:p>
          <w:p>
            <w:pPr>
              <w:ind w:left="0"/>
              <w:widowControl w:val="off"/>
              <w:rPr>
                <w:rFonts w:ascii="宋体" w:hAnsi="宋体"/>
                <w:b/>
                <w:bCs/>
                <w:sz w:val="21"/>
                <w:szCs w:val="21"/>
                <w:lang w:bidi="ar"/>
              </w:rPr>
            </w:pPr>
            <w:r>
              <w:rPr>
                <w:rFonts w:hint="eastAsia" w:ascii="宋体" w:hAnsi="宋体"/>
                <w:b/>
                <w:bCs/>
                <w:sz w:val="21"/>
                <w:szCs w:val="21"/>
                <w:lang w:bidi="ar"/>
              </w:rPr>
              <w:t xml:space="preserve">注：</w:t>
            </w:r>
            <w:r>
              <w:rPr>
                <w:rFonts w:hint="eastAsia" w:ascii="宋体" w:hAnsi="宋体"/>
                <w:b/>
                <w:bCs/>
                <w:sz w:val="21"/>
                <w:szCs w:val="21"/>
                <w:lang w:val="en-US" w:eastAsia="zh-CN" w:bidi="ar"/>
              </w:rPr>
              <w:t xml:space="preserve">标</w:t>
            </w:r>
            <w:r>
              <w:rPr>
                <w:rFonts w:hint="eastAsia" w:ascii="宋体" w:hAnsi="宋体"/>
                <w:sz w:val="21"/>
                <w:szCs w:val="21"/>
                <w:lang w:bidi="ar"/>
              </w:rPr>
              <w:t xml:space="preserve">▲</w:t>
            </w:r>
            <w:r>
              <w:rPr>
                <w:rFonts w:hint="eastAsia" w:asciiTheme="minorEastAsia" w:hAnsiTheme="minorEastAsia" w:eastAsiaTheme="minorEastAsia" w:cstheme="minorEastAsia"/>
                <w:b/>
                <w:bCs/>
                <w:sz w:val="21"/>
                <w:szCs w:val="21"/>
              </w:rPr>
              <w:t xml:space="preserve">须提供以下任意一种证明材料：1.相关技术资料支持（技术支持资料须为制造商公开发布的印刷资料或技术规格书或使用说明书）；2.制造商网站最新发布的资料打印件；3.国家认可的检测机构出具的检验(检测)报告；</w:t>
            </w:r>
            <w:r>
              <w:rPr>
                <w:rFonts w:hint="eastAsia" w:asciiTheme="minorEastAsia" w:hAnsiTheme="minorEastAsia" w:eastAsiaTheme="minorEastAsia" w:cstheme="minorEastAsia"/>
                <w:b/>
                <w:bCs/>
                <w:sz w:val="21"/>
                <w:szCs w:val="21"/>
                <w:lang w:val="en-US" w:eastAsia="zh-CN"/>
              </w:rPr>
              <w:t xml:space="preserve">未提供视作负偏离。</w:t>
            </w:r>
            <w:r/>
          </w:p>
          <w:p>
            <w:pPr>
              <w:ind w:left="0"/>
              <w:widowControl w:val="off"/>
              <w:rPr>
                <w:rFonts w:ascii="宋体" w:hAnsi="宋体"/>
                <w:sz w:val="21"/>
                <w:szCs w:val="21"/>
                <w:lang w:bidi="ar"/>
              </w:rPr>
            </w:pPr>
            <w:r>
              <w:rPr>
                <w:rFonts w:hint="eastAsia" w:ascii="宋体" w:hAnsi="宋体"/>
                <w:sz w:val="21"/>
                <w:szCs w:val="21"/>
                <w:lang w:bidi="ar"/>
              </w:rPr>
              <w:t xml:space="preserve">2.投标人对所投产品一般技术参数（技术参数要求共40项非“▲”“★”参数）完全满足招标文件要求的得满分10分，每负偏离1项扣0.25 分，扣完10分止。</w:t>
            </w:r>
            <w:r/>
          </w:p>
        </w:tc>
        <w:tc>
          <w:tcPr>
            <w:tcW w:w="241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37</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样品</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结合投标人提供的各类别产品样品与招标文件采购需求的“点对点”响应性：</w:t>
            </w:r>
            <w:r/>
          </w:p>
          <w:p>
            <w:pPr>
              <w:ind w:left="0"/>
              <w:widowControl w:val="off"/>
              <w:rPr>
                <w:rFonts w:ascii="宋体" w:hAnsi="宋体"/>
                <w:sz w:val="21"/>
                <w:szCs w:val="21"/>
                <w:lang w:bidi="ar"/>
              </w:rPr>
            </w:pPr>
            <w:r>
              <w:rPr>
                <w:rFonts w:hint="eastAsia" w:ascii="宋体" w:hAnsi="宋体"/>
                <w:sz w:val="21"/>
                <w:szCs w:val="21"/>
                <w:lang w:bidi="ar"/>
              </w:rPr>
              <w:t xml:space="preserve">1.对工艺制作细节进行评测。样品工艺组装精细，部件之间衔接紧密，标志准确清晰。</w:t>
            </w:r>
            <w:r/>
          </w:p>
          <w:p>
            <w:pPr>
              <w:ind w:left="0"/>
              <w:widowControl w:val="off"/>
              <w:rPr>
                <w:rFonts w:ascii="宋体" w:hAnsi="宋体"/>
                <w:sz w:val="21"/>
                <w:szCs w:val="21"/>
                <w:lang w:bidi="ar"/>
              </w:rPr>
            </w:pPr>
            <w:r>
              <w:rPr>
                <w:rFonts w:hint="eastAsia" w:ascii="宋体" w:hAnsi="宋体"/>
                <w:sz w:val="21"/>
                <w:szCs w:val="21"/>
                <w:lang w:bidi="ar"/>
              </w:rPr>
              <w:t xml:space="preserve">2.对舒适性进行评测。使用舒适、合体、方便，对跑、爬、跳、蹲等使用过程中可能出现的动作没有限制。</w:t>
            </w:r>
            <w:r/>
          </w:p>
          <w:p>
            <w:pPr>
              <w:ind w:left="0"/>
              <w:widowControl w:val="off"/>
              <w:rPr>
                <w:rFonts w:ascii="宋体" w:hAnsi="宋体"/>
                <w:sz w:val="21"/>
                <w:szCs w:val="21"/>
                <w:lang w:bidi="ar"/>
              </w:rPr>
            </w:pPr>
            <w:r>
              <w:rPr>
                <w:rFonts w:hint="eastAsia" w:ascii="宋体" w:hAnsi="宋体"/>
                <w:sz w:val="21"/>
                <w:szCs w:val="21"/>
                <w:lang w:bidi="ar"/>
              </w:rPr>
              <w:t xml:space="preserve">3.对用材用料进行评测。用材用料结实耐用，粘合无脱胶及表面渗胶。</w:t>
            </w:r>
            <w:r/>
          </w:p>
          <w:p>
            <w:pPr>
              <w:ind w:left="0"/>
              <w:widowControl w:val="off"/>
              <w:rPr>
                <w:rFonts w:ascii="宋体" w:hAnsi="宋体"/>
                <w:sz w:val="21"/>
                <w:szCs w:val="21"/>
                <w:lang w:bidi="ar"/>
              </w:rPr>
            </w:pPr>
            <w:r>
              <w:rPr>
                <w:rFonts w:hint="eastAsia" w:ascii="宋体" w:hAnsi="宋体"/>
                <w:sz w:val="21"/>
                <w:szCs w:val="21"/>
                <w:lang w:bidi="ar"/>
              </w:rPr>
              <w:t xml:space="preserve">4.对使用性能或易用性进行测试，样品使用按键、旋钮等操作部件反馈灵敏准确、操作及界面设计方便操作。</w:t>
            </w:r>
            <w:r/>
          </w:p>
          <w:p>
            <w:pPr>
              <w:ind w:left="0"/>
              <w:widowControl w:val="off"/>
              <w:rPr>
                <w:rFonts w:hint="eastAsia" w:ascii="宋体" w:hAnsi="宋体" w:cs="Times New Roman"/>
                <w:sz w:val="21"/>
                <w:szCs w:val="21"/>
              </w:rPr>
            </w:pPr>
            <w:r>
              <w:rPr>
                <w:rFonts w:hint="eastAsia" w:ascii="宋体" w:hAnsi="宋体"/>
                <w:sz w:val="21"/>
                <w:szCs w:val="21"/>
                <w:lang w:bidi="ar"/>
              </w:rPr>
              <w:t xml:space="preserve">5.对外观配置进行评测。使用者可能触摸到的部件表面无锐利的棱角、无毛刺，款式、号型符合消防救援队伍标识统型要求。</w:t>
            </w:r>
            <w:r/>
          </w:p>
          <w:p>
            <w:pPr>
              <w:ind w:left="0"/>
              <w:widowControl w:val="off"/>
              <w:rPr>
                <w:rFonts w:hint="default" w:eastAsia="宋体"/>
                <w:lang w:val="en-US" w:eastAsia="zh-CN"/>
              </w:rPr>
            </w:pPr>
            <w:r>
              <w:rPr>
                <w:rFonts w:hint="eastAsia" w:ascii="宋体" w:hAnsi="宋体"/>
                <w:sz w:val="21"/>
                <w:szCs w:val="21"/>
                <w:lang w:val="en-US" w:eastAsia="zh-CN" w:bidi="ar"/>
              </w:rPr>
              <w:t xml:space="preserve">上述每项应逐条叙述，完全符合该项全部评测要求，得3分；存在轻微瑕疵，得1.5分；存在明显缺陷，完全不符合评测要求的，视为不满足，不得分。本项最高得15分。</w:t>
            </w:r>
            <w:r/>
          </w:p>
          <w:p>
            <w:pPr>
              <w:ind w:left="0"/>
              <w:widowControl w:val="off"/>
              <w:rPr>
                <w:rFonts w:ascii="宋体" w:hAnsi="宋体"/>
                <w:sz w:val="21"/>
                <w:szCs w:val="21"/>
                <w:lang w:bidi="ar"/>
              </w:rPr>
            </w:pPr>
            <w:r>
              <w:rPr>
                <w:rFonts w:hint="eastAsia" w:ascii="宋体" w:hAnsi="宋体"/>
                <w:b/>
                <w:bCs/>
                <w:sz w:val="21"/>
                <w:szCs w:val="21"/>
                <w:lang w:bidi="ar"/>
              </w:rPr>
              <w:t xml:space="preserve">注：未按招标文件要求提交样品的不得分。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15</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sz w:val="21"/>
                <w:szCs w:val="22"/>
              </w:rPr>
              <w:t xml:space="preserve">培训方案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结合本项目采购需求，对投标人的培训方案（①培训时间计划及培训人员安排；②培训内容设计安排；③重点难点及培训结果保障措施）等进行综合评审：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售后服务方案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售后服务方案（①售后服务机构及人员网点配置；②响应时间；③零配件供应周期、备货储存、工时费等；④定期安排技术人员针对产品的使用环境、使用频率及更新等进行回访、巡检、维护、保养等方案）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1分；内容基本合理、具有一定的可行性、具有一定的操作性、与项目实际基本贴合的得0.5分；每项叙述内容完全脱离采购需求或未作完整叙述的不得分。本项最高得4分。</w:t>
            </w:r>
            <w:r/>
          </w:p>
        </w:tc>
        <w:tc>
          <w:tcPr>
            <w:tcW w:w="2410"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延长质保</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投标人所投产品质保期响应招标文件最低要求（质保三年）基础上每增加一年加1分，最高得2分。</w:t>
            </w:r>
            <w:r/>
          </w:p>
          <w:p>
            <w:pPr>
              <w:ind w:left="0"/>
              <w:widowControl w:val="off"/>
              <w:rPr>
                <w:rFonts w:ascii="宋体" w:hAnsi="宋体"/>
                <w:sz w:val="21"/>
                <w:szCs w:val="21"/>
                <w:lang w:bidi="ar"/>
              </w:rPr>
            </w:pPr>
            <w:r>
              <w:rPr>
                <w:rFonts w:hint="eastAsia" w:ascii="宋体" w:hAnsi="宋体"/>
                <w:b/>
                <w:bCs/>
                <w:sz w:val="21"/>
                <w:szCs w:val="21"/>
                <w:lang w:bidi="ar"/>
              </w:rPr>
              <w:t xml:space="preserve">注：投标文件需提供加盖投标人公章的质保期承诺书，不提供则不得分。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 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b/>
                <w:bCs/>
                <w:sz w:val="21"/>
              </w:rPr>
              <w:t xml:space="preserve">▲</w:t>
            </w:r>
            <w:r>
              <w:rPr>
                <w:rFonts w:hint="eastAsia" w:ascii="宋体" w:hAnsi="宋体"/>
                <w:sz w:val="21"/>
                <w:szCs w:val="21"/>
                <w:lang w:bidi="ar"/>
              </w:rPr>
              <w:t xml:space="preserve">制造商授权、制造商原厂售后服务承诺</w:t>
            </w:r>
            <w:r/>
          </w:p>
        </w:tc>
        <w:tc>
          <w:tcPr>
            <w:tcW w:w="4678" w:type="dxa"/>
            <w:vAlign w:val="center"/>
            <w:textDirection w:val="lrTb"/>
            <w:noWrap w:val="false"/>
          </w:tcPr>
          <w:p>
            <w:pPr>
              <w:ind w:left="0"/>
              <w:widowControl w:val="off"/>
              <w:rPr>
                <w:rFonts w:ascii="宋体" w:hAnsi="宋体"/>
                <w:bCs/>
                <w:sz w:val="21"/>
                <w:szCs w:val="21"/>
                <w:lang w:bidi="ar"/>
              </w:rPr>
            </w:pPr>
            <w:r>
              <w:rPr>
                <w:rFonts w:hint="eastAsia" w:ascii="宋体" w:hAnsi="宋体"/>
                <w:bCs/>
                <w:sz w:val="21"/>
                <w:szCs w:val="21"/>
                <w:lang w:bidi="ar"/>
              </w:rPr>
              <w:t xml:space="preserve">若投标人为所投产品制造商的，提供制造商声明函及售后服务承诺函的得 2 分，未提供则不得分；</w:t>
            </w:r>
            <w:r/>
          </w:p>
          <w:p>
            <w:pPr>
              <w:ind w:left="0"/>
              <w:widowControl w:val="off"/>
              <w:rPr>
                <w:rStyle w:val="893"/>
              </w:rPr>
            </w:pPr>
            <w:r>
              <w:rPr>
                <w:rFonts w:hint="eastAsia" w:ascii="宋体" w:hAnsi="宋体"/>
                <w:bCs/>
                <w:sz w:val="21"/>
                <w:szCs w:val="21"/>
                <w:lang w:bidi="ar"/>
              </w:rPr>
              <w:t xml:space="preserve">若投标人为所投产品代理商的，提供所投产品制造商授权函及原厂售后服务承诺函的得 2 分，未提供则不得分。</w:t>
            </w:r>
            <w:r/>
          </w:p>
          <w:p>
            <w:pPr>
              <w:ind w:left="0"/>
              <w:widowControl w:val="off"/>
              <w:rPr>
                <w:rFonts w:hint="default" w:ascii="宋体" w:hAnsi="宋体" w:eastAsia="宋体"/>
                <w:b/>
                <w:sz w:val="21"/>
                <w:szCs w:val="21"/>
                <w:lang w:val="en-US" w:eastAsia="zh-CN" w:bidi="ar"/>
              </w:rPr>
            </w:pPr>
            <w:r>
              <w:rPr>
                <w:rStyle w:val="893"/>
                <w:rFonts w:hint="eastAsia"/>
                <w:b/>
                <w:bCs/>
                <w:sz w:val="21"/>
                <w:szCs w:val="21"/>
                <w:lang w:val="en-US" w:eastAsia="zh-CN"/>
              </w:rPr>
              <w:t xml:space="preserve">本项最高2分。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合同履约能力</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所投产品的投标人或产品制造商（</w:t>
            </w:r>
            <w:r>
              <w:rPr>
                <w:rFonts w:hint="eastAsia" w:ascii="宋体" w:hAnsi="宋体"/>
                <w:sz w:val="21"/>
                <w:szCs w:val="21"/>
                <w:lang w:val="en-US" w:eastAsia="zh-CN"/>
              </w:rPr>
              <w:t xml:space="preserve">提供同类产品销售业绩</w:t>
            </w:r>
            <w:r>
              <w:rPr>
                <w:rFonts w:hint="eastAsia" w:ascii="宋体" w:hAnsi="宋体"/>
                <w:sz w:val="21"/>
                <w:szCs w:val="21"/>
              </w:rPr>
              <w:t xml:space="preserve">）近4年（自2022年4月份）以来有销售业绩的（非单一产品包为核心产品）。类似业绩日期认定：以签订合同日期为准。每提供一份有效业绩证明材料得1分，最多得4分。</w:t>
            </w:r>
            <w:r/>
          </w:p>
          <w:p>
            <w:pPr>
              <w:ind w:left="0"/>
              <w:widowControl w:val="off"/>
              <w:rPr>
                <w:rFonts w:ascii="宋体" w:hAnsi="宋体"/>
                <w:b/>
                <w:bCs/>
                <w:sz w:val="21"/>
                <w:szCs w:val="21"/>
              </w:rPr>
            </w:pPr>
            <w:r>
              <w:rPr>
                <w:rFonts w:hint="eastAsia" w:ascii="宋体" w:hAnsi="宋体"/>
                <w:b/>
                <w:bCs/>
                <w:sz w:val="21"/>
                <w:szCs w:val="21"/>
              </w:rPr>
              <w:t xml:space="preserve">注：</w:t>
            </w:r>
            <w:r/>
          </w:p>
          <w:p>
            <w:pPr>
              <w:ind w:left="0"/>
              <w:widowControl w:val="off"/>
              <w:rPr>
                <w:rFonts w:ascii="宋体" w:hAnsi="宋体"/>
                <w:b/>
                <w:bCs/>
                <w:sz w:val="21"/>
                <w:szCs w:val="21"/>
              </w:rPr>
            </w:pPr>
            <w:r>
              <w:rPr>
                <w:rFonts w:hint="eastAsia" w:ascii="宋体" w:hAnsi="宋体"/>
                <w:b/>
                <w:bCs/>
                <w:sz w:val="21"/>
                <w:szCs w:val="21"/>
              </w:rPr>
              <w:t xml:space="preserve">①业绩证明材料需同时提供合同、验收证明以及合同执行过程中任意一次付款的发票复印件加盖公章（三者缺一不可），合同须能体现签订单位信息、签订时间、产品名称、型号、价格等相关信息，否则视为无效合同）。</w:t>
            </w:r>
            <w:r/>
          </w:p>
          <w:p>
            <w:pPr>
              <w:ind w:left="0"/>
              <w:widowControl w:val="off"/>
              <w:rPr>
                <w:rFonts w:ascii="宋体" w:hAnsi="宋体"/>
                <w:b/>
                <w:bCs/>
                <w:sz w:val="21"/>
                <w:szCs w:val="21"/>
              </w:rPr>
            </w:pPr>
            <w:r>
              <w:rPr>
                <w:rFonts w:hint="eastAsia" w:ascii="宋体" w:hAnsi="宋体"/>
                <w:b/>
                <w:bCs/>
                <w:sz w:val="21"/>
                <w:szCs w:val="21"/>
              </w:rPr>
              <w:t xml:space="preserve">②统招分签的合同按一个合同业绩计。（多个合同项目名称一致的，均按一个合同计。）</w:t>
            </w:r>
            <w:r/>
          </w:p>
          <w:p>
            <w:pPr>
              <w:ind w:left="0"/>
              <w:widowControl w:val="off"/>
              <w:rPr>
                <w:rFonts w:ascii="宋体" w:hAnsi="宋体"/>
                <w:b/>
                <w:bCs/>
                <w:sz w:val="21"/>
                <w:szCs w:val="21"/>
              </w:rPr>
            </w:pPr>
            <w:r>
              <w:rPr>
                <w:rFonts w:hint="eastAsia" w:ascii="宋体" w:hAnsi="宋体"/>
                <w:b/>
                <w:bCs/>
                <w:sz w:val="21"/>
                <w:szCs w:val="21"/>
              </w:rPr>
              <w:t xml:space="preserve">③合同中的产品名称及产品型号请加以明显标记，以方便评审和核对。</w:t>
            </w:r>
            <w:r/>
          </w:p>
          <w:p>
            <w:pPr>
              <w:ind w:left="0"/>
              <w:widowControl w:val="off"/>
              <w:rPr>
                <w:rFonts w:ascii="宋体" w:hAnsi="宋体"/>
                <w:sz w:val="21"/>
                <w:szCs w:val="21"/>
              </w:rPr>
            </w:pPr>
            <w:r>
              <w:rPr>
                <w:rFonts w:hint="eastAsia" w:ascii="宋体" w:hAnsi="宋体"/>
                <w:b/>
                <w:bCs/>
                <w:sz w:val="21"/>
                <w:szCs w:val="21"/>
              </w:rPr>
              <w:t xml:space="preserve">④合同评审中的重要信息因存在内容模糊、无法辨认而产生不利于该项评审的情况，投标人自行承担后果。</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r>
    </w:tbl>
    <w:p>
      <w:pPr>
        <w:rPr>
          <w:rFonts w:ascii="宋体" w:hAnsi="宋体" w:cs="Times New Roman"/>
          <w:b/>
          <w:sz w:val="21"/>
          <w:szCs w:val="21"/>
        </w:rPr>
      </w:pPr>
      <w:r>
        <w:rPr>
          <w:rFonts w:hint="eastAsia" w:ascii="宋体" w:hAnsi="宋体" w:cs="Times New Roman"/>
          <w:b/>
          <w:sz w:val="21"/>
          <w:szCs w:val="21"/>
        </w:rPr>
        <w:br w:type="page" w:clear="all"/>
      </w:r>
      <w:r/>
    </w:p>
    <w:p>
      <w:pPr>
        <w:ind w:left="0"/>
        <w:spacing w:line="360" w:lineRule="auto"/>
        <w:rPr>
          <w:rFonts w:ascii="宋体" w:hAnsi="宋体" w:cs="Times New Roman"/>
          <w:b/>
          <w:sz w:val="21"/>
          <w:szCs w:val="21"/>
        </w:rPr>
        <w:outlineLvl w:val="0"/>
      </w:pPr>
      <w:r>
        <w:rPr>
          <w:rFonts w:hint="eastAsia" w:ascii="宋体" w:hAnsi="宋体" w:cs="Times New Roman"/>
          <w:b/>
          <w:sz w:val="21"/>
          <w:szCs w:val="21"/>
        </w:rPr>
        <w:t xml:space="preserve">包二：</w:t>
      </w:r>
      <w:r/>
    </w:p>
    <w:tbl>
      <w:tblPr>
        <w:tblStyle w:val="838"/>
        <w:tblpPr w:horzAnchor="text" w:tblpXSpec="left" w:vertAnchor="text" w:tblpY="1" w:leftFromText="180" w:topFromText="0" w:rightFromText="180" w:bottomFromText="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30</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投标报价得分＝（评标基准价/投标报价）×30％×100</w:t>
            </w:r>
            <w:r/>
          </w:p>
        </w:tc>
        <w:tc>
          <w:tcPr>
            <w:tcW w:w="2410"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lang w:bidi="ar"/>
              </w:rPr>
              <w:t xml:space="preserve">3</w:t>
            </w:r>
            <w:r>
              <w:rPr>
                <w:rFonts w:ascii="宋体" w:hAnsi="宋体"/>
                <w:sz w:val="21"/>
                <w:szCs w:val="21"/>
                <w:lang w:bidi="ar"/>
              </w:rPr>
              <w:t xml:space="preserve">0</w:t>
            </w:r>
            <w:r/>
          </w:p>
          <w:p>
            <w:pPr>
              <w:ind w:left="0"/>
              <w:widowControl w:val="off"/>
              <w:rPr>
                <w:rFonts w:ascii="宋体" w:hAnsi="宋体" w:cs="Tahoma"/>
                <w:sz w:val="21"/>
                <w:szCs w:val="21"/>
              </w:rPr>
            </w:pPr>
            <w:r>
              <w:rPr>
                <w:rFonts w:ascii="宋体" w:hAnsi="宋体" w:cs="Tahoma"/>
                <w:sz w:val="21"/>
                <w:szCs w:val="21"/>
              </w:rPr>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b/>
                <w:bCs/>
                <w:sz w:val="21"/>
              </w:rPr>
              <w:t xml:space="preserve">▲</w:t>
            </w:r>
            <w:r>
              <w:rPr>
                <w:rFonts w:hint="eastAsia" w:ascii="宋体" w:hAnsi="宋体"/>
                <w:sz w:val="21"/>
                <w:szCs w:val="21"/>
              </w:rPr>
              <w:t xml:space="preserve">技术参数</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1.投标人所投设备产品“▲”重要技术参数（技术参数要求共4项）完全满足招标文件要求的得满分27分，每负偏离一项扣6.75分，扣完27分止；</w:t>
            </w:r>
            <w:r/>
          </w:p>
          <w:p>
            <w:pPr>
              <w:ind w:left="0"/>
              <w:widowControl w:val="off"/>
              <w:rPr>
                <w:rFonts w:ascii="宋体" w:hAnsi="宋体"/>
                <w:b/>
                <w:bCs/>
                <w:sz w:val="21"/>
                <w:szCs w:val="21"/>
                <w:lang w:bidi="ar"/>
              </w:rPr>
            </w:pPr>
            <w:r>
              <w:rPr>
                <w:rFonts w:hint="eastAsia" w:ascii="宋体" w:hAnsi="宋体"/>
                <w:b/>
                <w:bCs/>
                <w:sz w:val="21"/>
                <w:szCs w:val="21"/>
                <w:lang w:bidi="ar"/>
              </w:rPr>
              <w:t xml:space="preserve">注：</w:t>
            </w:r>
            <w:r>
              <w:rPr>
                <w:rFonts w:hint="eastAsia" w:ascii="宋体" w:hAnsi="宋体"/>
                <w:b/>
                <w:bCs/>
                <w:sz w:val="21"/>
                <w:szCs w:val="21"/>
                <w:lang w:val="en-US" w:eastAsia="zh-CN" w:bidi="ar"/>
              </w:rPr>
              <w:t xml:space="preserve">标</w:t>
            </w:r>
            <w:r>
              <w:rPr>
                <w:rFonts w:hint="eastAsia" w:ascii="宋体" w:hAnsi="宋体"/>
                <w:sz w:val="21"/>
                <w:szCs w:val="21"/>
                <w:lang w:bidi="ar"/>
              </w:rPr>
              <w:t xml:space="preserve">▲</w:t>
            </w:r>
            <w:r>
              <w:rPr>
                <w:rFonts w:hint="eastAsia" w:asciiTheme="minorEastAsia" w:hAnsiTheme="minorEastAsia" w:eastAsiaTheme="minorEastAsia" w:cstheme="minorEastAsia"/>
                <w:b/>
                <w:bCs/>
                <w:sz w:val="21"/>
                <w:szCs w:val="21"/>
              </w:rPr>
              <w:t xml:space="preserve">须提供以下任意一种证明材料：1.相关技术资料支持（技术支持资料须为制造商公开发布的印刷资料或技术规格书或使用说明书）；2.制造商网站最新发布的资料打印件；3.国家认可的检测机构出具的检验(检测)报告；</w:t>
            </w:r>
            <w:r>
              <w:rPr>
                <w:rFonts w:hint="eastAsia" w:asciiTheme="minorEastAsia" w:hAnsiTheme="minorEastAsia" w:eastAsiaTheme="minorEastAsia" w:cstheme="minorEastAsia"/>
                <w:b/>
                <w:bCs/>
                <w:sz w:val="21"/>
                <w:szCs w:val="21"/>
                <w:lang w:val="en-US" w:eastAsia="zh-CN"/>
              </w:rPr>
              <w:t xml:space="preserve">4.第四章采购需求中手提式强光照明灯要求的所投产品完整有效的防爆合格证复印件；未提供视作负偏离。</w:t>
            </w:r>
            <w:r/>
          </w:p>
          <w:p>
            <w:pPr>
              <w:ind w:left="0"/>
              <w:widowControl w:val="off"/>
              <w:rPr>
                <w:rFonts w:ascii="宋体" w:hAnsi="宋体"/>
                <w:sz w:val="21"/>
                <w:szCs w:val="21"/>
                <w:lang w:bidi="ar"/>
              </w:rPr>
            </w:pPr>
            <w:r>
              <w:rPr>
                <w:rFonts w:hint="eastAsia" w:ascii="宋体" w:hAnsi="宋体"/>
                <w:sz w:val="21"/>
                <w:szCs w:val="21"/>
                <w:lang w:bidi="ar"/>
              </w:rPr>
              <w:t xml:space="preserve">2.投标人对所投产品一般技术参数（技术参数要求共20项非“▲”“★”参数）完全满足招标文件要求的得满分10分，每负偏离1项扣0.5 分，扣完10分止。</w:t>
            </w:r>
            <w:r/>
          </w:p>
        </w:tc>
        <w:tc>
          <w:tcPr>
            <w:tcW w:w="241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37</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样品</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结合投标人提供的各类别产品样品与招标文件采购需求的“点对点”响应性：</w:t>
            </w:r>
            <w:r/>
          </w:p>
          <w:p>
            <w:pPr>
              <w:ind w:left="0"/>
              <w:widowControl w:val="off"/>
              <w:rPr>
                <w:rFonts w:ascii="宋体" w:hAnsi="宋体"/>
                <w:sz w:val="21"/>
                <w:szCs w:val="21"/>
                <w:lang w:bidi="ar"/>
              </w:rPr>
            </w:pPr>
            <w:r>
              <w:rPr>
                <w:rFonts w:hint="eastAsia" w:ascii="宋体" w:hAnsi="宋体"/>
                <w:sz w:val="21"/>
                <w:szCs w:val="21"/>
                <w:lang w:bidi="ar"/>
              </w:rPr>
              <w:t xml:space="preserve">1.对工艺制作细节进行评测。样品工艺组装精细，部件之间衔接紧密，外壳接缝严密，开关按键手感清晰，充电口盖密封严实。</w:t>
            </w:r>
            <w:r/>
          </w:p>
          <w:p>
            <w:pPr>
              <w:ind w:left="0"/>
              <w:widowControl w:val="off"/>
              <w:rPr>
                <w:rFonts w:ascii="宋体" w:hAnsi="宋体"/>
                <w:sz w:val="21"/>
                <w:szCs w:val="21"/>
                <w:lang w:bidi="ar"/>
              </w:rPr>
            </w:pPr>
            <w:r>
              <w:rPr>
                <w:rFonts w:hint="eastAsia" w:ascii="宋体" w:hAnsi="宋体"/>
                <w:sz w:val="21"/>
                <w:szCs w:val="21"/>
                <w:lang w:bidi="ar"/>
              </w:rPr>
              <w:t xml:space="preserve">2.对便携性舒适性（可操作性）进行评测。重量符合招标文件要求，手提、肩挎时方便操作；操作开关便捷。</w:t>
            </w:r>
            <w:r/>
          </w:p>
          <w:p>
            <w:pPr>
              <w:ind w:left="0"/>
              <w:widowControl w:val="off"/>
              <w:rPr>
                <w:rFonts w:ascii="宋体" w:hAnsi="宋体"/>
                <w:sz w:val="21"/>
                <w:szCs w:val="21"/>
                <w:lang w:bidi="ar"/>
              </w:rPr>
            </w:pPr>
            <w:r>
              <w:rPr>
                <w:rFonts w:hint="eastAsia" w:ascii="宋体" w:hAnsi="宋体"/>
                <w:sz w:val="21"/>
                <w:szCs w:val="21"/>
                <w:lang w:bidi="ar"/>
              </w:rPr>
              <w:t xml:space="preserve">3.对用材用料进行评测。外壳坚固，符合防爆设备的基本特点；透镜透光均匀。</w:t>
            </w:r>
            <w:r/>
          </w:p>
          <w:p>
            <w:pPr>
              <w:ind w:left="0"/>
              <w:widowControl w:val="off"/>
              <w:rPr>
                <w:rFonts w:ascii="宋体" w:hAnsi="宋体"/>
                <w:sz w:val="21"/>
                <w:szCs w:val="21"/>
                <w:lang w:bidi="ar"/>
              </w:rPr>
            </w:pPr>
            <w:r>
              <w:rPr>
                <w:rFonts w:hint="eastAsia" w:ascii="宋体" w:hAnsi="宋体"/>
                <w:sz w:val="21"/>
                <w:szCs w:val="21"/>
                <w:lang w:bidi="ar"/>
              </w:rPr>
              <w:t xml:space="preserve">4.对安全防护性能进行测试。强光、弱光、爆闪模式切换正常，亮度充足；具备高防护等级的特征。</w:t>
            </w:r>
            <w:r/>
          </w:p>
          <w:p>
            <w:pPr>
              <w:ind w:left="0"/>
              <w:widowControl w:val="off"/>
              <w:rPr>
                <w:rFonts w:hint="eastAsia" w:ascii="宋体" w:hAnsi="宋体" w:cs="Times New Roman"/>
                <w:sz w:val="21"/>
                <w:szCs w:val="21"/>
              </w:rPr>
            </w:pPr>
            <w:r>
              <w:rPr>
                <w:rFonts w:hint="eastAsia" w:ascii="宋体" w:hAnsi="宋体"/>
                <w:sz w:val="21"/>
                <w:szCs w:val="21"/>
                <w:lang w:bidi="ar"/>
              </w:rPr>
              <w:t xml:space="preserve">5.对外观配置进行评测。电池电量、剩余工作时间及灯具工作状态等显示直观，标配、备用配件齐全；产品标识清晰。</w:t>
            </w:r>
            <w:r/>
          </w:p>
          <w:p>
            <w:pPr>
              <w:ind w:left="0"/>
              <w:widowControl w:val="off"/>
              <w:rPr>
                <w:rFonts w:hint="default" w:eastAsia="宋体"/>
                <w:lang w:val="en-US" w:eastAsia="zh-CN"/>
              </w:rPr>
            </w:pPr>
            <w:r>
              <w:rPr>
                <w:rFonts w:hint="eastAsia" w:ascii="宋体" w:hAnsi="宋体"/>
                <w:sz w:val="21"/>
                <w:szCs w:val="21"/>
                <w:lang w:val="en-US" w:eastAsia="zh-CN" w:bidi="ar"/>
              </w:rPr>
              <w:t xml:space="preserve">上述每项应逐条叙述，完全符合该项全部评测要求，得3分；存在轻微瑕疵，得1.5分；存在明显缺陷，完全不符合评测要求的，视为不满足，不得分。本项最高得15分。</w:t>
            </w:r>
            <w:r/>
          </w:p>
          <w:p>
            <w:pPr>
              <w:ind w:left="0"/>
              <w:widowControl w:val="off"/>
              <w:rPr>
                <w:rFonts w:ascii="宋体" w:hAnsi="宋体"/>
                <w:sz w:val="21"/>
                <w:szCs w:val="21"/>
                <w:lang w:bidi="ar"/>
              </w:rPr>
            </w:pPr>
            <w:r>
              <w:rPr>
                <w:rFonts w:hint="eastAsia" w:ascii="宋体" w:hAnsi="宋体"/>
                <w:b/>
                <w:bCs/>
                <w:sz w:val="21"/>
                <w:szCs w:val="21"/>
                <w:lang w:bidi="ar"/>
              </w:rPr>
              <w:t xml:space="preserve">注：未按招标文件要求提交样品的不得分。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15</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sz w:val="21"/>
                <w:szCs w:val="22"/>
              </w:rPr>
              <w:t xml:space="preserve">培训方案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结合本项目采购需求，对投标人的培训方案（①培训时间计划及培训人员安排；②培训内容设计安排；③重点难点及培训结果保障措施）等进行综合评审：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售后服务方案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售后服务方案（①售后服务机构及人员网点配置；②响应时间；③零配件供应周期、备货储存、工时费等；④定期安排技术人员针对产品的使用环境、使用频率及更新等进行回访、巡检、维护、保养等方案）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1分；内容基本合理、具有一定的可行性、具有一定的操作性、与项目实际基本贴合的得0.5分；每项叙述内容完全脱离采购需求或未作完整叙述的不得分。本项最高得4分。</w:t>
            </w:r>
            <w:r/>
          </w:p>
        </w:tc>
        <w:tc>
          <w:tcPr>
            <w:tcW w:w="2410"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延长质保</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投标人所投产品质保期响应招标文件最低要求（质保三年）基础上每增加一年加1分，最高得2分。</w:t>
            </w:r>
            <w:r/>
          </w:p>
          <w:p>
            <w:pPr>
              <w:ind w:left="0"/>
              <w:widowControl w:val="off"/>
              <w:rPr>
                <w:rFonts w:ascii="宋体" w:hAnsi="宋体"/>
                <w:sz w:val="21"/>
                <w:szCs w:val="21"/>
                <w:lang w:bidi="ar"/>
              </w:rPr>
            </w:pPr>
            <w:r>
              <w:rPr>
                <w:rFonts w:hint="eastAsia" w:ascii="宋体" w:hAnsi="宋体"/>
                <w:b/>
                <w:bCs/>
                <w:sz w:val="21"/>
                <w:szCs w:val="21"/>
                <w:lang w:bidi="ar"/>
              </w:rPr>
              <w:t xml:space="preserve">注：投标文件需提供加盖投标人公章的质保期承诺书，不提供则不得分。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 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b/>
                <w:bCs/>
                <w:sz w:val="21"/>
              </w:rPr>
              <w:t xml:space="preserve">▲</w:t>
            </w:r>
            <w:r>
              <w:rPr>
                <w:rFonts w:hint="eastAsia" w:ascii="宋体" w:hAnsi="宋体"/>
                <w:sz w:val="21"/>
                <w:szCs w:val="21"/>
                <w:lang w:bidi="ar"/>
              </w:rPr>
              <w:t xml:space="preserve">制造商授权、制造商原厂售后服务承诺</w:t>
            </w:r>
            <w:r/>
          </w:p>
        </w:tc>
        <w:tc>
          <w:tcPr>
            <w:tcW w:w="4678" w:type="dxa"/>
            <w:vAlign w:val="center"/>
            <w:textDirection w:val="lrTb"/>
            <w:noWrap w:val="false"/>
          </w:tcPr>
          <w:p>
            <w:pPr>
              <w:ind w:left="0"/>
              <w:widowControl w:val="off"/>
              <w:rPr>
                <w:rFonts w:ascii="宋体" w:hAnsi="宋体"/>
                <w:bCs/>
                <w:sz w:val="21"/>
                <w:szCs w:val="21"/>
                <w:lang w:bidi="ar"/>
              </w:rPr>
            </w:pPr>
            <w:r>
              <w:rPr>
                <w:rFonts w:hint="eastAsia" w:ascii="宋体" w:hAnsi="宋体"/>
                <w:bCs/>
                <w:sz w:val="21"/>
                <w:szCs w:val="21"/>
                <w:lang w:bidi="ar"/>
              </w:rPr>
              <w:t xml:space="preserve">若投标人为所投产品制造商的，提供制造商声明函及售后服务承诺函的得 2 分，未提供则不得分；</w:t>
            </w:r>
            <w:r/>
          </w:p>
          <w:p>
            <w:pPr>
              <w:ind w:left="0"/>
              <w:widowControl w:val="off"/>
              <w:rPr>
                <w:rFonts w:hint="eastAsia" w:ascii="宋体" w:hAnsi="宋体"/>
                <w:bCs/>
                <w:sz w:val="21"/>
                <w:szCs w:val="21"/>
                <w:lang w:bidi="ar"/>
              </w:rPr>
            </w:pPr>
            <w:r>
              <w:rPr>
                <w:rFonts w:hint="eastAsia" w:ascii="宋体" w:hAnsi="宋体"/>
                <w:bCs/>
                <w:sz w:val="21"/>
                <w:szCs w:val="21"/>
                <w:lang w:bidi="ar"/>
              </w:rPr>
              <w:t xml:space="preserve">若投标人为所投产品代理商的，提供所投产品制造商授权函及原厂售后服务承诺函的得 2 分，未提供则不得分。</w:t>
            </w:r>
            <w:r/>
          </w:p>
          <w:p>
            <w:pPr>
              <w:ind w:left="0"/>
              <w:widowControl w:val="off"/>
              <w:rPr>
                <w:rFonts w:ascii="宋体" w:hAnsi="宋体"/>
                <w:b/>
                <w:sz w:val="21"/>
                <w:szCs w:val="21"/>
                <w:lang w:bidi="ar"/>
              </w:rPr>
            </w:pPr>
            <w:r>
              <w:rPr>
                <w:rStyle w:val="893"/>
                <w:rFonts w:hint="eastAsia"/>
                <w:b/>
                <w:bCs/>
                <w:sz w:val="21"/>
                <w:szCs w:val="21"/>
                <w:lang w:val="en-US" w:eastAsia="zh-CN"/>
              </w:rPr>
              <w:t xml:space="preserve">本项最高2分。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合同履约能力</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所投产品的投标人或产品制造商（</w:t>
            </w:r>
            <w:r>
              <w:rPr>
                <w:rFonts w:hint="eastAsia" w:ascii="宋体" w:hAnsi="宋体"/>
                <w:sz w:val="21"/>
                <w:szCs w:val="21"/>
                <w:lang w:val="en-US" w:eastAsia="zh-CN"/>
              </w:rPr>
              <w:t xml:space="preserve">提供同类产品销售业绩</w:t>
            </w:r>
            <w:r>
              <w:rPr>
                <w:rFonts w:hint="eastAsia" w:ascii="宋体" w:hAnsi="宋体"/>
                <w:sz w:val="21"/>
                <w:szCs w:val="21"/>
              </w:rPr>
              <w:t xml:space="preserve">）近4年（自2022年4月份）以来有销售业绩的（非单一产品包为核心产品）。类似业绩日期认定：以签订合同日期为准。每提供一份有效业绩证明材料得1分，最多得4分。</w:t>
            </w:r>
            <w:r/>
          </w:p>
          <w:p>
            <w:pPr>
              <w:ind w:left="0"/>
              <w:widowControl w:val="off"/>
              <w:rPr>
                <w:rFonts w:ascii="宋体" w:hAnsi="宋体"/>
                <w:b/>
                <w:bCs/>
                <w:sz w:val="21"/>
                <w:szCs w:val="21"/>
              </w:rPr>
            </w:pPr>
            <w:r>
              <w:rPr>
                <w:rFonts w:hint="eastAsia" w:ascii="宋体" w:hAnsi="宋体"/>
                <w:b/>
                <w:bCs/>
                <w:sz w:val="21"/>
                <w:szCs w:val="21"/>
              </w:rPr>
              <w:t xml:space="preserve">注：</w:t>
            </w:r>
            <w:r/>
          </w:p>
          <w:p>
            <w:pPr>
              <w:ind w:left="0"/>
              <w:widowControl w:val="off"/>
              <w:rPr>
                <w:rFonts w:ascii="宋体" w:hAnsi="宋体"/>
                <w:b/>
                <w:bCs/>
                <w:sz w:val="21"/>
                <w:szCs w:val="21"/>
              </w:rPr>
            </w:pPr>
            <w:r>
              <w:rPr>
                <w:rFonts w:hint="eastAsia" w:ascii="宋体" w:hAnsi="宋体"/>
                <w:b/>
                <w:bCs/>
                <w:sz w:val="21"/>
                <w:szCs w:val="21"/>
              </w:rPr>
              <w:t xml:space="preserve">①业绩证明材料需同时提供合同、验收证明以及合同执行过程中任意一次付款的发票复印件加盖公章（三者缺一不可），合同须能体现签订单位信息、签订时间、产品名称、型号、价格等相关信息，否则视为无效合同）。</w:t>
            </w:r>
            <w:r/>
          </w:p>
          <w:p>
            <w:pPr>
              <w:ind w:left="0"/>
              <w:widowControl w:val="off"/>
              <w:rPr>
                <w:rFonts w:ascii="宋体" w:hAnsi="宋体"/>
                <w:b/>
                <w:bCs/>
                <w:sz w:val="21"/>
                <w:szCs w:val="21"/>
              </w:rPr>
            </w:pPr>
            <w:r>
              <w:rPr>
                <w:rFonts w:hint="eastAsia" w:ascii="宋体" w:hAnsi="宋体"/>
                <w:b/>
                <w:bCs/>
                <w:sz w:val="21"/>
                <w:szCs w:val="21"/>
              </w:rPr>
              <w:t xml:space="preserve">②统招分签的合同按一个合同业绩计。（多个合同项目名称一致的，均按一个合同计。）</w:t>
            </w:r>
            <w:r/>
          </w:p>
          <w:p>
            <w:pPr>
              <w:ind w:left="0"/>
              <w:widowControl w:val="off"/>
              <w:rPr>
                <w:rFonts w:ascii="宋体" w:hAnsi="宋体"/>
                <w:b/>
                <w:bCs/>
                <w:sz w:val="21"/>
                <w:szCs w:val="21"/>
              </w:rPr>
            </w:pPr>
            <w:r>
              <w:rPr>
                <w:rFonts w:hint="eastAsia" w:ascii="宋体" w:hAnsi="宋体"/>
                <w:b/>
                <w:bCs/>
                <w:sz w:val="21"/>
                <w:szCs w:val="21"/>
              </w:rPr>
              <w:t xml:space="preserve">③合同中的产品名称及产品型号请加以明显标记，以方便评审和核对。</w:t>
            </w:r>
            <w:r/>
          </w:p>
          <w:p>
            <w:pPr>
              <w:ind w:left="0"/>
              <w:widowControl w:val="off"/>
              <w:rPr>
                <w:rFonts w:ascii="宋体" w:hAnsi="宋体"/>
                <w:sz w:val="21"/>
                <w:szCs w:val="21"/>
              </w:rPr>
            </w:pPr>
            <w:r>
              <w:rPr>
                <w:rFonts w:hint="eastAsia" w:ascii="宋体" w:hAnsi="宋体"/>
                <w:b/>
                <w:bCs/>
                <w:sz w:val="21"/>
                <w:szCs w:val="21"/>
              </w:rPr>
              <w:t xml:space="preserve">④合同评审中的重要信息因存在内容模糊、无法辨认而产生不利于该项评审的情况，投标人自行承担后果。</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r>
    </w:tbl>
    <w:p>
      <w:pPr>
        <w:rPr>
          <w:rFonts w:ascii="宋体" w:hAnsi="宋体" w:cs="Times New Roman"/>
          <w:b/>
          <w:sz w:val="21"/>
          <w:szCs w:val="21"/>
        </w:rPr>
      </w:pPr>
      <w:r>
        <w:rPr>
          <w:rFonts w:hint="eastAsia" w:ascii="宋体" w:hAnsi="宋体" w:cs="Times New Roman"/>
          <w:b/>
          <w:sz w:val="21"/>
          <w:szCs w:val="21"/>
        </w:rPr>
        <w:br w:type="page" w:clear="all"/>
      </w:r>
      <w:r/>
    </w:p>
    <w:p>
      <w:pPr>
        <w:ind w:left="0"/>
        <w:spacing w:line="360" w:lineRule="auto"/>
        <w:rPr>
          <w:rFonts w:ascii="宋体" w:hAnsi="宋体" w:cs="Times New Roman"/>
          <w:b/>
          <w:sz w:val="21"/>
          <w:szCs w:val="21"/>
        </w:rPr>
        <w:outlineLvl w:val="0"/>
      </w:pPr>
      <w:r>
        <w:rPr>
          <w:rFonts w:hint="eastAsia" w:ascii="宋体" w:hAnsi="宋体" w:cs="Times New Roman"/>
          <w:b/>
          <w:sz w:val="21"/>
          <w:szCs w:val="21"/>
        </w:rPr>
        <w:t xml:space="preserve">包三：</w:t>
      </w:r>
      <w:r/>
    </w:p>
    <w:tbl>
      <w:tblPr>
        <w:tblStyle w:val="838"/>
        <w:tblpPr w:horzAnchor="text" w:tblpXSpec="left" w:vertAnchor="text" w:tblpY="1" w:leftFromText="180" w:topFromText="0" w:rightFromText="180" w:bottomFromText="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30</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投标报价得分＝（评标基准价/投标报价）×30％×100</w:t>
            </w:r>
            <w:r/>
          </w:p>
        </w:tc>
        <w:tc>
          <w:tcPr>
            <w:tcW w:w="2410"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lang w:bidi="ar"/>
              </w:rPr>
              <w:t xml:space="preserve">3</w:t>
            </w:r>
            <w:r>
              <w:rPr>
                <w:rFonts w:ascii="宋体" w:hAnsi="宋体"/>
                <w:sz w:val="21"/>
                <w:szCs w:val="21"/>
                <w:lang w:bidi="ar"/>
              </w:rPr>
              <w:t xml:space="preserve">0</w:t>
            </w:r>
            <w:r/>
          </w:p>
          <w:p>
            <w:pPr>
              <w:ind w:left="0"/>
              <w:widowControl w:val="off"/>
              <w:rPr>
                <w:rFonts w:ascii="宋体" w:hAnsi="宋体" w:cs="Tahoma"/>
                <w:sz w:val="21"/>
                <w:szCs w:val="21"/>
              </w:rPr>
            </w:pPr>
            <w:r>
              <w:rPr>
                <w:rFonts w:ascii="宋体" w:hAnsi="宋体" w:cs="Tahoma"/>
                <w:sz w:val="21"/>
                <w:szCs w:val="21"/>
              </w:rPr>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b/>
                <w:bCs/>
                <w:sz w:val="21"/>
              </w:rPr>
              <w:t xml:space="preserve">▲</w:t>
            </w:r>
            <w:r>
              <w:rPr>
                <w:rFonts w:hint="eastAsia" w:ascii="宋体" w:hAnsi="宋体"/>
                <w:sz w:val="21"/>
                <w:szCs w:val="21"/>
              </w:rPr>
              <w:t xml:space="preserve">技术参数</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1.投标人所投设备产品“▲”重要技术参数（技术参数要求共4项）完全满足招标文件要求的得满分27.6分，每负偏离一项扣6.9分，扣完27.6分止；</w:t>
            </w:r>
            <w:r/>
          </w:p>
          <w:p>
            <w:pPr>
              <w:ind w:left="0"/>
              <w:widowControl w:val="off"/>
              <w:rPr>
                <w:rFonts w:ascii="宋体" w:hAnsi="宋体"/>
                <w:b/>
                <w:bCs/>
                <w:sz w:val="21"/>
                <w:szCs w:val="21"/>
                <w:lang w:bidi="ar"/>
              </w:rPr>
            </w:pPr>
            <w:r>
              <w:rPr>
                <w:rFonts w:hint="eastAsia" w:ascii="宋体" w:hAnsi="宋体"/>
                <w:b/>
                <w:bCs/>
                <w:sz w:val="21"/>
                <w:szCs w:val="21"/>
                <w:lang w:bidi="ar"/>
              </w:rPr>
              <w:t xml:space="preserve">注：</w:t>
            </w:r>
            <w:r>
              <w:rPr>
                <w:rFonts w:hint="eastAsia" w:ascii="宋体" w:hAnsi="宋体"/>
                <w:b/>
                <w:bCs/>
                <w:sz w:val="21"/>
                <w:szCs w:val="21"/>
                <w:lang w:val="en-US" w:eastAsia="zh-CN" w:bidi="ar"/>
              </w:rPr>
              <w:t xml:space="preserve">标</w:t>
            </w:r>
            <w:r>
              <w:rPr>
                <w:rFonts w:hint="eastAsia" w:ascii="宋体" w:hAnsi="宋体"/>
                <w:sz w:val="21"/>
                <w:szCs w:val="21"/>
                <w:lang w:bidi="ar"/>
              </w:rPr>
              <w:t xml:space="preserve">▲</w:t>
            </w:r>
            <w:r>
              <w:rPr>
                <w:rFonts w:hint="eastAsia" w:asciiTheme="minorEastAsia" w:hAnsiTheme="minorEastAsia" w:eastAsiaTheme="minorEastAsia" w:cstheme="minorEastAsia"/>
                <w:b/>
                <w:bCs/>
                <w:sz w:val="21"/>
                <w:szCs w:val="21"/>
              </w:rPr>
              <w:t xml:space="preserve">须提供以下任意一种证明材料：1.相关技术资料支持（技术支持资料须为制造商公开发布的印刷资料或技术规格书或使用说明书）；2.制造商网站最新发布的资料打印件；3.国家认可的检测机构出具的检验(检测)报告；</w:t>
            </w:r>
            <w:r>
              <w:rPr>
                <w:rFonts w:hint="eastAsia" w:asciiTheme="minorEastAsia" w:hAnsiTheme="minorEastAsia" w:eastAsiaTheme="minorEastAsia" w:cstheme="minorEastAsia"/>
                <w:b/>
                <w:bCs/>
                <w:sz w:val="21"/>
                <w:szCs w:val="21"/>
                <w:lang w:val="en-US" w:eastAsia="zh-CN"/>
              </w:rPr>
              <w:t xml:space="preserve">未提供视作负偏离。</w:t>
            </w:r>
            <w:r/>
          </w:p>
          <w:p>
            <w:pPr>
              <w:ind w:left="0"/>
              <w:widowControl w:val="off"/>
              <w:rPr>
                <w:rFonts w:ascii="宋体" w:hAnsi="宋体"/>
                <w:sz w:val="21"/>
                <w:szCs w:val="21"/>
                <w:lang w:bidi="ar"/>
              </w:rPr>
            </w:pPr>
            <w:r>
              <w:rPr>
                <w:rFonts w:hint="eastAsia" w:ascii="宋体" w:hAnsi="宋体"/>
                <w:sz w:val="21"/>
                <w:szCs w:val="21"/>
                <w:lang w:bidi="ar"/>
              </w:rPr>
              <w:t xml:space="preserve">2.投标人对所投产品一般技术参数（技术参数要求共9项非“▲”“★”参数）完全满足招标文件要求的得满分14.4分，每负偏离1项扣1.6 分，扣完14.4分止。</w:t>
            </w:r>
            <w:r/>
          </w:p>
        </w:tc>
        <w:tc>
          <w:tcPr>
            <w:tcW w:w="241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42</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演示视频</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根据各投标人所投设备的演示视频（包括但不仅限于展示设备与所投产品型号、配置的一致性以及彩色实景拍摄产品尺寸及外观与招标文件要求的相符性；彩色实景演示产品功能及操作便利性进行评审：</w:t>
            </w:r>
            <w:r/>
          </w:p>
          <w:p>
            <w:pPr>
              <w:ind w:left="0"/>
              <w:widowControl w:val="off"/>
              <w:rPr>
                <w:rFonts w:ascii="宋体" w:hAnsi="宋体"/>
                <w:sz w:val="21"/>
                <w:szCs w:val="21"/>
                <w:lang w:bidi="ar"/>
              </w:rPr>
            </w:pPr>
            <w:r>
              <w:rPr>
                <w:rFonts w:hint="eastAsia" w:ascii="宋体" w:hAnsi="宋体"/>
                <w:sz w:val="21"/>
                <w:szCs w:val="21"/>
                <w:lang w:bidi="ar"/>
              </w:rPr>
              <w:t xml:space="preserve">投标人所提供视频完整且清晰展示①各产品主要部件、型号，②温度显示、③各模式下的成像效果、④最高温及最低温指针搜寻等重点功能操作内容，⑤分辨率清晰。</w:t>
            </w:r>
            <w:r/>
          </w:p>
          <w:p>
            <w:pPr>
              <w:pStyle w:val="895"/>
              <w:ind w:left="0"/>
            </w:pPr>
            <w:r>
              <w:rPr>
                <w:rFonts w:hint="eastAsia" w:asciiTheme="minorEastAsia" w:hAnsiTheme="minorEastAsia" w:eastAsiaTheme="minorEastAsia" w:cstheme="minorEastAsia"/>
                <w:sz w:val="21"/>
                <w:szCs w:val="21"/>
              </w:rPr>
              <w:t xml:space="preserve">上述每项应逐条根据系统功能演示进行综合评分：相关功能的演示全面、 能逐项体现采购需求中规定内容，且功能展示效果符合采购需求，所验证的相关需求参数科学可信，操作流程明确直观的得2分；相关功能的演示较全面、 能基本体现采购需求中规定内容，操作流程基本清晰的得1分；每项演示未能实现功能的不得分。本项满分10分。</w:t>
            </w:r>
            <w:r/>
          </w:p>
          <w:p>
            <w:pPr>
              <w:pStyle w:val="895"/>
              <w:ind w:left="0"/>
              <w:rPr>
                <w:rFonts w:ascii="宋体" w:hAnsi="宋体"/>
                <w:sz w:val="21"/>
                <w:szCs w:val="21"/>
                <w:lang w:bidi="ar"/>
              </w:rPr>
            </w:pPr>
            <w:r>
              <w:rPr>
                <w:rFonts w:hint="eastAsia" w:asciiTheme="minorEastAsia" w:hAnsiTheme="minorEastAsia" w:eastAsiaTheme="minorEastAsia" w:cstheme="minorEastAsia"/>
                <w:b/>
                <w:bCs/>
                <w:sz w:val="21"/>
                <w:szCs w:val="21"/>
              </w:rPr>
              <w:t xml:space="preserve">注：1.投标人根据招标文件要求，以所投型号产品实物真实地进行视频演示，演示视频时间不少于3分钟，需在“苏采云”系统演示文件入口按系统要求上传演示文件。2.单个视频附件压缩包大小不得超过50M，整体附件压缩包不得超过300M，视频文件格式建议采用MP4、MKV、MOV、AVI格式。3.演示内容确保真实且作为项目履约验收的重要参考依据。因投标人上传文件本身损坏等自身原因导致演示资料无法正常读取的视为无效演示，本项不得分，由投标人商自行承担责任。</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10</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sz w:val="21"/>
                <w:szCs w:val="22"/>
              </w:rPr>
              <w:t xml:space="preserve">培训方案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结合本项目采购需求，对投标人的培训方案（①培训时间计划及培训人员安排；②培训内容设计安排；③重点难点及培训结果保障措施）等进行综合评审：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售后服务方案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售后服务方案（①售后服务机构及人员网点配置；②响应时间；③零配件供应周期、备货储存、工时费等；④定期安排技术人员针对产品的使用环境、使用频率及更新等进行回访、巡检、维护、保养等方案）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1分；内容基本合理、具有一定的可行性、具有一定的操作性、与项目实际基本贴合的得0.5分；每项叙述内容完全脱离采购需求或未作完整叙述的不得分。本项最高得4分。</w:t>
            </w:r>
            <w:r/>
          </w:p>
        </w:tc>
        <w:tc>
          <w:tcPr>
            <w:tcW w:w="2410"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延长质保</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投标人所投产品质保期响应招标文件最低要求（质保三年）基础上每增加一年加1分，最高得2分。</w:t>
            </w:r>
            <w:r/>
          </w:p>
          <w:p>
            <w:pPr>
              <w:ind w:left="0"/>
              <w:widowControl w:val="off"/>
              <w:rPr>
                <w:rFonts w:ascii="宋体" w:hAnsi="宋体"/>
                <w:sz w:val="21"/>
                <w:szCs w:val="21"/>
                <w:lang w:bidi="ar"/>
              </w:rPr>
            </w:pPr>
            <w:r>
              <w:rPr>
                <w:rFonts w:hint="eastAsia" w:ascii="宋体" w:hAnsi="宋体"/>
                <w:b/>
                <w:bCs/>
                <w:sz w:val="21"/>
                <w:szCs w:val="21"/>
                <w:lang w:bidi="ar"/>
              </w:rPr>
              <w:t xml:space="preserve">注：投标文件需提供加盖投标人公章的质保期承诺书，不提供则不得分。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 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b/>
                <w:bCs/>
                <w:sz w:val="21"/>
              </w:rPr>
              <w:t xml:space="preserve">▲</w:t>
            </w:r>
            <w:r>
              <w:rPr>
                <w:rFonts w:hint="eastAsia" w:ascii="宋体" w:hAnsi="宋体"/>
                <w:sz w:val="21"/>
                <w:szCs w:val="21"/>
                <w:lang w:bidi="ar"/>
              </w:rPr>
              <w:t xml:space="preserve">制造商授权、制造商原厂售后服务承诺</w:t>
            </w:r>
            <w:r/>
          </w:p>
        </w:tc>
        <w:tc>
          <w:tcPr>
            <w:tcW w:w="4678" w:type="dxa"/>
            <w:vAlign w:val="center"/>
            <w:textDirection w:val="lrTb"/>
            <w:noWrap w:val="false"/>
          </w:tcPr>
          <w:p>
            <w:pPr>
              <w:ind w:left="0"/>
              <w:widowControl w:val="off"/>
              <w:rPr>
                <w:rFonts w:ascii="宋体" w:hAnsi="宋体"/>
                <w:bCs/>
                <w:sz w:val="21"/>
                <w:szCs w:val="21"/>
                <w:lang w:bidi="ar"/>
              </w:rPr>
            </w:pPr>
            <w:r>
              <w:rPr>
                <w:rFonts w:hint="eastAsia" w:ascii="宋体" w:hAnsi="宋体"/>
                <w:bCs/>
                <w:sz w:val="21"/>
                <w:szCs w:val="21"/>
                <w:lang w:bidi="ar"/>
              </w:rPr>
              <w:t xml:space="preserve">若投标人为所投产品制造商的，提供制造商声明函及售后服务承诺函的得 2 分，未提供则不得分；</w:t>
            </w:r>
            <w:r/>
          </w:p>
          <w:p>
            <w:pPr>
              <w:ind w:left="0"/>
              <w:widowControl w:val="off"/>
              <w:rPr>
                <w:rFonts w:hint="eastAsia" w:ascii="宋体" w:hAnsi="宋体"/>
                <w:bCs/>
                <w:sz w:val="21"/>
                <w:szCs w:val="21"/>
                <w:lang w:bidi="ar"/>
              </w:rPr>
            </w:pPr>
            <w:r>
              <w:rPr>
                <w:rFonts w:hint="eastAsia" w:ascii="宋体" w:hAnsi="宋体"/>
                <w:bCs/>
                <w:sz w:val="21"/>
                <w:szCs w:val="21"/>
                <w:lang w:bidi="ar"/>
              </w:rPr>
              <w:t xml:space="preserve">若投标人为所投产品代理商的，提供所投产品制造商授权函及原厂售后服务承诺函的得 2 分，未提供则不得分。</w:t>
            </w:r>
            <w:r/>
          </w:p>
          <w:p>
            <w:pPr>
              <w:ind w:left="0"/>
              <w:widowControl w:val="off"/>
              <w:rPr>
                <w:rFonts w:ascii="宋体" w:hAnsi="宋体"/>
                <w:b/>
                <w:sz w:val="21"/>
                <w:szCs w:val="21"/>
                <w:lang w:bidi="ar"/>
              </w:rPr>
            </w:pPr>
            <w:r>
              <w:rPr>
                <w:rStyle w:val="893"/>
                <w:rFonts w:hint="eastAsia"/>
                <w:b/>
                <w:bCs/>
                <w:sz w:val="21"/>
                <w:szCs w:val="21"/>
                <w:lang w:val="en-US" w:eastAsia="zh-CN"/>
              </w:rPr>
              <w:t xml:space="preserve">本项最高2分。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合同履约能力</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所投产品的投标人或产品制造商（</w:t>
            </w:r>
            <w:r>
              <w:rPr>
                <w:rFonts w:hint="eastAsia" w:ascii="宋体" w:hAnsi="宋体"/>
                <w:sz w:val="21"/>
                <w:szCs w:val="21"/>
                <w:lang w:val="en-US" w:eastAsia="zh-CN"/>
              </w:rPr>
              <w:t xml:space="preserve">提供同类产品销售业绩</w:t>
            </w:r>
            <w:r>
              <w:rPr>
                <w:rFonts w:hint="eastAsia" w:ascii="宋体" w:hAnsi="宋体"/>
                <w:sz w:val="21"/>
                <w:szCs w:val="21"/>
              </w:rPr>
              <w:t xml:space="preserve">）近4年（自2022年4月份）以来有销售业绩的（非单一产品包为核心产品）。类似业绩日期认定：以签订合同日期为准。每提供一份有效业绩证明材料得1分，最多得4分。</w:t>
            </w:r>
            <w:r/>
          </w:p>
          <w:p>
            <w:pPr>
              <w:ind w:left="0"/>
              <w:widowControl w:val="off"/>
              <w:rPr>
                <w:rFonts w:ascii="宋体" w:hAnsi="宋体"/>
                <w:b/>
                <w:bCs/>
                <w:sz w:val="21"/>
                <w:szCs w:val="21"/>
              </w:rPr>
            </w:pPr>
            <w:r>
              <w:rPr>
                <w:rFonts w:hint="eastAsia" w:ascii="宋体" w:hAnsi="宋体"/>
                <w:b/>
                <w:bCs/>
                <w:sz w:val="21"/>
                <w:szCs w:val="21"/>
              </w:rPr>
              <w:t xml:space="preserve">注：</w:t>
            </w:r>
            <w:r/>
          </w:p>
          <w:p>
            <w:pPr>
              <w:ind w:left="0"/>
              <w:widowControl w:val="off"/>
              <w:rPr>
                <w:rFonts w:ascii="宋体" w:hAnsi="宋体"/>
                <w:b/>
                <w:bCs/>
                <w:sz w:val="21"/>
                <w:szCs w:val="21"/>
              </w:rPr>
            </w:pPr>
            <w:r>
              <w:rPr>
                <w:rFonts w:hint="eastAsia" w:ascii="宋体" w:hAnsi="宋体"/>
                <w:b/>
                <w:bCs/>
                <w:sz w:val="21"/>
                <w:szCs w:val="21"/>
              </w:rPr>
              <w:t xml:space="preserve">①业绩证明材料需同时提供合同、验收证明以及合同执行过程中任意一次付款的发票复印件加盖公章（三者缺一不可），合同须能体现签订单位信息、签订时间、产品名称、型号、价格等相关信息，否则视为无效合同）。</w:t>
            </w:r>
            <w:r/>
          </w:p>
          <w:p>
            <w:pPr>
              <w:ind w:left="0"/>
              <w:widowControl w:val="off"/>
              <w:rPr>
                <w:rFonts w:ascii="宋体" w:hAnsi="宋体"/>
                <w:b/>
                <w:bCs/>
                <w:sz w:val="21"/>
                <w:szCs w:val="21"/>
              </w:rPr>
            </w:pPr>
            <w:r>
              <w:rPr>
                <w:rFonts w:hint="eastAsia" w:ascii="宋体" w:hAnsi="宋体"/>
                <w:b/>
                <w:bCs/>
                <w:sz w:val="21"/>
                <w:szCs w:val="21"/>
              </w:rPr>
              <w:t xml:space="preserve">②统招分签的合同按一个合同业绩计。（多个合同项目名称一致的，均按一个合同计。）</w:t>
            </w:r>
            <w:r/>
          </w:p>
          <w:p>
            <w:pPr>
              <w:ind w:left="0"/>
              <w:widowControl w:val="off"/>
              <w:rPr>
                <w:rFonts w:ascii="宋体" w:hAnsi="宋体"/>
                <w:b/>
                <w:bCs/>
                <w:sz w:val="21"/>
                <w:szCs w:val="21"/>
              </w:rPr>
            </w:pPr>
            <w:r>
              <w:rPr>
                <w:rFonts w:hint="eastAsia" w:ascii="宋体" w:hAnsi="宋体"/>
                <w:b/>
                <w:bCs/>
                <w:sz w:val="21"/>
                <w:szCs w:val="21"/>
              </w:rPr>
              <w:t xml:space="preserve">③合同中的产品名称及产品型号请加以明显标记，以方便评审和核对。</w:t>
            </w:r>
            <w:r/>
          </w:p>
          <w:p>
            <w:pPr>
              <w:ind w:left="0"/>
              <w:widowControl w:val="off"/>
              <w:rPr>
                <w:rFonts w:ascii="宋体" w:hAnsi="宋体"/>
                <w:sz w:val="21"/>
                <w:szCs w:val="21"/>
              </w:rPr>
            </w:pPr>
            <w:r>
              <w:rPr>
                <w:rFonts w:hint="eastAsia" w:ascii="宋体" w:hAnsi="宋体"/>
                <w:b/>
                <w:bCs/>
                <w:sz w:val="21"/>
                <w:szCs w:val="21"/>
              </w:rPr>
              <w:t xml:space="preserve">④合同评审中的重要信息因存在内容模糊、无法辨认而产生不利于该项评审的情况，投标人自行承担后果。</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r>
    </w:tbl>
    <w:p>
      <w:pPr>
        <w:rPr>
          <w:rFonts w:ascii="宋体" w:hAnsi="宋体" w:cs="Times New Roman"/>
          <w:b/>
          <w:sz w:val="21"/>
          <w:szCs w:val="21"/>
        </w:rPr>
      </w:pPr>
      <w:r>
        <w:rPr>
          <w:rFonts w:hint="eastAsia" w:ascii="宋体" w:hAnsi="宋体" w:cs="Times New Roman"/>
          <w:b/>
          <w:sz w:val="21"/>
          <w:szCs w:val="21"/>
        </w:rPr>
        <w:br w:type="page" w:clear="all"/>
      </w:r>
      <w:r/>
    </w:p>
    <w:p>
      <w:pPr>
        <w:ind w:left="0"/>
        <w:spacing w:line="360" w:lineRule="auto"/>
        <w:rPr>
          <w:rFonts w:ascii="宋体" w:hAnsi="宋体" w:cs="Times New Roman"/>
          <w:b/>
          <w:sz w:val="21"/>
          <w:szCs w:val="21"/>
        </w:rPr>
        <w:outlineLvl w:val="0"/>
      </w:pPr>
      <w:r>
        <w:rPr>
          <w:rFonts w:hint="eastAsia" w:ascii="宋体" w:hAnsi="宋体" w:cs="Times New Roman"/>
          <w:b/>
          <w:sz w:val="21"/>
          <w:szCs w:val="21"/>
        </w:rPr>
        <w:t xml:space="preserve">包四：</w:t>
      </w:r>
      <w:r/>
    </w:p>
    <w:tbl>
      <w:tblPr>
        <w:tblStyle w:val="838"/>
        <w:tblpPr w:horzAnchor="text" w:tblpXSpec="left" w:vertAnchor="text" w:tblpY="1" w:leftFromText="180" w:topFromText="0" w:rightFromText="180" w:bottomFromText="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17"/>
        <w:gridCol w:w="4678"/>
        <w:gridCol w:w="2410"/>
      </w:tblGrid>
      <w:tr>
        <w:trPr>
          <w:trHeight w:val="113"/>
        </w:trPr>
        <w:tc>
          <w:tcPr>
            <w:shd w:val="clear" w:color="auto" w:fill="auto"/>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shd w:val="clear" w:color="auto" w:fill="auto"/>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shd w:val="clear" w:color="auto" w:fill="auto"/>
            <w:tcW w:w="467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shd w:val="clear" w:color="auto" w:fill="auto"/>
            <w:tcW w:w="241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shd w:val="clear" w:color="auto" w:fill="auto"/>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30</w:t>
            </w:r>
            <w:r>
              <w:rPr>
                <w:rFonts w:hint="eastAsia" w:ascii="宋体" w:hAnsi="宋体" w:cs="Tahoma"/>
                <w:b/>
                <w:sz w:val="21"/>
                <w:szCs w:val="21"/>
              </w:rPr>
              <w:t xml:space="preserve">分）</w:t>
            </w:r>
            <w:r/>
          </w:p>
        </w:tc>
        <w:tc>
          <w:tcPr>
            <w:shd w:val="clear" w:color="auto" w:fill="auto"/>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shd w:val="clear" w:color="auto" w:fill="auto"/>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投标报价得分＝（评标基准价/投标报价）×30％×100</w:t>
            </w:r>
            <w:r/>
          </w:p>
        </w:tc>
        <w:tc>
          <w:tcPr>
            <w:shd w:val="clear" w:color="auto" w:fill="auto"/>
            <w:tcW w:w="2410"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lang w:bidi="ar"/>
              </w:rPr>
              <w:t xml:space="preserve">3</w:t>
            </w:r>
            <w:r>
              <w:rPr>
                <w:rFonts w:ascii="宋体" w:hAnsi="宋体"/>
                <w:sz w:val="21"/>
                <w:szCs w:val="21"/>
                <w:lang w:bidi="ar"/>
              </w:rPr>
              <w:t xml:space="preserve">0</w:t>
            </w:r>
            <w:r/>
          </w:p>
          <w:p>
            <w:pPr>
              <w:ind w:left="0"/>
              <w:widowControl w:val="off"/>
              <w:rPr>
                <w:rFonts w:ascii="宋体" w:hAnsi="宋体" w:cs="Tahoma"/>
                <w:sz w:val="21"/>
                <w:szCs w:val="21"/>
              </w:rPr>
            </w:pPr>
            <w:r>
              <w:rPr>
                <w:rFonts w:ascii="宋体" w:hAnsi="宋体" w:cs="Tahoma"/>
                <w:sz w:val="21"/>
                <w:szCs w:val="21"/>
              </w:rPr>
            </w:r>
            <w:r/>
          </w:p>
        </w:tc>
      </w:tr>
      <w:tr>
        <w:trPr>
          <w:trHeight w:val="113"/>
        </w:trPr>
        <w:tc>
          <w:tcPr>
            <w:shd w:val="clear" w:color="auto" w:fill="auto"/>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shd w:val="clear" w:color="auto" w:fill="auto"/>
            <w:tcW w:w="1417" w:type="dxa"/>
            <w:vAlign w:val="center"/>
            <w:textDirection w:val="lrTb"/>
            <w:noWrap w:val="false"/>
          </w:tcPr>
          <w:p>
            <w:pPr>
              <w:ind w:left="0"/>
              <w:jc w:val="center"/>
              <w:rPr>
                <w:rFonts w:ascii="宋体" w:hAnsi="宋体" w:cs="Tahoma"/>
                <w:sz w:val="21"/>
                <w:szCs w:val="21"/>
              </w:rPr>
            </w:pPr>
            <w:r>
              <w:rPr>
                <w:rFonts w:hint="eastAsia" w:ascii="宋体" w:hAnsi="宋体"/>
                <w:b/>
                <w:bCs/>
                <w:sz w:val="21"/>
              </w:rPr>
              <w:t xml:space="preserve">▲</w:t>
            </w:r>
            <w:r>
              <w:rPr>
                <w:rFonts w:hint="eastAsia" w:ascii="宋体" w:hAnsi="宋体"/>
                <w:sz w:val="21"/>
                <w:szCs w:val="21"/>
              </w:rPr>
              <w:t xml:space="preserve">技术参数</w:t>
            </w:r>
            <w:r/>
          </w:p>
        </w:tc>
        <w:tc>
          <w:tcPr>
            <w:shd w:val="clear" w:color="auto" w:fill="auto"/>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1.投标人所投设备产品“▲”重要技术参数（技术参数要求共6项）完全满足招标文件要求的得满分28.5分，每负偏离一项扣4.75分，扣完28.5分止；</w:t>
            </w:r>
            <w:r/>
          </w:p>
          <w:p>
            <w:pPr>
              <w:ind w:left="0"/>
              <w:widowControl w:val="off"/>
              <w:rPr>
                <w:rFonts w:ascii="宋体" w:hAnsi="宋体"/>
                <w:b/>
                <w:bCs/>
                <w:sz w:val="21"/>
                <w:szCs w:val="21"/>
                <w:lang w:bidi="ar"/>
              </w:rPr>
            </w:pPr>
            <w:r>
              <w:rPr>
                <w:rFonts w:hint="eastAsia" w:ascii="宋体" w:hAnsi="宋体"/>
                <w:b/>
                <w:bCs/>
                <w:sz w:val="21"/>
                <w:szCs w:val="21"/>
                <w:lang w:bidi="ar"/>
              </w:rPr>
              <w:t xml:space="preserve">注：</w:t>
            </w:r>
            <w:r>
              <w:rPr>
                <w:rFonts w:hint="eastAsia" w:ascii="宋体" w:hAnsi="宋体"/>
                <w:b/>
                <w:bCs/>
                <w:sz w:val="21"/>
                <w:szCs w:val="21"/>
                <w:lang w:val="en-US" w:eastAsia="zh-CN" w:bidi="ar"/>
              </w:rPr>
              <w:t xml:space="preserve">标</w:t>
            </w:r>
            <w:r>
              <w:rPr>
                <w:rFonts w:hint="eastAsia" w:ascii="宋体" w:hAnsi="宋体"/>
                <w:sz w:val="21"/>
                <w:szCs w:val="21"/>
                <w:lang w:bidi="ar"/>
              </w:rPr>
              <w:t xml:space="preserve">▲</w:t>
            </w:r>
            <w:r>
              <w:rPr>
                <w:rFonts w:hint="eastAsia" w:asciiTheme="minorEastAsia" w:hAnsiTheme="minorEastAsia" w:eastAsiaTheme="minorEastAsia" w:cstheme="minorEastAsia"/>
                <w:b/>
                <w:bCs/>
                <w:sz w:val="21"/>
                <w:szCs w:val="21"/>
              </w:rPr>
              <w:t xml:space="preserve">须提供以下任意一种证明材料：1.相关技术资料支持（技术支持资料须为制造商公开发布的印刷资料或技术规格书或使用说明书）；2.制造商网站最新发布的资料打印件；3.国家认可的检测机构出具的检验(检测)报告；</w:t>
            </w:r>
            <w:r>
              <w:rPr>
                <w:rFonts w:hint="eastAsia" w:asciiTheme="minorEastAsia" w:hAnsiTheme="minorEastAsia" w:eastAsiaTheme="minorEastAsia" w:cstheme="minorEastAsia"/>
                <w:b/>
                <w:bCs/>
                <w:sz w:val="21"/>
                <w:szCs w:val="21"/>
                <w:lang w:val="en-US" w:eastAsia="zh-CN"/>
              </w:rPr>
              <w:t xml:space="preserve">4.第四章采购需求中有毒气体探测仪要求的所投产品的消防产品认证证书和防爆合格证；未提供视作负偏离。</w:t>
            </w:r>
            <w:r/>
          </w:p>
          <w:p>
            <w:pPr>
              <w:ind w:left="0"/>
              <w:widowControl w:val="off"/>
              <w:rPr>
                <w:rFonts w:ascii="宋体" w:hAnsi="宋体"/>
                <w:sz w:val="21"/>
                <w:szCs w:val="21"/>
                <w:lang w:bidi="ar"/>
              </w:rPr>
            </w:pPr>
            <w:r>
              <w:rPr>
                <w:rFonts w:hint="eastAsia" w:ascii="宋体" w:hAnsi="宋体"/>
                <w:sz w:val="21"/>
                <w:szCs w:val="21"/>
                <w:lang w:bidi="ar"/>
              </w:rPr>
              <w:t xml:space="preserve">2.投标人对所投产品一般技术参数（技术参数要求共15项非“▲”“★”参数）完全满足招标文件要求的得满分7.5分，每负偏离1项扣0.5 分，扣完7.5分止。</w:t>
            </w:r>
            <w:r/>
          </w:p>
        </w:tc>
        <w:tc>
          <w:tcPr>
            <w:shd w:val="clear" w:color="auto" w:fill="auto"/>
            <w:tcW w:w="241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36</w:t>
            </w:r>
            <w:r/>
          </w:p>
        </w:tc>
      </w:tr>
      <w:tr>
        <w:trPr>
          <w:trHeight w:val="90"/>
        </w:trPr>
        <w:tc>
          <w:tcPr>
            <w:shd w:val="clear" w:color="auto" w:fill="auto"/>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shd w:val="clear" w:color="auto" w:fill="auto"/>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样品</w:t>
            </w:r>
            <w:r/>
          </w:p>
        </w:tc>
        <w:tc>
          <w:tcPr>
            <w:shd w:val="clear" w:color="auto" w:fill="auto"/>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结合投标人提供的各类别产品样品与招标文件采购需求的“点对点”响应性：</w:t>
            </w:r>
            <w:r/>
          </w:p>
          <w:p>
            <w:pPr>
              <w:ind w:left="0"/>
              <w:widowControl w:val="off"/>
              <w:rPr>
                <w:rFonts w:ascii="宋体" w:hAnsi="宋体"/>
                <w:sz w:val="21"/>
                <w:szCs w:val="21"/>
                <w:lang w:bidi="ar"/>
              </w:rPr>
            </w:pPr>
            <w:r>
              <w:rPr>
                <w:rFonts w:hint="eastAsia" w:ascii="宋体" w:hAnsi="宋体"/>
                <w:sz w:val="21"/>
                <w:szCs w:val="21"/>
                <w:lang w:bidi="ar"/>
              </w:rPr>
              <w:t xml:space="preserve">1.对工艺制作细节进行评测。样品工艺组装精细，部件之间衔接紧密，标志准确清晰。</w:t>
            </w:r>
            <w:r/>
          </w:p>
          <w:p>
            <w:pPr>
              <w:ind w:left="0"/>
              <w:widowControl w:val="off"/>
              <w:rPr>
                <w:rFonts w:ascii="宋体" w:hAnsi="宋体"/>
                <w:sz w:val="21"/>
                <w:szCs w:val="21"/>
                <w:lang w:bidi="ar"/>
              </w:rPr>
            </w:pPr>
            <w:r>
              <w:rPr>
                <w:rFonts w:hint="eastAsia" w:ascii="宋体" w:hAnsi="宋体"/>
                <w:sz w:val="21"/>
                <w:szCs w:val="21"/>
                <w:lang w:bidi="ar"/>
              </w:rPr>
              <w:t xml:space="preserve">2.对用材用料进行评测。用材用料结实耐用，粘合无脱胶及表面渗胶。</w:t>
            </w:r>
            <w:r/>
          </w:p>
          <w:p>
            <w:pPr>
              <w:ind w:left="0"/>
              <w:widowControl w:val="off"/>
              <w:rPr>
                <w:rFonts w:ascii="宋体" w:hAnsi="宋体"/>
                <w:sz w:val="21"/>
                <w:szCs w:val="21"/>
                <w:lang w:bidi="ar"/>
              </w:rPr>
            </w:pPr>
            <w:r>
              <w:rPr>
                <w:rFonts w:hint="eastAsia" w:ascii="宋体" w:hAnsi="宋体"/>
                <w:sz w:val="21"/>
                <w:szCs w:val="21"/>
                <w:lang w:bidi="ar"/>
              </w:rPr>
              <w:t xml:space="preserve">3.对使用性能或易用性进行测试，样品使用按键、旋钮等操作部件反馈灵敏准确、操作及界面设计方便操作。</w:t>
            </w:r>
            <w:r/>
          </w:p>
          <w:p>
            <w:pPr>
              <w:ind w:left="0"/>
              <w:widowControl w:val="off"/>
              <w:rPr>
                <w:rFonts w:hint="eastAsia" w:ascii="宋体" w:hAnsi="宋体" w:cs="Times New Roman"/>
                <w:sz w:val="21"/>
                <w:szCs w:val="21"/>
              </w:rPr>
            </w:pPr>
            <w:r>
              <w:rPr>
                <w:rFonts w:hint="eastAsia" w:ascii="宋体" w:hAnsi="宋体"/>
                <w:sz w:val="21"/>
                <w:szCs w:val="21"/>
                <w:lang w:bidi="ar"/>
              </w:rPr>
              <w:t xml:space="preserve">4.对外观配置进行评测。使用者可能触摸到的部件表面无锐利的棱角、无毛刺，款式、号型符合消防救援队伍标识统型要求。</w:t>
            </w:r>
            <w:r/>
          </w:p>
          <w:p>
            <w:pPr>
              <w:ind w:left="0"/>
              <w:widowControl w:val="off"/>
              <w:rPr>
                <w:rFonts w:hint="default" w:eastAsia="宋体"/>
                <w:lang w:val="en-US" w:eastAsia="zh-CN"/>
              </w:rPr>
            </w:pPr>
            <w:r>
              <w:rPr>
                <w:rFonts w:hint="eastAsia" w:ascii="宋体" w:hAnsi="宋体"/>
                <w:sz w:val="21"/>
                <w:szCs w:val="21"/>
                <w:lang w:val="en-US" w:eastAsia="zh-CN" w:bidi="ar"/>
              </w:rPr>
              <w:t xml:space="preserve">上述每项应逐条叙述，完全符合该项全部评测要求，得4分；存在轻微瑕疵，得2分；存在明显缺陷，完全不符合评测要求的，视为不满足，不得分。本项最高得16分。</w:t>
            </w:r>
            <w:r/>
          </w:p>
          <w:p>
            <w:pPr>
              <w:ind w:left="0"/>
              <w:widowControl w:val="off"/>
              <w:rPr>
                <w:rFonts w:ascii="宋体" w:hAnsi="宋体"/>
                <w:sz w:val="21"/>
                <w:szCs w:val="21"/>
                <w:lang w:bidi="ar"/>
              </w:rPr>
            </w:pPr>
            <w:r>
              <w:rPr>
                <w:rFonts w:hint="eastAsia" w:ascii="宋体" w:hAnsi="宋体"/>
                <w:b/>
                <w:bCs/>
                <w:sz w:val="21"/>
                <w:szCs w:val="21"/>
                <w:lang w:bidi="ar"/>
              </w:rPr>
              <w:t xml:space="preserve">注：未按招标文件要求提交样品的不得分。</w:t>
            </w:r>
            <w:r/>
          </w:p>
        </w:tc>
        <w:tc>
          <w:tcPr>
            <w:shd w:val="clear" w:color="auto" w:fill="auto"/>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16</w:t>
            </w:r>
            <w:r/>
          </w:p>
        </w:tc>
      </w:tr>
      <w:tr>
        <w:trPr>
          <w:trHeight w:val="113"/>
        </w:trPr>
        <w:tc>
          <w:tcPr>
            <w:shd w:val="clear" w:color="auto" w:fill="auto"/>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shd w:val="clear" w:color="auto" w:fill="auto"/>
            <w:tcW w:w="1417" w:type="dxa"/>
            <w:vAlign w:val="center"/>
            <w:textDirection w:val="lrTb"/>
            <w:noWrap w:val="false"/>
          </w:tcPr>
          <w:p>
            <w:pPr>
              <w:ind w:left="0"/>
              <w:jc w:val="center"/>
              <w:rPr>
                <w:rFonts w:ascii="宋体" w:hAnsi="宋体"/>
                <w:sz w:val="21"/>
                <w:szCs w:val="21"/>
                <w:lang w:bidi="ar"/>
              </w:rPr>
            </w:pPr>
            <w:r>
              <w:rPr>
                <w:rFonts w:hint="eastAsia" w:ascii="宋体" w:hAnsi="宋体"/>
                <w:sz w:val="21"/>
                <w:szCs w:val="22"/>
              </w:rPr>
              <w:t xml:space="preserve">培训方案</w:t>
            </w:r>
            <w:r/>
          </w:p>
        </w:tc>
        <w:tc>
          <w:tcPr>
            <w:shd w:val="clear" w:color="auto" w:fill="auto"/>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结合本项目采购需求，对投标人的培训方案（①培训时间计划及培训人员安排；②培训内容设计安排；③重点难点及培训结果保障措施）等进行综合评审：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shd w:val="clear" w:color="auto" w:fill="auto"/>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r>
        <w:trPr>
          <w:trHeight w:val="113"/>
        </w:trPr>
        <w:tc>
          <w:tcPr>
            <w:shd w:val="clear" w:color="auto" w:fill="auto"/>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shd w:val="clear" w:color="auto" w:fill="auto"/>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售后服务方案</w:t>
            </w:r>
            <w:r/>
          </w:p>
        </w:tc>
        <w:tc>
          <w:tcPr>
            <w:shd w:val="clear" w:color="auto" w:fill="auto"/>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售后服务方案（①售后服务机构及人员网点配置；②响应时间；③零配件供应周期、备货储存、工时费等；④定期安排技术人员针对产品的使用环境、使用频率及更新等进行回访、巡检、维护、保养等方案）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1分；内容基本合理、具有一定的可行性、具有一定的操作性、与项目实际基本贴合的得0.5分；每项叙述内容完全脱离采购需求或未作完整叙述的不得分。本项最高得4分。</w:t>
            </w:r>
            <w:r/>
          </w:p>
        </w:tc>
        <w:tc>
          <w:tcPr>
            <w:shd w:val="clear" w:color="auto" w:fill="auto"/>
            <w:tcW w:w="2410"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4</w:t>
            </w:r>
            <w:r/>
          </w:p>
        </w:tc>
      </w:tr>
      <w:tr>
        <w:trPr>
          <w:trHeight w:val="782"/>
        </w:trPr>
        <w:tc>
          <w:tcPr>
            <w:shd w:val="clear" w:color="auto" w:fill="auto"/>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shd w:val="clear" w:color="auto" w:fill="auto"/>
            <w:tcW w:w="1417" w:type="dxa"/>
            <w:vAlign w:val="center"/>
            <w:textDirection w:val="lrTb"/>
            <w:noWrap w:val="false"/>
          </w:tcPr>
          <w:p>
            <w:pPr>
              <w:ind w:left="0"/>
              <w:jc w:val="center"/>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延长质保</w:t>
            </w:r>
            <w:r/>
          </w:p>
        </w:tc>
        <w:tc>
          <w:tcPr>
            <w:shd w:val="clear" w:color="auto" w:fill="auto"/>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投标人所投产品质保期响应招标文件最低要求（质保三年）基础上每增加一年加1分，最高得2分。</w:t>
            </w:r>
            <w:r/>
          </w:p>
          <w:p>
            <w:pPr>
              <w:ind w:left="0"/>
              <w:widowControl w:val="off"/>
              <w:rPr>
                <w:rFonts w:ascii="宋体" w:hAnsi="宋体"/>
                <w:sz w:val="21"/>
                <w:szCs w:val="21"/>
                <w:lang w:bidi="ar"/>
              </w:rPr>
            </w:pPr>
            <w:r>
              <w:rPr>
                <w:rFonts w:hint="eastAsia" w:ascii="宋体" w:hAnsi="宋体"/>
                <w:b/>
                <w:bCs/>
                <w:sz w:val="21"/>
                <w:szCs w:val="21"/>
                <w:lang w:bidi="ar"/>
              </w:rPr>
              <w:t xml:space="preserve">注：投标文件需提供加盖投标人公章的质保期承诺书，不提供则不得分。</w:t>
            </w:r>
            <w:r/>
          </w:p>
        </w:tc>
        <w:tc>
          <w:tcPr>
            <w:shd w:val="clear" w:color="auto" w:fill="auto"/>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 2</w:t>
            </w:r>
            <w:r/>
          </w:p>
        </w:tc>
      </w:tr>
      <w:tr>
        <w:trPr>
          <w:trHeight w:val="782"/>
        </w:trPr>
        <w:tc>
          <w:tcPr>
            <w:shd w:val="clear" w:color="auto" w:fill="auto"/>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shd w:val="clear" w:color="auto" w:fill="auto"/>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b/>
                <w:bCs/>
                <w:sz w:val="21"/>
              </w:rPr>
              <w:t xml:space="preserve">▲</w:t>
            </w:r>
            <w:r>
              <w:rPr>
                <w:rFonts w:hint="eastAsia" w:ascii="宋体" w:hAnsi="宋体"/>
                <w:sz w:val="21"/>
                <w:szCs w:val="21"/>
                <w:lang w:bidi="ar"/>
              </w:rPr>
              <w:t xml:space="preserve">制造商授权、制造商原厂售后服务承诺</w:t>
            </w:r>
            <w:r/>
          </w:p>
        </w:tc>
        <w:tc>
          <w:tcPr>
            <w:shd w:val="clear" w:color="auto" w:fill="auto"/>
            <w:tcW w:w="4678" w:type="dxa"/>
            <w:vAlign w:val="center"/>
            <w:textDirection w:val="lrTb"/>
            <w:noWrap w:val="false"/>
          </w:tcPr>
          <w:p>
            <w:pPr>
              <w:ind w:left="0"/>
              <w:widowControl w:val="off"/>
              <w:rPr>
                <w:rFonts w:ascii="宋体" w:hAnsi="宋体"/>
                <w:bCs/>
                <w:sz w:val="21"/>
                <w:szCs w:val="21"/>
                <w:lang w:bidi="ar"/>
              </w:rPr>
            </w:pPr>
            <w:r>
              <w:rPr>
                <w:rFonts w:hint="eastAsia" w:ascii="宋体" w:hAnsi="宋体"/>
                <w:bCs/>
                <w:sz w:val="21"/>
                <w:szCs w:val="21"/>
                <w:lang w:bidi="ar"/>
              </w:rPr>
              <w:t xml:space="preserve">若投标人为所投产品制造商的，提供制造商声明函及售后服务承诺函的得 2 分，未提供则不得分；</w:t>
            </w:r>
            <w:r/>
          </w:p>
          <w:p>
            <w:pPr>
              <w:ind w:left="0"/>
              <w:widowControl w:val="off"/>
              <w:rPr>
                <w:rFonts w:hint="eastAsia" w:ascii="宋体" w:hAnsi="宋体"/>
                <w:bCs/>
                <w:sz w:val="21"/>
                <w:szCs w:val="21"/>
                <w:lang w:bidi="ar"/>
              </w:rPr>
            </w:pPr>
            <w:r>
              <w:rPr>
                <w:rFonts w:hint="eastAsia" w:ascii="宋体" w:hAnsi="宋体"/>
                <w:bCs/>
                <w:sz w:val="21"/>
                <w:szCs w:val="21"/>
                <w:lang w:bidi="ar"/>
              </w:rPr>
              <w:t xml:space="preserve">若投标人为所投产品代理商的，提供所投产品制造商授权函及原厂售后服务承诺函的得 2 分，未提供则不得分。</w:t>
            </w:r>
            <w:r/>
          </w:p>
          <w:p>
            <w:pPr>
              <w:ind w:left="0"/>
              <w:widowControl w:val="off"/>
              <w:rPr>
                <w:rFonts w:ascii="宋体" w:hAnsi="宋体"/>
                <w:b/>
                <w:sz w:val="21"/>
                <w:szCs w:val="21"/>
                <w:lang w:bidi="ar"/>
              </w:rPr>
            </w:pPr>
            <w:r>
              <w:rPr>
                <w:rStyle w:val="893"/>
                <w:rFonts w:hint="eastAsia"/>
                <w:b/>
                <w:bCs/>
                <w:sz w:val="21"/>
                <w:szCs w:val="21"/>
                <w:lang w:val="en-US" w:eastAsia="zh-CN"/>
              </w:rPr>
              <w:t xml:space="preserve">本项最高2分。</w:t>
            </w:r>
            <w:r/>
          </w:p>
        </w:tc>
        <w:tc>
          <w:tcPr>
            <w:shd w:val="clear" w:color="auto" w:fill="auto"/>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r>
      <w:tr>
        <w:trPr>
          <w:trHeight w:val="782"/>
        </w:trPr>
        <w:tc>
          <w:tcPr>
            <w:shd w:val="clear" w:color="auto" w:fill="auto"/>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shd w:val="clear" w:color="auto" w:fill="auto"/>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合同履约能力</w:t>
            </w:r>
            <w:r/>
          </w:p>
        </w:tc>
        <w:tc>
          <w:tcPr>
            <w:shd w:val="clear" w:color="auto" w:fill="auto"/>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所投产品的投标人或产品制造商（</w:t>
            </w:r>
            <w:r>
              <w:rPr>
                <w:rFonts w:hint="eastAsia" w:ascii="宋体" w:hAnsi="宋体"/>
                <w:sz w:val="21"/>
                <w:szCs w:val="21"/>
                <w:lang w:val="en-US" w:eastAsia="zh-CN"/>
              </w:rPr>
              <w:t xml:space="preserve">提供同类产品销售业绩</w:t>
            </w:r>
            <w:r>
              <w:rPr>
                <w:rFonts w:hint="eastAsia" w:ascii="宋体" w:hAnsi="宋体"/>
                <w:sz w:val="21"/>
                <w:szCs w:val="21"/>
              </w:rPr>
              <w:t xml:space="preserve">）近4年（自2022年4月份）以来有销售业绩的（非单一产品包为核心产品）。类似业绩日期认定：以签订合同日期为准。每提供一份有效业绩证明材料得1分，最多得4分。</w:t>
            </w:r>
            <w:r/>
          </w:p>
          <w:p>
            <w:pPr>
              <w:ind w:left="0"/>
              <w:widowControl w:val="off"/>
              <w:rPr>
                <w:rFonts w:ascii="宋体" w:hAnsi="宋体"/>
                <w:b/>
                <w:bCs/>
                <w:sz w:val="21"/>
                <w:szCs w:val="21"/>
              </w:rPr>
            </w:pPr>
            <w:r>
              <w:rPr>
                <w:rFonts w:hint="eastAsia" w:ascii="宋体" w:hAnsi="宋体"/>
                <w:b/>
                <w:bCs/>
                <w:sz w:val="21"/>
                <w:szCs w:val="21"/>
              </w:rPr>
              <w:t xml:space="preserve">注：</w:t>
            </w:r>
            <w:r/>
          </w:p>
          <w:p>
            <w:pPr>
              <w:ind w:left="0"/>
              <w:widowControl w:val="off"/>
              <w:rPr>
                <w:rFonts w:ascii="宋体" w:hAnsi="宋体"/>
                <w:b/>
                <w:bCs/>
                <w:sz w:val="21"/>
                <w:szCs w:val="21"/>
              </w:rPr>
            </w:pPr>
            <w:r>
              <w:rPr>
                <w:rFonts w:hint="eastAsia" w:ascii="宋体" w:hAnsi="宋体"/>
                <w:b/>
                <w:bCs/>
                <w:sz w:val="21"/>
                <w:szCs w:val="21"/>
              </w:rPr>
              <w:t xml:space="preserve">①业绩证明材料需同时提供合同、验收证明以及合同执行过程中任意一次付款的发票复印件加盖公章（三者缺一不可），合同须能体现签订单位信息、签订时间、产品名称、型号、价格等相关信息，否则视为无效合同）。</w:t>
            </w:r>
            <w:r/>
          </w:p>
          <w:p>
            <w:pPr>
              <w:ind w:left="0"/>
              <w:widowControl w:val="off"/>
              <w:rPr>
                <w:rFonts w:ascii="宋体" w:hAnsi="宋体"/>
                <w:b/>
                <w:bCs/>
                <w:sz w:val="21"/>
                <w:szCs w:val="21"/>
              </w:rPr>
            </w:pPr>
            <w:r>
              <w:rPr>
                <w:rFonts w:hint="eastAsia" w:ascii="宋体" w:hAnsi="宋体"/>
                <w:b/>
                <w:bCs/>
                <w:sz w:val="21"/>
                <w:szCs w:val="21"/>
              </w:rPr>
              <w:t xml:space="preserve">②统招分签的合同按一个合同业绩计。（多个合同项目名称一致的，均按一个合同计。）</w:t>
            </w:r>
            <w:r/>
          </w:p>
          <w:p>
            <w:pPr>
              <w:ind w:left="0"/>
              <w:widowControl w:val="off"/>
              <w:rPr>
                <w:rFonts w:ascii="宋体" w:hAnsi="宋体"/>
                <w:b/>
                <w:bCs/>
                <w:sz w:val="21"/>
                <w:szCs w:val="21"/>
              </w:rPr>
            </w:pPr>
            <w:r>
              <w:rPr>
                <w:rFonts w:hint="eastAsia" w:ascii="宋体" w:hAnsi="宋体"/>
                <w:b/>
                <w:bCs/>
                <w:sz w:val="21"/>
                <w:szCs w:val="21"/>
              </w:rPr>
              <w:t xml:space="preserve">③合同中的产品名称及产品型号请加以明显标记，以方便评审和核对。</w:t>
            </w:r>
            <w:r/>
          </w:p>
          <w:p>
            <w:pPr>
              <w:ind w:left="0"/>
              <w:widowControl w:val="off"/>
              <w:rPr>
                <w:rFonts w:ascii="宋体" w:hAnsi="宋体"/>
                <w:sz w:val="21"/>
                <w:szCs w:val="21"/>
              </w:rPr>
            </w:pPr>
            <w:r>
              <w:rPr>
                <w:rFonts w:hint="eastAsia" w:ascii="宋体" w:hAnsi="宋体"/>
                <w:b/>
                <w:bCs/>
                <w:sz w:val="21"/>
                <w:szCs w:val="21"/>
              </w:rPr>
              <w:t xml:space="preserve">④合同评审中的重要信息因存在内容模糊、无法辨认而产生不利于该项评审的情况，投标人自行承担后果。</w:t>
            </w:r>
            <w:r/>
          </w:p>
        </w:tc>
        <w:tc>
          <w:tcPr>
            <w:shd w:val="clear" w:color="auto" w:fill="auto"/>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r>
    </w:tbl>
    <w:p>
      <w:pPr>
        <w:rPr>
          <w:rFonts w:ascii="宋体" w:hAnsi="宋体" w:cs="Times New Roman"/>
          <w:b/>
          <w:sz w:val="21"/>
          <w:szCs w:val="21"/>
        </w:rPr>
      </w:pPr>
      <w:r>
        <w:rPr>
          <w:rFonts w:hint="eastAsia" w:ascii="宋体" w:hAnsi="宋体" w:cs="Times New Roman"/>
          <w:b/>
          <w:sz w:val="21"/>
          <w:szCs w:val="21"/>
        </w:rPr>
        <w:br w:type="page" w:clear="all"/>
      </w:r>
      <w:r/>
    </w:p>
    <w:p>
      <w:pPr>
        <w:ind w:left="0"/>
        <w:spacing w:line="360" w:lineRule="auto"/>
        <w:rPr>
          <w:rFonts w:ascii="宋体" w:hAnsi="宋体" w:cs="Times New Roman"/>
          <w:b/>
          <w:sz w:val="21"/>
          <w:szCs w:val="21"/>
        </w:rPr>
        <w:outlineLvl w:val="0"/>
      </w:pPr>
      <w:r>
        <w:rPr>
          <w:rFonts w:hint="eastAsia" w:ascii="宋体" w:hAnsi="宋体" w:cs="Times New Roman"/>
          <w:b/>
          <w:sz w:val="21"/>
          <w:szCs w:val="21"/>
        </w:rPr>
        <w:t xml:space="preserve">包五：</w:t>
      </w:r>
      <w:r/>
    </w:p>
    <w:tbl>
      <w:tblPr>
        <w:tblStyle w:val="838"/>
        <w:tblpPr w:horzAnchor="text" w:tblpXSpec="left" w:vertAnchor="text" w:tblpY="1" w:leftFromText="180" w:topFromText="0" w:rightFromText="180" w:bottomFromText="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30</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投标报价得分＝（评标基准价/投标报价）×30％×100</w:t>
            </w:r>
            <w:r/>
          </w:p>
        </w:tc>
        <w:tc>
          <w:tcPr>
            <w:tcW w:w="2410"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lang w:bidi="ar"/>
              </w:rPr>
              <w:t xml:space="preserve">3</w:t>
            </w:r>
            <w:r>
              <w:rPr>
                <w:rFonts w:ascii="宋体" w:hAnsi="宋体"/>
                <w:sz w:val="21"/>
                <w:szCs w:val="21"/>
                <w:lang w:bidi="ar"/>
              </w:rPr>
              <w:t xml:space="preserve">0</w:t>
            </w:r>
            <w:r/>
          </w:p>
          <w:p>
            <w:pPr>
              <w:ind w:left="0"/>
              <w:widowControl w:val="off"/>
              <w:rPr>
                <w:rFonts w:ascii="宋体" w:hAnsi="宋体" w:cs="Tahoma"/>
                <w:sz w:val="21"/>
                <w:szCs w:val="21"/>
              </w:rPr>
            </w:pPr>
            <w:r>
              <w:rPr>
                <w:rFonts w:ascii="宋体" w:hAnsi="宋体" w:cs="Tahoma"/>
                <w:sz w:val="21"/>
                <w:szCs w:val="21"/>
              </w:rPr>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b/>
                <w:bCs/>
                <w:sz w:val="21"/>
              </w:rPr>
              <w:t xml:space="preserve">▲</w:t>
            </w:r>
            <w:r>
              <w:rPr>
                <w:rFonts w:hint="eastAsia" w:ascii="宋体" w:hAnsi="宋体"/>
                <w:sz w:val="21"/>
                <w:szCs w:val="21"/>
              </w:rPr>
              <w:t xml:space="preserve">技术参数</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1.投标人所投设备产品“▲”重要技术参数（技术参数要求共8项）完全满足招标文件要求的得满分20.8分，每负偏离一项扣2.6分，扣完20.8分止；</w:t>
            </w:r>
            <w:r/>
          </w:p>
          <w:p>
            <w:pPr>
              <w:ind w:left="0"/>
              <w:widowControl w:val="off"/>
              <w:rPr>
                <w:rFonts w:ascii="宋体" w:hAnsi="宋体"/>
                <w:b/>
                <w:bCs/>
                <w:sz w:val="21"/>
                <w:szCs w:val="21"/>
                <w:lang w:bidi="ar"/>
              </w:rPr>
            </w:pPr>
            <w:r>
              <w:rPr>
                <w:rFonts w:hint="eastAsia" w:ascii="宋体" w:hAnsi="宋体"/>
                <w:b/>
                <w:bCs/>
                <w:sz w:val="21"/>
                <w:szCs w:val="21"/>
                <w:lang w:bidi="ar"/>
              </w:rPr>
              <w:t xml:space="preserve">注：</w:t>
            </w:r>
            <w:r>
              <w:rPr>
                <w:rFonts w:hint="eastAsia" w:ascii="宋体" w:hAnsi="宋体"/>
                <w:b/>
                <w:bCs/>
                <w:sz w:val="21"/>
                <w:szCs w:val="21"/>
                <w:lang w:val="en-US" w:eastAsia="zh-CN" w:bidi="ar"/>
              </w:rPr>
              <w:t xml:space="preserve">标</w:t>
            </w:r>
            <w:r>
              <w:rPr>
                <w:rFonts w:hint="eastAsia" w:ascii="宋体" w:hAnsi="宋体"/>
                <w:sz w:val="21"/>
                <w:szCs w:val="21"/>
                <w:lang w:bidi="ar"/>
              </w:rPr>
              <w:t xml:space="preserve">▲</w:t>
            </w:r>
            <w:r>
              <w:rPr>
                <w:rFonts w:hint="eastAsia" w:asciiTheme="minorEastAsia" w:hAnsiTheme="minorEastAsia" w:eastAsiaTheme="minorEastAsia" w:cstheme="minorEastAsia"/>
                <w:b/>
                <w:bCs/>
                <w:sz w:val="21"/>
                <w:szCs w:val="21"/>
              </w:rPr>
              <w:t xml:space="preserve">须提供以下任意一种证明材料：1.相关技术资料支持（技术支持资料须为制造商公开发布的印刷资料或技术规格书或使用说明书）；2.制造商网站最新发布的资料打印件；3.国家认可的检测机构出具的检验(检测)报告；</w:t>
            </w:r>
            <w:r>
              <w:rPr>
                <w:rFonts w:hint="eastAsia" w:asciiTheme="minorEastAsia" w:hAnsiTheme="minorEastAsia" w:eastAsiaTheme="minorEastAsia" w:cstheme="minorEastAsia"/>
                <w:b/>
                <w:bCs/>
                <w:sz w:val="21"/>
                <w:szCs w:val="21"/>
                <w:lang w:val="en-US" w:eastAsia="zh-CN"/>
              </w:rPr>
              <w:t xml:space="preserve">未提供视作负偏离。</w:t>
            </w:r>
            <w:r/>
          </w:p>
          <w:p>
            <w:pPr>
              <w:ind w:left="0"/>
              <w:widowControl w:val="off"/>
              <w:rPr>
                <w:rFonts w:ascii="宋体" w:hAnsi="宋体"/>
                <w:sz w:val="21"/>
                <w:szCs w:val="21"/>
                <w:lang w:bidi="ar"/>
              </w:rPr>
            </w:pPr>
            <w:r>
              <w:rPr>
                <w:rFonts w:hint="eastAsia" w:ascii="宋体" w:hAnsi="宋体"/>
                <w:sz w:val="21"/>
                <w:szCs w:val="21"/>
                <w:lang w:bidi="ar"/>
              </w:rPr>
              <w:t xml:space="preserve">2.投标人对所投产品一般技术参数（技术参数要求共27项非“▲”“★”参数）完全满足招标文件要求的得满分16.2分，每负偏离1项扣0.6分，扣完16.2分止。</w:t>
            </w:r>
            <w:r/>
          </w:p>
        </w:tc>
        <w:tc>
          <w:tcPr>
            <w:tcW w:w="241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37</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样品</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结合投标人提供的各类别产品样品与招标文件采购需求的“点对点”响应性：</w:t>
            </w:r>
            <w:r/>
          </w:p>
          <w:p>
            <w:pPr>
              <w:ind w:left="0"/>
              <w:widowControl w:val="off"/>
              <w:rPr>
                <w:rFonts w:ascii="宋体" w:hAnsi="宋体"/>
                <w:sz w:val="21"/>
                <w:szCs w:val="21"/>
                <w:lang w:bidi="ar"/>
              </w:rPr>
            </w:pPr>
            <w:r>
              <w:rPr>
                <w:rFonts w:hint="eastAsia" w:ascii="宋体" w:hAnsi="宋体"/>
                <w:sz w:val="21"/>
                <w:szCs w:val="21"/>
                <w:lang w:bidi="ar"/>
              </w:rPr>
              <w:t xml:space="preserve">1.对工艺制作细节进行评测。样品工艺组装精细，部件之间衔接紧密，标志准确清晰。样品与所投产品型号、配置一致，产品尺寸及外观与招标文件要求相符。智能数据表，可显示发动机运行累计时间与转速。</w:t>
            </w:r>
            <w:r/>
          </w:p>
          <w:p>
            <w:pPr>
              <w:ind w:left="0"/>
              <w:widowControl w:val="off"/>
              <w:rPr>
                <w:rFonts w:ascii="宋体" w:hAnsi="宋体"/>
                <w:sz w:val="21"/>
                <w:szCs w:val="21"/>
                <w:lang w:bidi="ar"/>
              </w:rPr>
            </w:pPr>
            <w:r>
              <w:rPr>
                <w:rFonts w:hint="eastAsia" w:ascii="宋体" w:hAnsi="宋体"/>
                <w:sz w:val="21"/>
                <w:szCs w:val="21"/>
                <w:lang w:bidi="ar"/>
              </w:rPr>
              <w:t xml:space="preserve">2.对舒适性进行评测。方便背负携带，泵组之间可以串联使用，并能正常工作。</w:t>
            </w:r>
            <w:r/>
          </w:p>
          <w:p>
            <w:pPr>
              <w:ind w:left="0"/>
              <w:widowControl w:val="off"/>
              <w:rPr>
                <w:rFonts w:ascii="宋体" w:hAnsi="宋体"/>
                <w:sz w:val="21"/>
                <w:szCs w:val="21"/>
                <w:lang w:bidi="ar"/>
              </w:rPr>
            </w:pPr>
            <w:r>
              <w:rPr>
                <w:rFonts w:hint="eastAsia" w:ascii="宋体" w:hAnsi="宋体"/>
                <w:sz w:val="21"/>
                <w:szCs w:val="21"/>
                <w:lang w:bidi="ar"/>
              </w:rPr>
              <w:t xml:space="preserve">3.对用材用料进行评测。离心泵的泵壳、泵体使用轻质高强度防腐蚀材料，油箱接头使用扩张式铜环固定。</w:t>
            </w:r>
            <w:r/>
          </w:p>
          <w:p>
            <w:pPr>
              <w:ind w:left="0"/>
              <w:widowControl w:val="off"/>
              <w:rPr>
                <w:rFonts w:ascii="宋体" w:hAnsi="宋体"/>
                <w:sz w:val="21"/>
                <w:szCs w:val="21"/>
                <w:lang w:bidi="ar"/>
              </w:rPr>
            </w:pPr>
            <w:r>
              <w:rPr>
                <w:rFonts w:hint="eastAsia" w:ascii="宋体" w:hAnsi="宋体"/>
                <w:sz w:val="21"/>
                <w:szCs w:val="21"/>
                <w:lang w:bidi="ar"/>
              </w:rPr>
              <w:t xml:space="preserve">4.对使用性能或易用性进行测试，样品使用按键、旋钮等操作部件反馈灵敏准确、操作及界面设计方便操作。</w:t>
            </w:r>
            <w:r/>
          </w:p>
          <w:p>
            <w:pPr>
              <w:ind w:left="0"/>
              <w:widowControl w:val="off"/>
              <w:rPr>
                <w:rFonts w:hint="eastAsia" w:ascii="宋体" w:hAnsi="宋体" w:cs="Times New Roman"/>
                <w:sz w:val="21"/>
                <w:szCs w:val="21"/>
              </w:rPr>
            </w:pPr>
            <w:r>
              <w:rPr>
                <w:rFonts w:hint="eastAsia" w:ascii="宋体" w:hAnsi="宋体"/>
                <w:sz w:val="21"/>
                <w:szCs w:val="21"/>
                <w:lang w:bidi="ar"/>
              </w:rPr>
              <w:t xml:space="preserve">5.对外观配置进行评测。使用者可能触摸到的部件表面无锐利的棱角、无毛刺，款式、号型符合消防救援队伍标识统型要求。</w:t>
            </w:r>
            <w:r/>
          </w:p>
          <w:p>
            <w:pPr>
              <w:ind w:left="0"/>
              <w:widowControl w:val="off"/>
              <w:rPr>
                <w:rFonts w:hint="default" w:eastAsia="宋体"/>
                <w:lang w:val="en-US" w:eastAsia="zh-CN"/>
              </w:rPr>
            </w:pPr>
            <w:r>
              <w:rPr>
                <w:rFonts w:hint="eastAsia" w:ascii="宋体" w:hAnsi="宋体"/>
                <w:sz w:val="21"/>
                <w:szCs w:val="21"/>
                <w:lang w:val="en-US" w:eastAsia="zh-CN" w:bidi="ar"/>
              </w:rPr>
              <w:t xml:space="preserve">上述每项应逐条叙述，完全符合该项全部评测要求，得3分；存在轻微瑕疵，得1.5分；存在明显缺陷，完全不符合评测要求的，视为不满足，不得分。本项最高得15分。</w:t>
            </w:r>
            <w:r/>
          </w:p>
          <w:p>
            <w:pPr>
              <w:ind w:left="0"/>
              <w:widowControl w:val="off"/>
              <w:rPr>
                <w:rFonts w:ascii="宋体" w:hAnsi="宋体"/>
                <w:sz w:val="21"/>
                <w:szCs w:val="21"/>
                <w:lang w:bidi="ar"/>
              </w:rPr>
            </w:pPr>
            <w:r>
              <w:rPr>
                <w:rFonts w:hint="eastAsia" w:ascii="宋体" w:hAnsi="宋体"/>
                <w:b/>
                <w:bCs/>
                <w:sz w:val="21"/>
                <w:szCs w:val="21"/>
                <w:lang w:bidi="ar"/>
              </w:rPr>
              <w:t xml:space="preserve">注：未按招标文件要求提交样品的不得分。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15</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sz w:val="21"/>
                <w:szCs w:val="22"/>
              </w:rPr>
              <w:t xml:space="preserve">培训方案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结合本项目采购需求，对投标人的培训方案（①培训时间计划及培训人员安排；②培训内容设计安排；③重点难点及培训结果保障措施）等进行综合评审：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售后服务方案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售后服务方案（①售后服务机构及人员网点配置；②响应时间；③零配件供应周期、备货储存、工时费等；④定期安排技术人员针对产品的使用环境、使用频率及更新等进行回访、巡检、维护、保养等方案）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1分；内容基本合理、具有一定的可行性、具有一定的操作性、与项目实际基本贴合的得0.5分；每项叙述内容完全脱离采购需求或未作完整叙述的不得分。本项最高得4分。</w:t>
            </w:r>
            <w:r/>
          </w:p>
        </w:tc>
        <w:tc>
          <w:tcPr>
            <w:tcW w:w="2410"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延长质保</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投标人所投产品质保期响应招标文件最低要求（质保三年）基础上每增加一年加1分，最高得2分。</w:t>
            </w:r>
            <w:r/>
          </w:p>
          <w:p>
            <w:pPr>
              <w:ind w:left="0"/>
              <w:widowControl w:val="off"/>
              <w:rPr>
                <w:rFonts w:ascii="宋体" w:hAnsi="宋体"/>
                <w:sz w:val="21"/>
                <w:szCs w:val="21"/>
                <w:lang w:bidi="ar"/>
              </w:rPr>
            </w:pPr>
            <w:r>
              <w:rPr>
                <w:rFonts w:hint="eastAsia" w:ascii="宋体" w:hAnsi="宋体"/>
                <w:b/>
                <w:bCs/>
                <w:sz w:val="21"/>
                <w:szCs w:val="21"/>
                <w:lang w:bidi="ar"/>
              </w:rPr>
              <w:t xml:space="preserve">注：投标文件需提供加盖投标人公章的质保期承诺书，不提供则不得分。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 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b/>
                <w:bCs/>
                <w:sz w:val="21"/>
              </w:rPr>
              <w:t xml:space="preserve">▲</w:t>
            </w:r>
            <w:r>
              <w:rPr>
                <w:rFonts w:hint="eastAsia" w:ascii="宋体" w:hAnsi="宋体"/>
                <w:sz w:val="21"/>
                <w:szCs w:val="21"/>
                <w:lang w:bidi="ar"/>
              </w:rPr>
              <w:t xml:space="preserve">制造商授权、制造商原厂售后服务承诺</w:t>
            </w:r>
            <w:r/>
          </w:p>
        </w:tc>
        <w:tc>
          <w:tcPr>
            <w:tcW w:w="4678" w:type="dxa"/>
            <w:vAlign w:val="center"/>
            <w:textDirection w:val="lrTb"/>
            <w:noWrap w:val="false"/>
          </w:tcPr>
          <w:p>
            <w:pPr>
              <w:ind w:left="0"/>
              <w:widowControl w:val="off"/>
              <w:rPr>
                <w:rFonts w:ascii="宋体" w:hAnsi="宋体"/>
                <w:bCs/>
                <w:sz w:val="21"/>
                <w:szCs w:val="21"/>
                <w:lang w:bidi="ar"/>
              </w:rPr>
            </w:pPr>
            <w:r>
              <w:rPr>
                <w:rFonts w:hint="eastAsia" w:ascii="宋体" w:hAnsi="宋体"/>
                <w:bCs/>
                <w:sz w:val="21"/>
                <w:szCs w:val="21"/>
                <w:lang w:bidi="ar"/>
              </w:rPr>
              <w:t xml:space="preserve">若投标人为所投产品制造商的，提供制造商声明函及售后服务承诺函的得 2 分，未提供则不得分；</w:t>
            </w:r>
            <w:r/>
          </w:p>
          <w:p>
            <w:pPr>
              <w:ind w:left="0"/>
              <w:widowControl w:val="off"/>
              <w:rPr>
                <w:rFonts w:hint="eastAsia" w:ascii="宋体" w:hAnsi="宋体"/>
                <w:bCs/>
                <w:sz w:val="21"/>
                <w:szCs w:val="21"/>
                <w:lang w:bidi="ar"/>
              </w:rPr>
            </w:pPr>
            <w:r>
              <w:rPr>
                <w:rFonts w:hint="eastAsia" w:ascii="宋体" w:hAnsi="宋体"/>
                <w:bCs/>
                <w:sz w:val="21"/>
                <w:szCs w:val="21"/>
                <w:lang w:bidi="ar"/>
              </w:rPr>
              <w:t xml:space="preserve">若投标人为所投产品代理商的，提供所投产品制造商授权函及原厂售后服务承诺函的得 2 分，未提供则不得分。</w:t>
            </w:r>
            <w:r/>
          </w:p>
          <w:p>
            <w:pPr>
              <w:ind w:left="0"/>
              <w:widowControl w:val="off"/>
              <w:rPr>
                <w:rFonts w:ascii="宋体" w:hAnsi="宋体"/>
                <w:b/>
                <w:sz w:val="21"/>
                <w:szCs w:val="21"/>
                <w:lang w:bidi="ar"/>
              </w:rPr>
            </w:pPr>
            <w:r>
              <w:rPr>
                <w:rStyle w:val="893"/>
                <w:rFonts w:hint="eastAsia"/>
                <w:b/>
                <w:bCs/>
                <w:sz w:val="21"/>
                <w:szCs w:val="21"/>
                <w:lang w:val="en-US" w:eastAsia="zh-CN"/>
              </w:rPr>
              <w:t xml:space="preserve">本项最高2分。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合同履约能力</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所投产品的投标人或产品制造商（</w:t>
            </w:r>
            <w:r>
              <w:rPr>
                <w:rFonts w:hint="eastAsia" w:ascii="宋体" w:hAnsi="宋体"/>
                <w:sz w:val="21"/>
                <w:szCs w:val="21"/>
                <w:lang w:val="en-US" w:eastAsia="zh-CN"/>
              </w:rPr>
              <w:t xml:space="preserve">提供同类产品销售业绩</w:t>
            </w:r>
            <w:r>
              <w:rPr>
                <w:rFonts w:hint="eastAsia" w:ascii="宋体" w:hAnsi="宋体"/>
                <w:sz w:val="21"/>
                <w:szCs w:val="21"/>
              </w:rPr>
              <w:t xml:space="preserve">）近4年（自2022年4月份）以来有销售业绩的（非单一产品包为核心产品）。类似业绩日期认定：以签订合同日期为准。每提供一份有效业绩证明材料得1分，最多得4分。</w:t>
            </w:r>
            <w:r/>
          </w:p>
          <w:p>
            <w:pPr>
              <w:ind w:left="0"/>
              <w:widowControl w:val="off"/>
              <w:rPr>
                <w:rFonts w:ascii="宋体" w:hAnsi="宋体"/>
                <w:b/>
                <w:bCs/>
                <w:sz w:val="21"/>
                <w:szCs w:val="21"/>
              </w:rPr>
            </w:pPr>
            <w:r>
              <w:rPr>
                <w:rFonts w:hint="eastAsia" w:ascii="宋体" w:hAnsi="宋体"/>
                <w:b/>
                <w:bCs/>
                <w:sz w:val="21"/>
                <w:szCs w:val="21"/>
              </w:rPr>
              <w:t xml:space="preserve">注：</w:t>
            </w:r>
            <w:r/>
          </w:p>
          <w:p>
            <w:pPr>
              <w:ind w:left="0"/>
              <w:widowControl w:val="off"/>
              <w:rPr>
                <w:rFonts w:ascii="宋体" w:hAnsi="宋体"/>
                <w:b/>
                <w:bCs/>
                <w:sz w:val="21"/>
                <w:szCs w:val="21"/>
              </w:rPr>
            </w:pPr>
            <w:r>
              <w:rPr>
                <w:rFonts w:hint="eastAsia" w:ascii="宋体" w:hAnsi="宋体"/>
                <w:b/>
                <w:bCs/>
                <w:sz w:val="21"/>
                <w:szCs w:val="21"/>
              </w:rPr>
              <w:t xml:space="preserve">①业绩证明材料需同时提供合同、验收证明以及合同执行过程中任意一次付款的发票复印件加盖公章（三者缺一不可），合同须能体现签订单位信息、签订时间、产品名称、型号、价格等相关信息，否则视为无效合同）。</w:t>
            </w:r>
            <w:r/>
          </w:p>
          <w:p>
            <w:pPr>
              <w:ind w:left="0"/>
              <w:widowControl w:val="off"/>
              <w:rPr>
                <w:rFonts w:ascii="宋体" w:hAnsi="宋体"/>
                <w:b/>
                <w:bCs/>
                <w:sz w:val="21"/>
                <w:szCs w:val="21"/>
              </w:rPr>
            </w:pPr>
            <w:r>
              <w:rPr>
                <w:rFonts w:hint="eastAsia" w:ascii="宋体" w:hAnsi="宋体"/>
                <w:b/>
                <w:bCs/>
                <w:sz w:val="21"/>
                <w:szCs w:val="21"/>
              </w:rPr>
              <w:t xml:space="preserve">②统招分签的合同按一个合同业绩计。（多个合同项目名称一致的，均按一个合同计。）</w:t>
            </w:r>
            <w:r/>
          </w:p>
          <w:p>
            <w:pPr>
              <w:ind w:left="0"/>
              <w:widowControl w:val="off"/>
              <w:rPr>
                <w:rFonts w:ascii="宋体" w:hAnsi="宋体"/>
                <w:b/>
                <w:bCs/>
                <w:sz w:val="21"/>
                <w:szCs w:val="21"/>
              </w:rPr>
            </w:pPr>
            <w:r>
              <w:rPr>
                <w:rFonts w:hint="eastAsia" w:ascii="宋体" w:hAnsi="宋体"/>
                <w:b/>
                <w:bCs/>
                <w:sz w:val="21"/>
                <w:szCs w:val="21"/>
              </w:rPr>
              <w:t xml:space="preserve">③合同中的产品名称及产品型号请加以明显标记，以方便评审和核对。</w:t>
            </w:r>
            <w:r/>
          </w:p>
          <w:p>
            <w:pPr>
              <w:ind w:left="0"/>
              <w:widowControl w:val="off"/>
              <w:rPr>
                <w:rFonts w:ascii="宋体" w:hAnsi="宋体"/>
                <w:sz w:val="21"/>
                <w:szCs w:val="21"/>
              </w:rPr>
            </w:pPr>
            <w:r>
              <w:rPr>
                <w:rFonts w:hint="eastAsia" w:ascii="宋体" w:hAnsi="宋体"/>
                <w:b/>
                <w:bCs/>
                <w:sz w:val="21"/>
                <w:szCs w:val="21"/>
              </w:rPr>
              <w:t xml:space="preserve">④合同评审中的重要信息因存在内容模糊、无法辨认而产生不利于该项评审的情况，投标人自行承担后果。</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r>
    </w:tbl>
    <w:p>
      <w:pPr>
        <w:rPr>
          <w:rFonts w:ascii="宋体" w:hAnsi="宋体" w:cs="Times New Roman"/>
          <w:b/>
          <w:sz w:val="21"/>
          <w:szCs w:val="21"/>
        </w:rPr>
      </w:pPr>
      <w:r>
        <w:rPr>
          <w:rFonts w:hint="eastAsia" w:ascii="宋体" w:hAnsi="宋体" w:cs="Times New Roman"/>
          <w:b/>
          <w:sz w:val="21"/>
          <w:szCs w:val="21"/>
        </w:rPr>
        <w:br w:type="page" w:clear="all"/>
      </w:r>
      <w:r/>
    </w:p>
    <w:p>
      <w:pPr>
        <w:ind w:left="0"/>
        <w:spacing w:line="360" w:lineRule="auto"/>
        <w:rPr>
          <w:rFonts w:ascii="宋体" w:hAnsi="宋体" w:cs="Times New Roman"/>
          <w:b/>
          <w:sz w:val="21"/>
          <w:szCs w:val="21"/>
        </w:rPr>
        <w:outlineLvl w:val="0"/>
      </w:pPr>
      <w:r>
        <w:rPr>
          <w:rFonts w:hint="eastAsia" w:ascii="宋体" w:hAnsi="宋体" w:cs="Times New Roman"/>
          <w:b/>
          <w:sz w:val="21"/>
          <w:szCs w:val="21"/>
        </w:rPr>
        <w:t xml:space="preserve">包六：</w:t>
      </w:r>
      <w:r/>
    </w:p>
    <w:tbl>
      <w:tblPr>
        <w:tblStyle w:val="838"/>
        <w:tblpPr w:horzAnchor="text" w:tblpXSpec="left" w:vertAnchor="text" w:tblpY="1" w:leftFromText="180" w:topFromText="0" w:rightFromText="180" w:bottomFromText="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30</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投标报价得分＝（评标基准价/投标报价）×30％×100</w:t>
            </w:r>
            <w:r/>
          </w:p>
        </w:tc>
        <w:tc>
          <w:tcPr>
            <w:tcW w:w="2410"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lang w:bidi="ar"/>
              </w:rPr>
              <w:t xml:space="preserve">3</w:t>
            </w:r>
            <w:r>
              <w:rPr>
                <w:rFonts w:ascii="宋体" w:hAnsi="宋体"/>
                <w:sz w:val="21"/>
                <w:szCs w:val="21"/>
                <w:lang w:bidi="ar"/>
              </w:rPr>
              <w:t xml:space="preserve">0</w:t>
            </w:r>
            <w:r/>
          </w:p>
          <w:p>
            <w:pPr>
              <w:ind w:left="0"/>
              <w:widowControl w:val="off"/>
              <w:rPr>
                <w:rFonts w:ascii="宋体" w:hAnsi="宋体" w:cs="Tahoma"/>
                <w:sz w:val="21"/>
                <w:szCs w:val="21"/>
              </w:rPr>
            </w:pPr>
            <w:r>
              <w:rPr>
                <w:rFonts w:ascii="宋体" w:hAnsi="宋体" w:cs="Tahoma"/>
                <w:sz w:val="21"/>
                <w:szCs w:val="21"/>
              </w:rPr>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b/>
                <w:bCs/>
                <w:sz w:val="21"/>
              </w:rPr>
              <w:t xml:space="preserve">▲</w:t>
            </w:r>
            <w:r>
              <w:rPr>
                <w:rFonts w:hint="eastAsia" w:ascii="宋体" w:hAnsi="宋体"/>
                <w:sz w:val="21"/>
                <w:szCs w:val="21"/>
              </w:rPr>
              <w:t xml:space="preserve">技术参数</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1.投标人所投设备产品“▲”重要技术参数（技术参数要求共4项）完全满足招标文件要求的得满分23分，每负偏离一项扣5.75分，扣完23分止；</w:t>
            </w:r>
            <w:r/>
          </w:p>
          <w:p>
            <w:pPr>
              <w:ind w:left="0"/>
              <w:widowControl w:val="off"/>
              <w:rPr>
                <w:rFonts w:ascii="宋体" w:hAnsi="宋体"/>
                <w:b/>
                <w:bCs/>
                <w:sz w:val="21"/>
                <w:szCs w:val="21"/>
                <w:lang w:bidi="ar"/>
              </w:rPr>
            </w:pPr>
            <w:r>
              <w:rPr>
                <w:rFonts w:hint="eastAsia" w:ascii="宋体" w:hAnsi="宋体"/>
                <w:b/>
                <w:bCs/>
                <w:sz w:val="21"/>
                <w:szCs w:val="21"/>
                <w:lang w:bidi="ar"/>
              </w:rPr>
              <w:t xml:space="preserve">注：</w:t>
            </w:r>
            <w:r>
              <w:rPr>
                <w:rFonts w:hint="eastAsia" w:ascii="宋体" w:hAnsi="宋体"/>
                <w:b/>
                <w:bCs/>
                <w:sz w:val="21"/>
                <w:szCs w:val="21"/>
                <w:lang w:val="en-US" w:eastAsia="zh-CN" w:bidi="ar"/>
              </w:rPr>
              <w:t xml:space="preserve">标</w:t>
            </w:r>
            <w:r>
              <w:rPr>
                <w:rFonts w:hint="eastAsia" w:ascii="宋体" w:hAnsi="宋体"/>
                <w:sz w:val="21"/>
                <w:szCs w:val="21"/>
                <w:lang w:bidi="ar"/>
              </w:rPr>
              <w:t xml:space="preserve">▲</w:t>
            </w:r>
            <w:r>
              <w:rPr>
                <w:rFonts w:hint="eastAsia" w:asciiTheme="minorEastAsia" w:hAnsiTheme="minorEastAsia" w:eastAsiaTheme="minorEastAsia" w:cstheme="minorEastAsia"/>
                <w:b/>
                <w:bCs/>
                <w:sz w:val="21"/>
                <w:szCs w:val="21"/>
              </w:rPr>
              <w:t xml:space="preserve">须提供以下任意一种证明材料：1.相关技术资料支持（技术支持资料须为制造商公开发布的印刷资料或技术规格书或使用说明书）；2.制造商网站最新发布的资料打印件；3.国家认可的检测机构出具的检验(检测)报告；</w:t>
            </w:r>
            <w:r>
              <w:rPr>
                <w:rFonts w:hint="eastAsia" w:asciiTheme="minorEastAsia" w:hAnsiTheme="minorEastAsia" w:eastAsiaTheme="minorEastAsia" w:cstheme="minorEastAsia"/>
                <w:b/>
                <w:bCs/>
                <w:sz w:val="21"/>
                <w:szCs w:val="21"/>
                <w:lang w:val="en-US" w:eastAsia="zh-CN"/>
              </w:rPr>
              <w:t xml:space="preserve">未提供视作负偏离。</w:t>
            </w:r>
            <w:r/>
          </w:p>
          <w:p>
            <w:pPr>
              <w:ind w:left="0"/>
              <w:widowControl w:val="off"/>
              <w:rPr>
                <w:rFonts w:ascii="宋体" w:hAnsi="宋体"/>
                <w:sz w:val="21"/>
                <w:szCs w:val="21"/>
                <w:lang w:bidi="ar"/>
              </w:rPr>
            </w:pPr>
            <w:r>
              <w:rPr>
                <w:rFonts w:hint="eastAsia" w:ascii="宋体" w:hAnsi="宋体"/>
                <w:sz w:val="21"/>
                <w:szCs w:val="21"/>
                <w:lang w:bidi="ar"/>
              </w:rPr>
              <w:t xml:space="preserve">2.投标人对所投产品一般技术参数（技术参数要求共11项非“▲”“★”参数）完全满足招标文件要求的得满分22分，每负偏离1项扣2分，扣完22分止。</w:t>
            </w:r>
            <w:r/>
          </w:p>
        </w:tc>
        <w:tc>
          <w:tcPr>
            <w:tcW w:w="241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45</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供货方案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根据供应商提供的供货方案（包含但不限于：①送货车辆的具体安排、②送货人员、③卸货人员的配备、④卸货辅助设备的配备情况，⑤运输的方案、⑥对现场的防护等内容）进行综合评分：上述每项应逐条叙述，内容全面合理、可行性强、操作性强、贴合项目实际的得1分；内容基本合理、具有一定的可行性、具有一定的操作性、与项目实际基本贴合的得0.5分；每项叙述内容完全脱离采购需求或未作完整叙述的不得分。本项最高得6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产品质量控制保障方案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根据供应商提供的产品质量控制保障方案（包含但不限于：①产品质量检查、②检查人员配备、③检测设备配备、④检查流程、⑤质量控制管理制度等内容）进行综合评分：</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1分；内容基本合理、具有一定的可行性、具有一定的操作性、与项目实际基本贴合的得0.5分；每项叙述内容完全脱离采购需求或未作完整叙述的不得分。本项最高得5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sz w:val="21"/>
                <w:szCs w:val="22"/>
              </w:rPr>
              <w:t xml:space="preserve">产品存储培训方案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结合本项目采购需求，对投标人的产品存储培训方案（①培训时间计划及培训人员安排；②培训内容设计安排；③重点难点及培训结果保障措施）等进行综合评审：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延长质保</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投标人所投产品质保期响应招标文件最低要求（质保三年）基础上每增加一年加1分，最高得2分。</w:t>
            </w:r>
            <w:r/>
          </w:p>
          <w:p>
            <w:pPr>
              <w:ind w:left="0"/>
              <w:widowControl w:val="off"/>
              <w:rPr>
                <w:rFonts w:ascii="宋体" w:hAnsi="宋体"/>
                <w:sz w:val="21"/>
                <w:szCs w:val="21"/>
                <w:lang w:bidi="ar"/>
              </w:rPr>
            </w:pPr>
            <w:r>
              <w:rPr>
                <w:rFonts w:hint="eastAsia" w:ascii="宋体" w:hAnsi="宋体"/>
                <w:b/>
                <w:bCs/>
                <w:sz w:val="21"/>
                <w:szCs w:val="21"/>
                <w:lang w:bidi="ar"/>
              </w:rPr>
              <w:t xml:space="preserve">注：投标文件需提供加盖投标人公章的质保期承诺书，不提供则不得分。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 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b/>
                <w:bCs/>
                <w:sz w:val="21"/>
              </w:rPr>
              <w:t xml:space="preserve">▲</w:t>
            </w:r>
            <w:r>
              <w:rPr>
                <w:rFonts w:hint="eastAsia" w:ascii="宋体" w:hAnsi="宋体"/>
                <w:sz w:val="21"/>
                <w:szCs w:val="21"/>
                <w:lang w:bidi="ar"/>
              </w:rPr>
              <w:t xml:space="preserve">制造商授权、制造商原厂售后服务承诺</w:t>
            </w:r>
            <w:r/>
          </w:p>
        </w:tc>
        <w:tc>
          <w:tcPr>
            <w:tcW w:w="4678" w:type="dxa"/>
            <w:vAlign w:val="center"/>
            <w:textDirection w:val="lrTb"/>
            <w:noWrap w:val="false"/>
          </w:tcPr>
          <w:p>
            <w:pPr>
              <w:ind w:left="0"/>
              <w:widowControl w:val="off"/>
              <w:rPr>
                <w:rFonts w:ascii="宋体" w:hAnsi="宋体"/>
                <w:bCs/>
                <w:sz w:val="21"/>
                <w:szCs w:val="21"/>
                <w:lang w:bidi="ar"/>
              </w:rPr>
            </w:pPr>
            <w:r>
              <w:rPr>
                <w:rFonts w:hint="eastAsia" w:ascii="宋体" w:hAnsi="宋体"/>
                <w:bCs/>
                <w:sz w:val="21"/>
                <w:szCs w:val="21"/>
                <w:lang w:bidi="ar"/>
              </w:rPr>
              <w:t xml:space="preserve">若投标人为所投产品制造商的，提供制造商声明函及售后服务承诺函的得 2 分，未提供则不得分；</w:t>
            </w:r>
            <w:r/>
          </w:p>
          <w:p>
            <w:pPr>
              <w:ind w:left="0"/>
              <w:widowControl w:val="off"/>
              <w:rPr>
                <w:rFonts w:hint="eastAsia" w:ascii="宋体" w:hAnsi="宋体"/>
                <w:bCs/>
                <w:sz w:val="21"/>
                <w:szCs w:val="21"/>
                <w:lang w:bidi="ar"/>
              </w:rPr>
            </w:pPr>
            <w:r>
              <w:rPr>
                <w:rFonts w:hint="eastAsia" w:ascii="宋体" w:hAnsi="宋体"/>
                <w:bCs/>
                <w:sz w:val="21"/>
                <w:szCs w:val="21"/>
                <w:lang w:bidi="ar"/>
              </w:rPr>
              <w:t xml:space="preserve">若投标人为所投产品代理商的，提供所投产品制造商授权函及原厂售后服务承诺函的得 2 分，未提供则不得分。</w:t>
            </w:r>
            <w:r/>
          </w:p>
          <w:p>
            <w:pPr>
              <w:ind w:left="0"/>
              <w:widowControl w:val="off"/>
              <w:rPr>
                <w:rFonts w:ascii="宋体" w:hAnsi="宋体"/>
                <w:b/>
                <w:sz w:val="21"/>
                <w:szCs w:val="21"/>
                <w:lang w:bidi="ar"/>
              </w:rPr>
            </w:pPr>
            <w:r>
              <w:rPr>
                <w:rStyle w:val="893"/>
                <w:rFonts w:hint="eastAsia"/>
                <w:b/>
                <w:bCs/>
                <w:sz w:val="21"/>
                <w:szCs w:val="21"/>
                <w:lang w:val="en-US" w:eastAsia="zh-CN"/>
              </w:rPr>
              <w:t xml:space="preserve">本项最高2分。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合同履约能力</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所投产品的投标人或产品制造商（</w:t>
            </w:r>
            <w:r>
              <w:rPr>
                <w:rFonts w:hint="eastAsia" w:ascii="宋体" w:hAnsi="宋体"/>
                <w:sz w:val="21"/>
                <w:szCs w:val="21"/>
                <w:lang w:val="en-US" w:eastAsia="zh-CN"/>
              </w:rPr>
              <w:t xml:space="preserve">提供同类产品销售业绩</w:t>
            </w:r>
            <w:r>
              <w:rPr>
                <w:rFonts w:hint="eastAsia" w:ascii="宋体" w:hAnsi="宋体"/>
                <w:sz w:val="21"/>
                <w:szCs w:val="21"/>
              </w:rPr>
              <w:t xml:space="preserve">）近4年（自2022年4月份）以来有销售业绩的（非单一产品包为核心产品）。类似业绩日期认定：以签订合同日期为准。每提供一份有效业绩证明材料得1分，最多得4分。</w:t>
            </w:r>
            <w:r/>
          </w:p>
          <w:p>
            <w:pPr>
              <w:ind w:left="0"/>
              <w:widowControl w:val="off"/>
              <w:rPr>
                <w:rFonts w:ascii="宋体" w:hAnsi="宋体"/>
                <w:b/>
                <w:bCs/>
                <w:sz w:val="21"/>
                <w:szCs w:val="21"/>
              </w:rPr>
            </w:pPr>
            <w:r>
              <w:rPr>
                <w:rFonts w:hint="eastAsia" w:ascii="宋体" w:hAnsi="宋体"/>
                <w:b/>
                <w:bCs/>
                <w:sz w:val="21"/>
                <w:szCs w:val="21"/>
              </w:rPr>
              <w:t xml:space="preserve">注：</w:t>
            </w:r>
            <w:r/>
          </w:p>
          <w:p>
            <w:pPr>
              <w:ind w:left="0"/>
              <w:widowControl w:val="off"/>
              <w:rPr>
                <w:rFonts w:ascii="宋体" w:hAnsi="宋体"/>
                <w:b/>
                <w:bCs/>
                <w:sz w:val="21"/>
                <w:szCs w:val="21"/>
              </w:rPr>
            </w:pPr>
            <w:r>
              <w:rPr>
                <w:rFonts w:hint="eastAsia" w:ascii="宋体" w:hAnsi="宋体"/>
                <w:b/>
                <w:bCs/>
                <w:sz w:val="21"/>
                <w:szCs w:val="21"/>
              </w:rPr>
              <w:t xml:space="preserve">①业绩证明材料需同时提供合同、验收证明以及合同执行过程中任意一次付款的发票复印件加盖公章（三者缺一不可），合同须能体现签订单位信息、签订时间、产品名称、型号、价格等相关信息，否则视为无效合同）。</w:t>
            </w:r>
            <w:r/>
          </w:p>
          <w:p>
            <w:pPr>
              <w:ind w:left="0"/>
              <w:widowControl w:val="off"/>
              <w:rPr>
                <w:rFonts w:ascii="宋体" w:hAnsi="宋体"/>
                <w:b/>
                <w:bCs/>
                <w:sz w:val="21"/>
                <w:szCs w:val="21"/>
              </w:rPr>
            </w:pPr>
            <w:r>
              <w:rPr>
                <w:rFonts w:hint="eastAsia" w:ascii="宋体" w:hAnsi="宋体"/>
                <w:b/>
                <w:bCs/>
                <w:sz w:val="21"/>
                <w:szCs w:val="21"/>
              </w:rPr>
              <w:t xml:space="preserve">②统招分签的合同按一个合同业绩计。（多个合同项目名称一致的，均按一个合同计。）</w:t>
            </w:r>
            <w:r/>
          </w:p>
          <w:p>
            <w:pPr>
              <w:ind w:left="0"/>
              <w:widowControl w:val="off"/>
              <w:rPr>
                <w:rFonts w:ascii="宋体" w:hAnsi="宋体"/>
                <w:b/>
                <w:bCs/>
                <w:sz w:val="21"/>
                <w:szCs w:val="21"/>
              </w:rPr>
            </w:pPr>
            <w:r>
              <w:rPr>
                <w:rFonts w:hint="eastAsia" w:ascii="宋体" w:hAnsi="宋体"/>
                <w:b/>
                <w:bCs/>
                <w:sz w:val="21"/>
                <w:szCs w:val="21"/>
              </w:rPr>
              <w:t xml:space="preserve">③合同中的产品名称及产品型号请加以明显标记，以方便评审和核对。</w:t>
            </w:r>
            <w:r/>
          </w:p>
          <w:p>
            <w:pPr>
              <w:ind w:left="0"/>
              <w:widowControl w:val="off"/>
              <w:rPr>
                <w:rFonts w:ascii="宋体" w:hAnsi="宋体"/>
                <w:sz w:val="21"/>
                <w:szCs w:val="21"/>
              </w:rPr>
            </w:pPr>
            <w:r>
              <w:rPr>
                <w:rFonts w:hint="eastAsia" w:ascii="宋体" w:hAnsi="宋体"/>
                <w:b/>
                <w:bCs/>
                <w:sz w:val="21"/>
                <w:szCs w:val="21"/>
              </w:rPr>
              <w:t xml:space="preserve">④合同评审中的重要信息因存在内容模糊、无法辨认而产生不利于该项评审的情况，投标人自行承担后果。</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r>
    </w:tbl>
    <w:p>
      <w:pPr>
        <w:rPr>
          <w:rFonts w:ascii="宋体" w:hAnsi="宋体" w:cs="Times New Roman"/>
          <w:b/>
          <w:sz w:val="21"/>
          <w:szCs w:val="21"/>
        </w:rPr>
      </w:pPr>
      <w:r>
        <w:rPr>
          <w:rFonts w:hint="eastAsia" w:ascii="宋体" w:hAnsi="宋体" w:cs="Times New Roman"/>
          <w:b/>
          <w:sz w:val="21"/>
          <w:szCs w:val="21"/>
        </w:rPr>
        <w:br w:type="page" w:clear="all"/>
      </w:r>
      <w:r/>
    </w:p>
    <w:p>
      <w:pPr>
        <w:ind w:left="0"/>
        <w:spacing w:line="360" w:lineRule="auto"/>
        <w:rPr>
          <w:rFonts w:ascii="宋体" w:hAnsi="宋体" w:cs="Times New Roman"/>
          <w:b/>
          <w:sz w:val="21"/>
          <w:szCs w:val="21"/>
        </w:rPr>
        <w:outlineLvl w:val="0"/>
      </w:pPr>
      <w:r>
        <w:rPr>
          <w:rFonts w:hint="eastAsia" w:ascii="宋体" w:hAnsi="宋体" w:cs="Times New Roman"/>
          <w:b/>
          <w:sz w:val="21"/>
          <w:szCs w:val="21"/>
        </w:rPr>
        <w:t xml:space="preserve">包七：</w:t>
      </w:r>
      <w:r/>
    </w:p>
    <w:tbl>
      <w:tblPr>
        <w:tblStyle w:val="838"/>
        <w:tblpPr w:horzAnchor="text" w:tblpXSpec="left" w:vertAnchor="text" w:tblpY="1" w:leftFromText="180" w:topFromText="0" w:rightFromText="180" w:bottomFromText="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30</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投标报价得分＝（评标基准价/投标报价）×30％×100</w:t>
            </w:r>
            <w:r/>
          </w:p>
        </w:tc>
        <w:tc>
          <w:tcPr>
            <w:tcW w:w="2410"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lang w:bidi="ar"/>
              </w:rPr>
              <w:t xml:space="preserve">3</w:t>
            </w:r>
            <w:r>
              <w:rPr>
                <w:rFonts w:ascii="宋体" w:hAnsi="宋体"/>
                <w:sz w:val="21"/>
                <w:szCs w:val="21"/>
                <w:lang w:bidi="ar"/>
              </w:rPr>
              <w:t xml:space="preserve">0</w:t>
            </w:r>
            <w:r/>
          </w:p>
          <w:p>
            <w:pPr>
              <w:ind w:left="0"/>
              <w:widowControl w:val="off"/>
              <w:rPr>
                <w:rFonts w:ascii="宋体" w:hAnsi="宋体" w:cs="Tahoma"/>
                <w:sz w:val="21"/>
                <w:szCs w:val="21"/>
              </w:rPr>
            </w:pPr>
            <w:r>
              <w:rPr>
                <w:rFonts w:ascii="宋体" w:hAnsi="宋体" w:cs="Tahoma"/>
                <w:sz w:val="21"/>
                <w:szCs w:val="21"/>
              </w:rPr>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b/>
                <w:bCs/>
                <w:sz w:val="21"/>
              </w:rPr>
              <w:t xml:space="preserve">▲</w:t>
            </w:r>
            <w:r>
              <w:rPr>
                <w:rFonts w:hint="eastAsia" w:ascii="宋体" w:hAnsi="宋体"/>
                <w:sz w:val="21"/>
                <w:szCs w:val="21"/>
              </w:rPr>
              <w:t xml:space="preserve">技术参数</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1.投标人所投设备产品“▲”重要技术参数（技术参数要求共4项）完全满足招标文件要求的得满分19分，每负偏离一项扣4.75分，扣完19分止；</w:t>
            </w:r>
            <w:r/>
          </w:p>
          <w:p>
            <w:pPr>
              <w:ind w:left="0"/>
              <w:widowControl w:val="off"/>
              <w:rPr>
                <w:rFonts w:ascii="宋体" w:hAnsi="宋体"/>
                <w:b/>
                <w:bCs/>
                <w:sz w:val="21"/>
                <w:szCs w:val="21"/>
                <w:lang w:bidi="ar"/>
              </w:rPr>
            </w:pPr>
            <w:r>
              <w:rPr>
                <w:rFonts w:hint="eastAsia" w:ascii="宋体" w:hAnsi="宋体"/>
                <w:b/>
                <w:bCs/>
                <w:sz w:val="21"/>
                <w:szCs w:val="21"/>
                <w:lang w:bidi="ar"/>
              </w:rPr>
              <w:t xml:space="preserve">注：</w:t>
            </w:r>
            <w:r>
              <w:rPr>
                <w:rFonts w:hint="eastAsia" w:ascii="宋体" w:hAnsi="宋体"/>
                <w:b/>
                <w:bCs/>
                <w:sz w:val="21"/>
                <w:szCs w:val="21"/>
                <w:lang w:val="en-US" w:eastAsia="zh-CN" w:bidi="ar"/>
              </w:rPr>
              <w:t xml:space="preserve">标</w:t>
            </w:r>
            <w:r>
              <w:rPr>
                <w:rFonts w:hint="eastAsia" w:ascii="宋体" w:hAnsi="宋体"/>
                <w:sz w:val="21"/>
                <w:szCs w:val="21"/>
                <w:lang w:bidi="ar"/>
              </w:rPr>
              <w:t xml:space="preserve">▲</w:t>
            </w:r>
            <w:r>
              <w:rPr>
                <w:rFonts w:hint="eastAsia" w:asciiTheme="minorEastAsia" w:hAnsiTheme="minorEastAsia" w:eastAsiaTheme="minorEastAsia" w:cstheme="minorEastAsia"/>
                <w:b/>
                <w:bCs/>
                <w:sz w:val="21"/>
                <w:szCs w:val="21"/>
              </w:rPr>
              <w:t xml:space="preserve">须提供以下任意一种证明材料：1.相关技术资料支持（技术支持资料须为制造商公开发布的印刷资料或技术规格书或使用说明书）；2.制造商网站最新发布的资料打印件；3.国家认可的检测机构出具的检验(检测)报告；</w:t>
            </w:r>
            <w:r>
              <w:rPr>
                <w:rFonts w:hint="eastAsia" w:asciiTheme="minorEastAsia" w:hAnsiTheme="minorEastAsia" w:eastAsiaTheme="minorEastAsia" w:cstheme="minorEastAsia"/>
                <w:b/>
                <w:bCs/>
                <w:sz w:val="21"/>
                <w:szCs w:val="21"/>
                <w:lang w:val="en-US" w:eastAsia="zh-CN"/>
              </w:rPr>
              <w:t xml:space="preserve">未提供视作负偏离。</w:t>
            </w:r>
            <w:r/>
          </w:p>
          <w:p>
            <w:pPr>
              <w:ind w:left="0"/>
              <w:widowControl w:val="off"/>
              <w:rPr>
                <w:rFonts w:ascii="宋体" w:hAnsi="宋体"/>
                <w:sz w:val="21"/>
                <w:szCs w:val="21"/>
                <w:lang w:bidi="ar"/>
              </w:rPr>
            </w:pPr>
            <w:r>
              <w:rPr>
                <w:rFonts w:hint="eastAsia" w:ascii="宋体" w:hAnsi="宋体"/>
                <w:sz w:val="21"/>
                <w:szCs w:val="21"/>
                <w:lang w:bidi="ar"/>
              </w:rPr>
              <w:t xml:space="preserve">2.投标人对所投产品一般技术参数（技术参数要求共12项非“▲”“★”参数）完全满足招标文件要求的得满分18分，每负偏离1项扣1.5 分，扣完18分止。</w:t>
            </w:r>
            <w:r/>
          </w:p>
        </w:tc>
        <w:tc>
          <w:tcPr>
            <w:tcW w:w="241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37</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样品</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结合投标人提供的各类别产品样品与招标文件采购需求的“点对点”响应性：</w:t>
            </w:r>
            <w:r/>
          </w:p>
          <w:p>
            <w:pPr>
              <w:ind w:left="0"/>
              <w:widowControl w:val="off"/>
              <w:rPr>
                <w:rFonts w:ascii="宋体" w:hAnsi="宋体"/>
                <w:sz w:val="21"/>
                <w:szCs w:val="21"/>
                <w:lang w:bidi="ar"/>
              </w:rPr>
            </w:pPr>
            <w:r>
              <w:rPr>
                <w:rFonts w:hint="eastAsia" w:ascii="宋体" w:hAnsi="宋体"/>
                <w:sz w:val="21"/>
                <w:szCs w:val="21"/>
                <w:lang w:bidi="ar"/>
              </w:rPr>
              <w:t xml:space="preserve">1.对工艺制作细节进行评测。样品工艺组装精细，部件之间衔接紧密，面罩结构精密，球形面屏视野开阔，固定方式做工细致。考虑使用场景进行细节设计制作，符合采购需求中所述质量要求。</w:t>
            </w:r>
            <w:r/>
          </w:p>
          <w:p>
            <w:pPr>
              <w:ind w:left="0"/>
              <w:widowControl w:val="off"/>
              <w:rPr>
                <w:rFonts w:ascii="宋体" w:hAnsi="宋体"/>
                <w:sz w:val="21"/>
                <w:szCs w:val="21"/>
                <w:lang w:bidi="ar"/>
              </w:rPr>
            </w:pPr>
            <w:r>
              <w:rPr>
                <w:rFonts w:hint="eastAsia" w:ascii="宋体" w:hAnsi="宋体"/>
                <w:sz w:val="21"/>
                <w:szCs w:val="21"/>
                <w:lang w:bidi="ar"/>
              </w:rPr>
              <w:t xml:space="preserve">2.对舒适性进行评测。佩戴时半面罩贴合面部，密封性能良好，材质舒适。头网罩透气性能良好，呼吸器工作正常，佩戴者呼吸流畅。</w:t>
            </w:r>
            <w:r/>
          </w:p>
          <w:p>
            <w:pPr>
              <w:ind w:left="0"/>
              <w:widowControl w:val="off"/>
              <w:rPr>
                <w:rFonts w:ascii="宋体" w:hAnsi="宋体"/>
                <w:sz w:val="21"/>
                <w:szCs w:val="21"/>
                <w:lang w:bidi="ar"/>
              </w:rPr>
            </w:pPr>
            <w:r>
              <w:rPr>
                <w:rFonts w:hint="eastAsia" w:ascii="宋体" w:hAnsi="宋体"/>
                <w:sz w:val="21"/>
                <w:szCs w:val="21"/>
                <w:lang w:bidi="ar"/>
              </w:rPr>
              <w:t xml:space="preserve">3.对用材用料进行评测。用材用料结实耐用，评测面罩接头与供气阀接头之间的连接结实。</w:t>
            </w:r>
            <w:r/>
          </w:p>
          <w:p>
            <w:pPr>
              <w:ind w:left="0"/>
              <w:widowControl w:val="off"/>
              <w:rPr>
                <w:rFonts w:ascii="宋体" w:hAnsi="宋体"/>
                <w:sz w:val="21"/>
                <w:szCs w:val="21"/>
                <w:lang w:bidi="ar"/>
              </w:rPr>
            </w:pPr>
            <w:r>
              <w:rPr>
                <w:rFonts w:hint="eastAsia" w:ascii="宋体" w:hAnsi="宋体"/>
                <w:sz w:val="21"/>
                <w:szCs w:val="21"/>
                <w:lang w:bidi="ar"/>
              </w:rPr>
              <w:t xml:space="preserve">4.对使用性能或易用性进行测试，样品语音指令控制操作流畅；使用投标人提供的数据线，与对讲机匹配方便迅速，通讯音质清晰无啸叫和回声。</w:t>
            </w:r>
            <w:r/>
          </w:p>
          <w:p>
            <w:pPr>
              <w:ind w:left="0"/>
              <w:widowControl w:val="off"/>
              <w:rPr>
                <w:rFonts w:hint="eastAsia" w:ascii="宋体" w:hAnsi="宋体"/>
                <w:sz w:val="21"/>
                <w:szCs w:val="21"/>
                <w:lang w:bidi="ar"/>
              </w:rPr>
            </w:pPr>
            <w:r>
              <w:rPr>
                <w:rFonts w:hint="eastAsia" w:ascii="宋体" w:hAnsi="宋体"/>
                <w:sz w:val="21"/>
                <w:szCs w:val="21"/>
                <w:lang w:bidi="ar"/>
              </w:rPr>
              <w:t xml:space="preserve">5.对外观配置进行评测。使用者可能触摸到的部件表面无锐利的棱角、无毛刺，整机重量符合招标文件要求。</w:t>
            </w:r>
            <w:r/>
          </w:p>
          <w:p>
            <w:pPr>
              <w:ind w:left="0"/>
              <w:widowControl w:val="off"/>
              <w:rPr>
                <w:rFonts w:hint="default" w:eastAsia="宋体"/>
                <w:lang w:val="en-US" w:eastAsia="zh-CN"/>
              </w:rPr>
            </w:pPr>
            <w:r>
              <w:rPr>
                <w:rFonts w:hint="eastAsia" w:ascii="宋体" w:hAnsi="宋体"/>
                <w:sz w:val="21"/>
                <w:szCs w:val="21"/>
                <w:lang w:val="en-US" w:eastAsia="zh-CN" w:bidi="ar"/>
              </w:rPr>
              <w:t xml:space="preserve">上述每项应逐条叙述，完全符合该项全部评测要求，得3分；存在轻微瑕疵，得1.5分；存在明显缺陷，完全不符合评测要求的，视为不满足，不得分。本项最高得15分。</w:t>
            </w:r>
            <w:r/>
          </w:p>
          <w:p>
            <w:pPr>
              <w:ind w:left="0"/>
              <w:widowControl w:val="off"/>
              <w:rPr>
                <w:rFonts w:ascii="宋体" w:hAnsi="宋体"/>
                <w:sz w:val="21"/>
                <w:szCs w:val="21"/>
                <w:lang w:bidi="ar"/>
              </w:rPr>
            </w:pPr>
            <w:r>
              <w:rPr>
                <w:rFonts w:hint="eastAsia" w:ascii="宋体" w:hAnsi="宋体"/>
                <w:b/>
                <w:bCs/>
                <w:sz w:val="21"/>
                <w:szCs w:val="21"/>
                <w:lang w:bidi="ar"/>
              </w:rPr>
              <w:t xml:space="preserve">注：未按招标文件要求提交样品的不得分。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15</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sz w:val="21"/>
                <w:szCs w:val="22"/>
              </w:rPr>
              <w:t xml:space="preserve">培训方案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结合本项目采购需求，对投标人的培训方案（①培训时间计划及培训人员安排；②培训内容设计安排；③重点难点及培训结果保障措施）等进行综合评审：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售后服务方案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售后服务方案（①售后服务机构及人员网点配置；②响应时间；③零配件供应周期、备货储存、工时费等；④定期安排技术人员针对产品的使用环境、使用频率及更新等进行回访、巡检、维护、保养等方案）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1分；内容基本合理、具有一定的可行性、具有一定的操作性、与项目实际基本贴合的得0.5分；每项叙述内容完全脱离采购需求或未作完整叙述的不得分。本项最高得4分。</w:t>
            </w:r>
            <w:r/>
          </w:p>
        </w:tc>
        <w:tc>
          <w:tcPr>
            <w:tcW w:w="2410"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延长质保</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投标人所投产品质保期响应招标文件最低要求（质保三年）基础上每增加一年加1分，最高得2分。</w:t>
            </w:r>
            <w:r/>
          </w:p>
          <w:p>
            <w:pPr>
              <w:ind w:left="0"/>
              <w:widowControl w:val="off"/>
              <w:rPr>
                <w:rFonts w:ascii="宋体" w:hAnsi="宋体"/>
                <w:sz w:val="21"/>
                <w:szCs w:val="21"/>
                <w:lang w:bidi="ar"/>
              </w:rPr>
            </w:pPr>
            <w:r>
              <w:rPr>
                <w:rFonts w:hint="eastAsia" w:ascii="宋体" w:hAnsi="宋体"/>
                <w:b/>
                <w:bCs/>
                <w:sz w:val="21"/>
                <w:szCs w:val="21"/>
                <w:lang w:bidi="ar"/>
              </w:rPr>
              <w:t xml:space="preserve">注：投标文件需提供加盖投标人公章的质保期承诺书，不提供则不得分。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 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b/>
                <w:bCs/>
                <w:sz w:val="21"/>
              </w:rPr>
              <w:t xml:space="preserve">▲</w:t>
            </w:r>
            <w:r>
              <w:rPr>
                <w:rFonts w:hint="eastAsia" w:ascii="宋体" w:hAnsi="宋体"/>
                <w:sz w:val="21"/>
                <w:szCs w:val="21"/>
                <w:lang w:bidi="ar"/>
              </w:rPr>
              <w:t xml:space="preserve">制造商授权、制造商原厂售后服务承诺</w:t>
            </w:r>
            <w:r/>
          </w:p>
        </w:tc>
        <w:tc>
          <w:tcPr>
            <w:tcW w:w="4678" w:type="dxa"/>
            <w:vAlign w:val="center"/>
            <w:textDirection w:val="lrTb"/>
            <w:noWrap w:val="false"/>
          </w:tcPr>
          <w:p>
            <w:pPr>
              <w:ind w:left="0"/>
              <w:widowControl w:val="off"/>
              <w:rPr>
                <w:rFonts w:ascii="宋体" w:hAnsi="宋体"/>
                <w:bCs/>
                <w:sz w:val="21"/>
                <w:szCs w:val="21"/>
                <w:lang w:bidi="ar"/>
              </w:rPr>
            </w:pPr>
            <w:r>
              <w:rPr>
                <w:rFonts w:hint="eastAsia" w:ascii="宋体" w:hAnsi="宋体"/>
                <w:bCs/>
                <w:sz w:val="21"/>
                <w:szCs w:val="21"/>
                <w:lang w:bidi="ar"/>
              </w:rPr>
              <w:t xml:space="preserve">若投标人为所投产品制造商的，提供制造商声明函及售后服务承诺函的得 2 分，未提供则不得分；</w:t>
            </w:r>
            <w:r/>
          </w:p>
          <w:p>
            <w:pPr>
              <w:ind w:left="0"/>
              <w:widowControl w:val="off"/>
              <w:rPr>
                <w:rFonts w:hint="eastAsia" w:ascii="宋体" w:hAnsi="宋体"/>
                <w:bCs/>
                <w:sz w:val="21"/>
                <w:szCs w:val="21"/>
                <w:lang w:bidi="ar"/>
              </w:rPr>
            </w:pPr>
            <w:r>
              <w:rPr>
                <w:rFonts w:hint="eastAsia" w:ascii="宋体" w:hAnsi="宋体"/>
                <w:bCs/>
                <w:sz w:val="21"/>
                <w:szCs w:val="21"/>
                <w:lang w:bidi="ar"/>
              </w:rPr>
              <w:t xml:space="preserve">若投标人为所投产品代理商的，提供所投产品制造商授权函及原厂售后服务承诺函的得 2 分，未提供则不得分。</w:t>
            </w:r>
            <w:r/>
          </w:p>
          <w:p>
            <w:pPr>
              <w:ind w:left="0"/>
              <w:widowControl w:val="off"/>
              <w:rPr>
                <w:rFonts w:ascii="宋体" w:hAnsi="宋体"/>
                <w:b/>
                <w:sz w:val="21"/>
                <w:szCs w:val="21"/>
                <w:lang w:bidi="ar"/>
              </w:rPr>
            </w:pPr>
            <w:r>
              <w:rPr>
                <w:rStyle w:val="893"/>
                <w:rFonts w:hint="eastAsia"/>
                <w:b/>
                <w:bCs/>
                <w:sz w:val="21"/>
                <w:szCs w:val="21"/>
                <w:lang w:val="en-US" w:eastAsia="zh-CN"/>
              </w:rPr>
              <w:t xml:space="preserve">本项最高2分。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合同履约能力</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所投产品的投标人或产品制造商（</w:t>
            </w:r>
            <w:r>
              <w:rPr>
                <w:rFonts w:hint="eastAsia" w:ascii="宋体" w:hAnsi="宋体"/>
                <w:sz w:val="21"/>
                <w:szCs w:val="21"/>
                <w:lang w:val="en-US" w:eastAsia="zh-CN"/>
              </w:rPr>
              <w:t xml:space="preserve">提供同类产品销售业绩</w:t>
            </w:r>
            <w:r>
              <w:rPr>
                <w:rFonts w:hint="eastAsia" w:ascii="宋体" w:hAnsi="宋体"/>
                <w:sz w:val="21"/>
                <w:szCs w:val="21"/>
              </w:rPr>
              <w:t xml:space="preserve">）近4年（自2022年4月份）以来有销售业绩的（非单一产品包为核心产品）。类似业绩日期认定：以签订合同日期为准。每提供一份有效业绩证明材料得1分，最多得4分。</w:t>
            </w:r>
            <w:r/>
          </w:p>
          <w:p>
            <w:pPr>
              <w:ind w:left="0"/>
              <w:widowControl w:val="off"/>
              <w:rPr>
                <w:rFonts w:ascii="宋体" w:hAnsi="宋体"/>
                <w:b/>
                <w:bCs/>
                <w:sz w:val="21"/>
                <w:szCs w:val="21"/>
              </w:rPr>
            </w:pPr>
            <w:r>
              <w:rPr>
                <w:rFonts w:hint="eastAsia" w:ascii="宋体" w:hAnsi="宋体"/>
                <w:b/>
                <w:bCs/>
                <w:sz w:val="21"/>
                <w:szCs w:val="21"/>
              </w:rPr>
              <w:t xml:space="preserve">注：</w:t>
            </w:r>
            <w:r/>
          </w:p>
          <w:p>
            <w:pPr>
              <w:ind w:left="0"/>
              <w:widowControl w:val="off"/>
              <w:rPr>
                <w:rFonts w:ascii="宋体" w:hAnsi="宋体"/>
                <w:b/>
                <w:bCs/>
                <w:sz w:val="21"/>
                <w:szCs w:val="21"/>
              </w:rPr>
            </w:pPr>
            <w:r>
              <w:rPr>
                <w:rFonts w:hint="eastAsia" w:ascii="宋体" w:hAnsi="宋体"/>
                <w:b/>
                <w:bCs/>
                <w:sz w:val="21"/>
                <w:szCs w:val="21"/>
              </w:rPr>
              <w:t xml:space="preserve">①业绩证明材料需同时提供合同、验收证明以及合同执行过程中任意一次付款的发票复印件加盖公章（三者缺一不可），合同须能体现签订单位信息、签订时间、产品名称、型号、价格等相关信息，否则视为无效合同）。</w:t>
            </w:r>
            <w:r/>
          </w:p>
          <w:p>
            <w:pPr>
              <w:ind w:left="0"/>
              <w:widowControl w:val="off"/>
              <w:rPr>
                <w:rFonts w:ascii="宋体" w:hAnsi="宋体"/>
                <w:b/>
                <w:bCs/>
                <w:sz w:val="21"/>
                <w:szCs w:val="21"/>
              </w:rPr>
            </w:pPr>
            <w:r>
              <w:rPr>
                <w:rFonts w:hint="eastAsia" w:ascii="宋体" w:hAnsi="宋体"/>
                <w:b/>
                <w:bCs/>
                <w:sz w:val="21"/>
                <w:szCs w:val="21"/>
              </w:rPr>
              <w:t xml:space="preserve">②统招分签的合同按一个合同业绩计。（多个合同项目名称一致的，均按一个合同计。）</w:t>
            </w:r>
            <w:r/>
          </w:p>
          <w:p>
            <w:pPr>
              <w:ind w:left="0"/>
              <w:widowControl w:val="off"/>
              <w:rPr>
                <w:rFonts w:ascii="宋体" w:hAnsi="宋体"/>
                <w:b/>
                <w:bCs/>
                <w:sz w:val="21"/>
                <w:szCs w:val="21"/>
              </w:rPr>
            </w:pPr>
            <w:r>
              <w:rPr>
                <w:rFonts w:hint="eastAsia" w:ascii="宋体" w:hAnsi="宋体"/>
                <w:b/>
                <w:bCs/>
                <w:sz w:val="21"/>
                <w:szCs w:val="21"/>
              </w:rPr>
              <w:t xml:space="preserve">③合同中的产品名称及产品型号请加以明显标记，以方便评审和核对。</w:t>
            </w:r>
            <w:r/>
          </w:p>
          <w:p>
            <w:pPr>
              <w:ind w:left="0"/>
              <w:widowControl w:val="off"/>
              <w:rPr>
                <w:rFonts w:ascii="宋体" w:hAnsi="宋体"/>
                <w:sz w:val="21"/>
                <w:szCs w:val="21"/>
              </w:rPr>
            </w:pPr>
            <w:r>
              <w:rPr>
                <w:rFonts w:hint="eastAsia" w:ascii="宋体" w:hAnsi="宋体"/>
                <w:b/>
                <w:bCs/>
                <w:sz w:val="21"/>
                <w:szCs w:val="21"/>
              </w:rPr>
              <w:t xml:space="preserve">④合同评审中的重要信息因存在内容模糊、无法辨认而产生不利于该项评审的情况，投标人自行承担后果。</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r>
    </w:tbl>
    <w:p>
      <w:pPr>
        <w:ind w:left="0"/>
        <w:spacing w:line="360" w:lineRule="auto"/>
        <w:rPr>
          <w:rFonts w:ascii="宋体" w:hAnsi="宋体" w:cs="Times New Roman"/>
          <w:b/>
          <w:sz w:val="21"/>
          <w:szCs w:val="21"/>
        </w:rPr>
      </w:pPr>
      <w:r>
        <w:rPr>
          <w:rFonts w:ascii="宋体" w:hAnsi="宋体" w:cs="Times New Roman"/>
          <w:b/>
          <w:sz w:val="21"/>
          <w:szCs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8"/>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8"/>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8"/>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8"/>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68"/>
                            <w:ind w:firstLine="0"/>
                          </w:pPr>
                          <w:r>
                            <w:rPr>
                              <w:rFonts w:hint="eastAsia"/>
                            </w:rPr>
                            <w:fldChar w:fldCharType="begin"/>
                          </w:r>
                          <w:r>
                            <w:rPr>
                              <w:rFonts w:hint="eastAsia"/>
                            </w:rPr>
                            <w:instrText xml:space="preserve"> PAGE  \* MERGEFORMAT </w:instrText>
                          </w:r>
                          <w:r>
                            <w:rPr>
                              <w:rFonts w:hint="eastAsia"/>
                            </w:rPr>
                            <w:fldChar w:fldCharType="separate"/>
                          </w:r>
                          <w:r>
                            <w:t xml:space="preserve">81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68"/>
                      <w:ind w:firstLine="0"/>
                    </w:pPr>
                    <w:r>
                      <w:rPr>
                        <w:rFonts w:hint="eastAsia"/>
                      </w:rPr>
                      <w:fldChar w:fldCharType="begin"/>
                    </w:r>
                    <w:r>
                      <w:rPr>
                        <w:rFonts w:hint="eastAsia"/>
                      </w:rPr>
                      <w:instrText xml:space="preserve"> PAGE  \* MERGEFORMAT </w:instrText>
                    </w:r>
                    <w:r>
                      <w:rPr>
                        <w:rFonts w:hint="eastAsia"/>
                      </w:rPr>
                      <w:fldChar w:fldCharType="separate"/>
                    </w:r>
                    <w:r>
                      <w:t xml:space="preserve">81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8"/>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8"/>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7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76"/>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7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876"/>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876"/>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7"/>
    <w:link w:val="828"/>
    <w:uiPriority w:val="9"/>
    <w:rPr>
      <w:rFonts w:ascii="Arial" w:hAnsi="Arial" w:eastAsia="Arial" w:cs="Arial"/>
      <w:sz w:val="40"/>
      <w:szCs w:val="40"/>
    </w:rPr>
  </w:style>
  <w:style w:type="character" w:styleId="15">
    <w:name w:val="Heading 2 Char"/>
    <w:basedOn w:val="837"/>
    <w:link w:val="829"/>
    <w:uiPriority w:val="9"/>
    <w:rPr>
      <w:rFonts w:ascii="Arial" w:hAnsi="Arial" w:eastAsia="Arial" w:cs="Arial"/>
      <w:sz w:val="34"/>
    </w:rPr>
  </w:style>
  <w:style w:type="character" w:styleId="17">
    <w:name w:val="Heading 3 Char"/>
    <w:basedOn w:val="837"/>
    <w:link w:val="830"/>
    <w:uiPriority w:val="9"/>
    <w:rPr>
      <w:rFonts w:ascii="Arial" w:hAnsi="Arial" w:eastAsia="Arial" w:cs="Arial"/>
      <w:sz w:val="30"/>
      <w:szCs w:val="30"/>
    </w:rPr>
  </w:style>
  <w:style w:type="character" w:styleId="19">
    <w:name w:val="Heading 4 Char"/>
    <w:basedOn w:val="837"/>
    <w:link w:val="831"/>
    <w:uiPriority w:val="9"/>
    <w:rPr>
      <w:rFonts w:ascii="Arial" w:hAnsi="Arial" w:eastAsia="Arial" w:cs="Arial"/>
      <w:b/>
      <w:bCs/>
      <w:sz w:val="26"/>
      <w:szCs w:val="26"/>
    </w:rPr>
  </w:style>
  <w:style w:type="character" w:styleId="21">
    <w:name w:val="Heading 5 Char"/>
    <w:basedOn w:val="837"/>
    <w:link w:val="832"/>
    <w:uiPriority w:val="9"/>
    <w:rPr>
      <w:rFonts w:ascii="Arial" w:hAnsi="Arial" w:eastAsia="Arial" w:cs="Arial"/>
      <w:b/>
      <w:bCs/>
      <w:sz w:val="24"/>
      <w:szCs w:val="24"/>
    </w:rPr>
  </w:style>
  <w:style w:type="character" w:styleId="23">
    <w:name w:val="Heading 6 Char"/>
    <w:basedOn w:val="837"/>
    <w:link w:val="833"/>
    <w:uiPriority w:val="9"/>
    <w:rPr>
      <w:rFonts w:ascii="Arial" w:hAnsi="Arial" w:eastAsia="Arial" w:cs="Arial"/>
      <w:b/>
      <w:bCs/>
      <w:sz w:val="22"/>
      <w:szCs w:val="22"/>
    </w:rPr>
  </w:style>
  <w:style w:type="character" w:styleId="25">
    <w:name w:val="Heading 7 Char"/>
    <w:basedOn w:val="837"/>
    <w:link w:val="834"/>
    <w:uiPriority w:val="9"/>
    <w:rPr>
      <w:rFonts w:ascii="Arial" w:hAnsi="Arial" w:eastAsia="Arial" w:cs="Arial"/>
      <w:b/>
      <w:bCs/>
      <w:i/>
      <w:iCs/>
      <w:sz w:val="22"/>
      <w:szCs w:val="22"/>
    </w:rPr>
  </w:style>
  <w:style w:type="character" w:styleId="27">
    <w:name w:val="Heading 8 Char"/>
    <w:basedOn w:val="837"/>
    <w:link w:val="835"/>
    <w:uiPriority w:val="9"/>
    <w:rPr>
      <w:rFonts w:ascii="Arial" w:hAnsi="Arial" w:eastAsia="Arial" w:cs="Arial"/>
      <w:i/>
      <w:iCs/>
      <w:sz w:val="22"/>
      <w:szCs w:val="22"/>
    </w:rPr>
  </w:style>
  <w:style w:type="character" w:styleId="29">
    <w:name w:val="Heading 9 Char"/>
    <w:basedOn w:val="837"/>
    <w:link w:val="836"/>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27"/>
    <w:next w:val="827"/>
    <w:link w:val="34"/>
    <w:uiPriority w:val="10"/>
    <w:qFormat/>
    <w:pPr>
      <w:contextualSpacing/>
      <w:spacing w:before="300" w:after="200"/>
    </w:pPr>
    <w:rPr>
      <w:sz w:val="48"/>
      <w:szCs w:val="48"/>
    </w:rPr>
  </w:style>
  <w:style w:type="character" w:styleId="34">
    <w:name w:val="Title Char"/>
    <w:basedOn w:val="837"/>
    <w:link w:val="33"/>
    <w:uiPriority w:val="10"/>
    <w:rPr>
      <w:sz w:val="48"/>
      <w:szCs w:val="48"/>
    </w:rPr>
  </w:style>
  <w:style w:type="character" w:styleId="36">
    <w:name w:val="Subtitle Char"/>
    <w:basedOn w:val="837"/>
    <w:link w:val="873"/>
    <w:uiPriority w:val="11"/>
    <w:rPr>
      <w:sz w:val="24"/>
      <w:szCs w:val="24"/>
    </w:rPr>
  </w:style>
  <w:style w:type="character" w:styleId="38">
    <w:name w:val="Quote Char"/>
    <w:link w:val="1079"/>
    <w:uiPriority w:val="29"/>
    <w:rPr>
      <w:i/>
    </w:rPr>
  </w:style>
  <w:style w:type="character" w:styleId="40">
    <w:name w:val="Intense Quote Char"/>
    <w:link w:val="1205"/>
    <w:uiPriority w:val="30"/>
    <w:rPr>
      <w:i/>
    </w:rPr>
  </w:style>
  <w:style w:type="character" w:styleId="42">
    <w:name w:val="Header Char"/>
    <w:basedOn w:val="837"/>
    <w:link w:val="870"/>
    <w:uiPriority w:val="99"/>
  </w:style>
  <w:style w:type="character" w:styleId="44">
    <w:name w:val="Footer Char"/>
    <w:basedOn w:val="837"/>
    <w:link w:val="868"/>
    <w:uiPriority w:val="99"/>
  </w:style>
  <w:style w:type="character" w:styleId="46">
    <w:name w:val="Caption Char"/>
    <w:basedOn w:val="846"/>
    <w:link w:val="868"/>
    <w:uiPriority w:val="99"/>
  </w:style>
  <w:style w:type="table" w:styleId="48">
    <w:name w:val="Table Grid Light"/>
    <w:basedOn w:val="8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3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3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3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3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3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3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3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3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3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3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3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3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3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3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3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3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3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3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3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3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3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3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3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3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3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76"/>
    <w:uiPriority w:val="99"/>
    <w:rPr>
      <w:sz w:val="18"/>
    </w:rPr>
  </w:style>
  <w:style w:type="character" w:styleId="178">
    <w:name w:val="Endnote Text Char"/>
    <w:link w:val="865"/>
    <w:uiPriority w:val="99"/>
    <w:rPr>
      <w:sz w:val="20"/>
    </w:rPr>
  </w:style>
  <w:style w:type="character" w:styleId="179">
    <w:name w:val="endnote reference"/>
    <w:basedOn w:val="837"/>
    <w:uiPriority w:val="99"/>
    <w:semiHidden/>
    <w:unhideWhenUsed/>
    <w:rPr>
      <w:vertAlign w:val="superscript"/>
    </w:rPr>
  </w:style>
  <w:style w:type="paragraph" w:styleId="189">
    <w:name w:val="TOC Heading"/>
    <w:uiPriority w:val="39"/>
    <w:unhideWhenUsed/>
  </w:style>
  <w:style w:type="paragraph" w:styleId="190">
    <w:name w:val="table of figures"/>
    <w:basedOn w:val="827"/>
    <w:next w:val="827"/>
    <w:uiPriority w:val="99"/>
    <w:unhideWhenUsed/>
    <w:pPr>
      <w:spacing w:after="0" w:afterAutospacing="0"/>
    </w:pPr>
  </w:style>
  <w:style w:type="paragraph" w:styleId="827" w:default="1">
    <w:name w:val="Normal"/>
    <w:next w:val="839"/>
    <w:uiPriority w:val="0"/>
    <w:qFormat/>
    <w:pPr>
      <w:ind w:left="1024"/>
      <w:jc w:val="both"/>
    </w:pPr>
    <w:rPr>
      <w:rFonts w:ascii="Calibri" w:hAnsi="Calibri" w:eastAsia="宋体" w:cs="宋体"/>
      <w:lang w:val="en-US" w:eastAsia="zh-CN" w:bidi="ar-SA"/>
    </w:rPr>
  </w:style>
  <w:style w:type="paragraph" w:styleId="828">
    <w:name w:val="Heading 1"/>
    <w:basedOn w:val="827"/>
    <w:next w:val="827"/>
    <w:uiPriority w:val="0"/>
    <w:qFormat/>
    <w:pPr>
      <w:ind w:left="432" w:firstLine="18"/>
      <w:spacing w:before="340" w:after="330" w:line="578" w:lineRule="auto"/>
      <w:outlineLvl w:val="0"/>
    </w:pPr>
  </w:style>
  <w:style w:type="paragraph" w:styleId="829">
    <w:name w:val="Heading 2"/>
    <w:basedOn w:val="827"/>
    <w:next w:val="827"/>
    <w:uiPriority w:val="0"/>
    <w:qFormat/>
    <w:pPr>
      <w:ind w:left="576" w:firstLine="24"/>
      <w:spacing w:before="260" w:after="260" w:line="416" w:lineRule="auto"/>
      <w:outlineLvl w:val="1"/>
    </w:pPr>
    <w:rPr>
      <w:rFonts w:ascii="Times New Roman" w:hAnsi="Times New Roman" w:cs="Times New Roman"/>
    </w:rPr>
  </w:style>
  <w:style w:type="paragraph" w:styleId="830">
    <w:name w:val="Heading 3"/>
    <w:basedOn w:val="827"/>
    <w:next w:val="840"/>
    <w:uiPriority w:val="0"/>
    <w:qFormat/>
    <w:pPr>
      <w:ind w:left="720"/>
      <w:spacing w:before="260" w:after="260" w:line="416" w:lineRule="auto"/>
      <w:outlineLvl w:val="2"/>
    </w:pPr>
    <w:rPr>
      <w:rFonts w:ascii="Times New Roman" w:hAnsi="Times New Roman" w:cs="Times New Roman"/>
    </w:rPr>
  </w:style>
  <w:style w:type="paragraph" w:styleId="831">
    <w:name w:val="Heading 4"/>
    <w:basedOn w:val="828"/>
    <w:next w:val="827"/>
    <w:uiPriority w:val="0"/>
    <w:qFormat/>
    <w:pPr>
      <w:ind w:left="864" w:firstLine="24"/>
      <w:spacing w:before="280" w:after="290" w:line="376" w:lineRule="auto"/>
      <w:outlineLvl w:val="3"/>
    </w:pPr>
    <w:rPr>
      <w:rFonts w:ascii="Times New Roman" w:hAnsi="Times New Roman" w:cs="Times New Roman"/>
    </w:rPr>
  </w:style>
  <w:style w:type="paragraph" w:styleId="832">
    <w:name w:val="Heading 5"/>
    <w:basedOn w:val="828"/>
    <w:next w:val="827"/>
    <w:uiPriority w:val="0"/>
    <w:qFormat/>
    <w:pPr>
      <w:ind w:left="1008"/>
      <w:spacing w:before="280" w:after="290" w:line="376" w:lineRule="auto"/>
      <w:outlineLvl w:val="4"/>
    </w:pPr>
    <w:rPr>
      <w:rFonts w:ascii="Times New Roman" w:hAnsi="Times New Roman" w:cs="Times New Roman"/>
    </w:rPr>
  </w:style>
  <w:style w:type="paragraph" w:styleId="833">
    <w:name w:val="Heading 6"/>
    <w:basedOn w:val="828"/>
    <w:next w:val="827"/>
    <w:uiPriority w:val="0"/>
    <w:qFormat/>
    <w:pPr>
      <w:ind w:left="1152" w:firstLine="20"/>
      <w:spacing w:before="240" w:after="64" w:line="320" w:lineRule="auto"/>
      <w:outlineLvl w:val="5"/>
    </w:pPr>
    <w:rPr>
      <w:rFonts w:ascii="Times New Roman" w:hAnsi="Times New Roman" w:cs="Times New Roman"/>
    </w:rPr>
  </w:style>
  <w:style w:type="paragraph" w:styleId="834">
    <w:name w:val="Heading 7"/>
    <w:basedOn w:val="828"/>
    <w:next w:val="827"/>
    <w:uiPriority w:val="0"/>
    <w:qFormat/>
    <w:pPr>
      <w:ind w:left="1296" w:firstLine="14"/>
      <w:spacing w:before="240" w:after="64" w:line="320" w:lineRule="auto"/>
      <w:outlineLvl w:val="6"/>
    </w:pPr>
    <w:rPr>
      <w:rFonts w:ascii="Times New Roman" w:hAnsi="Times New Roman" w:cs="Times New Roman"/>
    </w:rPr>
  </w:style>
  <w:style w:type="paragraph" w:styleId="835">
    <w:name w:val="Heading 8"/>
    <w:basedOn w:val="828"/>
    <w:next w:val="827"/>
    <w:uiPriority w:val="0"/>
    <w:qFormat/>
    <w:pPr>
      <w:ind w:left="1440"/>
      <w:spacing w:before="240" w:after="64" w:line="320" w:lineRule="auto"/>
      <w:outlineLvl w:val="7"/>
    </w:pPr>
    <w:rPr>
      <w:rFonts w:ascii="Times New Roman" w:hAnsi="Times New Roman" w:cs="Times New Roman"/>
    </w:rPr>
  </w:style>
  <w:style w:type="paragraph" w:styleId="836">
    <w:name w:val="Heading 9"/>
    <w:basedOn w:val="828"/>
    <w:next w:val="827"/>
    <w:uiPriority w:val="0"/>
    <w:qFormat/>
    <w:pPr>
      <w:ind w:left="1584" w:firstLine="22"/>
      <w:spacing w:before="240" w:after="64" w:line="320" w:lineRule="auto"/>
      <w:outlineLvl w:val="8"/>
    </w:pPr>
    <w:rPr>
      <w:rFonts w:ascii="Times New Roman" w:hAnsi="Times New Roman" w:cs="Times New Roman"/>
    </w:rPr>
  </w:style>
  <w:style w:type="character" w:styleId="837" w:default="1">
    <w:name w:val="Default Paragraph Font"/>
    <w:uiPriority w:val="1"/>
    <w:semiHidden/>
    <w:unhideWhenUsed/>
    <w:qFormat/>
  </w:style>
  <w:style w:type="table" w:styleId="838" w:default="1">
    <w:name w:val="Normal Table"/>
    <w:uiPriority w:val="99"/>
    <w:semiHidden/>
    <w:unhideWhenUsed/>
    <w:qFormat/>
    <w:tblPr>
      <w:tblCellMar>
        <w:left w:w="108" w:type="dxa"/>
        <w:top w:w="0" w:type="dxa"/>
        <w:right w:w="108" w:type="dxa"/>
        <w:bottom w:w="0" w:type="dxa"/>
      </w:tblCellMar>
    </w:tblPr>
  </w:style>
  <w:style w:type="paragraph" w:styleId="839">
    <w:name w:val="Body Text Indent"/>
    <w:basedOn w:val="827"/>
    <w:next w:val="827"/>
    <w:uiPriority w:val="0"/>
    <w:qFormat/>
    <w:pPr>
      <w:ind w:left="420" w:firstLine="1188"/>
      <w:spacing w:line="360" w:lineRule="exact"/>
    </w:pPr>
    <w:rPr>
      <w:rFonts w:ascii="Times New Roman" w:hAnsi="Times New Roman" w:cs="Times New Roman"/>
    </w:rPr>
  </w:style>
  <w:style w:type="paragraph" w:styleId="840" w:customStyle="1">
    <w:name w:val="正文2"/>
    <w:basedOn w:val="827"/>
    <w:next w:val="827"/>
    <w:uiPriority w:val="0"/>
    <w:qFormat/>
    <w:pPr>
      <w:ind w:left="0" w:hanging="2155"/>
      <w:spacing w:line="360" w:lineRule="auto"/>
      <w:shd w:val="clear" w:color="auto" w:fill="ffffff"/>
    </w:pPr>
    <w:rPr>
      <w:rFonts w:ascii="宋体" w:hAnsi="宋体"/>
    </w:rPr>
  </w:style>
  <w:style w:type="paragraph" w:styleId="841">
    <w:name w:val="toc 7"/>
    <w:basedOn w:val="828"/>
    <w:next w:val="827"/>
    <w:uiPriority w:val="0"/>
    <w:qFormat/>
    <w:pPr>
      <w:ind w:left="1640" w:firstLine="3784"/>
      <w:spacing w:before="0" w:after="0" w:line="360" w:lineRule="auto"/>
    </w:pPr>
    <w:rPr>
      <w:rFonts w:ascii="Times New Roman" w:hAnsi="Times New Roman" w:cs="Times New Roman"/>
    </w:rPr>
  </w:style>
  <w:style w:type="paragraph" w:styleId="842">
    <w:name w:val="List Bullet 4"/>
    <w:basedOn w:val="828"/>
    <w:next w:val="843"/>
    <w:uiPriority w:val="0"/>
    <w:qFormat/>
    <w:pPr>
      <w:ind w:left="1620" w:firstLine="2652"/>
      <w:spacing w:before="0" w:after="0" w:line="360" w:lineRule="auto"/>
    </w:pPr>
    <w:rPr>
      <w:rFonts w:ascii="Times New Roman" w:hAnsi="Times New Roman" w:cs="Times New Roman"/>
    </w:rPr>
  </w:style>
  <w:style w:type="paragraph" w:styleId="843">
    <w:name w:val="List Bullet 2"/>
    <w:basedOn w:val="828"/>
    <w:next w:val="827"/>
    <w:uiPriority w:val="0"/>
    <w:qFormat/>
    <w:pPr>
      <w:ind w:left="900" w:firstLine="2652"/>
      <w:spacing w:before="0" w:after="0" w:line="360" w:lineRule="auto"/>
    </w:pPr>
    <w:rPr>
      <w:rFonts w:ascii="Times New Roman" w:hAnsi="Times New Roman" w:cs="Times New Roman"/>
    </w:rPr>
  </w:style>
  <w:style w:type="paragraph" w:styleId="844">
    <w:name w:val="List Number"/>
    <w:basedOn w:val="828"/>
    <w:next w:val="827"/>
    <w:uiPriority w:val="0"/>
    <w:qFormat/>
    <w:pPr>
      <w:ind w:left="454" w:firstLine="2788"/>
      <w:spacing w:before="0" w:after="0" w:line="240" w:lineRule="auto"/>
    </w:pPr>
    <w:rPr>
      <w:rFonts w:ascii="Times New Roman" w:hAnsi="Times New Roman" w:cs="Times New Roman"/>
    </w:rPr>
  </w:style>
  <w:style w:type="paragraph" w:styleId="845">
    <w:name w:val="Normal Indent"/>
    <w:basedOn w:val="827"/>
    <w:next w:val="827"/>
    <w:link w:val="896"/>
    <w:uiPriority w:val="0"/>
    <w:qFormat/>
    <w:pPr>
      <w:ind w:left="420" w:firstLine="4772"/>
    </w:pPr>
  </w:style>
  <w:style w:type="paragraph" w:styleId="846">
    <w:name w:val="Caption"/>
    <w:basedOn w:val="828"/>
    <w:next w:val="827"/>
    <w:uiPriority w:val="0"/>
    <w:qFormat/>
    <w:pPr>
      <w:ind w:left="200" w:firstLine="2248"/>
      <w:jc w:val="center"/>
      <w:spacing w:before="0" w:after="0" w:line="240" w:lineRule="auto"/>
    </w:pPr>
    <w:rPr>
      <w:rFonts w:ascii="Times New Roman" w:hAnsi="Times New Roman" w:cs="Times New Roman"/>
    </w:rPr>
  </w:style>
  <w:style w:type="paragraph" w:styleId="847">
    <w:name w:val="List Bullet"/>
    <w:basedOn w:val="828"/>
    <w:next w:val="827"/>
    <w:uiPriority w:val="0"/>
    <w:qFormat/>
    <w:pPr>
      <w:ind w:left="900" w:firstLine="2652"/>
      <w:spacing w:before="0" w:after="0" w:line="360" w:lineRule="auto"/>
    </w:pPr>
    <w:rPr>
      <w:rFonts w:ascii="Times New Roman" w:hAnsi="Times New Roman" w:cs="Times New Roman"/>
    </w:rPr>
  </w:style>
  <w:style w:type="paragraph" w:styleId="848">
    <w:name w:val="Document Map"/>
    <w:basedOn w:val="828"/>
    <w:next w:val="849"/>
    <w:uiPriority w:val="0"/>
    <w:qFormat/>
    <w:pPr>
      <w:ind w:left="0" w:firstLine="4"/>
      <w:spacing w:before="0" w:after="0" w:line="240" w:lineRule="auto"/>
      <w:shd w:val="clear" w:color="000000" w:fill="000080"/>
    </w:pPr>
    <w:rPr>
      <w:rFonts w:ascii="Times New Roman" w:hAnsi="Times New Roman" w:cs="Times New Roman"/>
    </w:rPr>
  </w:style>
  <w:style w:type="paragraph" w:styleId="849">
    <w:name w:val="annotation subject"/>
    <w:next w:val="827"/>
    <w:uiPriority w:val="0"/>
    <w:qFormat/>
    <w:pPr>
      <w:ind w:firstLine="4608"/>
      <w:spacing w:line="360" w:lineRule="auto"/>
    </w:pPr>
    <w:rPr>
      <w:rFonts w:ascii="Calibri" w:hAnsi="Calibri" w:eastAsia="宋体" w:cs="宋体"/>
      <w:lang w:val="en-US" w:eastAsia="zh-CN" w:bidi="ar-SA"/>
    </w:rPr>
  </w:style>
  <w:style w:type="paragraph" w:styleId="850">
    <w:name w:val="annotation text"/>
    <w:basedOn w:val="827"/>
    <w:next w:val="827"/>
    <w:uiPriority w:val="0"/>
    <w:qFormat/>
    <w:pPr>
      <w:ind w:left="0" w:firstLine="3584"/>
      <w:spacing w:line="360" w:lineRule="auto"/>
    </w:pPr>
    <w:rPr>
      <w:rFonts w:ascii="Times New Roman" w:hAnsi="Times New Roman" w:cs="Times New Roman"/>
    </w:rPr>
  </w:style>
  <w:style w:type="paragraph" w:styleId="851">
    <w:name w:val="Body Text 3"/>
    <w:basedOn w:val="828"/>
    <w:next w:val="827"/>
    <w:uiPriority w:val="0"/>
    <w:qFormat/>
    <w:pPr>
      <w:ind w:left="0" w:firstLine="2048"/>
      <w:spacing w:before="0" w:after="0" w:line="500" w:lineRule="exact"/>
    </w:pPr>
    <w:rPr>
      <w:rFonts w:ascii="Times New Roman" w:hAnsi="Times New Roman" w:cs="Times New Roman"/>
    </w:rPr>
  </w:style>
  <w:style w:type="paragraph" w:styleId="852">
    <w:name w:val="List Bullet 3"/>
    <w:basedOn w:val="828"/>
    <w:next w:val="827"/>
    <w:uiPriority w:val="0"/>
    <w:qFormat/>
    <w:pPr>
      <w:ind w:left="900" w:firstLine="2652"/>
      <w:spacing w:before="0" w:after="0" w:line="360" w:lineRule="auto"/>
    </w:pPr>
    <w:rPr>
      <w:rFonts w:ascii="Times New Roman" w:hAnsi="Times New Roman" w:cs="Times New Roman"/>
    </w:rPr>
  </w:style>
  <w:style w:type="paragraph" w:styleId="853">
    <w:name w:val="Body Text"/>
    <w:basedOn w:val="827"/>
    <w:next w:val="827"/>
    <w:uiPriority w:val="0"/>
    <w:qFormat/>
    <w:pPr>
      <w:ind w:left="0" w:firstLine="2560"/>
    </w:pPr>
    <w:rPr>
      <w:rFonts w:ascii="Times New Roman" w:hAnsi="Times New Roman" w:cs="Times New Roman"/>
    </w:rPr>
  </w:style>
  <w:style w:type="paragraph" w:styleId="854">
    <w:name w:val="List Number 3"/>
    <w:basedOn w:val="828"/>
    <w:next w:val="827"/>
    <w:uiPriority w:val="0"/>
    <w:qFormat/>
    <w:pPr>
      <w:ind w:left="420" w:firstLine="3584"/>
      <w:spacing w:before="0" w:after="0" w:line="240" w:lineRule="auto"/>
    </w:pPr>
    <w:rPr>
      <w:rFonts w:ascii="Times New Roman" w:hAnsi="Times New Roman" w:cs="Times New Roman"/>
    </w:rPr>
  </w:style>
  <w:style w:type="paragraph" w:styleId="855">
    <w:name w:val="List 2"/>
    <w:basedOn w:val="828"/>
    <w:next w:val="841"/>
    <w:uiPriority w:val="0"/>
    <w:qFormat/>
    <w:pPr>
      <w:ind w:left="100" w:firstLine="3640"/>
      <w:spacing w:before="0" w:after="0" w:line="240" w:lineRule="auto"/>
    </w:pPr>
    <w:rPr>
      <w:rFonts w:ascii="Times New Roman" w:hAnsi="Times New Roman" w:cs="Times New Roman"/>
    </w:rPr>
  </w:style>
  <w:style w:type="paragraph" w:styleId="856">
    <w:name w:val="Block Text"/>
    <w:basedOn w:val="828"/>
    <w:next w:val="827"/>
    <w:uiPriority w:val="0"/>
    <w:qFormat/>
    <w:pPr>
      <w:ind w:left="420" w:right="33" w:firstLine="2560"/>
      <w:spacing w:before="0" w:after="0" w:line="240" w:lineRule="auto"/>
    </w:pPr>
    <w:rPr>
      <w:rFonts w:ascii="Times New Roman" w:hAnsi="Times New Roman" w:cs="Times New Roman"/>
    </w:rPr>
  </w:style>
  <w:style w:type="paragraph" w:styleId="857">
    <w:name w:val="toc 5"/>
    <w:basedOn w:val="828"/>
    <w:next w:val="827"/>
    <w:uiPriority w:val="0"/>
    <w:qFormat/>
    <w:pPr>
      <w:ind w:left="1160" w:firstLine="3784"/>
      <w:spacing w:before="0" w:after="0" w:line="360" w:lineRule="auto"/>
    </w:pPr>
    <w:rPr>
      <w:rFonts w:ascii="Times New Roman" w:hAnsi="Times New Roman" w:cs="Times New Roman"/>
    </w:rPr>
  </w:style>
  <w:style w:type="paragraph" w:styleId="858">
    <w:name w:val="toc 3"/>
    <w:basedOn w:val="828"/>
    <w:next w:val="827"/>
    <w:uiPriority w:val="0"/>
    <w:qFormat/>
    <w:pPr>
      <w:ind w:left="0" w:firstLine="1024"/>
      <w:spacing w:before="0" w:after="0" w:line="360" w:lineRule="auto"/>
    </w:pPr>
    <w:rPr>
      <w:rFonts w:ascii="Times New Roman" w:hAnsi="Times New Roman" w:cs="Times New Roman"/>
    </w:rPr>
  </w:style>
  <w:style w:type="paragraph" w:styleId="859">
    <w:name w:val="Plain Text"/>
    <w:basedOn w:val="827"/>
    <w:uiPriority w:val="0"/>
    <w:qFormat/>
    <w:pPr>
      <w:ind w:left="0" w:firstLine="2048"/>
    </w:pPr>
    <w:rPr>
      <w:rFonts w:ascii="Times New Roman" w:hAnsi="Times New Roman" w:cs="Times New Roman"/>
    </w:rPr>
  </w:style>
  <w:style w:type="paragraph" w:styleId="860">
    <w:name w:val="List Bullet 5"/>
    <w:basedOn w:val="828"/>
    <w:next w:val="861"/>
    <w:uiPriority w:val="0"/>
    <w:qFormat/>
    <w:pPr>
      <w:ind w:left="2040" w:firstLine="2560"/>
      <w:spacing w:before="0" w:after="0" w:line="360" w:lineRule="auto"/>
    </w:pPr>
    <w:rPr>
      <w:rFonts w:ascii="Times New Roman" w:hAnsi="Times New Roman" w:cs="Times New Roman"/>
    </w:rPr>
  </w:style>
  <w:style w:type="paragraph" w:styleId="861" w:customStyle="1">
    <w:name w:val="正文首行缩进1"/>
    <w:next w:val="854"/>
    <w:uiPriority w:val="0"/>
    <w:qFormat/>
    <w:pPr>
      <w:ind w:left="420" w:firstLine="2724"/>
      <w:spacing w:after="120" w:line="360" w:lineRule="auto"/>
    </w:pPr>
    <w:rPr>
      <w:rFonts w:ascii="Calibri" w:hAnsi="Calibri" w:eastAsia="宋体" w:cs="宋体"/>
      <w:lang w:val="en-US" w:eastAsia="zh-CN" w:bidi="ar-SA"/>
    </w:rPr>
  </w:style>
  <w:style w:type="paragraph" w:styleId="862">
    <w:name w:val="toc 8"/>
    <w:basedOn w:val="828"/>
    <w:next w:val="827"/>
    <w:uiPriority w:val="0"/>
    <w:qFormat/>
    <w:pPr>
      <w:ind w:left="1880" w:firstLine="3784"/>
      <w:spacing w:before="0" w:after="0" w:line="360" w:lineRule="auto"/>
    </w:pPr>
    <w:rPr>
      <w:rFonts w:ascii="Times New Roman" w:hAnsi="Times New Roman" w:cs="Times New Roman"/>
    </w:rPr>
  </w:style>
  <w:style w:type="paragraph" w:styleId="863">
    <w:name w:val="Date"/>
    <w:basedOn w:val="828"/>
    <w:next w:val="827"/>
    <w:uiPriority w:val="0"/>
    <w:qFormat/>
    <w:pPr>
      <w:ind w:left="0" w:firstLine="2560"/>
      <w:spacing w:before="0" w:after="0" w:line="240" w:lineRule="auto"/>
    </w:pPr>
    <w:rPr>
      <w:rFonts w:ascii="Times New Roman" w:hAnsi="Times New Roman" w:cs="Times New Roman"/>
    </w:rPr>
  </w:style>
  <w:style w:type="paragraph" w:styleId="864">
    <w:name w:val="Body Text Indent 2"/>
    <w:basedOn w:val="828"/>
    <w:next w:val="839"/>
    <w:uiPriority w:val="0"/>
    <w:qFormat/>
    <w:pPr>
      <w:ind w:left="481" w:firstLine="2784"/>
      <w:spacing w:before="0" w:after="0" w:line="400" w:lineRule="exact"/>
    </w:pPr>
    <w:rPr>
      <w:rFonts w:ascii="Times New Roman" w:hAnsi="Times New Roman" w:cs="Times New Roman"/>
    </w:rPr>
  </w:style>
  <w:style w:type="paragraph" w:styleId="865">
    <w:name w:val="endnote text"/>
    <w:basedOn w:val="828"/>
    <w:next w:val="866"/>
    <w:uiPriority w:val="0"/>
    <w:qFormat/>
    <w:pPr>
      <w:ind w:left="0" w:firstLine="2560"/>
      <w:spacing w:before="0" w:after="0" w:line="360" w:lineRule="auto"/>
    </w:pPr>
    <w:rPr>
      <w:rFonts w:ascii="Times New Roman" w:hAnsi="Times New Roman" w:cs="Times New Roman"/>
    </w:rPr>
  </w:style>
  <w:style w:type="paragraph" w:styleId="866" w:customStyle="1">
    <w:name w:val="Char11"/>
    <w:basedOn w:val="828"/>
    <w:next w:val="827"/>
    <w:uiPriority w:val="0"/>
    <w:qFormat/>
    <w:pPr>
      <w:ind w:left="0" w:firstLine="3584"/>
      <w:spacing w:before="0" w:after="0" w:line="240" w:lineRule="auto"/>
    </w:pPr>
    <w:rPr>
      <w:rFonts w:ascii="Times New Roman" w:hAnsi="Times New Roman" w:cs="Times New Roman"/>
    </w:rPr>
  </w:style>
  <w:style w:type="paragraph" w:styleId="867">
    <w:name w:val="Balloon Text"/>
    <w:basedOn w:val="828"/>
    <w:next w:val="844"/>
    <w:uiPriority w:val="0"/>
    <w:qFormat/>
    <w:pPr>
      <w:ind w:left="0" w:firstLine="2048"/>
      <w:spacing w:before="0" w:after="0" w:line="240" w:lineRule="auto"/>
    </w:pPr>
    <w:rPr>
      <w:rFonts w:ascii="Times New Roman" w:hAnsi="Times New Roman" w:cs="Times New Roman"/>
    </w:rPr>
  </w:style>
  <w:style w:type="paragraph" w:styleId="868">
    <w:name w:val="Footer"/>
    <w:basedOn w:val="827"/>
    <w:next w:val="869"/>
    <w:link w:val="897"/>
    <w:uiPriority w:val="0"/>
    <w:qFormat/>
    <w:pPr>
      <w:ind w:left="0" w:firstLine="3584"/>
    </w:pPr>
  </w:style>
  <w:style w:type="paragraph" w:styleId="869" w:customStyle="1">
    <w:name w:val="Char Char Char Char Char Char Char Char Char Char Char Char Char"/>
    <w:basedOn w:val="828"/>
    <w:next w:val="827"/>
    <w:uiPriority w:val="0"/>
    <w:qFormat/>
    <w:pPr>
      <w:ind w:left="0" w:firstLine="3584"/>
      <w:spacing w:before="0" w:after="160" w:line="240" w:lineRule="exact"/>
    </w:pPr>
    <w:rPr>
      <w:rFonts w:ascii="Times New Roman" w:hAnsi="Times New Roman" w:cs="Times New Roman"/>
    </w:rPr>
  </w:style>
  <w:style w:type="paragraph" w:styleId="870">
    <w:name w:val="Header"/>
    <w:basedOn w:val="828"/>
    <w:next w:val="863"/>
    <w:link w:val="898"/>
    <w:uiPriority w:val="0"/>
    <w:qFormat/>
    <w:pPr>
      <w:ind w:left="0" w:firstLine="3584"/>
      <w:jc w:val="center"/>
      <w:spacing w:before="0" w:after="0" w:line="240" w:lineRule="auto"/>
    </w:pPr>
  </w:style>
  <w:style w:type="paragraph" w:styleId="871">
    <w:name w:val="toc 1"/>
    <w:basedOn w:val="828"/>
    <w:next w:val="827"/>
    <w:uiPriority w:val="39"/>
    <w:qFormat/>
    <w:pPr>
      <w:ind w:left="0" w:firstLine="4608"/>
      <w:spacing w:before="0" w:after="0" w:line="240" w:lineRule="auto"/>
    </w:pPr>
    <w:rPr>
      <w:rFonts w:ascii="Times New Roman" w:hAnsi="Times New Roman" w:cs="Times New Roman"/>
    </w:rPr>
  </w:style>
  <w:style w:type="paragraph" w:styleId="872">
    <w:name w:val="toc 4"/>
    <w:basedOn w:val="828"/>
    <w:next w:val="827"/>
    <w:uiPriority w:val="0"/>
    <w:qFormat/>
    <w:pPr>
      <w:ind w:left="1260" w:firstLine="1024"/>
      <w:spacing w:before="0" w:after="0" w:line="240" w:lineRule="auto"/>
    </w:pPr>
    <w:rPr>
      <w:rFonts w:ascii="Times New Roman" w:hAnsi="Times New Roman" w:cs="Times New Roman"/>
    </w:rPr>
  </w:style>
  <w:style w:type="paragraph" w:styleId="873">
    <w:name w:val="Subtitle"/>
    <w:next w:val="827"/>
    <w:uiPriority w:val="0"/>
    <w:qFormat/>
    <w:pPr>
      <w:ind w:left="1024"/>
      <w:jc w:val="center"/>
      <w:spacing w:after="60"/>
    </w:pPr>
    <w:rPr>
      <w:rFonts w:ascii="Calibri" w:hAnsi="Calibri" w:eastAsia="宋体" w:cs="宋体"/>
      <w:lang w:val="en-US" w:eastAsia="zh-CN" w:bidi="ar-SA"/>
    </w:rPr>
  </w:style>
  <w:style w:type="paragraph" w:styleId="874">
    <w:name w:val="List"/>
    <w:basedOn w:val="828"/>
    <w:next w:val="875"/>
    <w:uiPriority w:val="0"/>
    <w:qFormat/>
    <w:pPr>
      <w:ind w:left="200" w:firstLine="3640"/>
      <w:spacing w:before="0" w:after="0" w:line="240" w:lineRule="auto"/>
    </w:pPr>
    <w:rPr>
      <w:rFonts w:ascii="Times New Roman" w:hAnsi="Times New Roman" w:cs="Times New Roman"/>
    </w:rPr>
  </w:style>
  <w:style w:type="paragraph" w:styleId="875">
    <w:name w:val="Body Text First Indent"/>
    <w:next w:val="827"/>
    <w:uiPriority w:val="0"/>
    <w:qFormat/>
    <w:pPr>
      <w:ind w:left="420" w:firstLine="3748"/>
      <w:spacing w:after="120"/>
    </w:pPr>
    <w:rPr>
      <w:rFonts w:ascii="Calibri" w:hAnsi="Calibri" w:eastAsia="宋体" w:cs="宋体"/>
      <w:lang w:val="en-US" w:eastAsia="zh-CN" w:bidi="ar-SA"/>
    </w:rPr>
  </w:style>
  <w:style w:type="paragraph" w:styleId="876">
    <w:name w:val="footnote text"/>
    <w:basedOn w:val="828"/>
    <w:next w:val="856"/>
    <w:uiPriority w:val="0"/>
    <w:qFormat/>
    <w:pPr>
      <w:ind w:left="0" w:firstLine="3584"/>
      <w:spacing w:before="0" w:after="0" w:line="360" w:lineRule="auto"/>
    </w:pPr>
    <w:rPr>
      <w:rFonts w:ascii="Times New Roman" w:hAnsi="Times New Roman" w:cs="Times New Roman"/>
    </w:rPr>
  </w:style>
  <w:style w:type="paragraph" w:styleId="877">
    <w:name w:val="toc 6"/>
    <w:basedOn w:val="828"/>
    <w:next w:val="827"/>
    <w:uiPriority w:val="0"/>
    <w:qFormat/>
    <w:pPr>
      <w:ind w:left="1400" w:firstLine="3784"/>
      <w:spacing w:before="0" w:after="0" w:line="360" w:lineRule="auto"/>
    </w:pPr>
    <w:rPr>
      <w:rFonts w:ascii="Times New Roman" w:hAnsi="Times New Roman" w:cs="Times New Roman"/>
    </w:rPr>
  </w:style>
  <w:style w:type="paragraph" w:styleId="878">
    <w:name w:val="List 5"/>
    <w:basedOn w:val="828"/>
    <w:next w:val="853"/>
    <w:uiPriority w:val="0"/>
    <w:qFormat/>
    <w:pPr>
      <w:ind w:left="2100" w:firstLine="3676"/>
      <w:spacing w:before="0" w:after="0" w:line="240" w:lineRule="auto"/>
    </w:pPr>
    <w:rPr>
      <w:rFonts w:ascii="Times New Roman" w:hAnsi="Times New Roman" w:cs="Times New Roman"/>
    </w:rPr>
  </w:style>
  <w:style w:type="paragraph" w:styleId="879">
    <w:name w:val="Body Text Indent 3"/>
    <w:basedOn w:val="828"/>
    <w:next w:val="877"/>
    <w:uiPriority w:val="0"/>
    <w:qFormat/>
    <w:pPr>
      <w:ind w:left="480" w:firstLine="2784"/>
      <w:spacing w:before="0" w:after="0" w:line="400" w:lineRule="exact"/>
    </w:pPr>
    <w:rPr>
      <w:rFonts w:ascii="Times New Roman" w:hAnsi="Times New Roman" w:cs="Times New Roman"/>
    </w:rPr>
  </w:style>
  <w:style w:type="paragraph" w:styleId="880">
    <w:name w:val="toc 2"/>
    <w:basedOn w:val="828"/>
    <w:next w:val="827"/>
    <w:uiPriority w:val="0"/>
    <w:qFormat/>
    <w:pPr>
      <w:ind w:left="0" w:firstLine="1024"/>
      <w:spacing w:before="0" w:after="0" w:line="360" w:lineRule="auto"/>
    </w:pPr>
    <w:rPr>
      <w:rFonts w:ascii="Times New Roman" w:hAnsi="Times New Roman" w:cs="Times New Roman"/>
    </w:rPr>
  </w:style>
  <w:style w:type="paragraph" w:styleId="881">
    <w:name w:val="toc 9"/>
    <w:basedOn w:val="828"/>
    <w:next w:val="827"/>
    <w:uiPriority w:val="0"/>
    <w:qFormat/>
    <w:pPr>
      <w:ind w:left="2120" w:firstLine="3784"/>
      <w:spacing w:before="0" w:after="0" w:line="360" w:lineRule="auto"/>
    </w:pPr>
    <w:rPr>
      <w:rFonts w:ascii="Times New Roman" w:hAnsi="Times New Roman" w:cs="Times New Roman"/>
    </w:rPr>
  </w:style>
  <w:style w:type="paragraph" w:styleId="882">
    <w:name w:val="Body Text 2"/>
    <w:basedOn w:val="828"/>
    <w:next w:val="847"/>
    <w:uiPriority w:val="0"/>
    <w:qFormat/>
    <w:pPr>
      <w:ind w:left="0" w:firstLine="1024"/>
      <w:spacing w:before="0" w:after="120" w:line="480" w:lineRule="auto"/>
    </w:pPr>
    <w:rPr>
      <w:rFonts w:ascii="Times New Roman" w:hAnsi="Times New Roman" w:cs="Times New Roman"/>
    </w:rPr>
  </w:style>
  <w:style w:type="paragraph" w:styleId="883">
    <w:name w:val="HTML Preformatted"/>
    <w:basedOn w:val="828"/>
    <w:next w:val="846"/>
    <w:uiPriority w:val="0"/>
    <w:qFormat/>
    <w:pPr>
      <w:ind w:left="0" w:firstLine="2048"/>
      <w:spacing w:before="0" w:after="0" w:line="253" w:lineRule="atLeast"/>
    </w:pPr>
    <w:rPr>
      <w:rFonts w:ascii="Times New Roman" w:hAnsi="Times New Roman" w:cs="Times New Roman"/>
    </w:rPr>
  </w:style>
  <w:style w:type="paragraph" w:styleId="884">
    <w:name w:val="Normal (Web)"/>
    <w:basedOn w:val="827"/>
    <w:next w:val="855"/>
    <w:uiPriority w:val="0"/>
    <w:qFormat/>
    <w:pPr>
      <w:ind w:left="15" w:right="15" w:firstLine="4608"/>
      <w:spacing w:before="60" w:after="60" w:line="312" w:lineRule="auto"/>
    </w:pPr>
    <w:rPr>
      <w:rFonts w:ascii="Times New Roman" w:hAnsi="Times New Roman" w:cs="Times New Roman"/>
    </w:rPr>
  </w:style>
  <w:style w:type="paragraph" w:styleId="885">
    <w:name w:val="index 1"/>
    <w:basedOn w:val="828"/>
    <w:next w:val="827"/>
    <w:uiPriority w:val="0"/>
    <w:qFormat/>
    <w:pPr>
      <w:ind w:left="0" w:firstLine="3584"/>
      <w:spacing w:before="0" w:after="0" w:line="240" w:lineRule="auto"/>
    </w:pPr>
    <w:rPr>
      <w:rFonts w:ascii="Times New Roman" w:hAnsi="Times New Roman" w:cs="Times New Roman"/>
    </w:rPr>
  </w:style>
  <w:style w:type="paragraph" w:styleId="886">
    <w:name w:val="Body Text First Indent 2"/>
    <w:basedOn w:val="839"/>
    <w:link w:val="1246"/>
    <w:uiPriority w:val="0"/>
    <w:unhideWhenUsed/>
    <w:qFormat/>
    <w:pPr>
      <w:ind w:firstLine="420"/>
    </w:pPr>
  </w:style>
  <w:style w:type="table" w:styleId="887">
    <w:name w:val="Table Grid"/>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88">
    <w:name w:val="Strong"/>
    <w:uiPriority w:val="0"/>
    <w:qFormat/>
    <w:rPr>
      <w:rFonts w:ascii="Times New Roman" w:hAnsi="Times New Roman" w:eastAsia="宋体" w:cs="Times New Roman"/>
      <w:b/>
      <w:sz w:val="20"/>
    </w:rPr>
  </w:style>
  <w:style w:type="character" w:styleId="889">
    <w:name w:val="page number"/>
    <w:uiPriority w:val="0"/>
    <w:qFormat/>
    <w:rPr>
      <w:rFonts w:ascii="Times New Roman" w:hAnsi="Times New Roman" w:eastAsia="宋体" w:cs="Times New Roman"/>
      <w:sz w:val="20"/>
    </w:rPr>
  </w:style>
  <w:style w:type="character" w:styleId="890">
    <w:name w:val="FollowedHyperlink"/>
    <w:uiPriority w:val="0"/>
    <w:qFormat/>
    <w:rPr>
      <w:rFonts w:ascii="Times New Roman" w:hAnsi="Times New Roman" w:eastAsia="宋体" w:cs="Times New Roman"/>
      <w:color w:val="800080"/>
      <w:sz w:val="20"/>
      <w:u w:val="single"/>
    </w:rPr>
  </w:style>
  <w:style w:type="character" w:styleId="891">
    <w:name w:val="Emphasis"/>
    <w:uiPriority w:val="0"/>
    <w:qFormat/>
    <w:rPr>
      <w:rFonts w:ascii="Times New Roman" w:hAnsi="Times New Roman" w:eastAsia="宋体" w:cs="Times New Roman"/>
      <w:i/>
      <w:sz w:val="21"/>
    </w:rPr>
  </w:style>
  <w:style w:type="character" w:styleId="892">
    <w:name w:val="Hyperlink"/>
    <w:uiPriority w:val="99"/>
    <w:qFormat/>
    <w:rPr>
      <w:rFonts w:ascii="Times New Roman" w:hAnsi="Times New Roman" w:eastAsia="宋体" w:cs="Times New Roman"/>
      <w:color w:val="0000ff"/>
      <w:sz w:val="20"/>
      <w:u w:val="single"/>
    </w:rPr>
  </w:style>
  <w:style w:type="character" w:styleId="893">
    <w:name w:val="annotation reference"/>
    <w:uiPriority w:val="0"/>
    <w:qFormat/>
    <w:rPr>
      <w:rFonts w:ascii="Times New Roman" w:hAnsi="Times New Roman" w:eastAsia="宋体" w:cs="Times New Roman"/>
      <w:sz w:val="20"/>
    </w:rPr>
  </w:style>
  <w:style w:type="character" w:styleId="894">
    <w:name w:val="footnote reference"/>
    <w:uiPriority w:val="0"/>
    <w:qFormat/>
    <w:rPr>
      <w:rFonts w:ascii="Times New Roman" w:hAnsi="Times New Roman" w:eastAsia="宋体" w:cs="Times New Roman"/>
      <w:vertAlign w:val="superscript"/>
    </w:rPr>
  </w:style>
  <w:style w:type="paragraph" w:styleId="895" w:customStyle="1">
    <w:name w:val="BodyText"/>
    <w:basedOn w:val="827"/>
    <w:uiPriority w:val="0"/>
    <w:qFormat/>
    <w:pPr>
      <w:spacing w:after="120"/>
    </w:pPr>
  </w:style>
  <w:style w:type="character" w:styleId="896" w:customStyle="1">
    <w:name w:val="正文缩进 字符"/>
    <w:link w:val="845"/>
    <w:uiPriority w:val="0"/>
    <w:qFormat/>
    <w:rPr>
      <w:rFonts w:ascii="Calibri" w:hAnsi="Calibri" w:eastAsia="宋体" w:cs="Times New Roman"/>
    </w:rPr>
  </w:style>
  <w:style w:type="character" w:styleId="897" w:customStyle="1">
    <w:name w:val="页脚 字符"/>
    <w:link w:val="868"/>
    <w:uiPriority w:val="0"/>
    <w:qFormat/>
    <w:rPr>
      <w:rFonts w:ascii="Calibri" w:hAnsi="Calibri" w:eastAsia="宋体" w:cs="Times New Roman"/>
    </w:rPr>
  </w:style>
  <w:style w:type="character" w:styleId="898" w:customStyle="1">
    <w:name w:val="页眉 字符"/>
    <w:link w:val="870"/>
    <w:uiPriority w:val="0"/>
    <w:qFormat/>
    <w:rPr>
      <w:rFonts w:ascii="Calibri" w:hAnsi="Calibri" w:eastAsia="宋体" w:cs="Times New Roman"/>
    </w:rPr>
  </w:style>
  <w:style w:type="character" w:styleId="899" w:customStyle="1">
    <w:name w:val="日期 Char"/>
    <w:uiPriority w:val="0"/>
    <w:qFormat/>
    <w:rPr>
      <w:rFonts w:ascii="Times New Roman" w:hAnsi="Times New Roman" w:eastAsia="宋体" w:cs="Times New Roman"/>
      <w:sz w:val="20"/>
    </w:rPr>
  </w:style>
  <w:style w:type="character" w:styleId="900" w:customStyle="1">
    <w:name w:val="批注引用1"/>
    <w:uiPriority w:val="0"/>
    <w:qFormat/>
    <w:rPr>
      <w:rFonts w:ascii="Times New Roman" w:hAnsi="Times New Roman" w:eastAsia="宋体" w:cs="Times New Roman"/>
      <w:sz w:val="20"/>
    </w:rPr>
  </w:style>
  <w:style w:type="character" w:styleId="901" w:customStyle="1">
    <w:name w:val="应答文本 Char Char"/>
    <w:uiPriority w:val="0"/>
    <w:qFormat/>
    <w:rPr>
      <w:rFonts w:ascii="Times New Roman" w:hAnsi="Times New Roman" w:eastAsia="宋体" w:cs="Times New Roman"/>
      <w:sz w:val="20"/>
    </w:rPr>
  </w:style>
  <w:style w:type="character" w:styleId="902" w:customStyle="1">
    <w:name w:val="图片0 Char Char"/>
    <w:uiPriority w:val="0"/>
    <w:qFormat/>
    <w:rPr>
      <w:rFonts w:ascii="Times New Roman" w:hAnsi="Times New Roman" w:eastAsia="宋体" w:cs="Times New Roman"/>
      <w:sz w:val="20"/>
    </w:rPr>
  </w:style>
  <w:style w:type="character" w:styleId="903" w:customStyle="1">
    <w:name w:val="尾注文本 Char"/>
    <w:uiPriority w:val="0"/>
    <w:qFormat/>
    <w:rPr>
      <w:rFonts w:ascii="Times New Roman" w:hAnsi="Times New Roman" w:eastAsia="宋体" w:cs="Times New Roman"/>
      <w:sz w:val="20"/>
    </w:rPr>
  </w:style>
  <w:style w:type="character" w:styleId="904" w:customStyle="1">
    <w:name w:val="文档结构图 字符"/>
    <w:uiPriority w:val="0"/>
    <w:qFormat/>
    <w:rPr>
      <w:rFonts w:ascii="Microsoft YaHei UI" w:hAnsi="Times New Roman" w:eastAsia="Microsoft YaHei UI" w:cs="Times New Roman"/>
      <w:sz w:val="18"/>
      <w:szCs w:val="18"/>
    </w:rPr>
  </w:style>
  <w:style w:type="character" w:styleId="905" w:customStyle="1">
    <w:name w:val="_Style 337"/>
    <w:uiPriority w:val="0"/>
    <w:qFormat/>
    <w:rPr>
      <w:rFonts w:ascii="Times New Roman" w:hAnsi="Times New Roman" w:eastAsia="宋体" w:cs="Times New Roman"/>
      <w:color w:val="auto"/>
      <w:sz w:val="21"/>
    </w:rPr>
  </w:style>
  <w:style w:type="character" w:styleId="906" w:customStyle="1">
    <w:name w:val="正文文本 字符"/>
    <w:uiPriority w:val="0"/>
    <w:qFormat/>
    <w:rPr>
      <w:rFonts w:ascii="Times New Roman" w:hAnsi="Times New Roman" w:eastAsia="宋体" w:cs="Times New Roman"/>
      <w:sz w:val="21"/>
    </w:rPr>
  </w:style>
  <w:style w:type="character" w:styleId="907" w:customStyle="1">
    <w:name w:val="批注文字 字符"/>
    <w:uiPriority w:val="0"/>
    <w:qFormat/>
    <w:rPr>
      <w:rFonts w:ascii="Times New Roman" w:hAnsi="Times New Roman" w:eastAsia="宋体" w:cs="Times New Roman"/>
      <w:sz w:val="20"/>
    </w:rPr>
  </w:style>
  <w:style w:type="character" w:styleId="908" w:customStyle="1">
    <w:name w:val="批注文字 Char1"/>
    <w:uiPriority w:val="0"/>
    <w:qFormat/>
    <w:rPr>
      <w:rFonts w:ascii="Times New Roman" w:hAnsi="Times New Roman" w:eastAsia="宋体" w:cs="Times New Roman"/>
      <w:sz w:val="20"/>
    </w:rPr>
  </w:style>
  <w:style w:type="character" w:styleId="909" w:customStyle="1">
    <w:name w:val="txt"/>
    <w:uiPriority w:val="0"/>
    <w:qFormat/>
    <w:rPr>
      <w:rFonts w:ascii="Times New Roman" w:hAnsi="Times New Roman" w:eastAsia="宋体" w:cs="Times New Roman"/>
      <w:sz w:val="20"/>
    </w:rPr>
  </w:style>
  <w:style w:type="character" w:styleId="910" w:customStyle="1">
    <w:name w:val="标书正文 Char"/>
    <w:uiPriority w:val="0"/>
    <w:qFormat/>
    <w:rPr>
      <w:rFonts w:ascii="Times New Roman" w:hAnsi="Times New Roman" w:eastAsia="宋体" w:cs="Times New Roman"/>
      <w:sz w:val="20"/>
    </w:rPr>
  </w:style>
  <w:style w:type="character" w:styleId="911" w:customStyle="1">
    <w:name w:val="font21"/>
    <w:uiPriority w:val="0"/>
    <w:qFormat/>
    <w:rPr>
      <w:rFonts w:hint="eastAsia" w:ascii="宋体" w:hAnsi="宋体" w:eastAsia="宋体" w:cs="宋体"/>
      <w:color w:val="ff0000"/>
      <w:sz w:val="24"/>
      <w:szCs w:val="24"/>
      <w:u w:val="none"/>
    </w:rPr>
  </w:style>
  <w:style w:type="character" w:styleId="912" w:customStyle="1">
    <w:name w:val="apple-converted-space"/>
    <w:uiPriority w:val="0"/>
    <w:qFormat/>
    <w:rPr>
      <w:rFonts w:ascii="Times New Roman" w:hAnsi="Times New Roman" w:eastAsia="宋体" w:cs="Times New Roman"/>
      <w:sz w:val="20"/>
    </w:rPr>
  </w:style>
  <w:style w:type="character" w:styleId="913" w:customStyle="1">
    <w:name w:val="纯文本 Char1"/>
    <w:uiPriority w:val="0"/>
    <w:qFormat/>
    <w:rPr>
      <w:rFonts w:ascii="Times New Roman" w:hAnsi="Times New Roman" w:eastAsia="宋体" w:cs="Times New Roman"/>
      <w:sz w:val="20"/>
    </w:rPr>
  </w:style>
  <w:style w:type="character" w:styleId="914" w:customStyle="1">
    <w:name w:val="para1"/>
    <w:uiPriority w:val="0"/>
    <w:qFormat/>
    <w:rPr>
      <w:rFonts w:ascii="Times New Roman" w:hAnsi="Times New Roman" w:eastAsia="宋体" w:cs="Times New Roman"/>
      <w:sz w:val="20"/>
    </w:rPr>
  </w:style>
  <w:style w:type="character" w:styleId="915" w:customStyle="1">
    <w:name w:val="HTML 预设格式 Char1"/>
    <w:uiPriority w:val="0"/>
    <w:qFormat/>
    <w:rPr>
      <w:rFonts w:ascii="Times New Roman" w:hAnsi="Times New Roman" w:eastAsia="宋体" w:cs="Times New Roman"/>
      <w:sz w:val="20"/>
    </w:rPr>
  </w:style>
  <w:style w:type="character" w:styleId="916" w:customStyle="1">
    <w:name w:val="批注文字 Char"/>
    <w:uiPriority w:val="0"/>
    <w:qFormat/>
    <w:rPr>
      <w:rFonts w:ascii="Times New Roman" w:hAnsi="Times New Roman" w:eastAsia="宋体" w:cs="Times New Roman"/>
      <w:sz w:val="20"/>
    </w:rPr>
  </w:style>
  <w:style w:type="character" w:styleId="917" w:customStyle="1">
    <w:name w:val="文档结构图 Char"/>
    <w:uiPriority w:val="0"/>
    <w:qFormat/>
    <w:rPr>
      <w:rFonts w:ascii="Times New Roman" w:hAnsi="Times New Roman" w:eastAsia="宋体" w:cs="Times New Roman"/>
      <w:sz w:val="20"/>
    </w:rPr>
  </w:style>
  <w:style w:type="character" w:styleId="918" w:customStyle="1">
    <w:name w:val="超级链接"/>
    <w:uiPriority w:val="0"/>
    <w:qFormat/>
    <w:rPr>
      <w:rFonts w:ascii="Times New Roman" w:hAnsi="Times New Roman" w:eastAsia="宋体" w:cs="Times New Roman"/>
      <w:color w:val="0000ff"/>
      <w:sz w:val="20"/>
      <w:u w:val="single"/>
    </w:rPr>
  </w:style>
  <w:style w:type="character" w:styleId="919" w:customStyle="1">
    <w:name w:val="p141"/>
    <w:uiPriority w:val="0"/>
    <w:qFormat/>
    <w:rPr>
      <w:rFonts w:ascii="Times New Roman" w:hAnsi="Times New Roman" w:eastAsia="宋体" w:cs="Times New Roman"/>
      <w:color w:val="000000"/>
      <w:sz w:val="20"/>
      <w:u w:val="none"/>
    </w:rPr>
  </w:style>
  <w:style w:type="character" w:styleId="920" w:customStyle="1">
    <w:name w:val="宏文本 Char"/>
    <w:uiPriority w:val="0"/>
    <w:qFormat/>
    <w:rPr>
      <w:rFonts w:ascii="Times New Roman" w:hAnsi="Times New Roman" w:eastAsia="宋体" w:cs="Times New Roman"/>
      <w:sz w:val="20"/>
    </w:rPr>
  </w:style>
  <w:style w:type="character" w:styleId="921" w:customStyle="1">
    <w:name w:val="_Style 313"/>
    <w:uiPriority w:val="0"/>
    <w:qFormat/>
    <w:rPr>
      <w:rFonts w:ascii="Times New Roman" w:hAnsi="Times New Roman" w:eastAsia="宋体" w:cs="Times New Roman"/>
      <w:b/>
      <w:i/>
      <w:sz w:val="21"/>
    </w:rPr>
  </w:style>
  <w:style w:type="character" w:styleId="922" w:customStyle="1">
    <w:name w:val="页脚 Char1"/>
    <w:uiPriority w:val="0"/>
    <w:qFormat/>
    <w:rPr>
      <w:rFonts w:ascii="Times New Roman" w:hAnsi="Times New Roman" w:eastAsia="宋体" w:cs="Times New Roman"/>
      <w:sz w:val="20"/>
    </w:rPr>
  </w:style>
  <w:style w:type="character" w:styleId="923" w:customStyle="1">
    <w:name w:val="页眉 Char"/>
    <w:uiPriority w:val="0"/>
    <w:qFormat/>
    <w:rPr>
      <w:rFonts w:ascii="Times New Roman" w:hAnsi="Times New Roman" w:eastAsia="宋体" w:cs="Times New Roman"/>
      <w:sz w:val="20"/>
    </w:rPr>
  </w:style>
  <w:style w:type="character" w:styleId="924" w:customStyle="1">
    <w:name w:val="标题 7 Char"/>
    <w:uiPriority w:val="0"/>
    <w:qFormat/>
    <w:rPr>
      <w:rFonts w:ascii="Times New Roman" w:hAnsi="Times New Roman" w:eastAsia="宋体" w:cs="Times New Roman"/>
      <w:b/>
      <w:sz w:val="20"/>
    </w:rPr>
  </w:style>
  <w:style w:type="character" w:styleId="925" w:customStyle="1">
    <w:name w:val="Char Char12"/>
    <w:uiPriority w:val="0"/>
    <w:qFormat/>
    <w:rPr>
      <w:rFonts w:ascii="Times New Roman" w:hAnsi="Times New Roman" w:eastAsia="宋体" w:cs="Times New Roman"/>
      <w:sz w:val="20"/>
    </w:rPr>
  </w:style>
  <w:style w:type="character" w:styleId="926" w:customStyle="1">
    <w:name w:val="标题 3 Char"/>
    <w:uiPriority w:val="0"/>
    <w:qFormat/>
    <w:rPr>
      <w:rFonts w:ascii="Times New Roman" w:hAnsi="Times New Roman" w:eastAsia="宋体" w:cs="Times New Roman"/>
      <w:b/>
      <w:sz w:val="20"/>
    </w:rPr>
  </w:style>
  <w:style w:type="character" w:styleId="927" w:customStyle="1">
    <w:name w:val="正文（首行缩进 2 字符） Char Char"/>
    <w:uiPriority w:val="0"/>
    <w:qFormat/>
    <w:rPr>
      <w:rFonts w:ascii="Times New Roman" w:hAnsi="Times New Roman" w:eastAsia="宋体" w:cs="Times New Roman"/>
      <w:sz w:val="20"/>
    </w:rPr>
  </w:style>
  <w:style w:type="character" w:styleId="928" w:customStyle="1">
    <w:name w:val="表格用 Char Char"/>
    <w:uiPriority w:val="0"/>
    <w:qFormat/>
    <w:rPr>
      <w:rFonts w:ascii="Times New Roman" w:hAnsi="Times New Roman" w:eastAsia="宋体" w:cs="Times New Roman"/>
      <w:sz w:val="20"/>
    </w:rPr>
  </w:style>
  <w:style w:type="character" w:styleId="929" w:customStyle="1">
    <w:name w:val="正文文本缩进 3 Char1"/>
    <w:uiPriority w:val="0"/>
    <w:qFormat/>
    <w:rPr>
      <w:rFonts w:ascii="Times New Roman" w:hAnsi="Times New Roman" w:eastAsia="宋体" w:cs="Times New Roman"/>
      <w:sz w:val="20"/>
    </w:rPr>
  </w:style>
  <w:style w:type="character" w:styleId="930" w:customStyle="1">
    <w:name w:val="正文缩进 Char"/>
    <w:uiPriority w:val="0"/>
    <w:qFormat/>
    <w:rPr>
      <w:rFonts w:ascii="Times New Roman" w:hAnsi="Times New Roman" w:eastAsia="宋体" w:cs="Times New Roman"/>
      <w:sz w:val="20"/>
    </w:rPr>
  </w:style>
  <w:style w:type="character" w:styleId="931" w:customStyle="1">
    <w:name w:val="批注框文本 Char1"/>
    <w:uiPriority w:val="0"/>
    <w:qFormat/>
    <w:rPr>
      <w:rFonts w:ascii="Times New Roman" w:hAnsi="Times New Roman" w:eastAsia="宋体" w:cs="Times New Roman"/>
      <w:sz w:val="20"/>
    </w:rPr>
  </w:style>
  <w:style w:type="character" w:styleId="932" w:customStyle="1">
    <w:name w:val="Char Char13"/>
    <w:uiPriority w:val="0"/>
    <w:qFormat/>
    <w:rPr>
      <w:rFonts w:ascii="Times New Roman" w:hAnsi="Times New Roman" w:eastAsia="宋体" w:cs="Times New Roman"/>
      <w:sz w:val="20"/>
    </w:rPr>
  </w:style>
  <w:style w:type="character" w:styleId="933" w:customStyle="1">
    <w:name w:val="样式2 Char"/>
    <w:uiPriority w:val="0"/>
    <w:qFormat/>
    <w:rPr>
      <w:rFonts w:ascii="Times New Roman" w:hAnsi="Times New Roman" w:eastAsia="宋体" w:cs="Times New Roman"/>
      <w:b/>
      <w:sz w:val="20"/>
    </w:rPr>
  </w:style>
  <w:style w:type="character" w:styleId="934" w:customStyle="1">
    <w:name w:val="页脚 Char"/>
    <w:uiPriority w:val="0"/>
    <w:qFormat/>
    <w:rPr>
      <w:rFonts w:ascii="Times New Roman" w:hAnsi="Times New Roman" w:eastAsia="宋体" w:cs="Times New Roman"/>
      <w:sz w:val="20"/>
    </w:rPr>
  </w:style>
  <w:style w:type="character" w:styleId="935" w:customStyle="1">
    <w:name w:val="标准文本 Char"/>
    <w:uiPriority w:val="0"/>
    <w:qFormat/>
    <w:rPr>
      <w:rFonts w:ascii="Times New Roman" w:hAnsi="Times New Roman" w:eastAsia="宋体" w:cs="Times New Roman"/>
      <w:sz w:val="20"/>
    </w:rPr>
  </w:style>
  <w:style w:type="character" w:styleId="936" w:customStyle="1">
    <w:name w:val="font01"/>
    <w:uiPriority w:val="0"/>
    <w:qFormat/>
    <w:rPr>
      <w:rFonts w:hint="eastAsia" w:ascii="宋体" w:hAnsi="宋体" w:eastAsia="宋体" w:cs="宋体"/>
      <w:color w:val="000000"/>
      <w:sz w:val="24"/>
      <w:szCs w:val="24"/>
      <w:u w:val="none"/>
    </w:rPr>
  </w:style>
  <w:style w:type="character" w:styleId="937" w:customStyle="1">
    <w:name w:val="标题 3 Char1"/>
    <w:uiPriority w:val="0"/>
    <w:qFormat/>
    <w:rPr>
      <w:rFonts w:ascii="Times New Roman" w:hAnsi="Times New Roman" w:eastAsia="宋体" w:cs="Times New Roman"/>
      <w:b/>
      <w:sz w:val="20"/>
      <w:u w:val="single"/>
    </w:rPr>
  </w:style>
  <w:style w:type="character" w:styleId="938" w:customStyle="1">
    <w:name w:val="表格 Char Char"/>
    <w:uiPriority w:val="0"/>
    <w:qFormat/>
    <w:rPr>
      <w:rFonts w:ascii="Times New Roman" w:hAnsi="Times New Roman" w:eastAsia="宋体" w:cs="Times New Roman"/>
      <w:sz w:val="20"/>
    </w:rPr>
  </w:style>
  <w:style w:type="character" w:styleId="939" w:customStyle="1">
    <w:name w:val="正文首行缩进 Char"/>
    <w:uiPriority w:val="0"/>
    <w:qFormat/>
    <w:rPr>
      <w:rFonts w:ascii="Times New Roman" w:hAnsi="Times New Roman" w:eastAsia="宋体" w:cs="Times New Roman"/>
      <w:sz w:val="20"/>
    </w:rPr>
  </w:style>
  <w:style w:type="character" w:styleId="940" w:customStyle="1">
    <w:name w:val="标题 9 Char"/>
    <w:uiPriority w:val="0"/>
    <w:qFormat/>
    <w:rPr>
      <w:rFonts w:ascii="Times New Roman" w:hAnsi="Times New Roman" w:eastAsia="宋体" w:cs="Times New Roman"/>
      <w:sz w:val="20"/>
    </w:rPr>
  </w:style>
  <w:style w:type="character" w:styleId="941" w:customStyle="1">
    <w:name w:val="lh151"/>
    <w:uiPriority w:val="0"/>
    <w:qFormat/>
    <w:rPr>
      <w:rFonts w:ascii="Times New Roman" w:hAnsi="Times New Roman" w:eastAsia="宋体" w:cs="Times New Roman"/>
      <w:color w:val="666666"/>
      <w:sz w:val="20"/>
    </w:rPr>
  </w:style>
  <w:style w:type="character" w:styleId="942" w:customStyle="1">
    <w:name w:val="日期 Char1"/>
    <w:uiPriority w:val="0"/>
    <w:qFormat/>
    <w:rPr>
      <w:rFonts w:ascii="Times New Roman" w:hAnsi="Times New Roman" w:eastAsia="宋体" w:cs="Times New Roman"/>
      <w:sz w:val="20"/>
    </w:rPr>
  </w:style>
  <w:style w:type="character" w:styleId="943" w:customStyle="1">
    <w:name w:val="图片 Char Char"/>
    <w:uiPriority w:val="0"/>
    <w:qFormat/>
    <w:rPr>
      <w:rFonts w:ascii="Times New Roman" w:hAnsi="Times New Roman" w:eastAsia="宋体" w:cs="Times New Roman"/>
      <w:sz w:val="20"/>
    </w:rPr>
  </w:style>
  <w:style w:type="character" w:styleId="944" w:customStyle="1">
    <w:name w:val="批注框文本 字符"/>
    <w:uiPriority w:val="0"/>
    <w:qFormat/>
    <w:rPr>
      <w:rFonts w:ascii="Times New Roman" w:hAnsi="Times New Roman" w:eastAsia="宋体" w:cs="Times New Roman"/>
      <w:sz w:val="20"/>
    </w:rPr>
  </w:style>
  <w:style w:type="character" w:styleId="945" w:customStyle="1">
    <w:name w:val="HTML 预设格式 Char"/>
    <w:uiPriority w:val="0"/>
    <w:qFormat/>
    <w:rPr>
      <w:rFonts w:ascii="Times New Roman" w:hAnsi="Times New Roman" w:eastAsia="宋体" w:cs="Times New Roman"/>
      <w:sz w:val="20"/>
    </w:rPr>
  </w:style>
  <w:style w:type="character" w:styleId="946" w:customStyle="1">
    <w:name w:val="列出段落 Char"/>
    <w:uiPriority w:val="0"/>
    <w:qFormat/>
    <w:rPr>
      <w:rFonts w:ascii="Times New Roman" w:hAnsi="Times New Roman" w:eastAsia="宋体" w:cs="Times New Roman"/>
      <w:sz w:val="20"/>
    </w:rPr>
  </w:style>
  <w:style w:type="character" w:styleId="947" w:customStyle="1">
    <w:name w:val="标题 5 Char"/>
    <w:uiPriority w:val="0"/>
    <w:qFormat/>
    <w:rPr>
      <w:rFonts w:ascii="Times New Roman" w:hAnsi="Times New Roman" w:eastAsia="宋体" w:cs="Times New Roman"/>
      <w:b/>
      <w:sz w:val="20"/>
    </w:rPr>
  </w:style>
  <w:style w:type="character" w:styleId="948" w:customStyle="1">
    <w:name w:val="链接"/>
    <w:uiPriority w:val="0"/>
    <w:qFormat/>
    <w:rPr>
      <w:rFonts w:ascii="Times New Roman" w:hAnsi="Times New Roman" w:eastAsia="宋体" w:cs="Times New Roman"/>
      <w:color w:val="0000ff"/>
      <w:sz w:val="20"/>
      <w:u w:val="single"/>
    </w:rPr>
  </w:style>
  <w:style w:type="character" w:styleId="949" w:customStyle="1">
    <w:name w:val="18h1"/>
    <w:uiPriority w:val="0"/>
    <w:qFormat/>
    <w:rPr>
      <w:rFonts w:ascii="Times New Roman" w:hAnsi="Times New Roman" w:eastAsia="宋体" w:cs="Times New Roman"/>
      <w:color w:val="3b3b3b"/>
      <w:sz w:val="20"/>
    </w:rPr>
  </w:style>
  <w:style w:type="character" w:styleId="950" w:customStyle="1">
    <w:name w:val="表格文字（两侧对齐） Char Char"/>
    <w:uiPriority w:val="0"/>
    <w:qFormat/>
    <w:rPr>
      <w:rFonts w:ascii="Times New Roman" w:hAnsi="Times New Roman" w:eastAsia="宋体" w:cs="Times New Roman"/>
      <w:sz w:val="20"/>
    </w:rPr>
  </w:style>
  <w:style w:type="character" w:styleId="951" w:customStyle="1">
    <w:name w:val="正文文本缩进 2 Char"/>
    <w:uiPriority w:val="0"/>
    <w:qFormat/>
    <w:rPr>
      <w:rFonts w:ascii="Times New Roman" w:hAnsi="Times New Roman" w:eastAsia="宋体" w:cs="Times New Roman"/>
      <w:sz w:val="20"/>
    </w:rPr>
  </w:style>
  <w:style w:type="character" w:styleId="952" w:customStyle="1">
    <w:name w:val="Char Char14"/>
    <w:uiPriority w:val="0"/>
    <w:qFormat/>
    <w:rPr>
      <w:rFonts w:ascii="Times New Roman" w:hAnsi="Times New Roman" w:eastAsia="宋体" w:cs="Times New Roman"/>
      <w:sz w:val="20"/>
    </w:rPr>
  </w:style>
  <w:style w:type="character" w:styleId="953" w:customStyle="1">
    <w:name w:val="标题 1 Char1"/>
    <w:uiPriority w:val="0"/>
    <w:qFormat/>
    <w:rPr>
      <w:rFonts w:ascii="Times New Roman" w:hAnsi="Times New Roman" w:eastAsia="宋体" w:cs="Times New Roman"/>
      <w:b/>
      <w:sz w:val="20"/>
    </w:rPr>
  </w:style>
  <w:style w:type="character" w:styleId="954" w:customStyle="1">
    <w:name w:val="批注框文本 Char"/>
    <w:uiPriority w:val="0"/>
    <w:qFormat/>
    <w:rPr>
      <w:rFonts w:ascii="Times New Roman" w:hAnsi="Times New Roman" w:eastAsia="宋体" w:cs="Times New Roman"/>
      <w:sz w:val="20"/>
    </w:rPr>
  </w:style>
  <w:style w:type="character" w:styleId="955" w:customStyle="1">
    <w:name w:val="apple-style-span"/>
    <w:uiPriority w:val="0"/>
    <w:qFormat/>
    <w:rPr>
      <w:rFonts w:ascii="Times New Roman" w:hAnsi="Times New Roman" w:eastAsia="宋体" w:cs="Times New Roman"/>
      <w:sz w:val="20"/>
    </w:rPr>
  </w:style>
  <w:style w:type="character" w:styleId="956" w:customStyle="1">
    <w:name w:val="插图 Char Char"/>
    <w:uiPriority w:val="0"/>
    <w:qFormat/>
    <w:rPr>
      <w:rFonts w:ascii="Times New Roman" w:hAnsi="Times New Roman" w:eastAsia="宋体" w:cs="Times New Roman"/>
      <w:sz w:val="20"/>
    </w:rPr>
  </w:style>
  <w:style w:type="character" w:styleId="957" w:customStyle="1">
    <w:name w:val="标题 2 Char1"/>
    <w:uiPriority w:val="0"/>
    <w:qFormat/>
    <w:rPr>
      <w:rFonts w:ascii="Times New Roman" w:hAnsi="Times New Roman" w:eastAsia="宋体" w:cs="Times New Roman"/>
      <w:b/>
      <w:sz w:val="20"/>
    </w:rPr>
  </w:style>
  <w:style w:type="character" w:styleId="958" w:customStyle="1">
    <w:name w:val="_Style 332"/>
    <w:uiPriority w:val="0"/>
    <w:qFormat/>
    <w:rPr>
      <w:rFonts w:ascii="Times New Roman" w:hAnsi="Times New Roman" w:eastAsia="宋体" w:cs="Times New Roman"/>
      <w:i/>
      <w:color w:val="auto"/>
      <w:sz w:val="21"/>
    </w:rPr>
  </w:style>
  <w:style w:type="character" w:styleId="959" w:customStyle="1">
    <w:name w:val="正文文本 3 Char1"/>
    <w:uiPriority w:val="0"/>
    <w:qFormat/>
    <w:rPr>
      <w:rFonts w:ascii="Times New Roman" w:hAnsi="Times New Roman" w:eastAsia="宋体" w:cs="Times New Roman"/>
      <w:sz w:val="20"/>
    </w:rPr>
  </w:style>
  <w:style w:type="character" w:styleId="960" w:customStyle="1">
    <w:name w:val="标题 5 Char1"/>
    <w:uiPriority w:val="0"/>
    <w:qFormat/>
    <w:rPr>
      <w:rFonts w:ascii="Times New Roman" w:hAnsi="Times New Roman" w:eastAsia="宋体" w:cs="Times New Roman"/>
      <w:b/>
      <w:sz w:val="20"/>
    </w:rPr>
  </w:style>
  <w:style w:type="character" w:styleId="961" w:customStyle="1">
    <w:name w:val="批注主题 Char"/>
    <w:uiPriority w:val="0"/>
    <w:qFormat/>
    <w:rPr>
      <w:rFonts w:ascii="Times New Roman" w:hAnsi="Times New Roman" w:eastAsia="宋体" w:cs="Times New Roman"/>
      <w:b/>
      <w:sz w:val="20"/>
    </w:rPr>
  </w:style>
  <w:style w:type="character" w:styleId="962" w:customStyle="1">
    <w:name w:val="标题 1 Char"/>
    <w:uiPriority w:val="0"/>
    <w:qFormat/>
    <w:rPr>
      <w:rFonts w:ascii="Times New Roman" w:hAnsi="Times New Roman" w:eastAsia="宋体" w:cs="Times New Roman"/>
      <w:b/>
      <w:sz w:val="20"/>
    </w:rPr>
  </w:style>
  <w:style w:type="character" w:styleId="963" w:customStyle="1">
    <w:name w:val="正文文本 2 Char1"/>
    <w:uiPriority w:val="0"/>
    <w:qFormat/>
    <w:rPr>
      <w:rFonts w:ascii="Times New Roman" w:hAnsi="Times New Roman" w:eastAsia="宋体" w:cs="Times New Roman"/>
      <w:sz w:val="20"/>
    </w:rPr>
  </w:style>
  <w:style w:type="character" w:styleId="964" w:customStyle="1">
    <w:name w:val="标题 4 Char1"/>
    <w:uiPriority w:val="0"/>
    <w:qFormat/>
    <w:rPr>
      <w:rFonts w:ascii="Times New Roman" w:hAnsi="Times New Roman" w:eastAsia="宋体" w:cs="Times New Roman"/>
      <w:b/>
      <w:sz w:val="20"/>
    </w:rPr>
  </w:style>
  <w:style w:type="character" w:styleId="965" w:customStyle="1">
    <w:name w:val="正文文本 2 Char"/>
    <w:uiPriority w:val="0"/>
    <w:qFormat/>
    <w:rPr>
      <w:rFonts w:ascii="Times New Roman" w:hAnsi="Times New Roman" w:eastAsia="宋体" w:cs="Times New Roman"/>
      <w:sz w:val="20"/>
    </w:rPr>
  </w:style>
  <w:style w:type="character" w:styleId="966" w:customStyle="1">
    <w:name w:val="_Style 376"/>
    <w:uiPriority w:val="0"/>
    <w:qFormat/>
    <w:rPr>
      <w:rFonts w:ascii="Times New Roman" w:hAnsi="Times New Roman" w:eastAsia="宋体" w:cs="Times New Roman"/>
      <w:b/>
      <w:color w:val="auto"/>
      <w:sz w:val="21"/>
    </w:rPr>
  </w:style>
  <w:style w:type="character" w:styleId="967" w:customStyle="1">
    <w:name w:val="062"/>
    <w:uiPriority w:val="0"/>
    <w:qFormat/>
    <w:rPr>
      <w:rFonts w:ascii="Times New Roman" w:hAnsi="Times New Roman" w:eastAsia="宋体" w:cs="Times New Roman"/>
      <w:b/>
      <w:sz w:val="20"/>
    </w:rPr>
  </w:style>
  <w:style w:type="character" w:styleId="968" w:customStyle="1">
    <w:name w:val="正文文本 Char1"/>
    <w:uiPriority w:val="0"/>
    <w:qFormat/>
    <w:rPr>
      <w:rFonts w:ascii="Times New Roman" w:hAnsi="Times New Roman" w:eastAsia="宋体" w:cs="Times New Roman"/>
      <w:sz w:val="20"/>
    </w:rPr>
  </w:style>
  <w:style w:type="character" w:styleId="969" w:customStyle="1">
    <w:name w:val="题注 Char"/>
    <w:uiPriority w:val="0"/>
    <w:qFormat/>
    <w:rPr>
      <w:rFonts w:ascii="Times New Roman" w:hAnsi="Times New Roman" w:eastAsia="宋体" w:cs="Times New Roman"/>
      <w:sz w:val="20"/>
    </w:rPr>
  </w:style>
  <w:style w:type="character" w:styleId="970" w:customStyle="1">
    <w:name w:val="脚注文本 Char"/>
    <w:uiPriority w:val="0"/>
    <w:qFormat/>
    <w:rPr>
      <w:rFonts w:ascii="Times New Roman" w:hAnsi="Times New Roman" w:eastAsia="宋体" w:cs="Times New Roman"/>
      <w:sz w:val="20"/>
    </w:rPr>
  </w:style>
  <w:style w:type="character" w:styleId="971" w:customStyle="1">
    <w:name w:val="_Style 336"/>
    <w:uiPriority w:val="0"/>
    <w:qFormat/>
    <w:rPr>
      <w:rFonts w:ascii="Times New Roman" w:hAnsi="Times New Roman" w:eastAsia="宋体" w:cs="Times New Roman"/>
      <w:i/>
      <w:color w:val="auto"/>
      <w:sz w:val="21"/>
    </w:rPr>
  </w:style>
  <w:style w:type="character" w:styleId="972" w:customStyle="1">
    <w:name w:val="表格 Char"/>
    <w:uiPriority w:val="0"/>
    <w:qFormat/>
    <w:rPr>
      <w:rFonts w:ascii="Times New Roman" w:hAnsi="Times New Roman" w:eastAsia="宋体" w:cs="Times New Roman"/>
      <w:color w:val="000000"/>
      <w:sz w:val="20"/>
    </w:rPr>
  </w:style>
  <w:style w:type="character" w:styleId="973" w:customStyle="1">
    <w:name w:val="批注主题 字符"/>
    <w:uiPriority w:val="0"/>
    <w:qFormat/>
    <w:rPr>
      <w:rFonts w:ascii="Times New Roman" w:hAnsi="Times New Roman" w:eastAsia="宋体" w:cs="Times New Roman"/>
      <w:b/>
      <w:sz w:val="20"/>
    </w:rPr>
  </w:style>
  <w:style w:type="character" w:styleId="974" w:customStyle="1">
    <w:name w:val="图注 Char Char"/>
    <w:uiPriority w:val="0"/>
    <w:qFormat/>
    <w:rPr>
      <w:rFonts w:ascii="Times New Roman" w:hAnsi="Times New Roman" w:eastAsia="宋体" w:cs="Times New Roman"/>
      <w:sz w:val="20"/>
    </w:rPr>
  </w:style>
  <w:style w:type="character" w:styleId="975" w:customStyle="1">
    <w:name w:val="页码1"/>
    <w:uiPriority w:val="0"/>
    <w:qFormat/>
    <w:rPr>
      <w:rFonts w:ascii="Times New Roman" w:hAnsi="Times New Roman" w:eastAsia="宋体" w:cs="Times New Roman"/>
      <w:sz w:val="20"/>
    </w:rPr>
  </w:style>
  <w:style w:type="character" w:styleId="976" w:customStyle="1">
    <w:name w:val="列表框1 Char Char"/>
    <w:uiPriority w:val="0"/>
    <w:qFormat/>
    <w:rPr>
      <w:rFonts w:ascii="Times New Roman" w:hAnsi="Times New Roman" w:eastAsia="宋体" w:cs="Times New Roman"/>
      <w:sz w:val="20"/>
    </w:rPr>
  </w:style>
  <w:style w:type="character" w:styleId="977" w:customStyle="1">
    <w:name w:val="1ji Char"/>
    <w:uiPriority w:val="0"/>
    <w:qFormat/>
    <w:rPr>
      <w:rFonts w:ascii="Times New Roman" w:hAnsi="Times New Roman" w:eastAsia="宋体" w:cs="Times New Roman"/>
      <w:b/>
      <w:sz w:val="20"/>
    </w:rPr>
  </w:style>
  <w:style w:type="character" w:styleId="978" w:customStyle="1">
    <w:name w:val="正文文本缩进 Char"/>
    <w:uiPriority w:val="0"/>
    <w:qFormat/>
    <w:rPr>
      <w:rFonts w:ascii="Times New Roman" w:hAnsi="Times New Roman" w:eastAsia="宋体" w:cs="Times New Roman"/>
      <w:sz w:val="20"/>
    </w:rPr>
  </w:style>
  <w:style w:type="character" w:styleId="979" w:customStyle="1">
    <w:name w:val="标准文本 Char Char"/>
    <w:uiPriority w:val="0"/>
    <w:qFormat/>
    <w:rPr>
      <w:rFonts w:ascii="Times New Roman" w:hAnsi="Times New Roman" w:eastAsia="宋体" w:cs="Times New Roman"/>
      <w:sz w:val="20"/>
    </w:rPr>
  </w:style>
  <w:style w:type="character" w:styleId="980" w:customStyle="1">
    <w:name w:val="表格用 Char"/>
    <w:uiPriority w:val="0"/>
    <w:qFormat/>
    <w:rPr>
      <w:rFonts w:ascii="Times New Roman" w:hAnsi="Times New Roman" w:eastAsia="宋体" w:cs="Times New Roman"/>
      <w:color w:val="000000"/>
      <w:sz w:val="20"/>
    </w:rPr>
  </w:style>
  <w:style w:type="character" w:styleId="981" w:customStyle="1">
    <w:name w:val="标题 7 Char1"/>
    <w:uiPriority w:val="0"/>
    <w:qFormat/>
    <w:rPr>
      <w:rFonts w:ascii="Times New Roman" w:hAnsi="Times New Roman" w:eastAsia="宋体" w:cs="Times New Roman"/>
      <w:b/>
      <w:sz w:val="20"/>
    </w:rPr>
  </w:style>
  <w:style w:type="character" w:styleId="982" w:customStyle="1">
    <w:name w:val="H 3 Char"/>
    <w:uiPriority w:val="0"/>
    <w:qFormat/>
    <w:rPr>
      <w:rFonts w:ascii="Times New Roman" w:hAnsi="Times New Roman" w:eastAsia="宋体" w:cs="Times New Roman"/>
      <w:b/>
      <w:sz w:val="20"/>
    </w:rPr>
  </w:style>
  <w:style w:type="character" w:styleId="983" w:customStyle="1">
    <w:name w:val="正文文本缩进 3 字符"/>
    <w:uiPriority w:val="0"/>
    <w:qFormat/>
    <w:rPr>
      <w:rFonts w:ascii="Times New Roman" w:hAnsi="Times New Roman" w:eastAsia="宋体" w:cs="Times New Roman"/>
      <w:sz w:val="16"/>
      <w:szCs w:val="16"/>
    </w:rPr>
  </w:style>
  <w:style w:type="character" w:styleId="984" w:customStyle="1">
    <w:name w:val="标题 Char"/>
    <w:uiPriority w:val="0"/>
    <w:qFormat/>
    <w:rPr>
      <w:rFonts w:ascii="Times New Roman" w:hAnsi="Times New Roman" w:eastAsia="宋体" w:cs="Times New Roman"/>
      <w:b/>
      <w:sz w:val="20"/>
    </w:rPr>
  </w:style>
  <w:style w:type="character" w:styleId="985" w:customStyle="1">
    <w:name w:val="H 4 Char"/>
    <w:uiPriority w:val="0"/>
    <w:qFormat/>
    <w:rPr>
      <w:rFonts w:ascii="Times New Roman" w:hAnsi="Times New Roman" w:eastAsia="宋体" w:cs="Times New Roman"/>
      <w:b/>
      <w:sz w:val="20"/>
    </w:rPr>
  </w:style>
  <w:style w:type="character" w:styleId="986" w:customStyle="1">
    <w:name w:val="批注主题 Char1"/>
    <w:uiPriority w:val="0"/>
    <w:qFormat/>
    <w:rPr>
      <w:rFonts w:ascii="Times New Roman" w:hAnsi="Times New Roman" w:eastAsia="宋体" w:cs="Times New Roman"/>
      <w:b/>
      <w:sz w:val="20"/>
    </w:rPr>
  </w:style>
  <w:style w:type="character" w:styleId="987" w:customStyle="1">
    <w:name w:val="正文文本缩进 Char1"/>
    <w:uiPriority w:val="0"/>
    <w:qFormat/>
    <w:rPr>
      <w:rFonts w:ascii="Times New Roman" w:hAnsi="Times New Roman" w:eastAsia="宋体" w:cs="Times New Roman"/>
      <w:sz w:val="20"/>
    </w:rPr>
  </w:style>
  <w:style w:type="character" w:styleId="988" w:customStyle="1">
    <w:name w:val="正文文本 3 Char"/>
    <w:uiPriority w:val="0"/>
    <w:qFormat/>
    <w:rPr>
      <w:rFonts w:ascii="Times New Roman" w:hAnsi="Times New Roman" w:eastAsia="宋体" w:cs="Times New Roman"/>
      <w:sz w:val="20"/>
    </w:rPr>
  </w:style>
  <w:style w:type="character" w:styleId="989" w:customStyle="1">
    <w:name w:val="正文首行缩进 2 Char"/>
    <w:uiPriority w:val="0"/>
    <w:qFormat/>
    <w:rPr>
      <w:rFonts w:ascii="Times New Roman" w:hAnsi="Times New Roman" w:eastAsia="宋体" w:cs="Times New Roman"/>
      <w:sz w:val="20"/>
    </w:rPr>
  </w:style>
  <w:style w:type="character" w:styleId="990" w:customStyle="1">
    <w:name w:val="页眉 Char1"/>
    <w:uiPriority w:val="0"/>
    <w:qFormat/>
    <w:rPr>
      <w:rFonts w:ascii="Times New Roman" w:hAnsi="Times New Roman" w:eastAsia="宋体" w:cs="Times New Roman"/>
      <w:sz w:val="20"/>
    </w:rPr>
  </w:style>
  <w:style w:type="character" w:styleId="991" w:customStyle="1">
    <w:name w:val="Char Char2"/>
    <w:uiPriority w:val="0"/>
    <w:qFormat/>
    <w:rPr>
      <w:rFonts w:ascii="Times New Roman" w:hAnsi="Times New Roman" w:eastAsia="宋体" w:cs="Times New Roman"/>
      <w:sz w:val="20"/>
    </w:rPr>
  </w:style>
  <w:style w:type="character" w:styleId="992" w:customStyle="1">
    <w:name w:val="样式 首行缩进:  2 字符 Char1"/>
    <w:uiPriority w:val="0"/>
    <w:qFormat/>
    <w:rPr>
      <w:rFonts w:ascii="Times New Roman" w:hAnsi="Times New Roman" w:eastAsia="宋体" w:cs="Times New Roman"/>
      <w:sz w:val="20"/>
    </w:rPr>
  </w:style>
  <w:style w:type="character" w:styleId="993" w:customStyle="1">
    <w:name w:val="标题 2 Char"/>
    <w:uiPriority w:val="0"/>
    <w:qFormat/>
    <w:rPr>
      <w:rFonts w:ascii="Times New Roman" w:hAnsi="Times New Roman" w:eastAsia="宋体" w:cs="Times New Roman"/>
      <w:b/>
      <w:sz w:val="20"/>
    </w:rPr>
  </w:style>
  <w:style w:type="character" w:styleId="994" w:customStyle="1">
    <w:name w:val="表格文字图表文字 Char Char"/>
    <w:uiPriority w:val="0"/>
    <w:qFormat/>
    <w:rPr>
      <w:rFonts w:ascii="Times New Roman" w:hAnsi="Times New Roman" w:eastAsia="宋体" w:cs="Times New Roman"/>
      <w:sz w:val="20"/>
    </w:rPr>
  </w:style>
  <w:style w:type="character" w:styleId="995" w:customStyle="1">
    <w:name w:val="图片 Char"/>
    <w:uiPriority w:val="0"/>
    <w:qFormat/>
    <w:rPr>
      <w:rFonts w:ascii="Times New Roman" w:hAnsi="Times New Roman" w:eastAsia="宋体" w:cs="Times New Roman"/>
      <w:sz w:val="20"/>
    </w:rPr>
  </w:style>
  <w:style w:type="character" w:styleId="996" w:customStyle="1">
    <w:name w:val="标题 6 Char"/>
    <w:uiPriority w:val="0"/>
    <w:qFormat/>
    <w:rPr>
      <w:rFonts w:ascii="Times New Roman" w:hAnsi="Times New Roman" w:eastAsia="宋体" w:cs="Times New Roman"/>
      <w:b/>
      <w:sz w:val="20"/>
    </w:rPr>
  </w:style>
  <w:style w:type="character" w:styleId="997" w:customStyle="1">
    <w:name w:val="标题 4 Char"/>
    <w:uiPriority w:val="0"/>
    <w:qFormat/>
    <w:rPr>
      <w:rFonts w:ascii="Times New Roman" w:hAnsi="Times New Roman" w:eastAsia="宋体" w:cs="Times New Roman"/>
      <w:b/>
      <w:sz w:val="20"/>
    </w:rPr>
  </w:style>
  <w:style w:type="character" w:styleId="998" w:customStyle="1">
    <w:name w:val="文档结构图 Char1"/>
    <w:uiPriority w:val="0"/>
    <w:qFormat/>
    <w:rPr>
      <w:rFonts w:ascii="Times New Roman" w:hAnsi="Times New Roman" w:eastAsia="宋体" w:cs="Times New Roman"/>
      <w:sz w:val="20"/>
    </w:rPr>
  </w:style>
  <w:style w:type="character" w:styleId="999" w:customStyle="1">
    <w:name w:val="项目符0 Char"/>
    <w:uiPriority w:val="0"/>
    <w:qFormat/>
    <w:rPr>
      <w:rFonts w:ascii="Times New Roman" w:hAnsi="Times New Roman" w:eastAsia="宋体" w:cs="Times New Roman"/>
      <w:sz w:val="20"/>
    </w:rPr>
  </w:style>
  <w:style w:type="character" w:styleId="1000" w:customStyle="1">
    <w:name w:val="正文文本缩进 3 Char"/>
    <w:uiPriority w:val="0"/>
    <w:qFormat/>
    <w:rPr>
      <w:rFonts w:ascii="Times New Roman" w:hAnsi="Times New Roman" w:eastAsia="宋体" w:cs="Times New Roman"/>
      <w:sz w:val="20"/>
    </w:rPr>
  </w:style>
  <w:style w:type="character" w:styleId="1001" w:customStyle="1">
    <w:name w:val="Char Char3"/>
    <w:uiPriority w:val="0"/>
    <w:qFormat/>
    <w:rPr>
      <w:rFonts w:ascii="Times New Roman" w:hAnsi="Times New Roman" w:eastAsia="宋体" w:cs="Times New Roman"/>
      <w:sz w:val="20"/>
    </w:rPr>
  </w:style>
  <w:style w:type="character" w:styleId="1002" w:customStyle="1">
    <w:name w:val="纯文本 Char"/>
    <w:uiPriority w:val="0"/>
    <w:qFormat/>
    <w:rPr>
      <w:rFonts w:ascii="Times New Roman" w:hAnsi="Times New Roman" w:eastAsia="宋体" w:cs="Times New Roman"/>
      <w:sz w:val="20"/>
    </w:rPr>
  </w:style>
  <w:style w:type="character" w:styleId="1003" w:customStyle="1">
    <w:name w:val="正文文本缩进 2 Char1"/>
    <w:uiPriority w:val="0"/>
    <w:qFormat/>
    <w:rPr>
      <w:rFonts w:ascii="Times New Roman" w:hAnsi="Times New Roman" w:eastAsia="宋体" w:cs="Times New Roman"/>
      <w:sz w:val="20"/>
    </w:rPr>
  </w:style>
  <w:style w:type="character" w:styleId="1004" w:customStyle="1">
    <w:name w:val="标题 8 Char"/>
    <w:uiPriority w:val="0"/>
    <w:qFormat/>
    <w:rPr>
      <w:rFonts w:ascii="Times New Roman" w:hAnsi="Times New Roman" w:eastAsia="宋体" w:cs="Times New Roman"/>
      <w:sz w:val="20"/>
    </w:rPr>
  </w:style>
  <w:style w:type="character" w:styleId="1005" w:customStyle="1">
    <w:name w:val="标题 6 Char1"/>
    <w:uiPriority w:val="0"/>
    <w:qFormat/>
    <w:rPr>
      <w:rFonts w:ascii="Times New Roman" w:hAnsi="Times New Roman" w:eastAsia="宋体" w:cs="Times New Roman"/>
      <w:b/>
      <w:sz w:val="20"/>
    </w:rPr>
  </w:style>
  <w:style w:type="character" w:styleId="1006" w:customStyle="1">
    <w:name w:val="case31"/>
    <w:uiPriority w:val="0"/>
    <w:qFormat/>
    <w:rPr>
      <w:rFonts w:ascii="Times New Roman" w:hAnsi="Times New Roman" w:eastAsia="宋体" w:cs="Times New Roman"/>
      <w:sz w:val="20"/>
    </w:rPr>
  </w:style>
  <w:style w:type="character" w:styleId="1007" w:customStyle="1">
    <w:name w:val="正文文本 Char"/>
    <w:uiPriority w:val="0"/>
    <w:qFormat/>
    <w:rPr>
      <w:rFonts w:ascii="Times New Roman" w:hAnsi="Times New Roman" w:eastAsia="宋体" w:cs="Times New Roman"/>
      <w:sz w:val="20"/>
    </w:rPr>
  </w:style>
  <w:style w:type="paragraph" w:styleId="1008" w:customStyle="1">
    <w:name w:val="节标题"/>
    <w:basedOn w:val="828"/>
    <w:next w:val="1009"/>
    <w:uiPriority w:val="0"/>
    <w:qFormat/>
    <w:pPr>
      <w:ind w:left="0" w:firstLine="5120"/>
      <w:jc w:val="center"/>
      <w:spacing w:before="0" w:after="0" w:line="289" w:lineRule="atLeast"/>
    </w:pPr>
    <w:rPr>
      <w:rFonts w:ascii="Times New Roman" w:hAnsi="Times New Roman" w:cs="Times New Roman"/>
    </w:rPr>
  </w:style>
  <w:style w:type="paragraph" w:styleId="1009" w:customStyle="1">
    <w:name w:val="文档标题6"/>
    <w:basedOn w:val="834"/>
    <w:next w:val="827"/>
    <w:uiPriority w:val="0"/>
    <w:qFormat/>
    <w:pPr>
      <w:ind w:left="1134" w:firstLine="20"/>
      <w:spacing w:before="280" w:after="280" w:line="360" w:lineRule="auto"/>
      <w:outlineLvl w:val="5"/>
    </w:pPr>
  </w:style>
  <w:style w:type="paragraph" w:styleId="1010" w:customStyle="1">
    <w:name w:val="正文段"/>
    <w:basedOn w:val="828"/>
    <w:next w:val="1011"/>
    <w:uiPriority w:val="0"/>
    <w:qFormat/>
    <w:pPr>
      <w:ind w:left="454" w:firstLine="1222"/>
      <w:spacing w:before="0" w:after="240" w:line="240" w:lineRule="atLeast"/>
    </w:pPr>
    <w:rPr>
      <w:rFonts w:ascii="Times New Roman" w:hAnsi="Times New Roman" w:cs="Times New Roman"/>
    </w:rPr>
  </w:style>
  <w:style w:type="paragraph" w:styleId="1011" w:customStyle="1">
    <w:name w:val="批注主题1"/>
    <w:next w:val="827"/>
    <w:uiPriority w:val="0"/>
    <w:qFormat/>
    <w:pPr>
      <w:ind w:left="200" w:firstLine="4808"/>
      <w:spacing w:line="360" w:lineRule="auto"/>
    </w:pPr>
    <w:rPr>
      <w:rFonts w:ascii="Calibri" w:hAnsi="Calibri" w:eastAsia="宋体" w:cs="宋体"/>
      <w:lang w:val="en-US" w:eastAsia="zh-CN" w:bidi="ar-SA"/>
    </w:rPr>
  </w:style>
  <w:style w:type="paragraph" w:styleId="1012" w:customStyle="1">
    <w:name w:val="_Style 224"/>
    <w:next w:val="1013"/>
    <w:uiPriority w:val="0"/>
    <w:qFormat/>
    <w:pPr>
      <w:ind w:firstLine="3584"/>
    </w:pPr>
    <w:rPr>
      <w:rFonts w:ascii="Calibri" w:hAnsi="Calibri" w:eastAsia="宋体" w:cs="宋体"/>
      <w:lang w:val="en-US" w:eastAsia="zh-CN" w:bidi="ar-SA"/>
    </w:rPr>
  </w:style>
  <w:style w:type="paragraph" w:styleId="1013" w:customStyle="1">
    <w:name w:val="编号1"/>
    <w:basedOn w:val="828"/>
    <w:next w:val="1014"/>
    <w:uiPriority w:val="0"/>
    <w:qFormat/>
    <w:pPr>
      <w:ind w:left="360" w:right="210" w:firstLine="2200"/>
      <w:spacing w:before="0" w:after="0" w:line="240" w:lineRule="auto"/>
    </w:pPr>
    <w:rPr>
      <w:rFonts w:ascii="Times New Roman" w:hAnsi="Times New Roman" w:cs="Times New Roman"/>
    </w:rPr>
  </w:style>
  <w:style w:type="paragraph" w:styleId="1014" w:customStyle="1">
    <w:name w:val="图片"/>
    <w:basedOn w:val="828"/>
    <w:next w:val="1015"/>
    <w:uiPriority w:val="0"/>
    <w:qFormat/>
    <w:pPr>
      <w:ind w:left="-283" w:firstLine="2674"/>
      <w:jc w:val="center"/>
      <w:spacing w:before="0" w:after="0" w:line="360" w:lineRule="auto"/>
    </w:pPr>
    <w:rPr>
      <w:rFonts w:ascii="Times New Roman" w:hAnsi="Times New Roman" w:cs="Times New Roman"/>
    </w:rPr>
  </w:style>
  <w:style w:type="paragraph" w:styleId="1015" w:customStyle="1">
    <w:name w:val="样式 目录 3 + 左侧:  2 字符"/>
    <w:next w:val="879"/>
    <w:uiPriority w:val="0"/>
    <w:qFormat/>
    <w:pPr>
      <w:ind w:left="400" w:firstLine="5120"/>
      <w:spacing w:line="360" w:lineRule="auto"/>
      <w:widowControl w:val="off"/>
    </w:pPr>
    <w:rPr>
      <w:rFonts w:ascii="Calibri" w:hAnsi="Calibri" w:eastAsia="宋体" w:cs="宋体"/>
      <w:lang w:val="en-US" w:eastAsia="zh-CN" w:bidi="ar-SA"/>
    </w:rPr>
  </w:style>
  <w:style w:type="paragraph" w:styleId="1016" w:customStyle="1">
    <w:name w:val="图注"/>
    <w:next w:val="1017"/>
    <w:uiPriority w:val="0"/>
    <w:qFormat/>
    <w:pPr>
      <w:ind w:left="360" w:firstLine="2152"/>
      <w:jc w:val="center"/>
    </w:pPr>
    <w:rPr>
      <w:rFonts w:ascii="Calibri" w:hAnsi="Calibri" w:eastAsia="宋体" w:cs="宋体"/>
      <w:lang w:val="en-US" w:eastAsia="zh-CN" w:bidi="ar-SA"/>
    </w:rPr>
  </w:style>
  <w:style w:type="paragraph" w:styleId="1017" w:customStyle="1">
    <w:name w:val="列表编号 41"/>
    <w:basedOn w:val="828"/>
    <w:next w:val="1018"/>
    <w:uiPriority w:val="0"/>
    <w:qFormat/>
    <w:pPr>
      <w:ind w:left="1620" w:firstLine="2712"/>
      <w:spacing w:before="0" w:after="0" w:line="360" w:lineRule="auto"/>
    </w:pPr>
    <w:rPr>
      <w:rFonts w:ascii="Times New Roman" w:hAnsi="Times New Roman" w:cs="Times New Roman"/>
    </w:rPr>
  </w:style>
  <w:style w:type="paragraph" w:styleId="1018" w:customStyle="1">
    <w:name w:val="项目符0"/>
    <w:basedOn w:val="828"/>
    <w:next w:val="1019"/>
    <w:uiPriority w:val="0"/>
    <w:qFormat/>
    <w:pPr>
      <w:ind w:left="300" w:right="57" w:firstLine="2760"/>
      <w:spacing w:before="0" w:after="0" w:line="300" w:lineRule="auto"/>
    </w:pPr>
    <w:rPr>
      <w:rFonts w:ascii="Times New Roman" w:hAnsi="Times New Roman" w:cs="Times New Roman"/>
    </w:rPr>
  </w:style>
  <w:style w:type="paragraph" w:styleId="1019" w:customStyle="1">
    <w:name w:val="宏文本1"/>
    <w:next w:val="1020"/>
    <w:uiPriority w:val="0"/>
    <w:qFormat/>
    <w:pPr>
      <w:ind w:firstLine="5632"/>
      <w:widowControl w:val="off"/>
    </w:pPr>
    <w:rPr>
      <w:rFonts w:ascii="Calibri" w:hAnsi="Calibri" w:eastAsia="宋体" w:cs="宋体"/>
      <w:lang w:val="en-US" w:eastAsia="zh-CN" w:bidi="ar-SA"/>
    </w:rPr>
  </w:style>
  <w:style w:type="paragraph" w:styleId="1020" w:customStyle="1">
    <w:name w:val="Item Step in Table"/>
    <w:next w:val="1021"/>
    <w:uiPriority w:val="0"/>
    <w:qFormat/>
    <w:pPr>
      <w:ind w:left="397" w:firstLine="3699"/>
      <w:jc w:val="both"/>
      <w:spacing w:before="40" w:after="40"/>
    </w:pPr>
    <w:rPr>
      <w:rFonts w:ascii="Calibri" w:hAnsi="Calibri" w:eastAsia="宋体" w:cs="宋体"/>
      <w:lang w:val="en-US" w:eastAsia="zh-CN" w:bidi="ar-SA"/>
    </w:rPr>
  </w:style>
  <w:style w:type="paragraph" w:styleId="1021" w:customStyle="1">
    <w:name w:val="Char Char Char Char Char Char1 Char Char Char Char Char Char"/>
    <w:basedOn w:val="828"/>
    <w:next w:val="1022"/>
    <w:uiPriority w:val="0"/>
    <w:qFormat/>
    <w:pPr>
      <w:ind w:left="0" w:firstLine="2560"/>
      <w:spacing w:before="0" w:after="0" w:line="240" w:lineRule="auto"/>
    </w:pPr>
    <w:rPr>
      <w:rFonts w:ascii="Times New Roman" w:hAnsi="Times New Roman" w:cs="Times New Roman"/>
    </w:rPr>
  </w:style>
  <w:style w:type="paragraph" w:styleId="1022" w:customStyle="1">
    <w:name w:val="Char Char1"/>
    <w:basedOn w:val="828"/>
    <w:next w:val="1023"/>
    <w:uiPriority w:val="0"/>
    <w:qFormat/>
    <w:pPr>
      <w:ind w:left="0" w:firstLine="3584"/>
      <w:spacing w:before="0" w:after="160" w:line="240" w:lineRule="exact"/>
    </w:pPr>
    <w:rPr>
      <w:rFonts w:ascii="Times New Roman" w:hAnsi="Times New Roman" w:cs="Times New Roman"/>
    </w:rPr>
  </w:style>
  <w:style w:type="paragraph" w:styleId="1023" w:customStyle="1">
    <w:name w:val="样式 标题 3 + 行距: 1.5 倍行距"/>
    <w:basedOn w:val="831"/>
    <w:next w:val="885"/>
    <w:uiPriority w:val="0"/>
    <w:qFormat/>
    <w:pPr>
      <w:ind w:left="200" w:firstLine="18"/>
      <w:spacing w:before="0" w:after="0" w:line="360" w:lineRule="auto"/>
      <w:outlineLvl w:val="2"/>
    </w:pPr>
  </w:style>
  <w:style w:type="paragraph" w:styleId="1024" w:customStyle="1">
    <w:name w:val="xl76"/>
    <w:basedOn w:val="828"/>
    <w:next w:val="882"/>
    <w:uiPriority w:val="0"/>
    <w:qFormat/>
    <w:pPr>
      <w:ind w:left="0" w:firstLine="3584"/>
      <w:jc w:val="center"/>
      <w:spacing w:before="280" w:after="280" w:line="240" w:lineRule="auto"/>
    </w:pPr>
    <w:rPr>
      <w:rFonts w:ascii="Times New Roman" w:hAnsi="Times New Roman" w:cs="Times New Roman"/>
    </w:rPr>
  </w:style>
  <w:style w:type="paragraph" w:styleId="1025" w:customStyle="1">
    <w:name w:val="xl26"/>
    <w:basedOn w:val="828"/>
    <w:next w:val="1026"/>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026" w:customStyle="1">
    <w:name w:val="Char1 Char Char"/>
    <w:basedOn w:val="828"/>
    <w:next w:val="864"/>
    <w:uiPriority w:val="0"/>
    <w:qFormat/>
    <w:pPr>
      <w:ind w:left="0" w:firstLine="2560"/>
      <w:spacing w:before="0" w:after="0" w:line="240" w:lineRule="auto"/>
    </w:pPr>
    <w:rPr>
      <w:rFonts w:ascii="Times New Roman" w:hAnsi="Times New Roman" w:cs="Times New Roman"/>
    </w:rPr>
  </w:style>
  <w:style w:type="paragraph" w:styleId="1027" w:customStyle="1">
    <w:name w:val="纯文本2"/>
    <w:basedOn w:val="828"/>
    <w:next w:val="1028"/>
    <w:uiPriority w:val="0"/>
    <w:qFormat/>
    <w:pPr>
      <w:ind w:left="0" w:firstLine="3584"/>
      <w:spacing w:before="0" w:after="0" w:line="240" w:lineRule="auto"/>
    </w:pPr>
    <w:rPr>
      <w:rFonts w:ascii="Times New Roman" w:hAnsi="Times New Roman" w:cs="Times New Roman"/>
    </w:rPr>
  </w:style>
  <w:style w:type="paragraph" w:styleId="1028" w:customStyle="1">
    <w:name w:val="xl69"/>
    <w:basedOn w:val="828"/>
    <w:next w:val="1029"/>
    <w:uiPriority w:val="0"/>
    <w:qFormat/>
    <w:pPr>
      <w:ind w:left="0" w:firstLine="3584"/>
      <w:spacing w:before="280" w:after="280" w:line="240" w:lineRule="auto"/>
    </w:pPr>
    <w:rPr>
      <w:rFonts w:ascii="Times New Roman" w:hAnsi="Times New Roman" w:cs="Times New Roman"/>
    </w:rPr>
  </w:style>
  <w:style w:type="paragraph" w:styleId="1029" w:customStyle="1">
    <w:name w:val="Char Char Char"/>
    <w:basedOn w:val="828"/>
    <w:next w:val="1030"/>
    <w:uiPriority w:val="0"/>
    <w:qFormat/>
    <w:pPr>
      <w:ind w:left="0" w:firstLine="2560"/>
      <w:spacing w:before="0" w:after="0" w:line="240" w:lineRule="auto"/>
    </w:pPr>
    <w:rPr>
      <w:rFonts w:ascii="Times New Roman" w:hAnsi="Times New Roman" w:cs="Times New Roman"/>
    </w:rPr>
  </w:style>
  <w:style w:type="paragraph" w:styleId="1030" w:customStyle="1">
    <w:name w:val="表格"/>
    <w:basedOn w:val="828"/>
    <w:next w:val="1025"/>
    <w:uiPriority w:val="0"/>
    <w:qFormat/>
    <w:pPr>
      <w:ind w:left="0" w:firstLine="2560"/>
      <w:spacing w:before="0" w:after="0" w:line="360" w:lineRule="auto"/>
    </w:pPr>
    <w:rPr>
      <w:rFonts w:ascii="Times New Roman" w:hAnsi="Times New Roman" w:cs="Times New Roman"/>
    </w:rPr>
  </w:style>
  <w:style w:type="paragraph" w:styleId="1031" w:customStyle="1">
    <w:name w:val="xl68"/>
    <w:basedOn w:val="828"/>
    <w:next w:val="1032"/>
    <w:uiPriority w:val="0"/>
    <w:qFormat/>
    <w:pPr>
      <w:ind w:left="100" w:firstLine="5220"/>
      <w:spacing w:before="280" w:after="280" w:line="240" w:lineRule="auto"/>
    </w:pPr>
    <w:rPr>
      <w:rFonts w:ascii="Times New Roman" w:hAnsi="Times New Roman" w:cs="Times New Roman"/>
    </w:rPr>
  </w:style>
  <w:style w:type="paragraph" w:styleId="1032" w:customStyle="1">
    <w:name w:val="Char1"/>
    <w:basedOn w:val="828"/>
    <w:next w:val="1033"/>
    <w:uiPriority w:val="0"/>
    <w:qFormat/>
    <w:pPr>
      <w:ind w:left="0" w:firstLine="2560"/>
      <w:spacing w:before="0" w:after="0" w:line="240" w:lineRule="auto"/>
    </w:pPr>
    <w:rPr>
      <w:rFonts w:ascii="Times New Roman" w:hAnsi="Times New Roman" w:cs="Times New Roman"/>
    </w:rPr>
  </w:style>
  <w:style w:type="paragraph" w:styleId="1033" w:customStyle="1">
    <w:name w:val="需求文档正文样式"/>
    <w:basedOn w:val="828"/>
    <w:next w:val="1034"/>
    <w:uiPriority w:val="0"/>
    <w:qFormat/>
    <w:pPr>
      <w:ind w:left="437" w:firstLine="2741"/>
      <w:spacing w:before="0" w:after="0" w:line="360" w:lineRule="auto"/>
    </w:pPr>
    <w:rPr>
      <w:rFonts w:ascii="Times New Roman" w:hAnsi="Times New Roman" w:cs="Times New Roman"/>
    </w:rPr>
  </w:style>
  <w:style w:type="paragraph" w:styleId="1034" w:customStyle="1">
    <w:name w:val="xl74"/>
    <w:basedOn w:val="828"/>
    <w:next w:val="1035"/>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035" w:customStyle="1">
    <w:name w:val="xl88"/>
    <w:basedOn w:val="828"/>
    <w:next w:val="1036"/>
    <w:uiPriority w:val="0"/>
    <w:qFormat/>
    <w:pPr>
      <w:ind w:left="0" w:firstLine="5120"/>
      <w:spacing w:before="280" w:after="280" w:line="240" w:lineRule="auto"/>
    </w:pPr>
    <w:rPr>
      <w:rFonts w:ascii="Times New Roman" w:hAnsi="Times New Roman" w:cs="Times New Roman"/>
    </w:rPr>
  </w:style>
  <w:style w:type="paragraph" w:styleId="1036" w:customStyle="1">
    <w:name w:val="xl70"/>
    <w:basedOn w:val="828"/>
    <w:next w:val="881"/>
    <w:uiPriority w:val="0"/>
    <w:qFormat/>
    <w:pPr>
      <w:ind w:left="0" w:firstLine="1024"/>
      <w:spacing w:before="280" w:after="280" w:line="240" w:lineRule="auto"/>
    </w:pPr>
    <w:rPr>
      <w:rFonts w:ascii="Times New Roman" w:hAnsi="Times New Roman" w:cs="Times New Roman"/>
    </w:rPr>
  </w:style>
  <w:style w:type="paragraph" w:styleId="1037" w:customStyle="1">
    <w:name w:val="文档标题5"/>
    <w:basedOn w:val="833"/>
    <w:next w:val="827"/>
    <w:uiPriority w:val="0"/>
    <w:qFormat/>
    <w:pPr>
      <w:ind w:left="992" w:firstLine="18"/>
      <w:spacing w:before="280" w:after="280" w:line="360" w:lineRule="auto"/>
      <w:outlineLvl w:val="4"/>
    </w:pPr>
  </w:style>
  <w:style w:type="paragraph" w:styleId="1038" w:customStyle="1">
    <w:name w:val="样式 加粗 居中"/>
    <w:basedOn w:val="828"/>
    <w:next w:val="1039"/>
    <w:uiPriority w:val="0"/>
    <w:qFormat/>
    <w:pPr>
      <w:ind w:left="0" w:firstLine="2560"/>
      <w:jc w:val="center"/>
      <w:spacing w:before="0" w:after="0" w:line="360" w:lineRule="auto"/>
    </w:pPr>
    <w:rPr>
      <w:rFonts w:ascii="Times New Roman" w:hAnsi="Times New Roman" w:cs="Times New Roman"/>
    </w:rPr>
  </w:style>
  <w:style w:type="paragraph" w:styleId="1039" w:customStyle="1">
    <w:name w:val="_Style 12"/>
    <w:next w:val="1040"/>
    <w:uiPriority w:val="0"/>
    <w:qFormat/>
    <w:pPr>
      <w:ind w:firstLine="14"/>
      <w:spacing w:line="360" w:lineRule="auto"/>
      <w:shd w:val="clear" w:color="000000" w:fill="000080"/>
    </w:pPr>
    <w:rPr>
      <w:rFonts w:ascii="Calibri" w:hAnsi="Calibri" w:eastAsia="宋体" w:cs="宋体"/>
      <w:lang w:val="en-US" w:eastAsia="zh-CN" w:bidi="ar-SA"/>
    </w:rPr>
  </w:style>
  <w:style w:type="paragraph" w:styleId="1040" w:customStyle="1">
    <w:name w:val="正文文本缩进1"/>
    <w:basedOn w:val="828"/>
    <w:next w:val="1041"/>
    <w:uiPriority w:val="0"/>
    <w:qFormat/>
    <w:pPr>
      <w:ind w:left="420" w:firstLine="3584"/>
      <w:spacing w:before="0" w:after="120" w:line="240" w:lineRule="auto"/>
    </w:pPr>
    <w:rPr>
      <w:rFonts w:ascii="Times New Roman" w:hAnsi="Times New Roman" w:cs="Times New Roman"/>
    </w:rPr>
  </w:style>
  <w:style w:type="paragraph" w:styleId="1041" w:customStyle="1">
    <w:name w:val="列表编号 31"/>
    <w:basedOn w:val="828"/>
    <w:next w:val="883"/>
    <w:uiPriority w:val="0"/>
    <w:qFormat/>
    <w:pPr>
      <w:ind w:left="1200" w:firstLine="2712"/>
      <w:spacing w:before="0" w:after="0" w:line="360" w:lineRule="auto"/>
    </w:pPr>
    <w:rPr>
      <w:rFonts w:ascii="Times New Roman" w:hAnsi="Times New Roman" w:cs="Times New Roman"/>
    </w:rPr>
  </w:style>
  <w:style w:type="paragraph" w:styleId="1042" w:customStyle="1">
    <w:name w:val="三号 居中"/>
    <w:basedOn w:val="828"/>
    <w:next w:val="1043"/>
    <w:uiPriority w:val="0"/>
    <w:qFormat/>
    <w:pPr>
      <w:ind w:left="0" w:firstLine="6144"/>
      <w:jc w:val="center"/>
      <w:spacing w:before="0" w:after="0" w:line="360" w:lineRule="auto"/>
    </w:pPr>
    <w:rPr>
      <w:rFonts w:ascii="Times New Roman" w:hAnsi="Times New Roman" w:cs="Times New Roman"/>
    </w:rPr>
  </w:style>
  <w:style w:type="paragraph" w:styleId="1043" w:customStyle="1">
    <w:name w:val="列出段落1"/>
    <w:basedOn w:val="828"/>
    <w:next w:val="1044"/>
    <w:uiPriority w:val="0"/>
    <w:qFormat/>
    <w:pPr>
      <w:ind w:left="420" w:firstLine="3748"/>
      <w:spacing w:before="0" w:after="0" w:line="240" w:lineRule="auto"/>
    </w:pPr>
    <w:rPr>
      <w:rFonts w:ascii="Times New Roman" w:hAnsi="Times New Roman" w:cs="Times New Roman"/>
    </w:rPr>
  </w:style>
  <w:style w:type="paragraph" w:styleId="1044" w:customStyle="1">
    <w:name w:val="Char Char Char Char Char Char1 Char Char Char1 Char Char Char"/>
    <w:basedOn w:val="828"/>
    <w:next w:val="1045"/>
    <w:uiPriority w:val="0"/>
    <w:qFormat/>
    <w:pPr>
      <w:ind w:left="0" w:firstLine="2560"/>
      <w:spacing w:before="0" w:after="0" w:line="240" w:lineRule="auto"/>
    </w:pPr>
    <w:rPr>
      <w:rFonts w:ascii="Times New Roman" w:hAnsi="Times New Roman" w:cs="Times New Roman"/>
    </w:rPr>
  </w:style>
  <w:style w:type="paragraph" w:styleId="1045" w:customStyle="1">
    <w:name w:val="Char Char Char Char Char Char1 Char Char Char1 Char"/>
    <w:basedOn w:val="828"/>
    <w:next w:val="1046"/>
    <w:uiPriority w:val="0"/>
    <w:qFormat/>
    <w:pPr>
      <w:ind w:left="0" w:firstLine="2560"/>
      <w:spacing w:before="0" w:after="0" w:line="240" w:lineRule="auto"/>
    </w:pPr>
    <w:rPr>
      <w:rFonts w:ascii="Times New Roman" w:hAnsi="Times New Roman" w:cs="Times New Roman"/>
    </w:rPr>
  </w:style>
  <w:style w:type="paragraph" w:styleId="1046" w:customStyle="1">
    <w:name w:val="正文符号4"/>
    <w:basedOn w:val="828"/>
    <w:next w:val="1038"/>
    <w:uiPriority w:val="0"/>
    <w:qFormat/>
    <w:pPr>
      <w:ind w:left="0" w:firstLine="5632"/>
      <w:spacing w:before="0" w:after="0" w:line="240" w:lineRule="auto"/>
    </w:pPr>
    <w:rPr>
      <w:rFonts w:ascii="Times New Roman" w:hAnsi="Times New Roman" w:cs="Times New Roman"/>
    </w:rPr>
  </w:style>
  <w:style w:type="paragraph" w:styleId="1047" w:customStyle="1">
    <w:name w:val="加粗（居中）"/>
    <w:next w:val="1048"/>
    <w:uiPriority w:val="0"/>
    <w:qFormat/>
    <w:pPr>
      <w:ind w:firstLine="2560"/>
    </w:pPr>
    <w:rPr>
      <w:rFonts w:ascii="Calibri" w:hAnsi="Calibri" w:eastAsia="宋体" w:cs="宋体"/>
      <w:lang w:val="en-US" w:eastAsia="zh-CN" w:bidi="ar-SA"/>
    </w:rPr>
  </w:style>
  <w:style w:type="paragraph" w:styleId="1048" w:customStyle="1">
    <w:name w:val="xl65"/>
    <w:basedOn w:val="828"/>
    <w:next w:val="1008"/>
    <w:uiPriority w:val="0"/>
    <w:qFormat/>
    <w:pPr>
      <w:ind w:left="0" w:firstLine="5120"/>
      <w:spacing w:before="280" w:after="280" w:line="240" w:lineRule="auto"/>
    </w:pPr>
    <w:rPr>
      <w:rFonts w:ascii="Times New Roman" w:hAnsi="Times New Roman" w:cs="Times New Roman"/>
    </w:rPr>
  </w:style>
  <w:style w:type="paragraph" w:styleId="1049" w:customStyle="1">
    <w:name w:val="WPSOffice手动目录 3"/>
    <w:uiPriority w:val="0"/>
    <w:qFormat/>
    <w:pPr>
      <w:ind w:left="400"/>
    </w:pPr>
    <w:rPr>
      <w:rFonts w:ascii="宋体" w:hAnsi="宋体" w:eastAsia="宋体" w:cs="宋体"/>
      <w:lang w:val="en-US" w:eastAsia="zh-CN" w:bidi="ar-SA"/>
    </w:rPr>
  </w:style>
  <w:style w:type="paragraph" w:styleId="1050" w:customStyle="1">
    <w:name w:val="xl77"/>
    <w:basedOn w:val="828"/>
    <w:next w:val="1051"/>
    <w:uiPriority w:val="0"/>
    <w:qFormat/>
    <w:pPr>
      <w:ind w:left="0" w:firstLine="3584"/>
      <w:spacing w:before="280" w:after="280" w:line="240" w:lineRule="auto"/>
    </w:pPr>
    <w:rPr>
      <w:rFonts w:ascii="Times New Roman" w:hAnsi="Times New Roman" w:cs="Times New Roman"/>
    </w:rPr>
  </w:style>
  <w:style w:type="paragraph" w:styleId="1051" w:customStyle="1">
    <w:name w:val="Char Char Char1"/>
    <w:basedOn w:val="828"/>
    <w:next w:val="1052"/>
    <w:uiPriority w:val="0"/>
    <w:qFormat/>
    <w:pPr>
      <w:ind w:left="900" w:firstLine="2096"/>
      <w:spacing w:before="0" w:after="0" w:line="240" w:lineRule="auto"/>
    </w:pPr>
    <w:rPr>
      <w:rFonts w:ascii="Times New Roman" w:hAnsi="Times New Roman" w:cs="Times New Roman"/>
    </w:rPr>
  </w:style>
  <w:style w:type="paragraph" w:styleId="1052" w:customStyle="1">
    <w:name w:val="索引 21"/>
    <w:basedOn w:val="828"/>
    <w:next w:val="827"/>
    <w:uiPriority w:val="0"/>
    <w:qFormat/>
    <w:pPr>
      <w:ind w:left="200" w:firstLine="2560"/>
      <w:jc w:val="center"/>
      <w:spacing w:before="0" w:after="0" w:line="360" w:lineRule="auto"/>
    </w:pPr>
    <w:rPr>
      <w:rFonts w:ascii="Times New Roman" w:hAnsi="Times New Roman" w:cs="Times New Roman"/>
    </w:rPr>
  </w:style>
  <w:style w:type="paragraph" w:styleId="1053" w:customStyle="1">
    <w:name w:val="正文（首行缩进 2 字符）"/>
    <w:next w:val="1054"/>
    <w:uiPriority w:val="0"/>
    <w:qFormat/>
    <w:pPr>
      <w:ind w:left="480" w:firstLine="2784"/>
      <w:jc w:val="center"/>
      <w:spacing w:line="300" w:lineRule="auto"/>
    </w:pPr>
    <w:rPr>
      <w:rFonts w:ascii="Calibri" w:hAnsi="Calibri" w:eastAsia="宋体" w:cs="宋体"/>
      <w:lang w:val="en-US" w:eastAsia="zh-CN" w:bidi="ar-SA"/>
    </w:rPr>
  </w:style>
  <w:style w:type="paragraph" w:styleId="1054" w:customStyle="1">
    <w:name w:val="xl28"/>
    <w:basedOn w:val="828"/>
    <w:next w:val="1055"/>
    <w:uiPriority w:val="0"/>
    <w:qFormat/>
    <w:pPr>
      <w:ind w:left="0" w:firstLine="20"/>
      <w:spacing w:before="280" w:after="280" w:line="240" w:lineRule="auto"/>
      <w:shd w:val="clear" w:color="000000" w:fill="ffffff"/>
    </w:pPr>
    <w:rPr>
      <w:rFonts w:ascii="Times New Roman" w:hAnsi="Times New Roman" w:cs="Times New Roman"/>
    </w:rPr>
  </w:style>
  <w:style w:type="paragraph" w:styleId="1055" w:customStyle="1">
    <w:name w:val="HTML 预设格式1"/>
    <w:basedOn w:val="828"/>
    <w:next w:val="1056"/>
    <w:uiPriority w:val="0"/>
    <w:qFormat/>
    <w:pPr>
      <w:ind w:left="0" w:firstLine="3584"/>
      <w:spacing w:before="0" w:after="0" w:line="253" w:lineRule="atLeast"/>
    </w:pPr>
    <w:rPr>
      <w:rFonts w:ascii="Times New Roman" w:hAnsi="Times New Roman" w:cs="Times New Roman"/>
    </w:rPr>
  </w:style>
  <w:style w:type="paragraph" w:styleId="1056" w:customStyle="1">
    <w:name w:val="项目符号：一级"/>
    <w:basedOn w:val="828"/>
    <w:next w:val="827"/>
    <w:uiPriority w:val="0"/>
    <w:qFormat/>
    <w:pPr>
      <w:ind w:left="425" w:firstLine="1111"/>
      <w:spacing w:before="0" w:after="0" w:line="360" w:lineRule="auto"/>
    </w:pPr>
    <w:rPr>
      <w:rFonts w:ascii="Times New Roman" w:hAnsi="Times New Roman" w:cs="Times New Roman"/>
    </w:rPr>
  </w:style>
  <w:style w:type="paragraph" w:styleId="1057" w:customStyle="1">
    <w:name w:val="Default"/>
    <w:next w:val="860"/>
    <w:uiPriority w:val="0"/>
    <w:qFormat/>
    <w:pPr>
      <w:ind w:firstLine="5120"/>
      <w:widowControl w:val="off"/>
    </w:pPr>
    <w:rPr>
      <w:rFonts w:ascii="Calibri" w:hAnsi="Calibri" w:eastAsia="宋体" w:cs="宋体"/>
      <w:lang w:val="en-US" w:eastAsia="zh-CN" w:bidi="ar-SA"/>
    </w:rPr>
  </w:style>
  <w:style w:type="paragraph" w:styleId="1058" w:customStyle="1">
    <w:name w:val="xl84"/>
    <w:basedOn w:val="828"/>
    <w:next w:val="1059"/>
    <w:uiPriority w:val="0"/>
    <w:qFormat/>
    <w:pPr>
      <w:ind w:left="0" w:firstLine="2048"/>
      <w:jc w:val="center"/>
      <w:spacing w:before="280" w:after="280" w:line="240" w:lineRule="auto"/>
    </w:pPr>
    <w:rPr>
      <w:rFonts w:ascii="Times New Roman" w:hAnsi="Times New Roman" w:cs="Times New Roman"/>
    </w:rPr>
  </w:style>
  <w:style w:type="paragraph" w:styleId="1059" w:customStyle="1">
    <w:name w:val="2-2ji"/>
    <w:basedOn w:val="830"/>
    <w:next w:val="1060"/>
    <w:uiPriority w:val="0"/>
    <w:qFormat/>
    <w:pPr>
      <w:ind w:left="0" w:firstLine="24"/>
      <w:jc w:val="center"/>
      <w:spacing w:before="0" w:after="0" w:line="360" w:lineRule="auto"/>
      <w:outlineLvl w:val="1"/>
    </w:pPr>
  </w:style>
  <w:style w:type="paragraph" w:styleId="1060" w:customStyle="1">
    <w:name w:val="应答文本"/>
    <w:basedOn w:val="828"/>
    <w:next w:val="1061"/>
    <w:uiPriority w:val="0"/>
    <w:qFormat/>
    <w:pPr>
      <w:ind w:left="1296" w:firstLine="2112"/>
      <w:spacing w:before="0" w:after="0" w:line="460" w:lineRule="exact"/>
    </w:pPr>
    <w:rPr>
      <w:rFonts w:ascii="Times New Roman" w:hAnsi="Times New Roman" w:cs="Times New Roman"/>
    </w:rPr>
  </w:style>
  <w:style w:type="paragraph" w:styleId="1061" w:customStyle="1">
    <w:name w:val="引文目录1"/>
    <w:basedOn w:val="828"/>
    <w:next w:val="827"/>
    <w:uiPriority w:val="0"/>
    <w:qFormat/>
    <w:pPr>
      <w:ind w:left="420" w:firstLine="2560"/>
      <w:jc w:val="center"/>
      <w:spacing w:before="0" w:after="0" w:line="360" w:lineRule="auto"/>
    </w:pPr>
    <w:rPr>
      <w:rFonts w:ascii="Times New Roman" w:hAnsi="Times New Roman" w:cs="Times New Roman"/>
    </w:rPr>
  </w:style>
  <w:style w:type="paragraph" w:styleId="1062" w:customStyle="1">
    <w:name w:val="首行缩进"/>
    <w:basedOn w:val="827"/>
    <w:uiPriority w:val="0"/>
    <w:qFormat/>
    <w:pPr>
      <w:ind w:firstLine="480"/>
    </w:pPr>
    <w:rPr>
      <w:rFonts w:ascii="Times New Roman" w:hAnsi="Times New Roman" w:cs="Times New Roman"/>
      <w:lang w:val="zh-CN"/>
    </w:rPr>
  </w:style>
  <w:style w:type="paragraph" w:styleId="1063" w:customStyle="1">
    <w:name w:val="font9"/>
    <w:basedOn w:val="828"/>
    <w:next w:val="1064"/>
    <w:uiPriority w:val="0"/>
    <w:qFormat/>
    <w:pPr>
      <w:ind w:left="0" w:firstLine="7168"/>
      <w:spacing w:before="280" w:after="280" w:line="240" w:lineRule="auto"/>
    </w:pPr>
    <w:rPr>
      <w:rFonts w:ascii="Times New Roman" w:hAnsi="Times New Roman" w:cs="Times New Roman"/>
    </w:rPr>
  </w:style>
  <w:style w:type="paragraph" w:styleId="1064" w:customStyle="1">
    <w:name w:val="样式 标题 3 + (中文) 黑体 小四 非加粗 段前: 7.8 磅 段后: 0 磅 行距: 固定值 20 磅"/>
    <w:basedOn w:val="831"/>
    <w:next w:val="1065"/>
    <w:uiPriority w:val="0"/>
    <w:qFormat/>
    <w:pPr>
      <w:ind w:left="0"/>
      <w:spacing w:before="0" w:after="0" w:line="400" w:lineRule="exact"/>
      <w:outlineLvl w:val="2"/>
    </w:pPr>
  </w:style>
  <w:style w:type="paragraph" w:styleId="1065" w:customStyle="1">
    <w:name w:val="标书正文"/>
    <w:basedOn w:val="828"/>
    <w:next w:val="1066"/>
    <w:uiPriority w:val="0"/>
    <w:qFormat/>
    <w:pPr>
      <w:ind w:left="440" w:right="100" w:firstLine="2760"/>
      <w:spacing w:before="0" w:after="0" w:line="360" w:lineRule="auto"/>
    </w:pPr>
    <w:rPr>
      <w:rFonts w:ascii="Times New Roman" w:hAnsi="Times New Roman" w:cs="Times New Roman"/>
    </w:rPr>
  </w:style>
  <w:style w:type="paragraph" w:styleId="1066" w:customStyle="1">
    <w:name w:val="xl67"/>
    <w:basedOn w:val="828"/>
    <w:next w:val="1067"/>
    <w:uiPriority w:val="0"/>
    <w:qFormat/>
    <w:pPr>
      <w:ind w:left="0" w:firstLine="5120"/>
      <w:spacing w:before="280" w:after="280" w:line="240" w:lineRule="auto"/>
    </w:pPr>
    <w:rPr>
      <w:rFonts w:ascii="Times New Roman" w:hAnsi="Times New Roman" w:cs="Times New Roman"/>
    </w:rPr>
  </w:style>
  <w:style w:type="paragraph" w:styleId="1067" w:customStyle="1">
    <w:name w:val="索引 61"/>
    <w:basedOn w:val="828"/>
    <w:next w:val="827"/>
    <w:uiPriority w:val="0"/>
    <w:qFormat/>
    <w:pPr>
      <w:ind w:left="1000" w:firstLine="2560"/>
      <w:jc w:val="center"/>
      <w:spacing w:before="0" w:after="0" w:line="360" w:lineRule="auto"/>
    </w:pPr>
    <w:rPr>
      <w:rFonts w:ascii="Times New Roman" w:hAnsi="Times New Roman" w:cs="Times New Roman"/>
    </w:rPr>
  </w:style>
  <w:style w:type="paragraph" w:styleId="1068" w:customStyle="1">
    <w:name w:val="目录3"/>
    <w:basedOn w:val="828"/>
    <w:next w:val="827"/>
    <w:uiPriority w:val="0"/>
    <w:qFormat/>
    <w:pPr>
      <w:ind w:left="419" w:firstLine="5283"/>
      <w:spacing w:before="0" w:after="0" w:line="317" w:lineRule="atLeast"/>
    </w:pPr>
    <w:rPr>
      <w:rFonts w:ascii="Times New Roman" w:hAnsi="Times New Roman" w:cs="Times New Roman"/>
    </w:rPr>
  </w:style>
  <w:style w:type="paragraph" w:styleId="1069" w:customStyle="1">
    <w:name w:val="xl90"/>
    <w:basedOn w:val="828"/>
    <w:next w:val="1070"/>
    <w:uiPriority w:val="0"/>
    <w:qFormat/>
    <w:pPr>
      <w:ind w:left="0" w:firstLine="3584"/>
      <w:spacing w:before="280" w:after="280" w:line="240" w:lineRule="auto"/>
    </w:pPr>
    <w:rPr>
      <w:rFonts w:ascii="Times New Roman" w:hAnsi="Times New Roman" w:cs="Times New Roman"/>
    </w:rPr>
  </w:style>
  <w:style w:type="paragraph" w:styleId="1070" w:customStyle="1">
    <w:name w:val="列表框1"/>
    <w:next w:val="1061"/>
    <w:uiPriority w:val="0"/>
    <w:qFormat/>
    <w:pPr>
      <w:ind w:firstLine="2048"/>
      <w:spacing w:line="460" w:lineRule="exact"/>
    </w:pPr>
    <w:rPr>
      <w:rFonts w:ascii="Calibri" w:hAnsi="Calibri" w:eastAsia="宋体" w:cs="宋体"/>
      <w:lang w:val="en-US" w:eastAsia="zh-CN" w:bidi="ar-SA"/>
    </w:rPr>
  </w:style>
  <w:style w:type="paragraph" w:styleId="1071" w:customStyle="1">
    <w:name w:val="1ji"/>
    <w:basedOn w:val="829"/>
    <w:next w:val="1050"/>
    <w:uiPriority w:val="0"/>
    <w:qFormat/>
    <w:pPr>
      <w:ind w:left="0" w:firstLine="18"/>
      <w:jc w:val="center"/>
      <w:spacing w:before="0" w:after="0" w:line="240" w:lineRule="auto"/>
      <w:outlineLvl w:val="0"/>
    </w:pPr>
  </w:style>
  <w:style w:type="paragraph" w:styleId="1072" w:customStyle="1">
    <w:name w:val="索引 81"/>
    <w:basedOn w:val="828"/>
    <w:next w:val="827"/>
    <w:uiPriority w:val="0"/>
    <w:qFormat/>
    <w:pPr>
      <w:ind w:left="1400" w:firstLine="2560"/>
      <w:jc w:val="center"/>
      <w:spacing w:before="0" w:after="0" w:line="360" w:lineRule="auto"/>
    </w:pPr>
    <w:rPr>
      <w:rFonts w:ascii="Times New Roman" w:hAnsi="Times New Roman" w:cs="Times New Roman"/>
    </w:rPr>
  </w:style>
  <w:style w:type="paragraph" w:styleId="1073" w:customStyle="1">
    <w:name w:val="正文1"/>
    <w:basedOn w:val="827"/>
    <w:next w:val="827"/>
    <w:uiPriority w:val="0"/>
    <w:qFormat/>
    <w:pPr>
      <w:spacing w:line="312" w:lineRule="atLeast"/>
    </w:pPr>
    <w:rPr>
      <w:rFonts w:ascii="楷体_GB2312" w:hAnsi="Times New Roman" w:eastAsia="楷体_GB2312" w:cs="Times New Roman"/>
      <w:sz w:val="24"/>
    </w:rPr>
  </w:style>
  <w:style w:type="paragraph" w:styleId="1074" w:customStyle="1">
    <w:name w:val="Char Char Char Char Char Char1 Char Char Char1 Char Char Char Char Char Char Char Char Char Char Char Char Char Char Char Char Char Char"/>
    <w:basedOn w:val="828"/>
    <w:next w:val="1075"/>
    <w:uiPriority w:val="0"/>
    <w:qFormat/>
    <w:pPr>
      <w:ind w:left="0" w:firstLine="2560"/>
      <w:spacing w:before="0" w:after="0" w:line="240" w:lineRule="auto"/>
    </w:pPr>
    <w:rPr>
      <w:rFonts w:ascii="Times New Roman" w:hAnsi="Times New Roman" w:cs="Times New Roman"/>
    </w:rPr>
  </w:style>
  <w:style w:type="paragraph" w:styleId="1075" w:customStyle="1">
    <w:name w:val="样式 加粗 居中11"/>
    <w:basedOn w:val="828"/>
    <w:next w:val="1076"/>
    <w:uiPriority w:val="0"/>
    <w:qFormat/>
    <w:pPr>
      <w:ind w:left="0" w:firstLine="2560"/>
      <w:jc w:val="center"/>
      <w:spacing w:before="0" w:after="0" w:line="360" w:lineRule="auto"/>
    </w:pPr>
    <w:rPr>
      <w:rFonts w:ascii="Times New Roman" w:hAnsi="Times New Roman" w:cs="Times New Roman"/>
    </w:rPr>
  </w:style>
  <w:style w:type="paragraph" w:styleId="1076" w:customStyle="1">
    <w:name w:val="xl89"/>
    <w:basedOn w:val="828"/>
    <w:next w:val="1077"/>
    <w:uiPriority w:val="0"/>
    <w:qFormat/>
    <w:pPr>
      <w:ind w:left="0" w:firstLine="3584"/>
      <w:spacing w:before="280" w:after="280" w:line="240" w:lineRule="auto"/>
    </w:pPr>
    <w:rPr>
      <w:rFonts w:ascii="Times New Roman" w:hAnsi="Times New Roman" w:cs="Times New Roman"/>
    </w:rPr>
  </w:style>
  <w:style w:type="paragraph" w:styleId="1077" w:customStyle="1">
    <w:name w:val="Char Char Char Char Char Char1 Char Char Char Char Char Char1 Char Char Char Char Char Char Char Char Char"/>
    <w:basedOn w:val="828"/>
    <w:next w:val="1078"/>
    <w:uiPriority w:val="0"/>
    <w:qFormat/>
    <w:pPr>
      <w:ind w:left="0" w:firstLine="2560"/>
      <w:spacing w:before="0" w:after="0" w:line="240" w:lineRule="auto"/>
    </w:pPr>
    <w:rPr>
      <w:rFonts w:ascii="Times New Roman" w:hAnsi="Times New Roman" w:cs="Times New Roman"/>
    </w:rPr>
  </w:style>
  <w:style w:type="paragraph" w:styleId="1078" w:customStyle="1">
    <w:name w:val="文章附标题"/>
    <w:basedOn w:val="828"/>
    <w:next w:val="828"/>
    <w:uiPriority w:val="0"/>
    <w:qFormat/>
    <w:pPr>
      <w:ind w:left="0" w:firstLine="5120"/>
      <w:jc w:val="center"/>
      <w:spacing w:before="187" w:after="175" w:line="374" w:lineRule="atLeast"/>
    </w:pPr>
    <w:rPr>
      <w:rFonts w:ascii="Times New Roman" w:hAnsi="Times New Roman" w:cs="Times New Roman"/>
    </w:rPr>
  </w:style>
  <w:style w:type="paragraph" w:styleId="1079">
    <w:name w:val="Quote"/>
    <w:next w:val="827"/>
    <w:uiPriority w:val="0"/>
    <w:qFormat/>
    <w:pPr>
      <w:ind w:left="3680" w:right="864"/>
      <w:jc w:val="center"/>
      <w:spacing w:before="200" w:after="160"/>
    </w:pPr>
    <w:rPr>
      <w:rFonts w:ascii="Calibri" w:hAnsi="Calibri" w:eastAsia="宋体" w:cs="宋体"/>
      <w:i/>
      <w:lang w:val="en-US" w:eastAsia="zh-CN" w:bidi="ar-SA"/>
    </w:rPr>
  </w:style>
  <w:style w:type="paragraph" w:styleId="1080" w:customStyle="1">
    <w:name w:val="Default Paragraph Font Para Char Char Char Char Char Char"/>
    <w:basedOn w:val="828"/>
    <w:next w:val="1081"/>
    <w:uiPriority w:val="0"/>
    <w:qFormat/>
    <w:pPr>
      <w:ind w:left="0" w:firstLine="3584"/>
      <w:spacing w:before="0" w:after="160" w:line="240" w:lineRule="exact"/>
    </w:pPr>
    <w:rPr>
      <w:rFonts w:ascii="Times New Roman" w:hAnsi="Times New Roman" w:cs="Times New Roman"/>
    </w:rPr>
  </w:style>
  <w:style w:type="paragraph" w:styleId="1081" w:customStyle="1">
    <w:name w:val="xl23"/>
    <w:basedOn w:val="828"/>
    <w:next w:val="862"/>
    <w:uiPriority w:val="0"/>
    <w:qFormat/>
    <w:pPr>
      <w:ind w:left="0" w:firstLine="20"/>
      <w:spacing w:before="280" w:after="280" w:line="240" w:lineRule="auto"/>
      <w:shd w:val="clear" w:color="000000" w:fill="ffffff"/>
    </w:pPr>
    <w:rPr>
      <w:rFonts w:ascii="Times New Roman" w:hAnsi="Times New Roman" w:cs="Times New Roman"/>
    </w:rPr>
  </w:style>
  <w:style w:type="paragraph" w:styleId="1082" w:customStyle="1">
    <w:name w:val="列出段落11"/>
    <w:basedOn w:val="828"/>
    <w:next w:val="1083"/>
    <w:uiPriority w:val="0"/>
    <w:qFormat/>
    <w:pPr>
      <w:ind w:left="420" w:firstLine="3748"/>
      <w:spacing w:before="0" w:after="0" w:line="240" w:lineRule="auto"/>
    </w:pPr>
    <w:rPr>
      <w:rFonts w:ascii="Times New Roman" w:hAnsi="Times New Roman" w:cs="Times New Roman"/>
    </w:rPr>
  </w:style>
  <w:style w:type="paragraph" w:styleId="1083" w:customStyle="1">
    <w:name w:val="样式 标题 2 + (西文) 宋体 非加粗 居中"/>
    <w:basedOn w:val="830"/>
    <w:next w:val="1084"/>
    <w:uiPriority w:val="0"/>
    <w:qFormat/>
    <w:pPr>
      <w:ind w:left="0" w:firstLine="24"/>
      <w:jc w:val="center"/>
      <w:spacing w:line="412" w:lineRule="auto"/>
      <w:outlineLvl w:val="1"/>
    </w:pPr>
  </w:style>
  <w:style w:type="paragraph" w:styleId="1084" w:customStyle="1">
    <w:name w:val="页脚 Char Char"/>
    <w:basedOn w:val="828"/>
    <w:next w:val="1085"/>
    <w:uiPriority w:val="0"/>
    <w:qFormat/>
    <w:pPr>
      <w:ind w:left="0" w:firstLine="5120"/>
      <w:spacing w:before="0" w:after="0" w:line="240" w:lineRule="auto"/>
    </w:pPr>
    <w:rPr>
      <w:rFonts w:ascii="Times New Roman" w:hAnsi="Times New Roman" w:cs="Times New Roman"/>
    </w:rPr>
  </w:style>
  <w:style w:type="paragraph" w:styleId="1085" w:customStyle="1">
    <w:name w:val="样式 标题 1 + 段前: 16 磅 段后: 16 磅"/>
    <w:basedOn w:val="829"/>
    <w:next w:val="1086"/>
    <w:uiPriority w:val="0"/>
    <w:qFormat/>
    <w:pPr>
      <w:ind w:left="0" w:firstLine="18"/>
      <w:jc w:val="center"/>
      <w:spacing w:before="120" w:after="0" w:line="360" w:lineRule="auto"/>
      <w:outlineLvl w:val="0"/>
    </w:pPr>
  </w:style>
  <w:style w:type="paragraph" w:styleId="1086" w:customStyle="1">
    <w:name w:val="Char1 Char Char Char Char Char Char"/>
    <w:basedOn w:val="828"/>
    <w:next w:val="1087"/>
    <w:uiPriority w:val="0"/>
    <w:qFormat/>
    <w:pPr>
      <w:ind w:left="0" w:firstLine="2560"/>
      <w:spacing w:before="0" w:after="0" w:line="240" w:lineRule="auto"/>
    </w:pPr>
    <w:rPr>
      <w:rFonts w:ascii="Times New Roman" w:hAnsi="Times New Roman" w:cs="Times New Roman"/>
    </w:rPr>
  </w:style>
  <w:style w:type="paragraph" w:styleId="1087" w:customStyle="1">
    <w:name w:val="文档标题4"/>
    <w:basedOn w:val="832"/>
    <w:next w:val="827"/>
    <w:uiPriority w:val="0"/>
    <w:qFormat/>
    <w:pPr>
      <w:ind w:left="851" w:firstLine="30"/>
      <w:spacing w:after="280" w:line="360" w:lineRule="auto"/>
      <w:outlineLvl w:val="3"/>
    </w:pPr>
  </w:style>
  <w:style w:type="paragraph" w:styleId="1088" w:customStyle="1">
    <w:name w:val="font0"/>
    <w:basedOn w:val="828"/>
    <w:next w:val="1063"/>
    <w:uiPriority w:val="0"/>
    <w:qFormat/>
    <w:pPr>
      <w:ind w:left="0" w:firstLine="1024"/>
      <w:spacing w:before="280" w:after="280" w:line="240" w:lineRule="auto"/>
    </w:pPr>
    <w:rPr>
      <w:rFonts w:ascii="Times New Roman" w:hAnsi="Times New Roman" w:cs="Times New Roman"/>
    </w:rPr>
  </w:style>
  <w:style w:type="paragraph" w:styleId="1089" w:customStyle="1">
    <w:name w:val="CM5"/>
    <w:basedOn w:val="828"/>
    <w:next w:val="827"/>
    <w:uiPriority w:val="0"/>
    <w:qFormat/>
    <w:pPr>
      <w:ind w:left="200" w:firstLine="2760"/>
      <w:spacing w:before="0" w:after="0" w:line="400" w:lineRule="atLeast"/>
    </w:pPr>
    <w:rPr>
      <w:rFonts w:ascii="Times New Roman" w:hAnsi="Times New Roman" w:cs="Times New Roman"/>
    </w:rPr>
  </w:style>
  <w:style w:type="paragraph" w:styleId="1090" w:customStyle="1">
    <w:name w:val="Pa0"/>
    <w:basedOn w:val="828"/>
    <w:next w:val="827"/>
    <w:uiPriority w:val="0"/>
    <w:qFormat/>
    <w:pPr>
      <w:ind w:left="0" w:firstLine="4608"/>
      <w:spacing w:before="0" w:after="0" w:line="241" w:lineRule="atLeast"/>
    </w:pPr>
    <w:rPr>
      <w:rFonts w:ascii="Times New Roman" w:hAnsi="Times New Roman" w:cs="Times New Roman"/>
    </w:rPr>
  </w:style>
  <w:style w:type="paragraph" w:styleId="1091" w:customStyle="1">
    <w:name w:val="招标文件》"/>
    <w:basedOn w:val="828"/>
    <w:next w:val="1027"/>
    <w:uiPriority w:val="0"/>
    <w:qFormat/>
    <w:pPr>
      <w:ind w:left="420" w:firstLine="2140"/>
      <w:spacing w:before="120" w:after="120" w:line="300" w:lineRule="auto"/>
    </w:pPr>
    <w:rPr>
      <w:rFonts w:ascii="Times New Roman" w:hAnsi="Times New Roman" w:cs="Times New Roman"/>
    </w:rPr>
  </w:style>
  <w:style w:type="paragraph" w:styleId="1092" w:customStyle="1">
    <w:name w:val="段"/>
    <w:next w:val="827"/>
    <w:uiPriority w:val="0"/>
    <w:qFormat/>
    <w:pPr>
      <w:ind w:firstLine="200"/>
      <w:jc w:val="both"/>
      <w:spacing w:line="360" w:lineRule="auto"/>
    </w:pPr>
    <w:rPr>
      <w:rFonts w:ascii="宋体" w:hAnsi="宋体" w:eastAsia="宋体" w:cs="宋体"/>
      <w:sz w:val="24"/>
      <w:szCs w:val="22"/>
      <w:lang w:val="en-US" w:eastAsia="zh-CN" w:bidi="ar-SA"/>
    </w:rPr>
  </w:style>
  <w:style w:type="paragraph" w:styleId="1093" w:customStyle="1">
    <w:name w:val="标书_正文"/>
    <w:basedOn w:val="828"/>
    <w:next w:val="1094"/>
    <w:uiPriority w:val="0"/>
    <w:qFormat/>
    <w:pPr>
      <w:ind w:left="420" w:firstLine="1188"/>
      <w:spacing w:before="0" w:after="0" w:line="360" w:lineRule="auto"/>
    </w:pPr>
    <w:rPr>
      <w:rFonts w:ascii="Times New Roman" w:hAnsi="Times New Roman" w:cs="Times New Roman"/>
    </w:rPr>
  </w:style>
  <w:style w:type="paragraph" w:styleId="1094" w:customStyle="1">
    <w:name w:val="样式 标题 2 + Times New Roman 四号 非加粗 段前: 5 磅 段后: 0 磅 行距: 固定值 20..."/>
    <w:basedOn w:val="830"/>
    <w:next w:val="1042"/>
    <w:uiPriority w:val="0"/>
    <w:qFormat/>
    <w:pPr>
      <w:ind w:left="0" w:firstLine="24"/>
      <w:spacing w:before="100" w:after="0" w:line="400" w:lineRule="exact"/>
      <w:outlineLvl w:val="1"/>
    </w:pPr>
  </w:style>
  <w:style w:type="paragraph" w:styleId="1095" w:customStyle="1">
    <w:name w:val="图片0"/>
    <w:basedOn w:val="828"/>
    <w:next w:val="874"/>
    <w:uiPriority w:val="0"/>
    <w:qFormat/>
    <w:pPr>
      <w:ind w:left="-161" w:firstLine="1187"/>
      <w:spacing w:before="0" w:after="0" w:line="276" w:lineRule="auto"/>
    </w:pPr>
    <w:rPr>
      <w:rFonts w:ascii="Times New Roman" w:hAnsi="Times New Roman" w:cs="Times New Roman"/>
    </w:rPr>
  </w:style>
  <w:style w:type="paragraph" w:styleId="1096" w:customStyle="1">
    <w:name w:val="Char Char Char2 Char Char Char2 Char"/>
    <w:basedOn w:val="828"/>
    <w:next w:val="1068"/>
    <w:uiPriority w:val="0"/>
    <w:qFormat/>
    <w:pPr>
      <w:ind w:left="560" w:firstLine="3632"/>
      <w:spacing w:before="0" w:after="160" w:line="240" w:lineRule="exact"/>
    </w:pPr>
    <w:rPr>
      <w:rFonts w:ascii="Times New Roman" w:hAnsi="Times New Roman" w:cs="Times New Roman"/>
    </w:rPr>
  </w:style>
  <w:style w:type="paragraph" w:styleId="1097" w:customStyle="1">
    <w:name w:val="Char Char Char Char"/>
    <w:next w:val="1098"/>
    <w:uiPriority w:val="0"/>
    <w:qFormat/>
    <w:pPr>
      <w:ind w:firstLine="10"/>
      <w:spacing w:line="360" w:lineRule="auto"/>
      <w:shd w:val="clear" w:color="000000" w:fill="000080"/>
    </w:pPr>
    <w:rPr>
      <w:rFonts w:ascii="Calibri" w:hAnsi="Calibri" w:eastAsia="宋体" w:cs="宋体"/>
      <w:lang w:val="en-US" w:eastAsia="zh-CN" w:bidi="ar-SA"/>
    </w:rPr>
  </w:style>
  <w:style w:type="paragraph" w:styleId="1098" w:customStyle="1">
    <w:name w:val="杨昂超式样黑体主"/>
    <w:basedOn w:val="828"/>
    <w:next w:val="1099"/>
    <w:uiPriority w:val="0"/>
    <w:qFormat/>
    <w:pPr>
      <w:ind w:left="0" w:firstLine="4608"/>
      <w:spacing w:before="0" w:after="0" w:line="240" w:lineRule="auto"/>
    </w:pPr>
    <w:rPr>
      <w:rFonts w:ascii="Times New Roman" w:hAnsi="Times New Roman" w:cs="Times New Roman"/>
    </w:rPr>
  </w:style>
  <w:style w:type="paragraph" w:styleId="1099" w:customStyle="1">
    <w:name w:val="Char Char Char Char Char Char1 Char Char Char Char Char Char Char Char Char Char"/>
    <w:basedOn w:val="828"/>
    <w:next w:val="1100"/>
    <w:uiPriority w:val="0"/>
    <w:qFormat/>
    <w:pPr>
      <w:ind w:left="0" w:firstLine="2560"/>
      <w:spacing w:before="0" w:after="0" w:line="240" w:lineRule="auto"/>
    </w:pPr>
    <w:rPr>
      <w:rFonts w:ascii="Times New Roman" w:hAnsi="Times New Roman" w:cs="Times New Roman"/>
    </w:rPr>
  </w:style>
  <w:style w:type="paragraph" w:styleId="1100" w:customStyle="1">
    <w:name w:val="目录1"/>
    <w:basedOn w:val="828"/>
    <w:next w:val="827"/>
    <w:uiPriority w:val="0"/>
    <w:qFormat/>
    <w:pPr>
      <w:ind w:left="0" w:firstLine="7168"/>
      <w:spacing w:before="0" w:after="136" w:line="289" w:lineRule="atLeast"/>
    </w:pPr>
    <w:rPr>
      <w:rFonts w:ascii="Times New Roman" w:hAnsi="Times New Roman" w:cs="Times New Roman"/>
    </w:rPr>
  </w:style>
  <w:style w:type="paragraph" w:styleId="1101" w:customStyle="1">
    <w:name w:val="文档结构图1"/>
    <w:basedOn w:val="828"/>
    <w:next w:val="1102"/>
    <w:uiPriority w:val="0"/>
    <w:qFormat/>
    <w:pPr>
      <w:ind w:left="200" w:firstLine="2248"/>
      <w:spacing w:before="0" w:after="0" w:line="360" w:lineRule="auto"/>
    </w:pPr>
    <w:rPr>
      <w:rFonts w:ascii="Times New Roman" w:hAnsi="Times New Roman" w:cs="Times New Roman"/>
    </w:rPr>
  </w:style>
  <w:style w:type="paragraph" w:styleId="1102" w:customStyle="1">
    <w:name w:val="2ji"/>
    <w:basedOn w:val="830"/>
    <w:next w:val="868"/>
    <w:uiPriority w:val="0"/>
    <w:qFormat/>
    <w:pPr>
      <w:ind w:left="0" w:firstLine="24"/>
      <w:spacing w:before="0" w:after="0" w:line="360" w:lineRule="auto"/>
      <w:outlineLvl w:val="1"/>
    </w:pPr>
  </w:style>
  <w:style w:type="paragraph" w:styleId="1103" w:customStyle="1">
    <w:name w:val="xl91"/>
    <w:basedOn w:val="828"/>
    <w:next w:val="1024"/>
    <w:uiPriority w:val="0"/>
    <w:qFormat/>
    <w:pPr>
      <w:ind w:left="0" w:firstLine="3584"/>
      <w:spacing w:before="280" w:after="280" w:line="240" w:lineRule="auto"/>
    </w:pPr>
    <w:rPr>
      <w:rFonts w:ascii="Times New Roman" w:hAnsi="Times New Roman" w:cs="Times New Roman"/>
    </w:rPr>
  </w:style>
  <w:style w:type="paragraph" w:styleId="1104" w:customStyle="1">
    <w:name w:val="Text Body"/>
    <w:basedOn w:val="828"/>
    <w:next w:val="1105"/>
    <w:uiPriority w:val="0"/>
    <w:qFormat/>
    <w:pPr>
      <w:ind w:left="0" w:firstLine="4096"/>
      <w:spacing w:before="0" w:after="120" w:line="240" w:lineRule="auto"/>
    </w:pPr>
    <w:rPr>
      <w:rFonts w:ascii="Times New Roman" w:hAnsi="Times New Roman" w:cs="Times New Roman"/>
    </w:rPr>
  </w:style>
  <w:style w:type="paragraph" w:styleId="1105" w:customStyle="1">
    <w:name w:val="项目符1"/>
    <w:basedOn w:val="828"/>
    <w:next w:val="1106"/>
    <w:uiPriority w:val="0"/>
    <w:qFormat/>
    <w:pPr>
      <w:ind w:left="1365" w:right="100" w:firstLine="2728"/>
      <w:spacing w:before="78" w:after="78" w:line="300" w:lineRule="auto"/>
    </w:pPr>
    <w:rPr>
      <w:rFonts w:ascii="Times New Roman" w:hAnsi="Times New Roman" w:cs="Times New Roman"/>
    </w:rPr>
  </w:style>
  <w:style w:type="paragraph" w:styleId="1106" w:customStyle="1">
    <w:name w:val="引文目录标题1"/>
    <w:basedOn w:val="828"/>
    <w:next w:val="827"/>
    <w:uiPriority w:val="0"/>
    <w:qFormat/>
    <w:pPr>
      <w:ind w:left="0" w:firstLine="4608"/>
      <w:jc w:val="center"/>
      <w:spacing w:before="120" w:after="0" w:line="360" w:lineRule="auto"/>
    </w:pPr>
    <w:rPr>
      <w:rFonts w:ascii="Times New Roman" w:hAnsi="Times New Roman" w:cs="Times New Roman"/>
    </w:rPr>
  </w:style>
  <w:style w:type="paragraph" w:styleId="1107" w:customStyle="1">
    <w:name w:val="样式 标题 3 + (西文) 黑体 (中文) 黑体 (符号) 宋体 小四 段前: 5 磅 段后: 5 磅 行距: 1..."/>
    <w:basedOn w:val="831"/>
    <w:next w:val="1108"/>
    <w:uiPriority w:val="0"/>
    <w:qFormat/>
    <w:pPr>
      <w:ind w:left="1429" w:firstLine="18"/>
      <w:spacing w:before="100" w:after="100" w:line="360" w:lineRule="auto"/>
      <w:outlineLvl w:val="2"/>
    </w:pPr>
  </w:style>
  <w:style w:type="paragraph" w:styleId="1108" w:customStyle="1">
    <w:name w:val="xl22"/>
    <w:basedOn w:val="828"/>
    <w:next w:val="1109"/>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109" w:customStyle="1">
    <w:name w:val="自定义一"/>
    <w:basedOn w:val="828"/>
    <w:next w:val="827"/>
    <w:uiPriority w:val="0"/>
    <w:qFormat/>
    <w:pPr>
      <w:ind w:left="0"/>
      <w:spacing w:before="0" w:after="0" w:line="360" w:lineRule="auto"/>
    </w:pPr>
    <w:rPr>
      <w:rFonts w:ascii="Times New Roman" w:hAnsi="Times New Roman" w:cs="Times New Roman"/>
    </w:rPr>
  </w:style>
  <w:style w:type="paragraph" w:styleId="1110" w:customStyle="1">
    <w:name w:val="xl78"/>
    <w:basedOn w:val="828"/>
    <w:next w:val="1111"/>
    <w:uiPriority w:val="0"/>
    <w:qFormat/>
    <w:pPr>
      <w:ind w:left="0" w:firstLine="3584"/>
      <w:jc w:val="center"/>
      <w:spacing w:before="280" w:after="280" w:line="240" w:lineRule="auto"/>
    </w:pPr>
    <w:rPr>
      <w:rFonts w:ascii="Times New Roman" w:hAnsi="Times New Roman" w:cs="Times New Roman"/>
    </w:rPr>
  </w:style>
  <w:style w:type="paragraph" w:styleId="1111" w:customStyle="1">
    <w:name w:val="段落正文"/>
    <w:next w:val="1053"/>
    <w:uiPriority w:val="0"/>
    <w:qFormat/>
    <w:pPr>
      <w:ind w:firstLine="4608"/>
      <w:jc w:val="center"/>
      <w:spacing w:line="360" w:lineRule="auto"/>
    </w:pPr>
    <w:rPr>
      <w:rFonts w:ascii="Calibri" w:hAnsi="Calibri" w:eastAsia="宋体" w:cs="宋体"/>
      <w:lang w:val="en-US" w:eastAsia="zh-CN" w:bidi="ar-SA"/>
    </w:rPr>
  </w:style>
  <w:style w:type="paragraph" w:styleId="1112" w:customStyle="1">
    <w:name w:val="_Style 169"/>
    <w:next w:val="827"/>
    <w:uiPriority w:val="0"/>
    <w:qFormat/>
    <w:pPr>
      <w:ind w:left="2560"/>
    </w:pPr>
    <w:rPr>
      <w:rFonts w:ascii="Calibri" w:hAnsi="Calibri" w:eastAsia="宋体" w:cs="宋体"/>
      <w:lang w:val="en-US" w:eastAsia="zh-CN" w:bidi="ar-SA"/>
    </w:rPr>
  </w:style>
  <w:style w:type="paragraph" w:styleId="1113" w:customStyle="1">
    <w:name w:val="样式 小四 行距: 1.5 倍行距 首行缩进:  2 字符"/>
    <w:basedOn w:val="828"/>
    <w:next w:val="1058"/>
    <w:uiPriority w:val="0"/>
    <w:qFormat/>
    <w:pPr>
      <w:ind w:left="480" w:firstLine="2784"/>
      <w:spacing w:before="0" w:after="0" w:line="360" w:lineRule="auto"/>
    </w:pPr>
    <w:rPr>
      <w:rFonts w:ascii="Times New Roman" w:hAnsi="Times New Roman" w:cs="Times New Roman"/>
    </w:rPr>
  </w:style>
  <w:style w:type="paragraph" w:styleId="1114" w:customStyle="1">
    <w:name w:val="小节标题"/>
    <w:basedOn w:val="828"/>
    <w:next w:val="827"/>
    <w:uiPriority w:val="0"/>
    <w:qFormat/>
    <w:pPr>
      <w:ind w:left="0" w:firstLine="7168"/>
      <w:spacing w:before="175" w:after="102" w:line="351" w:lineRule="atLeast"/>
    </w:pPr>
    <w:rPr>
      <w:rFonts w:ascii="Times New Roman" w:hAnsi="Times New Roman" w:cs="Times New Roman"/>
    </w:rPr>
  </w:style>
  <w:style w:type="paragraph" w:styleId="1115" w:customStyle="1">
    <w:name w:val="TOC 标题2"/>
    <w:basedOn w:val="828"/>
    <w:next w:val="827"/>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16" w:customStyle="1">
    <w:name w:val="表格文字（两侧对齐）"/>
    <w:basedOn w:val="828"/>
    <w:next w:val="1117"/>
    <w:uiPriority w:val="0"/>
    <w:qFormat/>
    <w:pPr>
      <w:ind w:left="0" w:firstLine="3584"/>
      <w:spacing w:before="0" w:after="0" w:line="240" w:lineRule="auto"/>
    </w:pPr>
    <w:rPr>
      <w:rFonts w:ascii="Times New Roman" w:hAnsi="Times New Roman" w:cs="Times New Roman"/>
    </w:rPr>
  </w:style>
  <w:style w:type="paragraph" w:styleId="1117" w:customStyle="1">
    <w:name w:val="Char"/>
    <w:basedOn w:val="828"/>
    <w:next w:val="1096"/>
    <w:uiPriority w:val="0"/>
    <w:qFormat/>
    <w:pPr>
      <w:ind w:left="900" w:firstLine="2608"/>
      <w:spacing w:before="0" w:after="0" w:line="240" w:lineRule="auto"/>
    </w:pPr>
    <w:rPr>
      <w:rFonts w:ascii="Times New Roman" w:hAnsi="Times New Roman" w:cs="Times New Roman"/>
    </w:rPr>
  </w:style>
  <w:style w:type="paragraph" w:styleId="1118" w:customStyle="1">
    <w:name w:val="xl86"/>
    <w:basedOn w:val="828"/>
    <w:next w:val="1119"/>
    <w:uiPriority w:val="0"/>
    <w:qFormat/>
    <w:pPr>
      <w:ind w:left="0" w:firstLine="5120"/>
      <w:spacing w:before="280" w:after="280" w:line="240" w:lineRule="auto"/>
    </w:pPr>
    <w:rPr>
      <w:rFonts w:ascii="Times New Roman" w:hAnsi="Times New Roman" w:cs="Times New Roman"/>
    </w:rPr>
  </w:style>
  <w:style w:type="paragraph" w:styleId="1119" w:customStyle="1">
    <w:name w:val="索引 71"/>
    <w:basedOn w:val="828"/>
    <w:next w:val="827"/>
    <w:uiPriority w:val="0"/>
    <w:qFormat/>
    <w:pPr>
      <w:ind w:left="1200" w:firstLine="2560"/>
      <w:jc w:val="center"/>
      <w:spacing w:before="0" w:after="0" w:line="360" w:lineRule="auto"/>
    </w:pPr>
    <w:rPr>
      <w:rFonts w:ascii="Times New Roman" w:hAnsi="Times New Roman" w:cs="Times New Roman"/>
    </w:rPr>
  </w:style>
  <w:style w:type="paragraph" w:styleId="1120" w:customStyle="1">
    <w:name w:val="111"/>
    <w:next w:val="1121"/>
    <w:uiPriority w:val="0"/>
    <w:qFormat/>
    <w:pPr>
      <w:ind w:left="480" w:firstLine="4320"/>
      <w:spacing w:line="440" w:lineRule="exact"/>
    </w:pPr>
    <w:rPr>
      <w:rFonts w:ascii="Calibri" w:hAnsi="Calibri" w:eastAsia="宋体" w:cs="宋体"/>
      <w:lang w:val="en-US" w:eastAsia="zh-CN" w:bidi="ar-SA"/>
    </w:rPr>
  </w:style>
  <w:style w:type="paragraph" w:styleId="1121" w:customStyle="1">
    <w:name w:val="4"/>
    <w:basedOn w:val="828"/>
    <w:next w:val="839"/>
    <w:uiPriority w:val="0"/>
    <w:qFormat/>
    <w:pPr>
      <w:ind w:left="409" w:firstLine="3737"/>
      <w:spacing w:before="0" w:after="0" w:line="420" w:lineRule="exact"/>
    </w:pPr>
    <w:rPr>
      <w:rFonts w:ascii="Times New Roman" w:hAnsi="Times New Roman" w:cs="Times New Roman"/>
    </w:rPr>
  </w:style>
  <w:style w:type="paragraph" w:styleId="1122" w:customStyle="1">
    <w:name w:val="Char Char Char Char Char Char1 Char Char Char1 Char Char Char Char Char Char"/>
    <w:basedOn w:val="828"/>
    <w:next w:val="1107"/>
    <w:uiPriority w:val="0"/>
    <w:qFormat/>
    <w:pPr>
      <w:ind w:left="0" w:firstLine="2560"/>
      <w:spacing w:before="0" w:after="0" w:line="240" w:lineRule="auto"/>
    </w:pPr>
    <w:rPr>
      <w:rFonts w:ascii="Times New Roman" w:hAnsi="Times New Roman" w:cs="Times New Roman"/>
    </w:rPr>
  </w:style>
  <w:style w:type="paragraph" w:styleId="1123" w:customStyle="1">
    <w:name w:val="Char Char Char Char Char Char1 Char Char Char Char Char Char1 Char Char Char"/>
    <w:basedOn w:val="828"/>
    <w:next w:val="1124"/>
    <w:uiPriority w:val="0"/>
    <w:qFormat/>
    <w:pPr>
      <w:ind w:left="0" w:firstLine="2560"/>
      <w:spacing w:before="0" w:after="0" w:line="240" w:lineRule="auto"/>
    </w:pPr>
    <w:rPr>
      <w:rFonts w:ascii="Times New Roman" w:hAnsi="Times New Roman" w:cs="Times New Roman"/>
    </w:rPr>
  </w:style>
  <w:style w:type="paragraph" w:styleId="1124" w:customStyle="1">
    <w:name w:val="正文符号1"/>
    <w:basedOn w:val="828"/>
    <w:next w:val="1125"/>
    <w:uiPriority w:val="0"/>
    <w:qFormat/>
    <w:pPr>
      <w:ind w:left="987" w:firstLine="5724"/>
      <w:spacing w:before="0" w:after="0" w:line="240" w:lineRule="auto"/>
    </w:pPr>
    <w:rPr>
      <w:rFonts w:ascii="Times New Roman" w:hAnsi="Times New Roman" w:cs="Times New Roman"/>
    </w:rPr>
  </w:style>
  <w:style w:type="paragraph" w:styleId="1125" w:customStyle="1">
    <w:name w:val="索引 31"/>
    <w:basedOn w:val="828"/>
    <w:next w:val="827"/>
    <w:uiPriority w:val="0"/>
    <w:qFormat/>
    <w:pPr>
      <w:ind w:left="400" w:firstLine="2560"/>
      <w:jc w:val="center"/>
      <w:spacing w:before="0" w:after="0" w:line="360" w:lineRule="auto"/>
    </w:pPr>
    <w:rPr>
      <w:rFonts w:ascii="Times New Roman" w:hAnsi="Times New Roman" w:cs="Times New Roman"/>
    </w:rPr>
  </w:style>
  <w:style w:type="paragraph" w:styleId="1126" w:customStyle="1">
    <w:name w:val="目录4"/>
    <w:basedOn w:val="828"/>
    <w:next w:val="827"/>
    <w:uiPriority w:val="0"/>
    <w:qFormat/>
    <w:pPr>
      <w:ind w:left="629" w:firstLine="5237"/>
      <w:spacing w:before="0" w:after="0" w:line="317" w:lineRule="atLeast"/>
    </w:pPr>
    <w:rPr>
      <w:rFonts w:ascii="Times New Roman" w:hAnsi="Times New Roman" w:cs="Times New Roman"/>
    </w:rPr>
  </w:style>
  <w:style w:type="paragraph" w:styleId="1127" w:customStyle="1">
    <w:name w:val="p15"/>
    <w:basedOn w:val="827"/>
    <w:uiPriority w:val="0"/>
    <w:qFormat/>
    <w:pPr>
      <w:ind w:left="0"/>
    </w:pPr>
    <w:rPr>
      <w:rFonts w:ascii="宋体" w:hAnsi="宋体"/>
      <w:sz w:val="28"/>
      <w:szCs w:val="28"/>
    </w:rPr>
  </w:style>
  <w:style w:type="paragraph" w:styleId="1128" w:customStyle="1">
    <w:name w:val="四号 居中"/>
    <w:basedOn w:val="828"/>
    <w:next w:val="1122"/>
    <w:uiPriority w:val="0"/>
    <w:qFormat/>
    <w:pPr>
      <w:ind w:left="0" w:firstLine="6144"/>
      <w:jc w:val="center"/>
      <w:spacing w:before="0" w:after="0" w:line="360" w:lineRule="auto"/>
    </w:pPr>
    <w:rPr>
      <w:rFonts w:ascii="Times New Roman" w:hAnsi="Times New Roman" w:cs="Times New Roman"/>
    </w:rPr>
  </w:style>
  <w:style w:type="paragraph" w:styleId="1129" w:customStyle="1">
    <w:name w:val="p0"/>
    <w:next w:val="827"/>
    <w:uiPriority w:val="0"/>
    <w:qFormat/>
    <w:pPr>
      <w:ind w:firstLine="2048"/>
      <w:spacing w:line="360" w:lineRule="auto"/>
    </w:pPr>
    <w:rPr>
      <w:rFonts w:ascii="Calibri" w:hAnsi="Calibri" w:eastAsia="宋体" w:cs="宋体"/>
      <w:lang w:val="en-US" w:eastAsia="zh-CN" w:bidi="ar-SA"/>
    </w:rPr>
  </w:style>
  <w:style w:type="paragraph" w:styleId="1130" w:customStyle="1">
    <w:name w:val="列表编号 21"/>
    <w:basedOn w:val="828"/>
    <w:next w:val="1131"/>
    <w:uiPriority w:val="0"/>
    <w:qFormat/>
    <w:pPr>
      <w:ind w:left="0" w:firstLine="2560"/>
      <w:spacing w:before="0" w:after="0" w:line="360" w:lineRule="auto"/>
    </w:pPr>
    <w:rPr>
      <w:rFonts w:ascii="Times New Roman" w:hAnsi="Times New Roman" w:cs="Times New Roman"/>
    </w:rPr>
  </w:style>
  <w:style w:type="paragraph" w:styleId="1131" w:customStyle="1">
    <w:name w:val="正文文本 21"/>
    <w:basedOn w:val="828"/>
    <w:next w:val="1012"/>
    <w:uiPriority w:val="0"/>
    <w:qFormat/>
    <w:pPr>
      <w:ind w:left="0" w:firstLine="2560"/>
      <w:jc w:val="center"/>
      <w:spacing w:before="0" w:after="120" w:line="480" w:lineRule="auto"/>
    </w:pPr>
    <w:rPr>
      <w:rFonts w:ascii="Times New Roman" w:hAnsi="Times New Roman" w:cs="Times New Roman"/>
    </w:rPr>
  </w:style>
  <w:style w:type="paragraph" w:styleId="1132" w:customStyle="1">
    <w:name w:val="a2"/>
    <w:basedOn w:val="828"/>
    <w:next w:val="865"/>
    <w:uiPriority w:val="0"/>
    <w:qFormat/>
    <w:pPr>
      <w:ind w:left="0" w:firstLine="1024"/>
      <w:spacing w:before="280" w:after="280" w:line="240" w:lineRule="auto"/>
    </w:pPr>
    <w:rPr>
      <w:rFonts w:ascii="Times New Roman" w:hAnsi="Times New Roman" w:cs="Times New Roman"/>
    </w:rPr>
  </w:style>
  <w:style w:type="paragraph" w:styleId="1133" w:customStyle="1">
    <w:name w:val="font8"/>
    <w:basedOn w:val="828"/>
    <w:next w:val="1057"/>
    <w:uiPriority w:val="0"/>
    <w:qFormat/>
    <w:pPr>
      <w:ind w:left="0" w:firstLine="2048"/>
      <w:spacing w:before="280" w:after="280" w:line="240" w:lineRule="auto"/>
    </w:pPr>
    <w:rPr>
      <w:rFonts w:ascii="Times New Roman" w:hAnsi="Times New Roman" w:cs="Times New Roman"/>
    </w:rPr>
  </w:style>
  <w:style w:type="paragraph" w:styleId="1134" w:customStyle="1">
    <w:name w:val="Char Char Char Char Char Char1 Char Char Char Char Char Char1 Char Char Char Char Char Char Char"/>
    <w:basedOn w:val="828"/>
    <w:next w:val="1135"/>
    <w:uiPriority w:val="0"/>
    <w:qFormat/>
    <w:pPr>
      <w:ind w:left="0" w:firstLine="2560"/>
      <w:spacing w:before="0" w:after="0" w:line="240" w:lineRule="auto"/>
    </w:pPr>
    <w:rPr>
      <w:rFonts w:ascii="Times New Roman" w:hAnsi="Times New Roman" w:cs="Times New Roman"/>
    </w:rPr>
  </w:style>
  <w:style w:type="paragraph" w:styleId="1135" w:customStyle="1">
    <w:name w:val="xl87"/>
    <w:basedOn w:val="828"/>
    <w:next w:val="1091"/>
    <w:uiPriority w:val="0"/>
    <w:qFormat/>
    <w:pPr>
      <w:ind w:left="0" w:firstLine="5120"/>
      <w:spacing w:before="280" w:after="280" w:line="240" w:lineRule="auto"/>
    </w:pPr>
    <w:rPr>
      <w:rFonts w:ascii="Times New Roman" w:hAnsi="Times New Roman" w:cs="Times New Roman"/>
    </w:rPr>
  </w:style>
  <w:style w:type="paragraph" w:styleId="1136" w:customStyle="1">
    <w:name w:val="444"/>
    <w:basedOn w:val="828"/>
    <w:next w:val="848"/>
    <w:uiPriority w:val="0"/>
    <w:qFormat/>
    <w:pPr>
      <w:ind w:left="0" w:firstLine="4608"/>
      <w:jc w:val="center"/>
      <w:spacing w:before="0" w:after="0" w:line="312" w:lineRule="atLeast"/>
    </w:pPr>
    <w:rPr>
      <w:rFonts w:ascii="Times New Roman" w:hAnsi="Times New Roman" w:cs="Times New Roman"/>
    </w:rPr>
  </w:style>
  <w:style w:type="paragraph" w:styleId="1137" w:customStyle="1">
    <w:name w:val="表格文字图表文字"/>
    <w:basedOn w:val="828"/>
    <w:next w:val="1138"/>
    <w:uiPriority w:val="0"/>
    <w:qFormat/>
    <w:pPr>
      <w:ind w:left="0" w:firstLine="3584"/>
      <w:jc w:val="center"/>
      <w:spacing w:before="0" w:after="0" w:line="240" w:lineRule="auto"/>
    </w:pPr>
    <w:rPr>
      <w:rFonts w:ascii="Times New Roman" w:hAnsi="Times New Roman" w:cs="Times New Roman"/>
    </w:rPr>
  </w:style>
  <w:style w:type="paragraph" w:styleId="1138" w:customStyle="1">
    <w:name w:val="样式 目录 3 + 左侧:  2 字符1"/>
    <w:next w:val="1139"/>
    <w:uiPriority w:val="0"/>
    <w:qFormat/>
    <w:pPr>
      <w:ind w:left="960" w:firstLine="5120"/>
      <w:spacing w:line="360" w:lineRule="auto"/>
      <w:widowControl w:val="off"/>
    </w:pPr>
    <w:rPr>
      <w:rFonts w:ascii="Calibri" w:hAnsi="Calibri" w:eastAsia="宋体" w:cs="宋体"/>
      <w:lang w:val="en-US" w:eastAsia="zh-CN" w:bidi="ar-SA"/>
    </w:rPr>
  </w:style>
  <w:style w:type="paragraph" w:styleId="1139" w:customStyle="1">
    <w:name w:val="文档正文"/>
    <w:basedOn w:val="828"/>
    <w:next w:val="1140"/>
    <w:uiPriority w:val="0"/>
    <w:qFormat/>
    <w:pPr>
      <w:ind w:left="567" w:firstLine="3639"/>
      <w:spacing w:before="0" w:after="0" w:line="480" w:lineRule="atLeast"/>
    </w:pPr>
    <w:rPr>
      <w:rFonts w:ascii="Times New Roman" w:hAnsi="Times New Roman" w:cs="Times New Roman"/>
    </w:rPr>
  </w:style>
  <w:style w:type="paragraph" w:styleId="1140" w:customStyle="1">
    <w:name w:val="列表框2"/>
    <w:next w:val="1141"/>
    <w:uiPriority w:val="0"/>
    <w:qFormat/>
    <w:pPr>
      <w:ind w:firstLine="2048"/>
      <w:spacing w:line="460" w:lineRule="exact"/>
    </w:pPr>
    <w:rPr>
      <w:rFonts w:ascii="Calibri" w:hAnsi="Calibri" w:eastAsia="宋体" w:cs="宋体"/>
      <w:lang w:val="en-US" w:eastAsia="zh-CN" w:bidi="ar-SA"/>
    </w:rPr>
  </w:style>
  <w:style w:type="paragraph" w:styleId="1141" w:customStyle="1">
    <w:name w:val="font10"/>
    <w:basedOn w:val="828"/>
    <w:next w:val="859"/>
    <w:uiPriority w:val="0"/>
    <w:qFormat/>
    <w:pPr>
      <w:ind w:left="0" w:firstLine="3584"/>
      <w:spacing w:before="280" w:after="280" w:line="240" w:lineRule="auto"/>
    </w:pPr>
    <w:rPr>
      <w:rFonts w:ascii="Times New Roman" w:hAnsi="Times New Roman" w:cs="Times New Roman"/>
    </w:rPr>
  </w:style>
  <w:style w:type="paragraph" w:styleId="1142" w:customStyle="1">
    <w:name w:val="纯文本1"/>
    <w:basedOn w:val="828"/>
    <w:next w:val="870"/>
    <w:uiPriority w:val="0"/>
    <w:qFormat/>
    <w:pPr>
      <w:ind w:left="0" w:firstLine="3584"/>
      <w:spacing w:before="0" w:after="0" w:line="240" w:lineRule="auto"/>
    </w:pPr>
    <w:rPr>
      <w:rFonts w:ascii="Times New Roman" w:hAnsi="Times New Roman" w:cs="Times New Roman"/>
    </w:rPr>
  </w:style>
  <w:style w:type="paragraph" w:styleId="1143" w:customStyle="1">
    <w:name w:val="索引 91"/>
    <w:basedOn w:val="828"/>
    <w:next w:val="827"/>
    <w:uiPriority w:val="0"/>
    <w:qFormat/>
    <w:pPr>
      <w:ind w:left="1600" w:firstLine="2560"/>
      <w:jc w:val="center"/>
      <w:spacing w:before="0" w:after="0" w:line="360" w:lineRule="auto"/>
    </w:pPr>
    <w:rPr>
      <w:rFonts w:ascii="Times New Roman" w:hAnsi="Times New Roman" w:cs="Times New Roman"/>
    </w:rPr>
  </w:style>
  <w:style w:type="paragraph" w:styleId="1144" w:customStyle="1">
    <w:name w:val="xl79"/>
    <w:basedOn w:val="828"/>
    <w:next w:val="1120"/>
    <w:uiPriority w:val="0"/>
    <w:qFormat/>
    <w:pPr>
      <w:ind w:left="0" w:firstLine="3584"/>
      <w:jc w:val="center"/>
      <w:spacing w:before="280" w:after="280" w:line="240" w:lineRule="auto"/>
    </w:pPr>
    <w:rPr>
      <w:rFonts w:ascii="Times New Roman" w:hAnsi="Times New Roman" w:cs="Times New Roman"/>
    </w:rPr>
  </w:style>
  <w:style w:type="paragraph" w:styleId="1145" w:customStyle="1">
    <w:name w:val="表格文字（4号居中）"/>
    <w:next w:val="1146"/>
    <w:uiPriority w:val="0"/>
    <w:qFormat/>
    <w:pPr>
      <w:ind w:firstLine="2560"/>
      <w:jc w:val="center"/>
    </w:pPr>
    <w:rPr>
      <w:rFonts w:ascii="Calibri" w:hAnsi="Calibri" w:eastAsia="宋体" w:cs="宋体"/>
      <w:lang w:val="en-US" w:eastAsia="zh-CN" w:bidi="ar-SA"/>
    </w:rPr>
  </w:style>
  <w:style w:type="paragraph" w:styleId="1146" w:customStyle="1">
    <w:name w:val="!方块加粗"/>
    <w:basedOn w:val="828"/>
    <w:next w:val="1113"/>
    <w:uiPriority w:val="0"/>
    <w:qFormat/>
    <w:pPr>
      <w:ind w:left="600" w:firstLine="5212"/>
      <w:spacing w:before="0" w:after="0" w:line="360" w:lineRule="auto"/>
    </w:pPr>
    <w:rPr>
      <w:rFonts w:ascii="Times New Roman" w:hAnsi="Times New Roman" w:cs="Times New Roman"/>
    </w:rPr>
  </w:style>
  <w:style w:type="paragraph" w:styleId="1147" w:customStyle="1">
    <w:name w:val="xl75"/>
    <w:basedOn w:val="828"/>
    <w:next w:val="872"/>
    <w:uiPriority w:val="0"/>
    <w:qFormat/>
    <w:pPr>
      <w:ind w:left="0" w:firstLine="3584"/>
      <w:jc w:val="center"/>
      <w:spacing w:before="280" w:after="280" w:line="240" w:lineRule="auto"/>
    </w:pPr>
    <w:rPr>
      <w:rFonts w:ascii="Times New Roman" w:hAnsi="Times New Roman" w:cs="Times New Roman"/>
    </w:rPr>
  </w:style>
  <w:style w:type="paragraph" w:styleId="1148" w:customStyle="1">
    <w:name w:val="xl81"/>
    <w:basedOn w:val="828"/>
    <w:next w:val="1149"/>
    <w:uiPriority w:val="0"/>
    <w:qFormat/>
    <w:pPr>
      <w:ind w:left="0" w:firstLine="5120"/>
      <w:spacing w:before="280" w:after="280" w:line="240" w:lineRule="auto"/>
    </w:pPr>
    <w:rPr>
      <w:rFonts w:ascii="Times New Roman" w:hAnsi="Times New Roman" w:cs="Times New Roman"/>
    </w:rPr>
  </w:style>
  <w:style w:type="paragraph" w:styleId="1149" w:customStyle="1">
    <w:name w:val="xl25"/>
    <w:basedOn w:val="828"/>
    <w:next w:val="1150"/>
    <w:uiPriority w:val="0"/>
    <w:qFormat/>
    <w:pPr>
      <w:ind w:left="0" w:firstLine="14"/>
      <w:spacing w:before="280" w:after="280" w:line="240" w:lineRule="auto"/>
      <w:shd w:val="clear" w:color="000000" w:fill="ffffff"/>
    </w:pPr>
    <w:rPr>
      <w:rFonts w:ascii="Times New Roman" w:hAnsi="Times New Roman" w:cs="Times New Roman"/>
    </w:rPr>
  </w:style>
  <w:style w:type="paragraph" w:styleId="1150" w:customStyle="1">
    <w:name w:val="普通(网站)1"/>
    <w:basedOn w:val="828"/>
    <w:next w:val="1151"/>
    <w:uiPriority w:val="0"/>
    <w:qFormat/>
    <w:pPr>
      <w:ind w:left="200" w:firstLine="1224"/>
      <w:spacing w:before="280" w:after="280" w:line="240" w:lineRule="auto"/>
    </w:pPr>
    <w:rPr>
      <w:rFonts w:ascii="Times New Roman" w:hAnsi="Times New Roman" w:cs="Times New Roman"/>
    </w:rPr>
  </w:style>
  <w:style w:type="paragraph" w:styleId="1151" w:customStyle="1">
    <w:name w:val="xl27"/>
    <w:basedOn w:val="828"/>
    <w:next w:val="1137"/>
    <w:uiPriority w:val="0"/>
    <w:qFormat/>
    <w:pPr>
      <w:ind w:left="0" w:firstLine="20"/>
      <w:spacing w:before="280" w:after="280" w:line="240" w:lineRule="auto"/>
      <w:shd w:val="clear" w:color="000000" w:fill="ffffff"/>
    </w:pPr>
    <w:rPr>
      <w:rFonts w:ascii="Times New Roman" w:hAnsi="Times New Roman" w:cs="Times New Roman"/>
    </w:rPr>
  </w:style>
  <w:style w:type="paragraph" w:styleId="1152" w:customStyle="1">
    <w:name w:val="H 4"/>
    <w:basedOn w:val="832"/>
    <w:next w:val="1153"/>
    <w:uiPriority w:val="0"/>
    <w:qFormat/>
    <w:pPr>
      <w:ind w:left="426" w:firstLine="24"/>
      <w:spacing w:before="0" w:after="0" w:line="360" w:lineRule="auto"/>
      <w:outlineLvl w:val="3"/>
    </w:pPr>
  </w:style>
  <w:style w:type="paragraph" w:styleId="1153" w:customStyle="1">
    <w:name w:val="xl82"/>
    <w:basedOn w:val="828"/>
    <w:next w:val="1148"/>
    <w:uiPriority w:val="0"/>
    <w:qFormat/>
    <w:pPr>
      <w:ind w:left="0" w:firstLine="5120"/>
      <w:spacing w:before="280" w:after="280" w:line="240" w:lineRule="auto"/>
    </w:pPr>
    <w:rPr>
      <w:rFonts w:ascii="Times New Roman" w:hAnsi="Times New Roman" w:cs="Times New Roman"/>
    </w:rPr>
  </w:style>
  <w:style w:type="paragraph" w:styleId="1154" w:customStyle="1">
    <w:name w:val="Char Char Char Char Char Char Char Char"/>
    <w:next w:val="1155"/>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155" w:customStyle="1">
    <w:name w:val="Char Char Char Char Char Char1 Char Char Char1 Char Char Char Char Char Char Char Char Char Char Char Char Char Char Char"/>
    <w:basedOn w:val="828"/>
    <w:next w:val="1156"/>
    <w:uiPriority w:val="0"/>
    <w:qFormat/>
    <w:pPr>
      <w:ind w:left="0" w:firstLine="2560"/>
      <w:spacing w:before="0" w:after="0" w:line="240" w:lineRule="auto"/>
    </w:pPr>
    <w:rPr>
      <w:rFonts w:ascii="Times New Roman" w:hAnsi="Times New Roman" w:cs="Times New Roman"/>
    </w:rPr>
  </w:style>
  <w:style w:type="paragraph" w:styleId="1156" w:customStyle="1">
    <w:name w:val="样式1"/>
    <w:basedOn w:val="828"/>
    <w:next w:val="1157"/>
    <w:uiPriority w:val="0"/>
    <w:qFormat/>
    <w:pPr>
      <w:ind w:left="0" w:firstLine="1536"/>
      <w:spacing w:before="120" w:after="120" w:line="300" w:lineRule="auto"/>
    </w:pPr>
    <w:rPr>
      <w:rFonts w:ascii="Times New Roman" w:hAnsi="Times New Roman" w:cs="Times New Roman"/>
    </w:rPr>
  </w:style>
  <w:style w:type="paragraph" w:styleId="1157" w:customStyle="1">
    <w:name w:val="索引 41"/>
    <w:basedOn w:val="828"/>
    <w:next w:val="827"/>
    <w:uiPriority w:val="0"/>
    <w:qFormat/>
    <w:pPr>
      <w:ind w:left="600" w:firstLine="2560"/>
      <w:jc w:val="center"/>
      <w:spacing w:before="0" w:after="0" w:line="360" w:lineRule="auto"/>
    </w:pPr>
    <w:rPr>
      <w:rFonts w:ascii="Times New Roman" w:hAnsi="Times New Roman" w:cs="Times New Roman"/>
    </w:rPr>
  </w:style>
  <w:style w:type="paragraph" w:styleId="1158" w:customStyle="1">
    <w:name w:val="自定义二"/>
    <w:basedOn w:val="828"/>
    <w:next w:val="827"/>
    <w:uiPriority w:val="0"/>
    <w:qFormat/>
    <w:pPr>
      <w:ind w:left="0" w:firstLine="14"/>
      <w:spacing w:before="0" w:after="0" w:line="360" w:lineRule="auto"/>
      <w:outlineLvl w:val="1"/>
    </w:pPr>
    <w:rPr>
      <w:rFonts w:ascii="Times New Roman" w:hAnsi="Times New Roman" w:cs="Times New Roman"/>
    </w:rPr>
  </w:style>
  <w:style w:type="paragraph" w:styleId="1159" w:customStyle="1">
    <w:name w:val="Bullet"/>
    <w:next w:val="1097"/>
    <w:uiPriority w:val="0"/>
    <w:qFormat/>
    <w:pPr>
      <w:ind w:left="567" w:right="2835" w:firstLine="3584"/>
      <w:spacing w:after="60"/>
    </w:pPr>
    <w:rPr>
      <w:rFonts w:ascii="Calibri" w:hAnsi="Calibri" w:eastAsia="宋体" w:cs="宋体"/>
      <w:lang w:val="en-US" w:eastAsia="zh-CN" w:bidi="ar-SA"/>
    </w:rPr>
  </w:style>
  <w:style w:type="paragraph" w:styleId="1160" w:customStyle="1">
    <w:name w:val="Char Char Char Char Char Char1"/>
    <w:basedOn w:val="828"/>
    <w:next w:val="1161"/>
    <w:uiPriority w:val="0"/>
    <w:qFormat/>
    <w:pPr>
      <w:ind w:left="0" w:firstLine="2560"/>
      <w:spacing w:before="0" w:after="0" w:line="240" w:lineRule="auto"/>
    </w:pPr>
    <w:rPr>
      <w:rFonts w:ascii="Times New Roman" w:hAnsi="Times New Roman" w:cs="Times New Roman"/>
    </w:rPr>
  </w:style>
  <w:style w:type="paragraph" w:styleId="1161" w:customStyle="1">
    <w:name w:val="正文缩进2"/>
    <w:basedOn w:val="828"/>
    <w:next w:val="1162"/>
    <w:uiPriority w:val="0"/>
    <w:qFormat/>
    <w:pPr>
      <w:ind w:left="420" w:firstLine="1188"/>
      <w:spacing w:before="0" w:after="0" w:line="240" w:lineRule="auto"/>
    </w:pPr>
    <w:rPr>
      <w:rFonts w:ascii="Times New Roman" w:hAnsi="Times New Roman" w:cs="Times New Roman"/>
    </w:rPr>
  </w:style>
  <w:style w:type="paragraph" w:styleId="1162" w:customStyle="1">
    <w:name w:val="列出段落2"/>
    <w:basedOn w:val="828"/>
    <w:next w:val="1163"/>
    <w:uiPriority w:val="0"/>
    <w:qFormat/>
    <w:pPr>
      <w:ind w:left="420" w:firstLine="3748"/>
      <w:spacing w:before="0" w:after="0" w:line="240" w:lineRule="auto"/>
    </w:pPr>
    <w:rPr>
      <w:rFonts w:ascii="Times New Roman" w:hAnsi="Times New Roman" w:cs="Times New Roman"/>
    </w:rPr>
  </w:style>
  <w:style w:type="paragraph" w:styleId="1163" w:customStyle="1">
    <w:name w:val="正文文本缩进 31"/>
    <w:basedOn w:val="828"/>
    <w:next w:val="1164"/>
    <w:uiPriority w:val="0"/>
    <w:qFormat/>
    <w:pPr>
      <w:ind w:left="1200" w:firstLine="1248"/>
      <w:spacing w:before="120" w:after="0" w:line="22" w:lineRule="atLeast"/>
    </w:pPr>
    <w:rPr>
      <w:rFonts w:ascii="Times New Roman" w:hAnsi="Times New Roman" w:cs="Times New Roman"/>
    </w:rPr>
  </w:style>
  <w:style w:type="paragraph" w:styleId="1164" w:customStyle="1">
    <w:name w:val="样式 正文首行缩进 + 首行缩进:  2 字符5"/>
    <w:next w:val="1165"/>
    <w:uiPriority w:val="0"/>
    <w:qFormat/>
    <w:pPr>
      <w:ind w:left="200" w:firstLine="3784"/>
      <w:spacing w:line="300" w:lineRule="auto"/>
    </w:pPr>
    <w:rPr>
      <w:rFonts w:ascii="Calibri" w:hAnsi="Calibri" w:eastAsia="宋体" w:cs="宋体"/>
      <w:lang w:val="en-US" w:eastAsia="zh-CN" w:bidi="ar-SA"/>
    </w:rPr>
  </w:style>
  <w:style w:type="paragraph" w:styleId="1165" w:customStyle="1">
    <w:name w:val="Char2"/>
    <w:basedOn w:val="828"/>
    <w:next w:val="1159"/>
    <w:uiPriority w:val="0"/>
    <w:qFormat/>
    <w:pPr>
      <w:ind w:left="0" w:firstLine="3584"/>
      <w:spacing w:before="0" w:after="160" w:line="240" w:lineRule="exact"/>
    </w:pPr>
    <w:rPr>
      <w:rFonts w:ascii="Times New Roman" w:hAnsi="Times New Roman" w:cs="Times New Roman"/>
    </w:rPr>
  </w:style>
  <w:style w:type="paragraph" w:styleId="1166" w:customStyle="1">
    <w:name w:val="WPSOffice手动目录 1"/>
    <w:uiPriority w:val="0"/>
    <w:qFormat/>
    <w:rPr>
      <w:rFonts w:ascii="宋体" w:hAnsi="宋体" w:eastAsia="宋体" w:cs="宋体"/>
      <w:lang w:val="en-US" w:eastAsia="zh-CN" w:bidi="ar-SA"/>
    </w:rPr>
  </w:style>
  <w:style w:type="paragraph" w:styleId="1167" w:customStyle="1">
    <w:name w:val="纯文本4"/>
    <w:basedOn w:val="827"/>
    <w:uiPriority w:val="0"/>
    <w:qFormat/>
    <w:pPr>
      <w:ind w:left="0"/>
      <w:widowControl w:val="off"/>
    </w:pPr>
    <w:rPr>
      <w:rFonts w:ascii="宋体" w:hAnsi="Courier New" w:eastAsia="楷体_GB2312" w:cs="Times New Roman"/>
      <w:sz w:val="26"/>
    </w:rPr>
  </w:style>
  <w:style w:type="paragraph" w:styleId="1168" w:customStyle="1">
    <w:name w:val="Char Char Char Char Char Char Char Char Char Char Char Char Char Char Char Char"/>
    <w:basedOn w:val="828"/>
    <w:next w:val="1169"/>
    <w:uiPriority w:val="0"/>
    <w:qFormat/>
    <w:pPr>
      <w:ind w:left="682" w:firstLine="1224"/>
      <w:spacing w:before="0" w:after="0" w:line="360" w:lineRule="auto"/>
    </w:pPr>
    <w:rPr>
      <w:rFonts w:ascii="Times New Roman" w:hAnsi="Times New Roman" w:cs="Times New Roman"/>
    </w:rPr>
  </w:style>
  <w:style w:type="paragraph" w:styleId="1169" w:customStyle="1">
    <w:name w:val="列表编号 51"/>
    <w:basedOn w:val="828"/>
    <w:next w:val="1170"/>
    <w:uiPriority w:val="0"/>
    <w:qFormat/>
    <w:pPr>
      <w:ind w:left="900" w:firstLine="2652"/>
      <w:spacing w:before="0" w:after="0" w:line="360" w:lineRule="auto"/>
    </w:pPr>
    <w:rPr>
      <w:rFonts w:ascii="Times New Roman" w:hAnsi="Times New Roman" w:cs="Times New Roman"/>
    </w:rPr>
  </w:style>
  <w:style w:type="paragraph" w:styleId="1170" w:customStyle="1">
    <w:name w:val="样式 标题 1 + 黑体 (符号) 宋体 三号 段前: 7.8 磅 段后: 7.8 磅 行距: 1.5 倍行距"/>
    <w:basedOn w:val="829"/>
    <w:next w:val="1171"/>
    <w:uiPriority w:val="0"/>
    <w:qFormat/>
    <w:pPr>
      <w:ind w:left="432" w:firstLine="18"/>
      <w:spacing w:before="40" w:after="40" w:line="360" w:lineRule="auto"/>
      <w:outlineLvl w:val="0"/>
    </w:pPr>
  </w:style>
  <w:style w:type="paragraph" w:styleId="1171" w:customStyle="1">
    <w:name w:val="表格用"/>
    <w:basedOn w:val="828"/>
    <w:next w:val="1128"/>
    <w:uiPriority w:val="0"/>
    <w:qFormat/>
    <w:pPr>
      <w:ind w:left="0" w:firstLine="1024"/>
      <w:spacing w:before="0" w:after="0" w:line="360" w:lineRule="auto"/>
    </w:pPr>
    <w:rPr>
      <w:rFonts w:ascii="Times New Roman" w:hAnsi="Times New Roman" w:cs="Times New Roman"/>
    </w:rPr>
  </w:style>
  <w:style w:type="paragraph" w:styleId="1172" w:customStyle="1">
    <w:name w:val="xl71"/>
    <w:basedOn w:val="828"/>
    <w:next w:val="1173"/>
    <w:uiPriority w:val="0"/>
    <w:qFormat/>
    <w:pPr>
      <w:ind w:left="0" w:firstLine="1536"/>
      <w:spacing w:before="280" w:after="280" w:line="240" w:lineRule="auto"/>
    </w:pPr>
    <w:rPr>
      <w:rFonts w:ascii="Times New Roman" w:hAnsi="Times New Roman" w:cs="Times New Roman"/>
    </w:rPr>
  </w:style>
  <w:style w:type="paragraph" w:styleId="1173" w:customStyle="1">
    <w:name w:val="正文文本 31"/>
    <w:basedOn w:val="828"/>
    <w:next w:val="1174"/>
    <w:uiPriority w:val="0"/>
    <w:qFormat/>
    <w:pPr>
      <w:ind w:left="0" w:firstLine="3584"/>
      <w:jc w:val="center"/>
      <w:spacing w:before="0" w:after="120" w:line="360" w:lineRule="auto"/>
    </w:pPr>
    <w:rPr>
      <w:rFonts w:ascii="Times New Roman" w:hAnsi="Times New Roman" w:cs="Times New Roman"/>
    </w:rPr>
  </w:style>
  <w:style w:type="paragraph" w:styleId="1174" w:customStyle="1">
    <w:name w:val="列出段落111"/>
    <w:basedOn w:val="828"/>
    <w:next w:val="1110"/>
    <w:uiPriority w:val="0"/>
    <w:qFormat/>
    <w:pPr>
      <w:ind w:left="420" w:firstLine="3748"/>
      <w:spacing w:before="0" w:after="0" w:line="240" w:lineRule="auto"/>
    </w:pPr>
    <w:rPr>
      <w:rFonts w:ascii="Times New Roman" w:hAnsi="Times New Roman" w:cs="Times New Roman"/>
    </w:rPr>
  </w:style>
  <w:style w:type="paragraph" w:styleId="1175" w:customStyle="1">
    <w:name w:val="修订1"/>
    <w:uiPriority w:val="0"/>
    <w:qFormat/>
    <w:rPr>
      <w:rFonts w:ascii="Calibri" w:hAnsi="Calibri" w:eastAsia="宋体" w:cs="宋体"/>
      <w:lang w:val="en-US" w:eastAsia="zh-CN" w:bidi="ar-SA"/>
    </w:rPr>
  </w:style>
  <w:style w:type="paragraph" w:styleId="1176" w:customStyle="1">
    <w:name w:val="正文文本缩进 21"/>
    <w:basedOn w:val="828"/>
    <w:next w:val="1116"/>
    <w:uiPriority w:val="0"/>
    <w:qFormat/>
    <w:pPr>
      <w:ind w:left="480" w:firstLine="4832"/>
      <w:spacing w:before="0" w:after="0" w:line="240" w:lineRule="auto"/>
    </w:pPr>
    <w:rPr>
      <w:rFonts w:ascii="Times New Roman" w:hAnsi="Times New Roman" w:cs="Times New Roman"/>
    </w:rPr>
  </w:style>
  <w:style w:type="paragraph" w:styleId="1177" w:customStyle="1">
    <w:name w:val="Char Char4 Char Char"/>
    <w:basedOn w:val="828"/>
    <w:next w:val="1126"/>
    <w:uiPriority w:val="0"/>
    <w:qFormat/>
    <w:pPr>
      <w:ind w:left="0" w:firstLine="2560"/>
      <w:spacing w:before="0" w:after="0" w:line="240" w:lineRule="auto"/>
    </w:pPr>
    <w:rPr>
      <w:rFonts w:ascii="Times New Roman" w:hAnsi="Times New Roman" w:cs="Times New Roman"/>
    </w:rPr>
  </w:style>
  <w:style w:type="paragraph" w:styleId="1178" w:customStyle="1">
    <w:name w:val="样式"/>
    <w:next w:val="827"/>
    <w:uiPriority w:val="0"/>
    <w:qFormat/>
    <w:pPr>
      <w:ind w:firstLine="3584"/>
      <w:widowControl w:val="off"/>
    </w:pPr>
    <w:rPr>
      <w:rFonts w:ascii="Calibri" w:hAnsi="Calibri" w:eastAsia="宋体" w:cs="宋体"/>
      <w:lang w:val="en-US" w:eastAsia="zh-CN" w:bidi="ar-SA"/>
    </w:rPr>
  </w:style>
  <w:style w:type="paragraph" w:styleId="1179" w:customStyle="1">
    <w:name w:val="TOC 标题1"/>
    <w:basedOn w:val="829"/>
    <w:next w:val="827"/>
    <w:uiPriority w:val="0"/>
    <w:qFormat/>
    <w:pPr>
      <w:ind w:left="0" w:firstLine="6144"/>
      <w:spacing w:before="480" w:after="0" w:line="276" w:lineRule="auto"/>
    </w:pPr>
    <w:rPr>
      <w:b/>
      <w:sz w:val="30"/>
    </w:rPr>
  </w:style>
  <w:style w:type="paragraph" w:styleId="1180" w:customStyle="1">
    <w:name w:val="纯文本3"/>
    <w:basedOn w:val="827"/>
    <w:uiPriority w:val="0"/>
    <w:qFormat/>
    <w:rPr>
      <w:rFonts w:ascii="宋体" w:hAnsi="Courier New" w:cs="Times New Roman"/>
    </w:rPr>
  </w:style>
  <w:style w:type="paragraph" w:styleId="1181" w:customStyle="1">
    <w:name w:val="afont"/>
    <w:basedOn w:val="828"/>
    <w:next w:val="852"/>
    <w:uiPriority w:val="0"/>
    <w:qFormat/>
    <w:pPr>
      <w:ind w:left="0" w:firstLine="2048"/>
      <w:spacing w:before="100" w:after="100" w:line="285" w:lineRule="atLeast"/>
    </w:pPr>
    <w:rPr>
      <w:rFonts w:ascii="Times New Roman" w:hAnsi="Times New Roman" w:cs="Times New Roman"/>
    </w:rPr>
  </w:style>
  <w:style w:type="paragraph" w:styleId="1182" w:customStyle="1">
    <w:name w:val="xl85"/>
    <w:basedOn w:val="828"/>
    <w:next w:val="1183"/>
    <w:uiPriority w:val="0"/>
    <w:qFormat/>
    <w:pPr>
      <w:ind w:left="0" w:firstLine="2048"/>
      <w:jc w:val="center"/>
      <w:spacing w:before="280" w:after="280" w:line="240" w:lineRule="auto"/>
    </w:pPr>
    <w:rPr>
      <w:rFonts w:ascii="Times New Roman" w:hAnsi="Times New Roman" w:cs="Times New Roman"/>
    </w:rPr>
  </w:style>
  <w:style w:type="paragraph" w:styleId="1183" w:customStyle="1">
    <w:name w:val="文章总标题"/>
    <w:basedOn w:val="828"/>
    <w:next w:val="1184"/>
    <w:uiPriority w:val="0"/>
    <w:qFormat/>
    <w:pPr>
      <w:ind w:left="0" w:firstLine="7168"/>
      <w:jc w:val="center"/>
      <w:spacing w:before="566" w:after="544" w:line="566" w:lineRule="atLeast"/>
    </w:pPr>
    <w:rPr>
      <w:rFonts w:ascii="Times New Roman" w:hAnsi="Times New Roman" w:cs="Times New Roman"/>
    </w:rPr>
  </w:style>
  <w:style w:type="paragraph" w:styleId="1184" w:customStyle="1">
    <w:name w:val="样式 首行缩进:  2 字符"/>
    <w:basedOn w:val="828"/>
    <w:next w:val="1147"/>
    <w:uiPriority w:val="0"/>
    <w:qFormat/>
    <w:pPr>
      <w:ind w:left="200" w:firstLine="1224"/>
      <w:spacing w:before="0" w:after="0" w:line="400" w:lineRule="exact"/>
    </w:pPr>
    <w:rPr>
      <w:rFonts w:ascii="Times New Roman" w:hAnsi="Times New Roman" w:cs="Times New Roman"/>
    </w:rPr>
  </w:style>
  <w:style w:type="paragraph" w:styleId="1185" w:customStyle="1">
    <w:name w:val="二级条标题"/>
    <w:basedOn w:val="828"/>
    <w:next w:val="827"/>
    <w:uiPriority w:val="0"/>
    <w:qFormat/>
    <w:pPr>
      <w:ind w:left="0" w:firstLine="8"/>
      <w:spacing w:before="0" w:after="0" w:line="240" w:lineRule="auto"/>
      <w:outlineLvl w:val="3"/>
    </w:pPr>
    <w:rPr>
      <w:rFonts w:ascii="Times New Roman" w:hAnsi="Times New Roman" w:cs="Times New Roman"/>
    </w:rPr>
  </w:style>
  <w:style w:type="paragraph" w:styleId="1186" w:customStyle="1">
    <w:name w:val="Plain Text*"/>
    <w:basedOn w:val="827"/>
    <w:uiPriority w:val="0"/>
    <w:qFormat/>
    <w:pPr>
      <w:ind w:left="0"/>
      <w:jc w:val="left"/>
    </w:pPr>
    <w:rPr>
      <w:rFonts w:ascii="宋体" w:hAnsi="宋体" w:eastAsia="楷体_GB2312" w:cs="Courier New"/>
      <w:sz w:val="26"/>
      <w:lang w:val="zh-CN"/>
    </w:rPr>
  </w:style>
  <w:style w:type="paragraph" w:styleId="1187" w:customStyle="1">
    <w:name w:val="样式 加粗 居中2"/>
    <w:basedOn w:val="828"/>
    <w:next w:val="1039"/>
    <w:uiPriority w:val="0"/>
    <w:qFormat/>
    <w:pPr>
      <w:ind w:left="0" w:firstLine="2560"/>
      <w:jc w:val="center"/>
      <w:spacing w:before="0" w:after="0" w:line="360" w:lineRule="auto"/>
    </w:pPr>
    <w:rPr>
      <w:rFonts w:ascii="Times New Roman" w:hAnsi="Times New Roman" w:cs="Times New Roman"/>
    </w:rPr>
  </w:style>
  <w:style w:type="paragraph" w:styleId="1188" w:customStyle="1">
    <w:name w:val="标准文本"/>
    <w:basedOn w:val="828"/>
    <w:next w:val="1142"/>
    <w:uiPriority w:val="0"/>
    <w:qFormat/>
    <w:pPr>
      <w:ind w:left="480" w:firstLine="2784"/>
      <w:spacing w:before="0" w:after="0" w:line="360" w:lineRule="auto"/>
    </w:pPr>
    <w:rPr>
      <w:rFonts w:ascii="Times New Roman" w:hAnsi="Times New Roman" w:cs="Times New Roman"/>
    </w:rPr>
  </w:style>
  <w:style w:type="paragraph" w:styleId="1189" w:customStyle="1">
    <w:name w:val="font5"/>
    <w:basedOn w:val="828"/>
    <w:next w:val="1190"/>
    <w:uiPriority w:val="0"/>
    <w:qFormat/>
    <w:pPr>
      <w:ind w:left="0" w:firstLine="5120"/>
      <w:spacing w:before="280" w:after="280" w:line="240" w:lineRule="auto"/>
    </w:pPr>
    <w:rPr>
      <w:rFonts w:ascii="Times New Roman" w:hAnsi="Times New Roman" w:cs="Times New Roman"/>
    </w:rPr>
  </w:style>
  <w:style w:type="paragraph" w:styleId="1190" w:customStyle="1">
    <w:name w:val="索引标题1"/>
    <w:basedOn w:val="828"/>
    <w:next w:val="1069"/>
    <w:uiPriority w:val="0"/>
    <w:qFormat/>
    <w:pPr>
      <w:ind w:left="0" w:firstLine="4608"/>
      <w:jc w:val="center"/>
      <w:spacing w:before="0" w:after="0" w:line="360" w:lineRule="auto"/>
    </w:pPr>
    <w:rPr>
      <w:rFonts w:ascii="Times New Roman" w:hAnsi="Times New Roman" w:cs="Times New Roman"/>
    </w:rPr>
  </w:style>
  <w:style w:type="paragraph" w:styleId="1191" w:customStyle="1">
    <w:name w:val="Char Char Char Char Char Char1 Char Char Char1 Char Char Char Char Char Char Char Char Char Char Char Char Char Char Char Char"/>
    <w:basedOn w:val="828"/>
    <w:next w:val="1192"/>
    <w:uiPriority w:val="0"/>
    <w:qFormat/>
    <w:pPr>
      <w:ind w:left="0" w:firstLine="2560"/>
      <w:spacing w:before="0" w:after="0" w:line="240" w:lineRule="auto"/>
    </w:pPr>
    <w:rPr>
      <w:rFonts w:ascii="Times New Roman" w:hAnsi="Times New Roman" w:cs="Times New Roman"/>
    </w:rPr>
  </w:style>
  <w:style w:type="paragraph" w:styleId="1192" w:customStyle="1">
    <w:name w:val="1正文"/>
    <w:basedOn w:val="828"/>
    <w:next w:val="1193"/>
    <w:uiPriority w:val="0"/>
    <w:qFormat/>
    <w:pPr>
      <w:ind w:left="480" w:firstLine="2784"/>
      <w:spacing w:before="0" w:after="0" w:line="300" w:lineRule="auto"/>
    </w:pPr>
    <w:rPr>
      <w:rFonts w:ascii="Times New Roman" w:hAnsi="Times New Roman" w:cs="Times New Roman"/>
    </w:rPr>
  </w:style>
  <w:style w:type="paragraph" w:styleId="1193" w:customStyle="1">
    <w:name w:val="目录2"/>
    <w:basedOn w:val="828"/>
    <w:next w:val="827"/>
    <w:uiPriority w:val="0"/>
    <w:qFormat/>
    <w:pPr>
      <w:ind w:left="209" w:firstLine="5329"/>
      <w:spacing w:before="0" w:after="0" w:line="317" w:lineRule="atLeast"/>
    </w:pPr>
    <w:rPr>
      <w:rFonts w:ascii="Times New Roman" w:hAnsi="Times New Roman" w:cs="Times New Roman"/>
    </w:rPr>
  </w:style>
  <w:style w:type="paragraph" w:styleId="1194" w:customStyle="1">
    <w:name w:val="图表目录1"/>
    <w:basedOn w:val="828"/>
    <w:next w:val="827"/>
    <w:uiPriority w:val="0"/>
    <w:qFormat/>
    <w:pPr>
      <w:ind w:left="200" w:firstLine="2616"/>
      <w:jc w:val="center"/>
      <w:spacing w:before="0" w:after="0" w:line="360" w:lineRule="auto"/>
    </w:pPr>
    <w:rPr>
      <w:rFonts w:ascii="Times New Roman" w:hAnsi="Times New Roman" w:cs="Times New Roman"/>
    </w:rPr>
  </w:style>
  <w:style w:type="paragraph" w:styleId="1195" w:customStyle="1">
    <w:name w:val="xl63"/>
    <w:basedOn w:val="828"/>
    <w:next w:val="1145"/>
    <w:uiPriority w:val="0"/>
    <w:qFormat/>
    <w:pPr>
      <w:ind w:left="0" w:firstLine="5120"/>
      <w:spacing w:before="280" w:after="280" w:line="240" w:lineRule="auto"/>
    </w:pPr>
    <w:rPr>
      <w:rFonts w:ascii="Times New Roman" w:hAnsi="Times New Roman" w:cs="Times New Roman"/>
    </w:rPr>
  </w:style>
  <w:style w:type="paragraph" w:styleId="1196">
    <w:name w:val="List Paragraph"/>
    <w:basedOn w:val="827"/>
    <w:next w:val="1103"/>
    <w:uiPriority w:val="0"/>
    <w:qFormat/>
    <w:pPr>
      <w:ind w:left="420" w:firstLine="3748"/>
    </w:pPr>
    <w:rPr>
      <w:rFonts w:ascii="Times New Roman" w:hAnsi="Times New Roman" w:cs="Times New Roman"/>
    </w:rPr>
  </w:style>
  <w:style w:type="paragraph" w:styleId="1197" w:customStyle="1">
    <w:name w:val="xl73"/>
    <w:basedOn w:val="828"/>
    <w:next w:val="1198"/>
    <w:uiPriority w:val="0"/>
    <w:qFormat/>
    <w:pPr>
      <w:ind w:left="0" w:firstLine="3584"/>
      <w:spacing w:before="280" w:after="280" w:line="240" w:lineRule="auto"/>
    </w:pPr>
    <w:rPr>
      <w:rFonts w:ascii="Times New Roman" w:hAnsi="Times New Roman" w:cs="Times New Roman"/>
    </w:rPr>
  </w:style>
  <w:style w:type="paragraph" w:styleId="1198" w:customStyle="1">
    <w:name w:val="xl80"/>
    <w:basedOn w:val="828"/>
    <w:next w:val="1199"/>
    <w:uiPriority w:val="0"/>
    <w:qFormat/>
    <w:pPr>
      <w:ind w:left="0" w:firstLine="3584"/>
      <w:jc w:val="center"/>
      <w:spacing w:before="280" w:after="280" w:line="240" w:lineRule="auto"/>
    </w:pPr>
    <w:rPr>
      <w:rFonts w:ascii="Times New Roman" w:hAnsi="Times New Roman" w:cs="Times New Roman"/>
    </w:rPr>
  </w:style>
  <w:style w:type="paragraph" w:styleId="1199" w:customStyle="1">
    <w:name w:val="样式2"/>
    <w:basedOn w:val="833"/>
    <w:next w:val="1200"/>
    <w:uiPriority w:val="0"/>
    <w:qFormat/>
    <w:pPr>
      <w:ind w:left="1134" w:firstLine="18"/>
      <w:spacing w:before="0" w:after="0" w:line="360" w:lineRule="auto"/>
      <w:outlineLvl w:val="4"/>
    </w:pPr>
  </w:style>
  <w:style w:type="paragraph" w:styleId="1200" w:customStyle="1">
    <w:name w:val="日期1"/>
    <w:basedOn w:val="828"/>
    <w:next w:val="827"/>
    <w:uiPriority w:val="0"/>
    <w:qFormat/>
    <w:pPr>
      <w:ind w:left="100" w:firstLine="6144"/>
      <w:spacing w:before="0" w:after="0" w:line="240" w:lineRule="auto"/>
    </w:pPr>
    <w:rPr>
      <w:rFonts w:ascii="Times New Roman" w:hAnsi="Times New Roman" w:cs="Times New Roman"/>
    </w:rPr>
  </w:style>
  <w:style w:type="paragraph" w:styleId="1201" w:customStyle="1">
    <w:name w:val="图1"/>
    <w:basedOn w:val="828"/>
    <w:next w:val="827"/>
    <w:uiPriority w:val="0"/>
    <w:qFormat/>
    <w:pPr>
      <w:ind w:left="1105" w:firstLine="2580"/>
      <w:jc w:val="center"/>
      <w:spacing w:before="0" w:after="0" w:line="360" w:lineRule="auto"/>
    </w:pPr>
    <w:rPr>
      <w:rFonts w:ascii="Times New Roman" w:hAnsi="Times New Roman" w:cs="Times New Roman"/>
    </w:rPr>
  </w:style>
  <w:style w:type="paragraph" w:styleId="1202" w:customStyle="1">
    <w:name w:val="Char Char Char Char Char Char1 Char Char Char1 Char Char Char Char Char Char Char Char Char Char Char Char"/>
    <w:basedOn w:val="828"/>
    <w:next w:val="1182"/>
    <w:uiPriority w:val="0"/>
    <w:qFormat/>
    <w:pPr>
      <w:ind w:left="0" w:firstLine="2560"/>
      <w:spacing w:before="0" w:after="0" w:line="240" w:lineRule="auto"/>
    </w:pPr>
    <w:rPr>
      <w:rFonts w:ascii="Times New Roman" w:hAnsi="Times New Roman" w:cs="Times New Roman"/>
    </w:rPr>
  </w:style>
  <w:style w:type="paragraph" w:styleId="1203" w:customStyle="1">
    <w:name w:val="Char Char Char Char Char Char Char"/>
    <w:basedOn w:val="828"/>
    <w:next w:val="1088"/>
    <w:uiPriority w:val="0"/>
    <w:qFormat/>
    <w:pPr>
      <w:ind w:left="200" w:firstLine="4808"/>
      <w:spacing w:before="0" w:after="0" w:line="360" w:lineRule="auto"/>
    </w:pPr>
    <w:rPr>
      <w:rFonts w:ascii="Times New Roman" w:hAnsi="Times New Roman" w:cs="Times New Roman"/>
    </w:rPr>
  </w:style>
  <w:style w:type="paragraph" w:styleId="1204" w:customStyle="1">
    <w:name w:val="Char Char Char Char Char Char Char Char Char Char Char Char Char Char Char"/>
    <w:basedOn w:val="828"/>
    <w:next w:val="1179"/>
    <w:uiPriority w:val="0"/>
    <w:qFormat/>
    <w:pPr>
      <w:ind w:left="0" w:firstLine="3584"/>
      <w:jc w:val="center"/>
      <w:spacing w:before="0" w:after="0" w:line="400" w:lineRule="exact"/>
    </w:pPr>
    <w:rPr>
      <w:rFonts w:ascii="Times New Roman" w:hAnsi="Times New Roman" w:cs="Times New Roman"/>
    </w:rPr>
  </w:style>
  <w:style w:type="paragraph" w:styleId="1205">
    <w:name w:val="Intense Quote"/>
    <w:next w:val="827"/>
    <w:uiPriority w:val="0"/>
    <w:qFormat/>
    <w:pPr>
      <w:ind w:left="3766" w:right="950"/>
      <w:jc w:val="center"/>
      <w:spacing w:before="360" w:after="360"/>
    </w:pPr>
    <w:rPr>
      <w:rFonts w:ascii="Calibri" w:hAnsi="Calibri" w:eastAsia="宋体" w:cs="宋体"/>
      <w:i/>
      <w:lang w:val="en-US" w:eastAsia="zh-CN" w:bidi="ar-SA"/>
    </w:rPr>
  </w:style>
  <w:style w:type="paragraph" w:styleId="1206" w:customStyle="1">
    <w:name w:val="索引 51"/>
    <w:basedOn w:val="828"/>
    <w:next w:val="827"/>
    <w:uiPriority w:val="0"/>
    <w:qFormat/>
    <w:pPr>
      <w:ind w:left="800" w:firstLine="2560"/>
      <w:jc w:val="center"/>
      <w:spacing w:before="0" w:after="0" w:line="360" w:lineRule="auto"/>
    </w:pPr>
    <w:rPr>
      <w:rFonts w:ascii="Times New Roman" w:hAnsi="Times New Roman" w:cs="Times New Roman"/>
    </w:rPr>
  </w:style>
  <w:style w:type="paragraph" w:styleId="1207" w:customStyle="1">
    <w:name w:val="图表"/>
    <w:basedOn w:val="828"/>
    <w:next w:val="1208"/>
    <w:uiPriority w:val="0"/>
    <w:qFormat/>
    <w:pPr>
      <w:ind w:left="0" w:firstLine="2048"/>
      <w:jc w:val="center"/>
      <w:spacing w:before="0" w:after="0" w:line="240" w:lineRule="auto"/>
    </w:pPr>
    <w:rPr>
      <w:rFonts w:ascii="Times New Roman" w:hAnsi="Times New Roman" w:cs="Times New Roman"/>
    </w:rPr>
  </w:style>
  <w:style w:type="paragraph" w:styleId="1208" w:customStyle="1">
    <w:name w:val="reader-word-layer"/>
    <w:basedOn w:val="828"/>
    <w:next w:val="1209"/>
    <w:uiPriority w:val="0"/>
    <w:qFormat/>
    <w:pPr>
      <w:ind w:left="0" w:firstLine="1024"/>
      <w:spacing w:before="280" w:after="280" w:line="240" w:lineRule="auto"/>
    </w:pPr>
    <w:rPr>
      <w:rFonts w:ascii="Times New Roman" w:hAnsi="Times New Roman" w:cs="Times New Roman"/>
    </w:rPr>
  </w:style>
  <w:style w:type="paragraph" w:styleId="1209" w:customStyle="1">
    <w:name w:val="样式 加粗 居中1"/>
    <w:next w:val="1048"/>
    <w:uiPriority w:val="0"/>
    <w:qFormat/>
    <w:pPr>
      <w:ind w:firstLine="2560"/>
      <w:jc w:val="center"/>
    </w:pPr>
    <w:rPr>
      <w:rFonts w:ascii="Calibri" w:hAnsi="Calibri" w:eastAsia="宋体" w:cs="宋体"/>
      <w:lang w:val="en-US" w:eastAsia="zh-CN" w:bidi="ar-SA"/>
    </w:rPr>
  </w:style>
  <w:style w:type="paragraph" w:styleId="1210" w:customStyle="1">
    <w:name w:val="修订2"/>
    <w:uiPriority w:val="0"/>
    <w:qFormat/>
    <w:rPr>
      <w:rFonts w:ascii="Calibri" w:hAnsi="Calibri" w:eastAsia="宋体" w:cs="宋体"/>
      <w:lang w:val="en-US" w:eastAsia="zh-CN" w:bidi="ar-SA"/>
    </w:rPr>
  </w:style>
  <w:style w:type="paragraph" w:styleId="1211" w:customStyle="1">
    <w:name w:val="Body"/>
    <w:next w:val="1143"/>
    <w:uiPriority w:val="0"/>
    <w:qFormat/>
    <w:pPr>
      <w:ind w:left="567" w:right="2835" w:firstLine="3584"/>
      <w:spacing w:after="60"/>
    </w:pPr>
    <w:rPr>
      <w:rFonts w:ascii="Calibri" w:hAnsi="Calibri" w:eastAsia="宋体" w:cs="宋体"/>
      <w:lang w:val="en-US" w:eastAsia="zh-CN" w:bidi="ar-SA"/>
    </w:rPr>
  </w:style>
  <w:style w:type="paragraph" w:styleId="1212" w:customStyle="1">
    <w:name w:val="font6"/>
    <w:basedOn w:val="828"/>
    <w:next w:val="1213"/>
    <w:uiPriority w:val="0"/>
    <w:qFormat/>
    <w:pPr>
      <w:ind w:left="0" w:firstLine="5120"/>
      <w:spacing w:before="280" w:after="280" w:line="240" w:lineRule="auto"/>
    </w:pPr>
    <w:rPr>
      <w:rFonts w:ascii="Times New Roman" w:hAnsi="Times New Roman" w:cs="Times New Roman"/>
    </w:rPr>
  </w:style>
  <w:style w:type="paragraph" w:styleId="1213" w:customStyle="1">
    <w:name w:val="正文首行缩进 21"/>
    <w:basedOn w:val="839"/>
    <w:next w:val="1211"/>
    <w:uiPriority w:val="0"/>
    <w:qFormat/>
    <w:pPr>
      <w:ind w:left="200" w:firstLine="3784"/>
      <w:jc w:val="center"/>
      <w:spacing w:after="120" w:line="360" w:lineRule="auto"/>
    </w:pPr>
    <w:rPr>
      <w:rFonts w:ascii="Calibri" w:hAnsi="Calibri"/>
    </w:rPr>
  </w:style>
  <w:style w:type="paragraph" w:styleId="1214" w:customStyle="1">
    <w:name w:val="Char Char"/>
    <w:next w:val="1207"/>
    <w:uiPriority w:val="0"/>
    <w:qFormat/>
    <w:pPr>
      <w:ind w:firstLine="14"/>
      <w:spacing w:line="360" w:lineRule="auto"/>
      <w:shd w:val="clear" w:color="000000" w:fill="000080"/>
    </w:pPr>
    <w:rPr>
      <w:rFonts w:ascii="Calibri" w:hAnsi="Calibri" w:eastAsia="宋体" w:cs="宋体"/>
      <w:lang w:val="en-US" w:eastAsia="zh-CN" w:bidi="ar-SA"/>
    </w:rPr>
  </w:style>
  <w:style w:type="paragraph" w:styleId="1215" w:customStyle="1">
    <w:name w:val="正文_0_0"/>
    <w:next w:val="1047"/>
    <w:uiPriority w:val="0"/>
    <w:qFormat/>
    <w:pPr>
      <w:ind w:firstLine="3584"/>
      <w:jc w:val="both"/>
      <w:widowControl w:val="off"/>
    </w:pPr>
    <w:rPr>
      <w:rFonts w:ascii="Calibri" w:hAnsi="Calibri" w:eastAsia="宋体" w:cs="宋体"/>
      <w:lang w:val="en-US" w:eastAsia="zh-CN" w:bidi="ar-SA"/>
    </w:rPr>
  </w:style>
  <w:style w:type="paragraph" w:styleId="1216" w:customStyle="1">
    <w:name w:val="font7"/>
    <w:basedOn w:val="828"/>
    <w:next w:val="1217"/>
    <w:uiPriority w:val="0"/>
    <w:qFormat/>
    <w:pPr>
      <w:ind w:left="0" w:firstLine="3584"/>
      <w:spacing w:before="280" w:after="280" w:line="240" w:lineRule="auto"/>
    </w:pPr>
    <w:rPr>
      <w:rFonts w:ascii="Times New Roman" w:hAnsi="Times New Roman" w:cs="Times New Roman"/>
    </w:rPr>
  </w:style>
  <w:style w:type="paragraph" w:styleId="1217" w:customStyle="1">
    <w:name w:val="Char Char Char Char Char Char1 Char Char Char Char Char Char1 Char Char Char1"/>
    <w:basedOn w:val="828"/>
    <w:next w:val="1218"/>
    <w:uiPriority w:val="0"/>
    <w:qFormat/>
    <w:pPr>
      <w:ind w:left="0" w:firstLine="2560"/>
      <w:spacing w:before="0" w:after="0" w:line="240" w:lineRule="auto"/>
    </w:pPr>
    <w:rPr>
      <w:rFonts w:ascii="Times New Roman" w:hAnsi="Times New Roman" w:cs="Times New Roman"/>
    </w:rPr>
  </w:style>
  <w:style w:type="paragraph" w:styleId="1218" w:customStyle="1">
    <w:name w:val="xl64"/>
    <w:basedOn w:val="828"/>
    <w:next w:val="1185"/>
    <w:uiPriority w:val="0"/>
    <w:qFormat/>
    <w:pPr>
      <w:ind w:left="0" w:firstLine="3584"/>
      <w:spacing w:before="280" w:after="280" w:line="240" w:lineRule="auto"/>
    </w:pPr>
    <w:rPr>
      <w:rFonts w:ascii="Times New Roman" w:hAnsi="Times New Roman" w:cs="Times New Roman"/>
    </w:rPr>
  </w:style>
  <w:style w:type="paragraph" w:styleId="1219" w:customStyle="1">
    <w:name w:val="style16"/>
    <w:basedOn w:val="828"/>
    <w:next w:val="1212"/>
    <w:uiPriority w:val="0"/>
    <w:qFormat/>
    <w:pPr>
      <w:ind w:left="0" w:firstLine="2048"/>
      <w:spacing w:before="280" w:after="280" w:line="240" w:lineRule="auto"/>
    </w:pPr>
    <w:rPr>
      <w:rFonts w:ascii="Times New Roman" w:hAnsi="Times New Roman" w:cs="Times New Roman"/>
    </w:rPr>
  </w:style>
  <w:style w:type="paragraph" w:styleId="1220" w:customStyle="1">
    <w:name w:val="索引 11"/>
    <w:basedOn w:val="828"/>
    <w:next w:val="827"/>
    <w:uiPriority w:val="0"/>
    <w:qFormat/>
    <w:pPr>
      <w:ind w:left="0" w:firstLine="3584"/>
      <w:spacing w:before="0" w:after="0" w:line="240" w:lineRule="auto"/>
    </w:pPr>
    <w:rPr>
      <w:rFonts w:ascii="Times New Roman" w:hAnsi="Times New Roman" w:cs="Times New Roman"/>
    </w:rPr>
  </w:style>
  <w:style w:type="paragraph" w:styleId="1221" w:customStyle="1">
    <w:name w:val="H 3"/>
    <w:basedOn w:val="831"/>
    <w:next w:val="1222"/>
    <w:uiPriority w:val="0"/>
    <w:qFormat/>
    <w:pPr>
      <w:ind w:left="1429" w:firstLine="18"/>
      <w:spacing w:before="0" w:after="0" w:line="360" w:lineRule="auto"/>
      <w:outlineLvl w:val="2"/>
    </w:pPr>
  </w:style>
  <w:style w:type="paragraph" w:styleId="1222" w:customStyle="1">
    <w:name w:val="xl83"/>
    <w:basedOn w:val="828"/>
    <w:next w:val="1203"/>
    <w:uiPriority w:val="0"/>
    <w:qFormat/>
    <w:pPr>
      <w:ind w:left="0" w:firstLine="5120"/>
      <w:spacing w:before="280" w:after="280" w:line="240" w:lineRule="auto"/>
    </w:pPr>
    <w:rPr>
      <w:rFonts w:ascii="Times New Roman" w:hAnsi="Times New Roman" w:cs="Times New Roman"/>
    </w:rPr>
  </w:style>
  <w:style w:type="paragraph" w:styleId="1223" w:customStyle="1">
    <w:name w:val="表格文字（居中）"/>
    <w:basedOn w:val="828"/>
    <w:next w:val="1219"/>
    <w:uiPriority w:val="0"/>
    <w:qFormat/>
    <w:pPr>
      <w:ind w:left="0" w:firstLine="2560"/>
      <w:jc w:val="center"/>
      <w:spacing w:before="0" w:after="0" w:line="360" w:lineRule="auto"/>
    </w:pPr>
    <w:rPr>
      <w:rFonts w:ascii="Times New Roman" w:hAnsi="Times New Roman" w:cs="Times New Roman"/>
    </w:rPr>
  </w:style>
  <w:style w:type="paragraph" w:styleId="1224" w:customStyle="1">
    <w:name w:val="正文首行缩进两字符"/>
    <w:basedOn w:val="828"/>
    <w:next w:val="1206"/>
    <w:uiPriority w:val="0"/>
    <w:qFormat/>
    <w:pPr>
      <w:ind w:left="200" w:firstLine="3784"/>
      <w:spacing w:before="0" w:after="0" w:line="360" w:lineRule="auto"/>
    </w:pPr>
    <w:rPr>
      <w:rFonts w:ascii="Times New Roman" w:hAnsi="Times New Roman" w:cs="Times New Roman"/>
    </w:rPr>
  </w:style>
  <w:style w:type="paragraph" w:styleId="1225" w:customStyle="1">
    <w:name w:val="1"/>
    <w:basedOn w:val="828"/>
    <w:next w:val="871"/>
    <w:uiPriority w:val="0"/>
    <w:qFormat/>
    <w:pPr>
      <w:ind w:left="0" w:firstLine="2048"/>
      <w:spacing w:before="0" w:after="0" w:line="240" w:lineRule="auto"/>
    </w:pPr>
    <w:rPr>
      <w:rFonts w:ascii="Times New Roman" w:hAnsi="Times New Roman" w:cs="Times New Roman"/>
    </w:rPr>
  </w:style>
  <w:style w:type="paragraph" w:styleId="1226" w:customStyle="1">
    <w:name w:val="_Style 398"/>
    <w:basedOn w:val="828"/>
    <w:next w:val="827"/>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27" w:customStyle="1">
    <w:name w:val="Table Paragraph"/>
    <w:basedOn w:val="827"/>
    <w:uiPriority w:val="1"/>
    <w:qFormat/>
    <w:rPr>
      <w:rFonts w:ascii="宋体" w:hAnsi="宋体"/>
      <w:lang w:val="zh-CN" w:bidi="zh-CN"/>
    </w:rPr>
  </w:style>
  <w:style w:type="paragraph" w:styleId="1228" w:customStyle="1">
    <w:name w:val="_Style 400"/>
    <w:uiPriority w:val="0"/>
    <w:qFormat/>
    <w:rPr>
      <w:rFonts w:ascii="Calibri" w:hAnsi="Calibri" w:eastAsia="宋体" w:cs="宋体"/>
      <w:lang w:val="en-US" w:eastAsia="zh-CN" w:bidi="ar-SA"/>
    </w:rPr>
  </w:style>
  <w:style w:type="paragraph" w:styleId="1229" w:customStyle="1">
    <w:name w:val="Style1"/>
    <w:basedOn w:val="827"/>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230" w:customStyle="1">
    <w:name w:val="msolistparagraph"/>
    <w:basedOn w:val="828"/>
    <w:next w:val="1095"/>
    <w:uiPriority w:val="0"/>
    <w:qFormat/>
    <w:pPr>
      <w:ind w:left="420" w:firstLine="3748"/>
      <w:spacing w:before="0" w:after="0" w:line="240" w:lineRule="auto"/>
    </w:pPr>
    <w:rPr>
      <w:rFonts w:ascii="Times New Roman" w:hAnsi="Times New Roman" w:cs="Times New Roman"/>
    </w:rPr>
  </w:style>
  <w:style w:type="paragraph" w:styleId="1231" w:customStyle="1">
    <w:name w:val="Char1 Char Char Char"/>
    <w:basedOn w:val="828"/>
    <w:next w:val="1232"/>
    <w:uiPriority w:val="0"/>
    <w:qFormat/>
    <w:pPr>
      <w:ind w:left="0" w:firstLine="2560"/>
      <w:spacing w:before="0" w:after="0" w:line="240" w:lineRule="auto"/>
    </w:pPr>
    <w:rPr>
      <w:rFonts w:ascii="Times New Roman" w:hAnsi="Times New Roman" w:cs="Times New Roman"/>
    </w:rPr>
  </w:style>
  <w:style w:type="paragraph" w:styleId="1232" w:customStyle="1">
    <w:name w:val="xl24"/>
    <w:basedOn w:val="828"/>
    <w:next w:val="1177"/>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233" w:customStyle="1">
    <w:name w:val="表格文字"/>
    <w:next w:val="1191"/>
    <w:uiPriority w:val="0"/>
    <w:qFormat/>
    <w:pPr>
      <w:ind w:firstLine="3584"/>
    </w:pPr>
    <w:rPr>
      <w:rFonts w:ascii="Calibri" w:hAnsi="Calibri" w:eastAsia="宋体" w:cs="宋体"/>
      <w:lang w:val="en-US" w:eastAsia="zh-CN" w:bidi="ar-SA"/>
    </w:rPr>
  </w:style>
  <w:style w:type="paragraph" w:styleId="1234" w:customStyle="1">
    <w:name w:val="xl72"/>
    <w:basedOn w:val="828"/>
    <w:next w:val="1090"/>
    <w:uiPriority w:val="0"/>
    <w:qFormat/>
    <w:pPr>
      <w:ind w:left="0" w:firstLine="3584"/>
      <w:spacing w:before="280" w:after="280" w:line="240" w:lineRule="auto"/>
    </w:pPr>
    <w:rPr>
      <w:rFonts w:ascii="Times New Roman" w:hAnsi="Times New Roman" w:cs="Times New Roman"/>
    </w:rPr>
  </w:style>
  <w:style w:type="paragraph" w:styleId="1235" w:customStyle="1">
    <w:name w:val="插图"/>
    <w:next w:val="827"/>
    <w:uiPriority w:val="0"/>
    <w:qFormat/>
    <w:pPr>
      <w:ind w:firstLine="4608"/>
      <w:jc w:val="center"/>
    </w:pPr>
    <w:rPr>
      <w:rFonts w:ascii="Calibri" w:hAnsi="Calibri" w:eastAsia="宋体" w:cs="宋体"/>
      <w:lang w:val="en-US" w:eastAsia="zh-CN" w:bidi="ar-SA"/>
    </w:rPr>
  </w:style>
  <w:style w:type="paragraph" w:styleId="1236" w:customStyle="1">
    <w:name w:val="列出段落3"/>
    <w:basedOn w:val="828"/>
    <w:next w:val="1130"/>
    <w:uiPriority w:val="0"/>
    <w:qFormat/>
    <w:pPr>
      <w:ind w:left="420" w:firstLine="3748"/>
      <w:spacing w:before="0" w:after="0" w:line="240" w:lineRule="auto"/>
    </w:pPr>
    <w:rPr>
      <w:rFonts w:ascii="Times New Roman" w:hAnsi="Times New Roman" w:cs="Times New Roman"/>
    </w:rPr>
  </w:style>
  <w:style w:type="paragraph" w:styleId="1237" w:customStyle="1">
    <w:name w:val="目录标题"/>
    <w:basedOn w:val="828"/>
    <w:next w:val="827"/>
    <w:uiPriority w:val="0"/>
    <w:qFormat/>
    <w:pPr>
      <w:ind w:left="419" w:firstLine="7331"/>
      <w:jc w:val="center"/>
      <w:spacing w:before="566" w:after="544" w:line="566" w:lineRule="atLeast"/>
    </w:pPr>
    <w:rPr>
      <w:rFonts w:ascii="Times New Roman" w:hAnsi="Times New Roman" w:cs="Times New Roman"/>
    </w:rPr>
  </w:style>
  <w:style w:type="paragraph" w:styleId="1238" w:customStyle="1">
    <w:name w:val="默认段落字体 Para Char Char Char Char Char Char Char Char Char1 Char Char Char Char"/>
    <w:basedOn w:val="828"/>
    <w:next w:val="1133"/>
    <w:uiPriority w:val="0"/>
    <w:qFormat/>
    <w:pPr>
      <w:ind w:left="0" w:firstLine="2560"/>
      <w:spacing w:before="0" w:after="0" w:line="240" w:lineRule="auto"/>
    </w:pPr>
    <w:rPr>
      <w:rFonts w:ascii="Times New Roman" w:hAnsi="Times New Roman" w:cs="Times New Roman"/>
    </w:rPr>
  </w:style>
  <w:style w:type="paragraph" w:styleId="1239" w:customStyle="1">
    <w:name w:val="WPSOffice手动目录 2"/>
    <w:uiPriority w:val="0"/>
    <w:qFormat/>
    <w:pPr>
      <w:ind w:left="200"/>
    </w:pPr>
    <w:rPr>
      <w:rFonts w:ascii="宋体" w:hAnsi="宋体" w:eastAsia="宋体" w:cs="宋体"/>
      <w:lang w:val="en-US" w:eastAsia="zh-CN" w:bidi="ar-SA"/>
    </w:rPr>
  </w:style>
  <w:style w:type="paragraph" w:styleId="1240" w:customStyle="1">
    <w:name w:val="表内文字"/>
    <w:basedOn w:val="828"/>
    <w:next w:val="867"/>
    <w:uiPriority w:val="0"/>
    <w:qFormat/>
    <w:pPr>
      <w:ind w:left="0" w:firstLine="7680"/>
      <w:jc w:val="center"/>
      <w:spacing w:before="50" w:after="50" w:line="240" w:lineRule="auto"/>
    </w:pPr>
    <w:rPr>
      <w:rFonts w:ascii="Times New Roman" w:hAnsi="Times New Roman" w:cs="Times New Roman"/>
    </w:rPr>
  </w:style>
  <w:style w:type="paragraph" w:styleId="1241" w:customStyle="1">
    <w:name w:val="xl66"/>
    <w:basedOn w:val="828"/>
    <w:next w:val="1223"/>
    <w:uiPriority w:val="0"/>
    <w:qFormat/>
    <w:pPr>
      <w:ind w:left="0" w:firstLine="3584"/>
      <w:spacing w:before="280" w:after="280" w:line="240" w:lineRule="auto"/>
    </w:pPr>
    <w:rPr>
      <w:rFonts w:ascii="Times New Roman" w:hAnsi="Times New Roman" w:cs="Times New Roman"/>
    </w:rPr>
  </w:style>
  <w:style w:type="paragraph" w:styleId="1242" w:customStyle="1">
    <w:name w:val="*正文"/>
    <w:basedOn w:val="827"/>
    <w:uiPriority w:val="0"/>
    <w:qFormat/>
    <w:pPr>
      <w:ind w:left="0" w:firstLine="200"/>
      <w:spacing w:line="360" w:lineRule="auto"/>
    </w:pPr>
    <w:rPr>
      <w:rFonts w:ascii="仿宋_GB2312" w:hAnsi="Times New Roman" w:eastAsia="仿宋_GB2312" w:cs="Times New Roman"/>
      <w:sz w:val="24"/>
      <w:szCs w:val="28"/>
    </w:rPr>
  </w:style>
  <w:style w:type="paragraph" w:styleId="1243" w:customStyle="1">
    <w:name w:val="0"/>
    <w:basedOn w:val="828"/>
    <w:next w:val="1136"/>
    <w:uiPriority w:val="0"/>
    <w:qFormat/>
    <w:pPr>
      <w:ind w:left="0" w:firstLine="2815"/>
      <w:spacing w:before="0" w:after="0" w:line="360" w:lineRule="auto"/>
    </w:pPr>
    <w:rPr>
      <w:rFonts w:ascii="Times New Roman" w:hAnsi="Times New Roman" w:cs="Times New Roman"/>
    </w:rPr>
  </w:style>
  <w:style w:type="table" w:styleId="1244" w:customStyle="1">
    <w:name w:val="网格型1"/>
    <w:basedOn w:val="838"/>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45" w:customStyle="1">
    <w:name w:val="font61"/>
    <w:uiPriority w:val="0"/>
    <w:qFormat/>
    <w:rPr>
      <w:rFonts w:hint="default" w:ascii="Times New Roman" w:hAnsi="Times New Roman" w:cs="Times New Roman"/>
      <w:b/>
      <w:bCs/>
      <w:color w:val="000000"/>
      <w:sz w:val="24"/>
      <w:szCs w:val="24"/>
      <w:u w:val="none"/>
    </w:rPr>
  </w:style>
  <w:style w:type="character" w:styleId="1246" w:customStyle="1">
    <w:name w:val="正文首行缩进 2 字符"/>
    <w:basedOn w:val="837"/>
    <w:link w:val="886"/>
    <w:uiPriority w:val="0"/>
    <w:qFormat/>
    <w:rPr>
      <w:rFonts w:ascii="Times New Roman" w:hAnsi="Times New Roman" w:cs="Times New Roman"/>
    </w:rPr>
  </w:style>
  <w:style w:type="table" w:styleId="1247"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numbering" w:styleId="190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824123A5-9AAC-49BD-BD34-FDD01020AFC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朱工</cp:lastModifiedBy>
  <cp:revision>2</cp:revision>
  <dcterms:created xsi:type="dcterms:W3CDTF">2023-12-20T13:18:00Z</dcterms:created>
  <dcterms:modified xsi:type="dcterms:W3CDTF">2026-07-14T05:10:53Z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eyJoZGlkIjoiZTI3ZDhjMGEyNTFkYTIxZmNhYWJhMGU5NzFkNzcwNDYiLCJ1c2VySWQiOiI0MzU1MDU0NzEifQ==</vt:lpwstr>
  </property>
</Properties>
</file>