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706"/>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706"/>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706"/>
        <w:rPr>
          <w:rFonts w:hint="eastAsia" w:ascii="宋体" w:hAnsi="宋体"/>
          <w:color w:val="000000"/>
          <w:highlight w:val="none"/>
        </w:rPr>
      </w:pPr>
      <w:r>
        <w:rPr>
          <w:rFonts w:hint="eastAsia" w:ascii="宋体" w:hAnsi="宋体"/>
          <w:color w:val="000000"/>
          <w:highlight w:val="none"/>
        </w:rPr>
      </w:r>
      <w:r/>
    </w:p>
    <w:p>
      <w:pPr>
        <w:pStyle w:val="706"/>
        <w:rPr>
          <w:rFonts w:hint="eastAsia" w:ascii="宋体" w:hAnsi="宋体"/>
          <w:color w:val="000000"/>
          <w:highlight w:val="none"/>
        </w:rPr>
      </w:pPr>
      <w:r>
        <w:rPr>
          <w:rFonts w:hint="eastAsia" w:ascii="宋体" w:hAnsi="宋体"/>
          <w:color w:val="000000"/>
          <w:highlight w:val="none"/>
        </w:rPr>
      </w:r>
      <w:r/>
    </w:p>
    <w:p>
      <w:pPr>
        <w:pStyle w:val="706"/>
        <w:rPr>
          <w:rFonts w:hint="eastAsia" w:ascii="宋体" w:hAnsi="宋体"/>
          <w:color w:val="000000"/>
          <w:highlight w:val="none"/>
        </w:rPr>
      </w:pPr>
      <w:r>
        <w:rPr>
          <w:rFonts w:hint="eastAsia" w:ascii="宋体" w:hAnsi="宋体"/>
          <w:color w:val="000000"/>
          <w:highlight w:val="none"/>
        </w:rPr>
      </w:r>
      <w:r/>
    </w:p>
    <w:p>
      <w:pPr>
        <w:pStyle w:val="755"/>
        <w:rPr>
          <w:rFonts w:hint="eastAsia"/>
          <w:color w:val="000000"/>
          <w:highlight w:val="none"/>
        </w:rPr>
      </w:pPr>
      <w:r>
        <w:rPr>
          <w:rFonts w:hint="eastAsia"/>
          <w:color w:val="000000"/>
          <w:highlight w:val="none"/>
        </w:rPr>
      </w:r>
      <w:r/>
    </w:p>
    <w:p>
      <w:pPr>
        <w:pStyle w:val="706"/>
        <w:rPr>
          <w:rFonts w:hint="eastAsia" w:ascii="宋体" w:hAnsi="宋体"/>
          <w:bCs/>
          <w:color w:val="000000"/>
          <w:highlight w:val="none"/>
        </w:rPr>
      </w:pPr>
      <w:r>
        <w:rPr>
          <w:rFonts w:hint="eastAsia" w:ascii="宋体" w:hAnsi="宋体"/>
          <w:bCs/>
          <w:color w:val="000000"/>
          <w:highlight w:val="none"/>
        </w:rPr>
      </w:r>
      <w:r/>
    </w:p>
    <w:p>
      <w:pPr>
        <w:pStyle w:val="706"/>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JSZC-320509-ZZHL-C2026-0019</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706"/>
        <w:ind w:right="0" w:firstLine="1205"/>
        <w:keepLines w:val="0"/>
        <w:keepNext w:val="0"/>
        <w:pageBreakBefore w:val="0"/>
        <w:spacing w:line="480" w:lineRule="auto"/>
        <w:widowControl w:val="off"/>
        <w:rPr>
          <w:rFonts w:hint="eastAsia" w:ascii="宋体" w:hAnsi="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盛泽镇技防运维</w:t>
      </w:r>
      <w:r>
        <w:rPr>
          <w:rFonts w:hint="eastAsia" w:ascii="宋体" w:hAnsi="宋体"/>
          <w:bCs/>
          <w:color w:val="000000"/>
          <w:sz w:val="30"/>
          <w:highlight w:val="none"/>
          <w:lang w:eastAsia="zh-CN"/>
        </w:rPr>
      </w:r>
      <w:r/>
    </w:p>
    <w:p>
      <w:pPr>
        <w:pStyle w:val="706"/>
        <w:ind w:right="0" w:firstLine="120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苏州市吴江区盛泽镇人民政府（社会治理办公室）</w:t>
      </w:r>
      <w:r>
        <w:rPr>
          <w:rFonts w:hint="eastAsia" w:ascii="宋体" w:hAnsi="宋体" w:eastAsia="宋体"/>
          <w:bCs/>
          <w:color w:val="000000"/>
          <w:sz w:val="30"/>
          <w:highlight w:val="none"/>
          <w:lang w:eastAsia="zh-CN"/>
        </w:rPr>
      </w:r>
      <w:r/>
    </w:p>
    <w:p>
      <w:pPr>
        <w:pStyle w:val="706"/>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706"/>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718"/>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718"/>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706"/>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706"/>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rFonts w:hint="eastAsia" w:ascii="宋体" w:hAnsi="宋体"/>
          <w:b/>
          <w:color w:val="000000"/>
          <w:highlight w:val="none"/>
        </w:rPr>
      </w:r>
      <w:r/>
    </w:p>
    <w:p>
      <w:pPr>
        <w:pStyle w:val="706"/>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706"/>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70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06"/>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706"/>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70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70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70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70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706"/>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706"/>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盛泽镇技防运维</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2026年7月6日</w:t>
      </w:r>
      <w:r>
        <w:rPr>
          <w:rFonts w:hint="eastAsia" w:ascii="宋体" w:hAnsi="宋体" w:cs="宋体"/>
          <w:color w:val="000000"/>
          <w:sz w:val="24"/>
          <w:highlight w:val="none"/>
          <w:u w:val="single"/>
          <w:lang w:val="en-US" w:eastAsia="zh-CN"/>
        </w:rPr>
        <w:t xml:space="preserve">13点</w:t>
      </w:r>
      <w:r>
        <w:rPr>
          <w:rFonts w:hint="eastAsia" w:ascii="宋体" w:hAnsi="宋体" w:cs="宋体"/>
          <w:color w:val="000000"/>
          <w:sz w:val="24"/>
          <w:highlight w:val="none"/>
          <w:u w:val="single"/>
          <w:lang w:eastAsia="zh-CN"/>
        </w:rPr>
        <w:t xml:space="preserve">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6"/>
      <w:r/>
      <w:bookmarkStart w:id="5" w:name="OLE_LINK4"/>
      <w:r/>
      <w:bookmarkStart w:id="6" w:name="OLE_LINK1"/>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JSZC-320509-ZZHL-C2026-0019</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盛泽镇技防运维</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额：人民币贰佰零叁万伍仟陆佰捌拾圆整（￥：2035680.00）</w:t>
      </w:r>
      <w:r>
        <w:rPr>
          <w:rFonts w:hint="eastAsia" w:ascii="宋体" w:hAnsi="宋体" w:eastAsia="宋体" w:cs="宋体"/>
          <w:color w:val="000000"/>
          <w:sz w:val="24"/>
          <w:highlight w:val="none"/>
          <w:lang w:eastAsia="zh-CN"/>
        </w:rPr>
      </w:r>
      <w:r/>
    </w:p>
    <w:tbl>
      <w:tblPr>
        <w:tblStyle w:val="732"/>
        <w:tblW w:w="9352" w:type="dxa"/>
        <w:jc w:val="center"/>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w:t>
      </w:r>
      <w:r>
        <w:rPr>
          <w:rFonts w:hint="eastAsia" w:ascii="宋体" w:hAnsi="宋体" w:eastAsia="宋体" w:cs="宋体"/>
          <w:color w:val="000000"/>
          <w:sz w:val="24"/>
          <w:highlight w:val="none"/>
          <w:lang w:eastAsia="zh-CN"/>
        </w:rPr>
        <w:t xml:space="preserve">人民币贰佰零叁万伍仟陆佰捌拾圆整（￥：2035680.00）</w:t>
      </w:r>
      <w:r>
        <w:rPr>
          <w:rFonts w:hint="eastAsia" w:ascii="宋体" w:hAnsi="宋体" w:eastAsia="宋体" w:cs="宋体"/>
          <w:color w:val="000000"/>
          <w:sz w:val="24"/>
          <w:highlight w:val="none"/>
          <w:lang w:eastAsia="zh-CN"/>
        </w:rPr>
      </w:r>
      <w:r/>
    </w:p>
    <w:tbl>
      <w:tblPr>
        <w:tblStyle w:val="732"/>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现</w:t>
      </w:r>
      <w:r>
        <w:rPr>
          <w:rFonts w:hint="eastAsia" w:ascii="宋体" w:hAnsi="宋体" w:eastAsia="宋体" w:cs="宋体"/>
          <w:color w:val="333333"/>
          <w:sz w:val="24"/>
          <w:szCs w:val="24"/>
          <w:lang w:val="en-US" w:eastAsia="zh-CN"/>
        </w:rPr>
        <w:t xml:space="preserve">拟对改造小区进行监控运维。本项目维护范围包含盛泽108个老旧小区934路监控摄像头，分两个标段进行采购，</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.合同履行期限：自合同生效之日起2年。</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hint="eastAsia" w:ascii="宋体" w:hAnsi="宋体" w:eastAsia="宋体" w:cs="宋体"/>
          <w:color w:val="000000"/>
          <w:sz w:val="24"/>
          <w:highlight w:val="none"/>
          <w:lang w:val="en-US"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成交单位数量：</w:t>
      </w:r>
      <w:r>
        <w:rPr>
          <w:rFonts w:hint="eastAsia" w:ascii="宋体" w:hAnsi="宋体" w:eastAsia="宋体" w:cs="宋体"/>
          <w:color w:val="000000"/>
          <w:sz w:val="24"/>
          <w:highlight w:val="none"/>
          <w:lang w:val="en-US" w:eastAsia="zh-CN"/>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本项目分二个标段采购，响应单位可选择其中一个或二个标段投标，但</w:t>
      </w:r>
      <w:r>
        <w:rPr>
          <w:rFonts w:hint="eastAsia" w:ascii="宋体" w:hAnsi="宋体" w:eastAsia="宋体" w:cs="宋体"/>
          <w:color w:val="000000"/>
          <w:sz w:val="24"/>
          <w:highlight w:val="none"/>
          <w:lang w:eastAsia="zh-CN"/>
        </w:rPr>
        <w:t xml:space="preserve">只能就其中一个标段中标，每个标段成交单位为一名。评审时将按一二标段自然顺序进行评审。按先开先中的原则，确定各标段的成交单位。在合同签订之前，若某标段因质疑、投诉等事项导致成交结果改变的，不影响其它任何标段的成交结果。本项目分标段采购，进入每个标段评审的实质性响应且具有得标权的响应单位不得少于三家，如不足三家，应认定该标段采购失败。已递交某标段磋商响应文件且实质性响应采购需求，但已在前期各标段评审中获得了招标（采购）文件规定的得标上限数的响应单位，不再具有该标段的得标权，不应计入该标段的实质性响应单位数量内。</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75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757"/>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75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75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75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75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75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757"/>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757"/>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专门面向中小微企业采购,所属行业为软件和信息技术服务业。</w:t>
      </w:r>
      <w:r>
        <w:rPr>
          <w:rFonts w:hint="eastAsia" w:ascii="宋体" w:hAnsi="宋体" w:eastAsia="宋体" w:cs="宋体"/>
          <w:b/>
          <w:bCs/>
          <w:color w:val="000000"/>
          <w:sz w:val="24"/>
          <w:szCs w:val="24"/>
          <w:highlight w:val="none"/>
          <w:lang w:eastAsia="zh-CN"/>
        </w:rPr>
      </w:r>
      <w:r/>
    </w:p>
    <w:p>
      <w:pPr>
        <w:pStyle w:val="75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706"/>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706"/>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706"/>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636"/>
      <w:r/>
      <w:bookmarkStart w:id="9" w:name="_Toc28359095"/>
      <w:r/>
      <w:bookmarkStart w:id="10" w:name="_Toc3539380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2026年6月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706"/>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706"/>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706"/>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706"/>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7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73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2026年7月6日</w:t>
      </w:r>
      <w:r>
        <w:rPr>
          <w:rFonts w:hint="eastAsia" w:ascii="宋体" w:hAnsi="宋体" w:eastAsia="宋体" w:cs="宋体"/>
          <w:color w:val="000000"/>
          <w:szCs w:val="24"/>
          <w:highlight w:val="none"/>
          <w:lang w:val="en-US" w:eastAsia="zh-CN"/>
        </w:rPr>
        <w:t xml:space="preserve">13点</w:t>
      </w:r>
      <w:r>
        <w:rPr>
          <w:rFonts w:hint="eastAsia" w:ascii="宋体" w:hAnsi="宋体" w:eastAsia="宋体" w:cs="宋体"/>
          <w:color w:val="000000"/>
          <w:szCs w:val="24"/>
          <w:highlight w:val="none"/>
          <w:lang w:eastAsia="zh-CN"/>
        </w:rPr>
        <w:t xml:space="preserve">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73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73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7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2026年7月6日</w:t>
      </w:r>
      <w:r>
        <w:rPr>
          <w:rFonts w:hint="eastAsia" w:ascii="宋体" w:hAnsi="宋体" w:cs="宋体"/>
          <w:color w:val="000000"/>
          <w:sz w:val="24"/>
          <w:highlight w:val="none"/>
          <w:lang w:val="en-US" w:eastAsia="zh-CN"/>
        </w:rPr>
        <w:t xml:space="preserve">13点</w:t>
      </w:r>
      <w:r>
        <w:rPr>
          <w:rFonts w:hint="eastAsia" w:ascii="宋体" w:hAnsi="宋体" w:cs="宋体"/>
          <w:color w:val="000000"/>
          <w:sz w:val="24"/>
          <w:highlight w:val="none"/>
          <w:lang w:eastAsia="zh-CN"/>
        </w:rPr>
        <w:t xml:space="preserve">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73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73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7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706"/>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706"/>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728"/>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70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72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70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96"/>
      <w:r/>
      <w:bookmarkStart w:id="14" w:name="_Toc35393806"/>
      <w:r/>
      <w:bookmarkStart w:id="15" w:name="_Toc28359019"/>
      <w:r/>
      <w:bookmarkStart w:id="16" w:name="_Toc35393637"/>
      <w:r>
        <w:rPr>
          <w:rFonts w:hint="eastAsia" w:ascii="宋体" w:hAnsi="宋体" w:cs="宋体"/>
          <w:b/>
          <w:color w:val="000000"/>
          <w:sz w:val="24"/>
          <w:highlight w:val="none"/>
        </w:rPr>
      </w:r>
      <w:r/>
    </w:p>
    <w:p>
      <w:pPr>
        <w:pStyle w:val="706"/>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706"/>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称：苏州市吴江区盛泽镇人民政府（社会治理办公室）　　　　　　　　　　　　</w:t>
      </w:r>
      <w:r>
        <w:rPr>
          <w:rFonts w:hint="eastAsia" w:ascii="宋体" w:hAnsi="宋体" w:eastAsia="宋体" w:cs="宋体"/>
          <w:color w:val="000000"/>
          <w:sz w:val="24"/>
          <w:highlight w:val="none"/>
          <w:shd w:val="clear" w:color="auto" w:fill="ffffff"/>
          <w:lang w:val="zh-CN"/>
        </w:rPr>
      </w:r>
      <w:r/>
    </w:p>
    <w:p>
      <w:pPr>
        <w:pStyle w:val="706"/>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址：吴江区盛泽镇舜湖西路2099号</w:t>
      </w:r>
      <w:r>
        <w:rPr>
          <w:rFonts w:hint="eastAsia" w:ascii="宋体" w:hAnsi="宋体" w:eastAsia="宋体" w:cs="宋体"/>
          <w:color w:val="000000"/>
          <w:sz w:val="24"/>
          <w:highlight w:val="none"/>
          <w:shd w:val="clear" w:color="auto" w:fill="ffffff"/>
          <w:lang w:val="zh-CN"/>
        </w:rPr>
      </w:r>
      <w:r/>
    </w:p>
    <w:p>
      <w:pPr>
        <w:pStyle w:val="706"/>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王年青</w:t>
      </w:r>
      <w:r>
        <w:rPr>
          <w:rFonts w:hint="eastAsia" w:ascii="宋体" w:hAnsi="宋体" w:eastAsia="宋体" w:cs="宋体"/>
          <w:color w:val="000000"/>
          <w:sz w:val="24"/>
          <w:highlight w:val="none"/>
          <w:shd w:val="clear" w:color="auto" w:fill="ffffff"/>
          <w:lang w:val="zh-CN" w:eastAsia="zh-CN"/>
        </w:rPr>
      </w:r>
      <w:r/>
    </w:p>
    <w:p>
      <w:pPr>
        <w:pStyle w:val="706"/>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0512-63959403</w:t>
      </w:r>
      <w:r>
        <w:rPr>
          <w:rFonts w:hint="eastAsia" w:ascii="宋体" w:hAnsi="宋体" w:eastAsia="宋体" w:cs="宋体"/>
          <w:color w:val="000000"/>
          <w:sz w:val="24"/>
          <w:highlight w:val="none"/>
          <w:shd w:val="clear" w:color="auto" w:fill="ffffff"/>
          <w:lang w:val="zh-CN" w:eastAsia="zh-CN"/>
        </w:rPr>
      </w:r>
      <w:r/>
    </w:p>
    <w:p>
      <w:pPr>
        <w:pStyle w:val="70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706"/>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70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706"/>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cs="宋体"/>
          <w:color w:val="000000"/>
          <w:sz w:val="24"/>
          <w:highlight w:val="none"/>
          <w:shd w:val="clear" w:color="auto" w:fill="ffffff"/>
          <w:lang w:val="en-US" w:eastAsia="zh-CN"/>
        </w:rPr>
        <w:t xml:space="preserve">王雪娇</w:t>
      </w:r>
      <w:r>
        <w:rPr>
          <w:rFonts w:ascii="宋体" w:hAnsi="宋体" w:eastAsia="宋体" w:cs="宋体"/>
          <w:color w:val="000000"/>
          <w:sz w:val="24"/>
          <w:highlight w:val="none"/>
          <w:shd w:val="clear" w:color="auto" w:fill="ffffff"/>
          <w:lang w:val="en-US" w:eastAsia="zh-CN"/>
        </w:rPr>
      </w:r>
      <w:r/>
    </w:p>
    <w:p>
      <w:pPr>
        <w:pStyle w:val="706"/>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706"/>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6"/>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17" w:name="_Toc20823275"/>
      <w:r/>
      <w:bookmarkStart w:id="18" w:name="_Toc16938519"/>
      <w:r/>
      <w:bookmarkStart w:id="19" w:name="_Toc120614214"/>
      <w:r/>
      <w:bookmarkStart w:id="20" w:name="_Toc513029203"/>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20823278"/>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70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706"/>
        <w:ind w:firstLine="480"/>
        <w:keepLines/>
        <w:keepNext/>
        <w:spacing w:line="360" w:lineRule="auto"/>
        <w:rPr>
          <w:rFonts w:hint="eastAsia" w:ascii="宋体" w:hAnsi="宋体" w:cs="宋体"/>
          <w:color w:val="000000"/>
          <w:sz w:val="24"/>
          <w:highlight w:val="none"/>
        </w:rPr>
        <w:outlineLvl w:val="3"/>
      </w:pPr>
      <w:r/>
      <w:bookmarkStart w:id="31" w:name="_Toc16938523"/>
      <w:r/>
      <w:bookmarkStart w:id="32" w:name="_Toc513029207"/>
      <w:r/>
      <w:bookmarkStart w:id="33" w:name="_Toc20823279"/>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成交服务费：</w:t>
      </w:r>
      <w:r>
        <w:rPr>
          <w:rFonts w:hint="eastAsia" w:ascii="宋体" w:hAnsi="宋体" w:cs="宋体"/>
          <w:bCs/>
          <w:color w:val="000000"/>
          <w:sz w:val="24"/>
          <w:highlight w:val="none"/>
          <w:lang w:val="en-US" w:eastAsia="zh-CN"/>
        </w:rPr>
        <w:t xml:space="preserve">为便于预算管理，本项目代理服务费列入采购预算内，由各标段成交供应商在领取成交通知书时</w:t>
      </w:r>
      <w:r>
        <w:rPr>
          <w:rStyle w:val="758"/>
          <w:rFonts w:hint="eastAsia" w:ascii="宋体" w:hAnsi="宋体" w:cs="宋体"/>
          <w:color w:val="000000"/>
          <w:sz w:val="24"/>
          <w:highlight w:val="none"/>
          <w:lang w:val="en-US" w:eastAsia="zh-CN"/>
        </w:rPr>
        <w:t xml:space="preserve">按预算比例各自支付</w:t>
      </w:r>
      <w:r>
        <w:rPr>
          <w:rFonts w:hint="eastAsia" w:ascii="宋体" w:hAnsi="宋体" w:cs="宋体"/>
          <w:bCs/>
          <w:color w:val="000000"/>
          <w:sz w:val="24"/>
          <w:highlight w:val="none"/>
          <w:lang w:val="en-US" w:eastAsia="zh-CN"/>
        </w:rPr>
        <w:t xml:space="preserve">，采购人通过吴江区和中介超市确定本项目代理服务费金额为21000元。</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706"/>
        <w:ind w:firstLine="480"/>
        <w:spacing w:line="360" w:lineRule="auto"/>
        <w:rPr>
          <w:lang w:val="en-US" w:eastAsia="zh-CN"/>
        </w:rPr>
      </w:pPr>
      <w:r>
        <w:rPr>
          <w:rFonts w:hint="eastAsia" w:ascii="宋体" w:hAnsi="宋体" w:cs="宋体"/>
          <w:color w:val="000000"/>
          <w:sz w:val="24"/>
          <w:highlight w:val="none"/>
          <w:lang w:val="en-US" w:eastAsia="zh-CN"/>
        </w:rPr>
        <w:t xml:space="preserve">4.3评审费：由采购人支付。</w:t>
      </w:r>
      <w:r>
        <w:rPr>
          <w:lang w:val="en-US" w:eastAsia="zh-CN"/>
        </w:rPr>
      </w:r>
      <w:r/>
    </w:p>
    <w:p>
      <w:pPr>
        <w:pStyle w:val="706"/>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20823281"/>
      <w:r/>
      <w:bookmarkStart w:id="37" w:name="_Toc120614215"/>
      <w:r/>
      <w:bookmarkStart w:id="38" w:name="_Toc513029209"/>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39" w:name="_Toc20823282"/>
      <w:r/>
      <w:bookmarkStart w:id="40" w:name="_Toc513029210"/>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70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70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42" w:name="_Toc462564070"/>
      <w:r/>
      <w:bookmarkStart w:id="43" w:name="_Toc20823283"/>
      <w:r/>
      <w:bookmarkStart w:id="44" w:name="_Toc513029211"/>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46" w:name="_Toc16938528"/>
      <w:r/>
      <w:bookmarkStart w:id="47" w:name="_Toc513029212"/>
      <w:r/>
      <w:bookmarkStart w:id="48" w:name="_Toc462564071"/>
      <w:r/>
      <w:bookmarkStart w:id="49" w:name="_Toc20823284"/>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462564072"/>
      <w:r/>
      <w:bookmarkStart w:id="52" w:name="_Toc20823285"/>
      <w:r/>
      <w:bookmarkStart w:id="53" w:name="_Toc513029213"/>
      <w:r/>
      <w:bookmarkStart w:id="54" w:name="_Toc120614216"/>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7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b/>
          <w:color w:val="000000"/>
          <w:sz w:val="24"/>
          <w:highlight w:val="none"/>
        </w:rPr>
        <w:outlineLvl w:val="3"/>
      </w:pPr>
      <w:r/>
      <w:bookmarkStart w:id="55" w:name="_Toc513029214"/>
      <w:r/>
      <w:bookmarkStart w:id="56" w:name="_Toc20823286"/>
      <w:r/>
      <w:bookmarkStart w:id="57" w:name="_Toc462564073"/>
      <w:r/>
      <w:bookmarkStart w:id="58" w:name="_Toc16938530"/>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70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706"/>
        <w:ind w:firstLine="480"/>
        <w:keepLines/>
        <w:keepNext/>
        <w:spacing w:line="360" w:lineRule="auto"/>
        <w:rPr>
          <w:rFonts w:hint="eastAsia" w:ascii="宋体" w:hAnsi="宋体" w:cs="宋体"/>
          <w:color w:val="000000"/>
          <w:sz w:val="24"/>
          <w:highlight w:val="none"/>
        </w:rPr>
        <w:outlineLvl w:val="3"/>
      </w:pPr>
      <w:r/>
      <w:bookmarkStart w:id="59" w:name="_Toc462564074"/>
      <w:r/>
      <w:bookmarkStart w:id="60" w:name="_Toc16938531"/>
      <w:r/>
      <w:bookmarkStart w:id="61" w:name="_Toc20823287"/>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714"/>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2024年度或2025年度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714"/>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714"/>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4"/>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如有，详见采购文件第一章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714"/>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714"/>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706"/>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70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706"/>
        <w:ind w:firstLine="480"/>
        <w:keepLines/>
        <w:keepNext/>
        <w:spacing w:line="360" w:lineRule="auto"/>
        <w:rPr>
          <w:rFonts w:hint="eastAsia" w:ascii="宋体" w:hAnsi="宋体" w:cs="宋体"/>
          <w:color w:val="000000"/>
          <w:sz w:val="24"/>
          <w:highlight w:val="none"/>
        </w:rPr>
        <w:outlineLvl w:val="3"/>
      </w:pPr>
      <w:r/>
      <w:bookmarkStart w:id="63" w:name="_Hlt26668975"/>
      <w:r/>
      <w:bookmarkEnd w:id="63"/>
      <w:r/>
      <w:bookmarkStart w:id="64" w:name="_Hlt26670360"/>
      <w:r/>
      <w:bookmarkEnd w:id="64"/>
      <w:r/>
      <w:bookmarkStart w:id="65" w:name="_Hlt26954838"/>
      <w:r/>
      <w:bookmarkEnd w:id="65"/>
      <w:r/>
      <w:bookmarkStart w:id="66" w:name="_Toc14577357"/>
      <w:r/>
      <w:bookmarkStart w:id="67" w:name="_Toc49090509"/>
      <w:r/>
      <w:bookmarkStart w:id="68" w:name="_Toc513029219"/>
      <w:r/>
      <w:bookmarkStart w:id="69" w:name="_Toc49090507"/>
      <w:r/>
      <w:bookmarkStart w:id="70" w:name="_Toc513029216"/>
      <w:r/>
      <w:bookmarkStart w:id="71" w:name="_Toc14577354"/>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74" w:name="_Hlt26670486"/>
      <w:r/>
      <w:bookmarkEnd w:id="74"/>
      <w:r/>
      <w:bookmarkStart w:id="75" w:name="_Hlt26954731"/>
      <w:r/>
      <w:bookmarkEnd w:id="75"/>
      <w:r/>
      <w:bookmarkStart w:id="76" w:name="_Hlt26670482"/>
      <w:r/>
      <w:bookmarkEnd w:id="76"/>
      <w:r/>
      <w:bookmarkStart w:id="77" w:name="_Hlt26954846"/>
      <w:r/>
      <w:bookmarkEnd w:id="77"/>
      <w:r/>
      <w:bookmarkStart w:id="78" w:name="_Hlt26954848"/>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70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70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513029224"/>
      <w:r/>
      <w:bookmarkStart w:id="86" w:name="_Toc16938540"/>
      <w:r/>
      <w:bookmarkStart w:id="87" w:name="_Toc120614217"/>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20823297"/>
      <w:r/>
      <w:bookmarkStart w:id="91" w:name="_Toc513029225"/>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20823298"/>
      <w:r/>
      <w:bookmarkStart w:id="95" w:name="_Toc16938542"/>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706"/>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513029227"/>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513029228"/>
      <w:r/>
      <w:bookmarkStart w:id="101" w:name="_Toc16938544"/>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102" w:name="_Toc513029229"/>
      <w:r/>
      <w:bookmarkStart w:id="103" w:name="_Toc120614218"/>
      <w:r/>
      <w:bookmarkStart w:id="104" w:name="_Toc16938545"/>
      <w:r/>
      <w:bookmarkStart w:id="105" w:name="_Toc20823301"/>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106" w:name="_Toc16938546"/>
      <w:r/>
      <w:bookmarkStart w:id="107" w:name="_Toc513029230"/>
      <w:r/>
      <w:bookmarkStart w:id="108" w:name="_Toc20823302"/>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16938547"/>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70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16938548"/>
      <w:r/>
      <w:bookmarkStart w:id="114" w:name="_Toc20823304"/>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Start w:id="115" w:name="_Toc20823305"/>
      <w:r/>
      <w:bookmarkStart w:id="116" w:name="_Toc16938549"/>
      <w:r/>
      <w:bookmarkStart w:id="117" w:name="_Toc513029233"/>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706"/>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706"/>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706"/>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bookmarkStart w:id="118" w:name="_Toc513029234"/>
      <w:r/>
      <w:bookmarkStart w:id="119" w:name="_Toc20823306"/>
      <w:r/>
      <w:bookmarkStart w:id="120" w:name="_Toc16938550"/>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706"/>
        <w:ind w:firstLine="482"/>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 </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 </w:t>
      </w:r>
      <w:r>
        <w:rPr>
          <w:rFonts w:hint="eastAsia" w:ascii="宋体" w:hAnsi="宋体" w:eastAsia="宋体" w:cs="宋体"/>
          <w:color w:val="000000"/>
          <w:sz w:val="24"/>
          <w:highlight w:val="none"/>
        </w:rPr>
      </w:r>
      <w:r/>
    </w:p>
    <w:p>
      <w:pPr>
        <w:pStyle w:val="706"/>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r>
      <w:r/>
    </w:p>
    <w:p>
      <w:pPr>
        <w:pStyle w:val="706"/>
        <w:ind w:firstLine="482"/>
        <w:spacing w:line="360" w:lineRule="auto"/>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r>
      <w:r/>
    </w:p>
    <w:p>
      <w:pPr>
        <w:pStyle w:val="706"/>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rPr>
          <w:rFonts w:hint="eastAsia" w:ascii="宋体" w:hAnsi="宋体" w:eastAsia="宋体" w:cs="宋体"/>
          <w:b/>
          <w:bCs/>
          <w:color w:val="000000"/>
          <w:sz w:val="24"/>
          <w:highlight w:val="none"/>
        </w:rPr>
      </w:r>
      <w:r/>
    </w:p>
    <w:p>
      <w:pPr>
        <w:pStyle w:val="706"/>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rPr>
          <w:rFonts w:hint="eastAsia" w:ascii="宋体" w:hAnsi="宋体" w:eastAsia="宋体" w:cs="宋体"/>
          <w:b/>
          <w:bCs/>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712"/>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706"/>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70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70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70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70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70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70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70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应当将其作为无效投标处理。</w:t>
      </w:r>
      <w:r>
        <w:rPr>
          <w:rFonts w:hint="eastAsia" w:ascii="宋体" w:hAnsi="宋体" w:eastAsia="宋体" w:cs="宋体"/>
          <w:color w:val="000000"/>
          <w:sz w:val="24"/>
          <w:highlight w:val="none"/>
        </w:rPr>
      </w:r>
      <w:r/>
    </w:p>
    <w:p>
      <w:pPr>
        <w:pStyle w:val="70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70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123" w:name="_Toc16938551"/>
      <w:r/>
      <w:bookmarkStart w:id="124" w:name="_Toc513029235"/>
      <w:r/>
      <w:bookmarkStart w:id="125" w:name="_Toc20823307"/>
      <w:r/>
      <w:bookmarkStart w:id="126" w:name="_Toc120614219"/>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70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70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71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714"/>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714"/>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714"/>
        <w:ind w:firstLine="480"/>
        <w:spacing w:line="360" w:lineRule="auto"/>
        <w:rPr>
          <w:lang w:val="en-US" w:eastAsia="zh-CN"/>
        </w:rPr>
      </w:pPr>
      <w:r>
        <w:rPr>
          <w:rFonts w:hint="eastAsia" w:ascii="宋体" w:hAnsi="宋体" w:cs="宋体"/>
          <w:color w:val="000000"/>
          <w:sz w:val="24"/>
          <w:szCs w:val="24"/>
          <w:highlight w:val="none"/>
          <w:lang w:val="en-US" w:eastAsia="zh-CN"/>
        </w:rPr>
        <w:t xml:space="preserve">邮箱：zhongzhao001@126.cm</w:t>
      </w:r>
      <w:r>
        <w:rPr>
          <w:lang w:val="en-US" w:eastAsia="zh-CN"/>
        </w:rPr>
      </w:r>
      <w:r/>
    </w:p>
    <w:p>
      <w:pPr>
        <w:pStyle w:val="7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706"/>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20823308"/>
      <w:r/>
      <w:bookmarkStart w:id="133" w:name="_Toc513029236"/>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20823309"/>
      <w:r/>
      <w:bookmarkStart w:id="137"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70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70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73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06"/>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70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苏州市吴江区盛泽镇人民政府（社会治理办公室）</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盛泽镇技防运维</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706"/>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JSZC-320509-ZZHL-C2026-0019</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06"/>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z w:val="24"/>
          <w:szCs w:val="24"/>
          <w:highlight w:val="none"/>
          <w:lang w:eastAsia="zh-CN"/>
        </w:rPr>
        <w:t xml:space="preserve">盛泽镇技防运维</w:t>
      </w:r>
      <w:r>
        <w:rPr>
          <w:rFonts w:hint="eastAsia" w:ascii="宋体" w:hAnsi="宋体" w:eastAsia="宋体" w:cs="宋体"/>
          <w:b/>
          <w:color w:val="000000"/>
          <w:sz w:val="24"/>
          <w:szCs w:val="24"/>
          <w:highlight w:val="none"/>
          <w:lang w:eastAsia="zh-CN"/>
        </w:rPr>
      </w:r>
      <w:r/>
    </w:p>
    <w:p>
      <w:pPr>
        <w:pStyle w:val="706"/>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算：人民币贰佰零叁万伍仟陆佰捌拾圆整（￥：2035680.00）</w:t>
      </w:r>
      <w:r>
        <w:rPr>
          <w:rFonts w:hint="eastAsia" w:ascii="宋体" w:hAnsi="宋体" w:eastAsia="宋体" w:cs="宋体"/>
          <w:b/>
          <w:color w:val="000000"/>
          <w:sz w:val="24"/>
          <w:szCs w:val="24"/>
          <w:highlight w:val="none"/>
          <w:lang w:eastAsia="zh-CN"/>
        </w:rPr>
      </w:r>
      <w:r/>
    </w:p>
    <w:tbl>
      <w:tblPr>
        <w:tblStyle w:val="732"/>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706"/>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最高限价：人民币贰佰零叁万伍仟陆佰捌拾圆整（￥：2035680.00）</w:t>
      </w:r>
      <w:r>
        <w:rPr>
          <w:rFonts w:hint="eastAsia" w:ascii="宋体" w:hAnsi="宋体" w:eastAsia="宋体" w:cs="宋体"/>
          <w:b/>
          <w:color w:val="000000"/>
          <w:sz w:val="24"/>
          <w:szCs w:val="24"/>
          <w:highlight w:val="none"/>
          <w:lang w:eastAsia="zh-CN"/>
        </w:rPr>
      </w:r>
      <w:r/>
    </w:p>
    <w:tbl>
      <w:tblPr>
        <w:tblStyle w:val="732"/>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706"/>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eastAsia="zh-CN"/>
        </w:rPr>
        <w:t xml:space="preserve">自合同生效之日起2年</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r>
      <w:r/>
    </w:p>
    <w:p>
      <w:pPr>
        <w:pStyle w:val="706"/>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706"/>
        <w:ind w:firstLine="482"/>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1.项目背景</w:t>
      </w:r>
      <w:r>
        <w:rPr>
          <w:rFonts w:hint="eastAsia" w:ascii="宋体" w:hAnsi="宋体" w:eastAsia="宋体" w:cs="宋体"/>
          <w:b/>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为聚焦社区服务和治理，推进全镇无物业小区封闭式管理全覆盖，探索社区“微自治”、健全“全科社工”机制，以平安</w:t>
      </w:r>
      <w:r>
        <w:rPr>
          <w:rFonts w:hint="eastAsia" w:ascii="宋体" w:hAnsi="宋体" w:eastAsia="宋体" w:cs="宋体"/>
          <w:color w:val="000000"/>
          <w:sz w:val="24"/>
          <w:szCs w:val="24"/>
          <w:highlight w:val="none"/>
          <w:lang w:val="en-US" w:eastAsia="zh-CN"/>
        </w:rPr>
        <w:t xml:space="preserve">小区智慧化改造提升为抓手，推动城市管理手段、管理模式、管理理念创新，精准高效满足群众需求，加强物业服务监管，提高物业服务覆盖率、服务质量和标准化水平，实现全镇小区数据、房屋数据、小区居民数据、车辆数据、人员轨迹数据的汇聚，推动构建“纵向到底、横向到边、共建共治共享”的社会治理新体系，切实增强疫情联防联控和社会治安综合防控能力，进一步助推绸都盛泽城市管理水平，增强人民群众获得感、幸福感、安全感，自2021年来，经建设局、农村工作局及相关社区的共同调研商议，拟对相关无物业小区进行平安小区智慧化改造提升工程试点。</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改造提升试点项目以系统集成为主，主要围绕公安、综治、住建、社区、物业 、居民“泛感知、汇数据、智应用”的智慧生态理念，提供统一的智慧小区一体化管理系统服务，打造“共建共治共享”小区综合治理体系，系统将提供视频汇聚、协同联动、数据融合、资源整合、物联接入、智能预警等能力，实现小区分级治理、态势动态可知、要素可查可控。根据吴江区大数据局、吴江区公安局、盛泽镇政府要求，本次项目视频资源须接入吴江区视频应用能力支撑平台、吴江公安专网监控平台，在上述</w:t>
      </w:r>
      <w:r>
        <w:rPr>
          <w:rFonts w:hint="eastAsia" w:ascii="宋体" w:hAnsi="宋体" w:eastAsia="宋体" w:cs="宋体"/>
          <w:color w:val="000000"/>
          <w:sz w:val="24"/>
          <w:szCs w:val="24"/>
          <w:highlight w:val="none"/>
          <w:lang w:val="en-US" w:eastAsia="zh-CN"/>
        </w:rPr>
        <w:t xml:space="preserve">两</w:t>
      </w:r>
      <w:r>
        <w:rPr>
          <w:rFonts w:ascii="宋体" w:hAnsi="宋体" w:eastAsia="宋体" w:cs="宋体"/>
          <w:color w:val="000000"/>
          <w:sz w:val="24"/>
          <w:szCs w:val="24"/>
          <w:highlight w:val="none"/>
          <w:lang w:val="en-US" w:eastAsia="zh-CN"/>
        </w:rPr>
        <w:t xml:space="preserve">个系统平台中实现对本次项目所建设视频资源的预览、回看、录像下载、视频上墙等基础功能操作。后续基于智慧小区一体化管理系统，可针对全镇各类小区，将融合物联网、5G等技术打造社区家庭信息化创新新局面，同时，可实现态势全面感知、风险监测预警、趋势智能研判、资源统筹调度、行动人机协同，加强数字赋能多元化社会治理，不断丰富智慧城市内涵，完善数据驱动的数字城市基本框架。</w:t>
      </w:r>
      <w:r>
        <w:rPr>
          <w:rFonts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现各阶段改造项目已陆续维保到期，拟对改造小区进行监控运维。本项目维护范围包含盛泽108个老旧小区934路监控摄像头，分两个标段进行采购。</w:t>
      </w:r>
      <w:r>
        <w:rPr>
          <w:rFonts w:ascii="宋体" w:hAnsi="宋体" w:eastAsia="宋体" w:cs="宋体"/>
          <w:color w:val="000000"/>
          <w:sz w:val="24"/>
          <w:szCs w:val="24"/>
          <w:highlight w:val="none"/>
          <w:lang w:val="en-US" w:eastAsia="zh-CN"/>
        </w:rPr>
      </w:r>
      <w:r/>
    </w:p>
    <w:p>
      <w:pPr>
        <w:pStyle w:val="706"/>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维保内容</w:t>
      </w:r>
      <w:r>
        <w:rPr>
          <w:rFonts w:ascii="宋体" w:hAnsi="宋体" w:eastAsia="宋体" w:cs="宋体"/>
          <w:b/>
          <w:bCs/>
          <w:color w:val="000000"/>
          <w:sz w:val="24"/>
          <w:szCs w:val="24"/>
          <w:highlight w:val="none"/>
          <w:lang w:val="en-US" w:eastAsia="zh-CN"/>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2.1标段一</w:t>
      </w:r>
      <w:r>
        <w:rPr>
          <w:rFonts w:hint="eastAsia" w:ascii="宋体" w:hAnsi="宋体" w:eastAsia="宋体" w:cs="宋体"/>
          <w:b/>
          <w:bCs/>
          <w:color w:val="000000"/>
          <w:sz w:val="24"/>
          <w:szCs w:val="24"/>
          <w:highlight w:val="none"/>
          <w:lang w:val="en-US" w:eastAsia="zh-CN"/>
        </w:rPr>
      </w:r>
      <w:r/>
    </w:p>
    <w:tbl>
      <w:tblPr>
        <w:tblW w:w="9034"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6152"/>
        <w:gridCol w:w="915"/>
        <w:gridCol w:w="996"/>
      </w:tblGrid>
      <w:tr>
        <w:trPr>
          <w:trHeight w:val="533"/>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533"/>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监控维保服务(含监控云存储租赁--每个点位录像时长不小于30天、摄像机、设备箱、杆件、挑臂、辅材及接电线路(含电费)等维护</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 </w:t>
            </w:r>
            <w:r>
              <w:rPr>
                <w:rFonts w:hint="eastAsia" w:ascii="宋体" w:hAnsi="宋体" w:eastAsia="宋体" w:cs="宋体"/>
                <w:i w:val="0"/>
                <w:iCs w:val="0"/>
                <w:color w:val="000000"/>
                <w:sz w:val="24"/>
                <w:szCs w:val="24"/>
                <w:u w:val="none"/>
              </w:rPr>
            </w:r>
            <w:r/>
          </w:p>
        </w:tc>
      </w:tr>
      <w:tr>
        <w:trPr>
          <w:trHeight w:val="533"/>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监控专线租赁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 </w:t>
            </w:r>
            <w:r>
              <w:rPr>
                <w:rFonts w:hint="eastAsia" w:ascii="宋体" w:hAnsi="宋体" w:eastAsia="宋体" w:cs="宋体"/>
                <w:i w:val="0"/>
                <w:iCs w:val="0"/>
                <w:color w:val="000000"/>
                <w:sz w:val="24"/>
                <w:szCs w:val="24"/>
                <w:u w:val="none"/>
              </w:rPr>
            </w:r>
            <w:r/>
          </w:p>
        </w:tc>
      </w:tr>
    </w:tbl>
    <w:p>
      <w:pPr>
        <w:pStyle w:val="706"/>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2.2标段二</w:t>
      </w:r>
      <w:r>
        <w:rPr>
          <w:rFonts w:ascii="宋体" w:hAnsi="宋体" w:eastAsia="宋体" w:cs="宋体"/>
          <w:b/>
          <w:bCs/>
          <w:color w:val="000000"/>
          <w:sz w:val="24"/>
          <w:szCs w:val="24"/>
          <w:highlight w:val="none"/>
          <w:lang w:val="en-US" w:eastAsia="zh-CN"/>
        </w:rPr>
      </w:r>
      <w:r/>
    </w:p>
    <w:tbl>
      <w:tblPr>
        <w:tblW w:w="9074"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6176"/>
        <w:gridCol w:w="915"/>
        <w:gridCol w:w="1012"/>
      </w:tblGrid>
      <w:tr>
        <w:trPr>
          <w:trHeight w:val="600"/>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维保内容</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1780"/>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(1)定期巡检服务：每季度提供一次全面的例行巡检服务。(2)按需响应服务：在接收到甲方报修请求后，乙方将及时安排技术人员上门处理故障。(3)维护期内摄像头及配件损坏免费更换，保证摄像头正常在线。</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 </w:t>
            </w:r>
            <w:r>
              <w:rPr>
                <w:rFonts w:hint="eastAsia" w:ascii="宋体" w:hAnsi="宋体" w:eastAsia="宋体" w:cs="宋体"/>
                <w:i w:val="0"/>
                <w:iCs w:val="0"/>
                <w:color w:val="000000"/>
                <w:sz w:val="24"/>
                <w:szCs w:val="24"/>
                <w:u w:val="none"/>
              </w:rPr>
            </w:r>
            <w:r/>
          </w:p>
        </w:tc>
      </w:tr>
      <w:tr>
        <w:trPr>
          <w:trHeight w:val="600"/>
        </w:trPr>
        <w:tc>
          <w:tcPr>
            <w:tcW w:w="971" w:type="dxa"/>
            <w:vAlign w:val="top"/>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前端专线网络租赁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 </w:t>
            </w:r>
            <w:r>
              <w:rPr>
                <w:rFonts w:hint="eastAsia" w:ascii="宋体" w:hAnsi="宋体" w:eastAsia="宋体" w:cs="宋体"/>
                <w:i w:val="0"/>
                <w:iCs w:val="0"/>
                <w:color w:val="000000"/>
                <w:sz w:val="24"/>
                <w:szCs w:val="24"/>
                <w:u w:val="none"/>
              </w:rPr>
            </w:r>
            <w:r/>
          </w:p>
        </w:tc>
      </w:tr>
      <w:tr>
        <w:trPr>
          <w:trHeight w:val="600"/>
        </w:trPr>
        <w:tc>
          <w:tcPr>
            <w:tcW w:w="971" w:type="dxa"/>
            <w:vAlign w:val="top"/>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中心专线网络租赁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r>
      <w:tr>
        <w:trPr>
          <w:trHeight w:val="770"/>
        </w:trPr>
        <w:tc>
          <w:tcPr>
            <w:tcW w:w="971"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云存储(53套视频监控+3套温感烟感报警+127套人脸抓拍+11套周界报警)</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70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 </w:t>
            </w:r>
            <w:r>
              <w:rPr>
                <w:rFonts w:hint="eastAsia" w:ascii="宋体" w:hAnsi="宋体" w:eastAsia="宋体" w:cs="宋体"/>
                <w:i w:val="0"/>
                <w:iCs w:val="0"/>
                <w:color w:val="000000"/>
                <w:sz w:val="24"/>
                <w:szCs w:val="24"/>
                <w:u w:val="none"/>
              </w:rPr>
            </w:r>
            <w:r/>
          </w:p>
        </w:tc>
      </w:tr>
    </w:tbl>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3.维护要求（适用于第一、第二标段）</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3.1定期巡检服务：每季度提供一次全面的例行巡检服务。</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333333"/>
          <w:sz w:val="24"/>
          <w:szCs w:val="24"/>
          <w:lang w:val="en-US" w:eastAsia="zh-CN"/>
        </w:rPr>
      </w:pPr>
      <w:r>
        <w:rPr>
          <w:rFonts w:hint="eastAsia" w:ascii="宋体" w:hAnsi="宋体" w:eastAsia="宋体" w:cs="宋体"/>
          <w:color w:val="000000"/>
          <w:sz w:val="24"/>
          <w:szCs w:val="24"/>
          <w:highlight w:val="none"/>
          <w:lang w:val="en-US" w:eastAsia="zh-CN"/>
        </w:rPr>
        <w:t xml:space="preserve">3.2服务响应：提供7×24小时热线电话服务，并确定专人协调处</w:t>
      </w:r>
      <w:r>
        <w:rPr>
          <w:rFonts w:hint="eastAsia" w:ascii="宋体" w:hAnsi="宋体" w:eastAsia="宋体" w:cs="宋体"/>
          <w:color w:val="000000"/>
          <w:sz w:val="24"/>
          <w:szCs w:val="24"/>
          <w:highlight w:val="none"/>
          <w:lang w:val="en-US" w:eastAsia="zh-CN"/>
        </w:rPr>
        <w:t xml:space="preserve">理。当承建单位发现故障或当甲方提出故障修复要求后，中标人响应时间不得超过2小时，由于设备及其承载系统发生故障的，应在3个工作日内完成修复；由于传输光缆被切断导致的故障，修复时间不超过7天；涉及需要更换杆体及基础的项目，因涉及混凝土基础浇筑和养护可相应放宽到14天内完成恢复。如遇到连续阴雨天气的，考虑到人员、设备等安全，室外故障设备的维修可适当延时。在遇到强雷雨天气和大雪等不可抗力情况带来的大面积障碍，修复时间可按需要顺延相应天数。如因市政供电问题导致的故障，市政能修复的，修复时间从市政供电恢复后开始计算，如</w:t>
      </w:r>
      <w:r>
        <w:rPr>
          <w:rFonts w:hint="eastAsia" w:ascii="宋体" w:hAnsi="宋体" w:eastAsia="宋体" w:cs="宋体"/>
          <w:color w:val="333333"/>
          <w:sz w:val="24"/>
          <w:szCs w:val="24"/>
          <w:lang w:val="en-US" w:eastAsia="zh-CN"/>
        </w:rPr>
        <w:t xml:space="preserve">市政不能修复的需更换接电位置，修复时间不超过7天。</w:t>
      </w:r>
      <w:r>
        <w:rPr>
          <w:rFonts w:hint="eastAsia" w:ascii="宋体" w:hAnsi="宋体" w:eastAsia="宋体" w:cs="宋体"/>
          <w:color w:val="333333"/>
          <w:sz w:val="24"/>
          <w:szCs w:val="24"/>
          <w:lang w:val="en-US" w:eastAsia="zh-CN"/>
        </w:rPr>
      </w:r>
      <w:r/>
    </w:p>
    <w:p>
      <w:pPr>
        <w:pStyle w:val="706"/>
        <w:ind w:firstLine="482"/>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b/>
          <w:bCs/>
          <w:color w:val="333333"/>
          <w:sz w:val="24"/>
          <w:szCs w:val="24"/>
          <w:lang w:val="en-US" w:eastAsia="zh-CN"/>
        </w:rPr>
        <w:t xml:space="preserve">3.3录像时长：</w:t>
      </w:r>
      <w:r>
        <w:rPr>
          <w:rFonts w:hint="eastAsia" w:ascii="宋体" w:hAnsi="宋体" w:eastAsia="宋体" w:cs="宋体"/>
          <w:color w:val="333333"/>
          <w:sz w:val="24"/>
          <w:szCs w:val="24"/>
          <w:lang w:val="en-US" w:eastAsia="zh-CN"/>
        </w:rPr>
        <w:t xml:space="preserve">30天</w:t>
      </w:r>
      <w:r>
        <w:rPr>
          <w:rFonts w:hint="eastAsia" w:ascii="宋体" w:hAnsi="宋体" w:eastAsia="宋体" w:cs="宋体"/>
          <w:color w:val="333333"/>
          <w:sz w:val="24"/>
          <w:szCs w:val="24"/>
          <w:lang w:val="en-US" w:eastAsia="zh-CN"/>
        </w:rPr>
      </w:r>
      <w:r/>
    </w:p>
    <w:p>
      <w:pPr>
        <w:pStyle w:val="706"/>
        <w:ind w:firstLine="482"/>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b/>
          <w:bCs/>
          <w:color w:val="333333"/>
          <w:sz w:val="24"/>
          <w:szCs w:val="24"/>
          <w:lang w:val="en-US" w:eastAsia="zh-CN"/>
        </w:rPr>
        <w:t xml:space="preserve">3.4维护期内供应商负责摄像头及配件损坏免费更换，保证摄像头正常在线。如摄像头损坏需要换新的，需满足以下参数要求：</w:t>
      </w:r>
      <w:r>
        <w:rPr>
          <w:rFonts w:hint="eastAsia" w:ascii="宋体" w:hAnsi="宋体" w:eastAsia="宋体" w:cs="宋体"/>
          <w:color w:val="333333"/>
          <w:sz w:val="24"/>
          <w:szCs w:val="24"/>
          <w:lang w:val="en-US" w:eastAsia="zh-CN"/>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3.4.1自研图像处理引擎，最高分辨率≥2680 × 1520 @25 fps</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3.4.2支持侦测：场景变更侦测，虚焦侦测，区域入侵侦测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3.4.3支持背光补偿，强光抑制，3D数字降噪，120dB宽动态</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内置麦克风和喇叭，支持双向语音对讲</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支持白光/红外双补光，红外光距离≥50 m，暖光距离≥30 m</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防尘防水等级≥IP66</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3.4.4传感器类型：1/2.4" Progressive Scan CMOS</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最低照度：彩色：0.005 Lux</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宽动态：120 dB </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视频压缩标准：主码流：H.265/H.264，支持超级智能编码</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▲3.4.5内置1颗CPU、GPU、NPU于一体的芯片。</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3.4.6补光灯灯杯采用双层透镜结构，外表平面为柔光层，采用复眼式微透镜阵列，具有六边形阵列纹路;下层束光层为鳞甲TIR透镜，内壁具有鳞甲阵列纹路；或其他相关先进补光装置。</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3.4.7补光灯开启后，应为均匀无波纹状、圆环状、麻点状、条纹状和不规则亮斑。</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3.4.8支持通过浏览器设置码流套餐为画质优先、均衡模式、存储优先及自定义4种类型。</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3.4.9具有日夜场景自适应功能，在白天和夜晚环境下，样机均可输出彩色图像，在夜晚自动开启补光灯条件下，夜晚图像清晰度应不低于白天图像清晰度的95%。</w:t>
      </w:r>
      <w:r>
        <w:rPr>
          <w:rFonts w:hint="eastAsia" w:ascii="宋体" w:hAnsi="宋体" w:eastAsia="宋体" w:cs="宋体"/>
          <w:i w:val="0"/>
          <w:iCs w:val="0"/>
          <w:color w:val="000000"/>
          <w:sz w:val="24"/>
          <w:szCs w:val="24"/>
          <w:highlight w:val="none"/>
          <w:u w:val="none"/>
          <w:lang w:val="en-US" w:eastAsia="zh-CN" w:bidi="ar"/>
        </w:rPr>
      </w:r>
      <w:r/>
    </w:p>
    <w:p>
      <w:pPr>
        <w:pStyle w:val="706"/>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3.4.10具有图像质量提升功能，在低照度环境下，可自动调节预览场景视频画面中人脸、人体、车辆等目标及预览场景视频画面的区域曝光、亮度、色彩饱和度、对比度、锐度等。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sz w:val="24"/>
          <w:szCs w:val="24"/>
          <w:highlight w:val="none"/>
          <w:u w:val="none"/>
          <w:lang w:val="en-US" w:eastAsia="zh-CN" w:bidi="ar"/>
        </w:rPr>
      </w:r>
      <w:r/>
    </w:p>
    <w:p>
      <w:pPr>
        <w:pStyle w:val="706"/>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333333"/>
          <w:sz w:val="24"/>
          <w:szCs w:val="24"/>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333333"/>
          <w:sz w:val="24"/>
          <w:szCs w:val="24"/>
          <w:lang w:val="en-US" w:eastAsia="zh-CN"/>
        </w:rPr>
        <w:t xml:space="preserve">人员要求</w:t>
      </w:r>
      <w:r>
        <w:rPr>
          <w:rFonts w:hint="eastAsia" w:ascii="宋体" w:hAnsi="宋体" w:eastAsia="宋体" w:cs="宋体"/>
          <w:color w:val="000000"/>
          <w:sz w:val="24"/>
          <w:szCs w:val="24"/>
          <w:highlight w:val="none"/>
          <w:lang w:val="en-US" w:eastAsia="zh-CN"/>
        </w:rPr>
        <w:t xml:space="preserve">（适用于第一、第二标段）</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因本项目监控将接入</w:t>
      </w:r>
      <w:r>
        <w:rPr>
          <w:rFonts w:ascii="宋体" w:hAnsi="宋体" w:eastAsia="宋体" w:cs="宋体"/>
          <w:color w:val="333333"/>
          <w:sz w:val="24"/>
          <w:szCs w:val="24"/>
          <w:lang w:val="en-US" w:eastAsia="zh-CN"/>
        </w:rPr>
        <w:t xml:space="preserve">吴江区视频应用能力支撑平台、吴江公安专网监控平台</w:t>
      </w:r>
      <w:r>
        <w:rPr>
          <w:rFonts w:hint="eastAsia" w:ascii="宋体" w:hAnsi="宋体" w:eastAsia="宋体" w:cs="宋体"/>
          <w:color w:val="333333"/>
          <w:sz w:val="24"/>
          <w:szCs w:val="24"/>
          <w:lang w:val="en-US" w:eastAsia="zh-CN"/>
        </w:rPr>
        <w:t xml:space="preserve">，对数据接入及信息安全要求较高，因此供应商需为本项目配备项目负责人1人，技术负责人1人，项目组成员4人。</w:t>
      </w:r>
      <w:r>
        <w:rPr>
          <w:rFonts w:hint="eastAsia" w:ascii="宋体" w:hAnsi="宋体" w:eastAsia="宋体" w:cs="宋体"/>
          <w:color w:val="333333"/>
          <w:sz w:val="24"/>
          <w:szCs w:val="24"/>
          <w:lang w:val="en-US" w:eastAsia="zh-CN"/>
        </w:rPr>
      </w:r>
      <w:r/>
    </w:p>
    <w:p>
      <w:pPr>
        <w:pStyle w:val="706"/>
        <w:ind w:firstLine="482"/>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333333"/>
          <w:sz w:val="24"/>
          <w:szCs w:val="24"/>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333333"/>
          <w:sz w:val="24"/>
          <w:szCs w:val="24"/>
          <w:lang w:val="en-US" w:eastAsia="zh-CN"/>
        </w:rPr>
        <w:t xml:space="preserve">租赁线路要求</w:t>
      </w:r>
      <w:r>
        <w:rPr>
          <w:rFonts w:hint="eastAsia" w:ascii="宋体" w:hAnsi="宋体" w:eastAsia="宋体" w:cs="宋体"/>
          <w:color w:val="000000"/>
          <w:sz w:val="24"/>
          <w:szCs w:val="24"/>
          <w:highlight w:val="none"/>
          <w:lang w:val="en-US" w:eastAsia="zh-CN"/>
        </w:rPr>
        <w:t xml:space="preserve">（适用于第一、第二标段）</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333333"/>
          <w:sz w:val="24"/>
          <w:szCs w:val="24"/>
          <w:lang w:val="en-US" w:eastAsia="zh-CN"/>
        </w:rPr>
        <w:t xml:space="preserve">带宽20M，期限2年。</w:t>
      </w:r>
      <w:r>
        <w:rPr>
          <w:rFonts w:hint="eastAsia" w:ascii="宋体" w:hAnsi="宋体" w:eastAsia="宋体" w:cs="宋体"/>
          <w:color w:val="000000"/>
          <w:sz w:val="24"/>
          <w:szCs w:val="24"/>
          <w:highlight w:val="none"/>
          <w:lang w:val="en-US" w:eastAsia="zh-CN"/>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三、其他说明：</w:t>
      </w:r>
      <w:r>
        <w:rPr>
          <w:rFonts w:hint="eastAsia" w:ascii="宋体" w:hAnsi="宋体" w:eastAsia="宋体" w:cs="宋体"/>
          <w:b/>
          <w:bCs/>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提供的服务和承诺至少达到以上采购要求，同时明确详细的服务方案，否则视为非实质响应采购文件。供应商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2.报价：响应总报价一次报定，</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完成本项目服务内容所需的</w:t>
      </w:r>
      <w:r>
        <w:rPr>
          <w:rFonts w:hint="eastAsia" w:ascii="宋体" w:hAnsi="宋体" w:eastAsia="宋体" w:cs="宋体"/>
          <w:color w:val="000000"/>
          <w:sz w:val="24"/>
          <w:szCs w:val="24"/>
          <w:highlight w:val="none"/>
          <w:lang w:val="en-US" w:eastAsia="zh-CN"/>
        </w:rPr>
        <w:t xml:space="preserve">设备、备品备件、网络及线路租赁、存储调试、</w:t>
      </w:r>
      <w:r>
        <w:rPr>
          <w:rFonts w:hint="eastAsia" w:ascii="宋体" w:hAnsi="宋体" w:eastAsia="宋体" w:cs="宋体"/>
          <w:color w:val="000000"/>
          <w:sz w:val="24"/>
          <w:szCs w:val="24"/>
          <w:highlight w:val="none"/>
        </w:rPr>
        <w:t xml:space="preserve">各类人员的工资、加班费、服装、福利、意外险、高温费、节假日补贴以及国家规定的社会保险、管理费、人员培训费、通讯、服装、胸卡、</w:t>
      </w:r>
      <w:r>
        <w:rPr>
          <w:rFonts w:hint="eastAsia" w:ascii="宋体" w:hAnsi="宋体" w:eastAsia="宋体" w:cs="宋体"/>
          <w:color w:val="000000"/>
          <w:sz w:val="24"/>
          <w:szCs w:val="24"/>
          <w:highlight w:val="none"/>
          <w:lang w:val="en-US" w:eastAsia="zh-CN"/>
        </w:rPr>
        <w:t xml:space="preserve">仓储、运输、装卸、登高、</w:t>
      </w:r>
      <w:r>
        <w:rPr>
          <w:rFonts w:hint="eastAsia" w:ascii="宋体" w:hAnsi="宋体" w:eastAsia="宋体" w:cs="宋体"/>
          <w:color w:val="000000"/>
          <w:sz w:val="24"/>
          <w:szCs w:val="24"/>
          <w:highlight w:val="none"/>
        </w:rPr>
        <w:t xml:space="preserve">各种税费、保险、劳保、</w:t>
      </w:r>
      <w:r>
        <w:rPr>
          <w:rFonts w:hint="eastAsia" w:ascii="宋体" w:hAnsi="宋体" w:eastAsia="宋体" w:cs="宋体"/>
          <w:color w:val="000000"/>
          <w:sz w:val="24"/>
          <w:szCs w:val="24"/>
          <w:highlight w:val="none"/>
          <w:lang w:eastAsia="zh-CN"/>
        </w:rPr>
        <w:t xml:space="preserve">利润、税金、代理服务费、政策性文件</w:t>
      </w:r>
      <w:r>
        <w:rPr>
          <w:rFonts w:hint="eastAsia" w:ascii="宋体" w:hAnsi="宋体" w:eastAsia="宋体" w:cs="宋体"/>
          <w:color w:val="000000"/>
          <w:sz w:val="24"/>
          <w:szCs w:val="24"/>
          <w:highlight w:val="none"/>
        </w:rPr>
        <w:t xml:space="preserve">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供应商自行承担项目实施过程中的各项风险、安全责任。</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3.采购单位配合工作：</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单位协助配合提供安装设备所需的电源、通道、场地、协调破路、绿化地占用等；协助配合安装前有关手续并配合成交单位办理有关验收手续；协助配合提供成交单位所需的图纸和相关资料；协助配合成交单位与其他施工队伍的协调。</w:t>
      </w:r>
      <w:r>
        <w:rPr>
          <w:rFonts w:hint="eastAsia" w:ascii="宋体" w:hAnsi="宋体" w:eastAsia="宋体" w:cs="宋体"/>
          <w:b/>
          <w:bCs/>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成交单位在项目实施期间应无条件的接受采购人的监督管理，提出的质量问题要及时整改，整改完毕后通知采购人检查验收，合格后书面报送采购人备案。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与本次采购项目有关的质量、安全问题均由成交单位负责，相关的人员、财产责任风险均由成交单位承担。</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验收：</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8.1供应商应在响应文件中提供一份验收大纲，在采购单位确认后作为采购单位验收的依据。</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8.2响应设备由采购单位会同监理（如有）或有关部门进行验收。验收内容包括：</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8.2.1货物供应。实际所供应货物品牌型号、技术规格、品质材质、数量等是否与合同记载一致，有无替换或变更情况；</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8.2.2技术性能。各项功能、性能指标是否达到国家标准或行业标准，符合合同约定的技术参数，需提供相关检测报告；</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8.2.3档案资料。项目实施过程中文档材料是否齐全、完整，有无缺失、遗漏问题。</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8.3设备到达采购单位指定地点，应提前通知采购单位，由采购单位会同监理人员（如有）根据有关清单进行验收；</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8.4设备安装调试完成后，成交单位需提供质保书、保修证明等书面资料，并按国家制造和安装的标准要求检测验收。</w:t>
      </w:r>
      <w:r>
        <w:rPr>
          <w:rFonts w:hint="eastAsia" w:ascii="宋体" w:hAnsi="宋体" w:eastAsia="宋体" w:cs="宋体"/>
          <w:color w:val="000000"/>
          <w:sz w:val="24"/>
          <w:szCs w:val="24"/>
          <w:highlight w:val="none"/>
          <w:lang w:val="en-US" w:eastAsia="zh-CN"/>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、综合要求：</w:t>
      </w:r>
      <w:r>
        <w:rPr>
          <w:rFonts w:hint="eastAsia" w:ascii="宋体" w:hAnsi="宋体" w:eastAsia="宋体" w:cs="宋体"/>
          <w:b/>
          <w:bCs/>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响应文件须如实进行响应，量化指标必须列明具体数值。响应单位在其响应文件中对于采购文件要求提供的货物或服务情况均须进行完整的阐述和说明。</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响应单位须在</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中对所要采购的全部内容进行报价，只投其中部分内容者，其响应文件将被拒绝，采购人除支付本次采购项目的成交金额外不再承担其他任何费用。</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要充分考虑知识产权问题，应保证采购单位免除且承担由于</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cs="宋体"/>
          <w:color w:val="000000"/>
          <w:sz w:val="24"/>
          <w:szCs w:val="24"/>
          <w:highlight w:val="none"/>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706"/>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color w:val="000000"/>
          <w:sz w:val="24"/>
          <w:szCs w:val="24"/>
          <w:highlight w:val="none"/>
          <w:shd w:val="clear" w:color="auto" w:fill="ffffff"/>
          <w:lang w:val="en-US" w:eastAsia="zh-CN"/>
        </w:rPr>
        <w:t xml:space="preserve">适用于第一、第二标段</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w:t>
      </w:r>
      <w:r>
        <w:rPr>
          <w:rFonts w:hint="eastAsia" w:ascii="宋体" w:hAnsi="宋体" w:eastAsia="宋体" w:cs="宋体"/>
          <w:color w:val="000000"/>
          <w:sz w:val="24"/>
          <w:szCs w:val="24"/>
          <w:highlight w:val="none"/>
        </w:rPr>
        <w:t xml:space="preserve">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w:t>
      </w:r>
      <w:r>
        <w:rPr>
          <w:rFonts w:hint="eastAsia" w:ascii="宋体" w:hAnsi="宋体" w:eastAsia="宋体" w:cs="宋体"/>
          <w:color w:val="000000"/>
          <w:sz w:val="24"/>
          <w:szCs w:val="24"/>
          <w:highlight w:val="none"/>
        </w:rPr>
        <w:t xml:space="preserve">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（1）本项目对小型和微型企业提供的服务给予20%的扣除价格，用扣除后的价格参与评审。</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（2）供应商需按照采购文件的要求提供相应的《小微企业声明函》。</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706"/>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ascii="宋体" w:hAnsi="宋体" w:eastAsia="宋体" w:cs="宋体"/>
          <w:color w:val="000000"/>
          <w:sz w:val="24"/>
          <w:szCs w:val="24"/>
          <w:highlight w:val="none"/>
          <w:lang w:val="en-US" w:eastAsia="zh-CN"/>
        </w:rPr>
      </w:r>
      <w:r/>
    </w:p>
    <w:p>
      <w:pPr>
        <w:pStyle w:val="706"/>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（一）价格</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0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第一步：磋商报价低于或等于财政预算价格（及最高限价）的，为有效磋商报价。超采购预算（或最高限价）的磋商报价为无效磋商报价。无效磋商报价的磋商响应文件不进行评审，也不得成交。</w:t>
      </w:r>
      <w:r>
        <w:rPr>
          <w:rFonts w:hint="eastAsia" w:ascii="宋体" w:hAnsi="宋体" w:eastAsia="宋体" w:cs="宋体"/>
          <w:sz w:val="24"/>
          <w:szCs w:val="24"/>
          <w:highlight w:val="none"/>
        </w:rPr>
      </w:r>
      <w:r/>
    </w:p>
    <w:p>
      <w:pPr>
        <w:pStyle w:val="70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0分，其他磋商供应商的价格分按照下列公式计算（计算结果四舍五入保留两位小数）</w:t>
      </w:r>
      <w:r>
        <w:rPr>
          <w:rFonts w:hint="eastAsia" w:ascii="宋体" w:hAnsi="宋体" w:eastAsia="宋体" w:cs="宋体"/>
          <w:sz w:val="24"/>
          <w:szCs w:val="24"/>
          <w:highlight w:val="none"/>
        </w:rPr>
      </w:r>
      <w:r/>
    </w:p>
    <w:p>
      <w:pPr>
        <w:pStyle w:val="70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磋商报价得分＝（评标基准价/磋商报价）×</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0%×100</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技术分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70</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70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1.响应设备技术参数比较（10分）</w:t>
      </w:r>
      <w:r>
        <w:rPr>
          <w:rFonts w:hint="eastAsia" w:ascii="宋体" w:hAnsi="宋体" w:eastAsia="宋体" w:cs="宋体"/>
          <w:color w:val="000000"/>
          <w:sz w:val="24"/>
          <w:highlight w:val="none"/>
          <w:lang w:val="en-US" w:eastAsia="zh-CN"/>
        </w:rPr>
      </w:r>
      <w:r/>
    </w:p>
    <w:p>
      <w:pPr>
        <w:pStyle w:val="706"/>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磋商供应商</w:t>
      </w:r>
      <w:r>
        <w:rPr>
          <w:rFonts w:hint="eastAsia" w:ascii="宋体" w:hAnsi="宋体" w:eastAsia="宋体" w:cs="宋体"/>
          <w:sz w:val="24"/>
          <w:szCs w:val="24"/>
          <w:highlight w:val="none"/>
        </w:rPr>
        <w:t xml:space="preserve">必须详尽真实的提供</w:t>
      </w:r>
      <w:r>
        <w:rPr>
          <w:rFonts w:hint="eastAsia" w:ascii="宋体" w:hAnsi="宋体" w:eastAsia="宋体" w:cs="宋体"/>
          <w:sz w:val="24"/>
          <w:szCs w:val="24"/>
          <w:highlight w:val="none"/>
          <w:lang w:eastAsia="zh-CN"/>
        </w:rPr>
        <w:t xml:space="preserve">响应产品</w:t>
      </w:r>
      <w:r>
        <w:rPr>
          <w:rFonts w:hint="eastAsia" w:ascii="宋体" w:hAnsi="宋体" w:eastAsia="宋体" w:cs="宋体"/>
          <w:sz w:val="24"/>
          <w:szCs w:val="24"/>
          <w:highlight w:val="none"/>
        </w:rPr>
        <w:t xml:space="preserve">的技术参数响应及偏离表并提供相应的设备详细技术特性说明。</w:t>
      </w:r>
      <w:r>
        <w:rPr>
          <w:rFonts w:hint="eastAsia" w:ascii="宋体" w:hAnsi="宋体" w:eastAsia="宋体" w:cs="宋体"/>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设备的主要技术参数及功能的符合性进行评分，所</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设备的技术参数及功能满足或高于</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要求的得满分。带“</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”标注设备参数为重要参数，重要参数负偏离的每一项扣1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设备参数负偏离每项扣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分，直至扣完为止。其中</w:t>
      </w:r>
      <w:r>
        <w:rPr>
          <w:rFonts w:hint="eastAsia" w:ascii="宋体" w:hAnsi="宋体" w:eastAsia="宋体" w:cs="宋体"/>
          <w:sz w:val="24"/>
          <w:szCs w:val="24"/>
          <w:highlight w:val="none"/>
          <w:lang w:val="en-US" w:eastAsia="zh-CN"/>
        </w:rPr>
        <w:t xml:space="preserve">带</w:t>
      </w:r>
      <w:r>
        <w:rPr>
          <w:rFonts w:hint="eastAsia" w:ascii="宋体" w:hAnsi="宋体" w:eastAsia="宋体" w:cs="宋体"/>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设备</w:t>
      </w:r>
      <w:r>
        <w:rPr>
          <w:rFonts w:hint="eastAsia" w:ascii="宋体" w:hAnsi="宋体" w:eastAsia="宋体" w:cs="宋体"/>
          <w:sz w:val="24"/>
          <w:szCs w:val="24"/>
          <w:highlight w:val="none"/>
        </w:rPr>
        <w:t xml:space="preserve">需提供具有检测资质机构出具的检测报告</w:t>
      </w:r>
      <w:r>
        <w:rPr>
          <w:rFonts w:hint="eastAsia" w:ascii="宋体" w:hAnsi="宋体" w:eastAsia="宋体" w:cs="宋体"/>
          <w:sz w:val="24"/>
          <w:szCs w:val="24"/>
          <w:highlight w:val="none"/>
          <w:lang w:val="en-US" w:eastAsia="zh-CN"/>
        </w:rPr>
        <w:t xml:space="preserve">复印件或扫描件</w:t>
      </w:r>
      <w:r>
        <w:rPr>
          <w:rFonts w:hint="eastAsia" w:ascii="宋体" w:hAnsi="宋体" w:eastAsia="宋体" w:cs="宋体"/>
          <w:sz w:val="24"/>
          <w:szCs w:val="24"/>
          <w:highlight w:val="none"/>
        </w:rPr>
        <w:t xml:space="preserve">，未提供上述检测报告或检测结果不合格的，视为负偏离。</w:t>
      </w:r>
      <w:r>
        <w:rPr>
          <w:rFonts w:hint="eastAsia" w:ascii="宋体" w:hAnsi="宋体" w:eastAsia="宋体" w:cs="宋体"/>
          <w:sz w:val="24"/>
          <w:szCs w:val="24"/>
          <w:highlight w:val="none"/>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2.针对本项目的组织实施方案（10分）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须包含对项目的整体理解、及组织实施方案，根据磋商供应商针对本项目提供的组织实施方案进行比较；项目理解分析充分合理，现场勘测充分，内容科学完整真实准确，描述详细清晰准确的得10分；综合评定良好，理解分析比较合理，描述比较详细，能满足项目实施需要的得5分；综合评定较差，描述较差，不能满足项目实施需要的得2分。不提供的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3.针对本项目的服务质量保证方案（10分）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服务质量保证方案包含但不限于项目的质量保证措施、进度计划方案、安全文明施工方案、安全保障措施方案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4.针对本项目的前端维护方案（10分）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前端维护方案包含但不限于前端摄像机维护方案、线路外场维护方案、运维服务系统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5.针对本项目的网络维护方案（10分）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网络维护方案包含但不限于项目的网络架构、网络系统规划、网络安全监测、网络维护系统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6.针对本项目的突发事件应急处理方案（10分）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突发事件应急处理方案包含但不限于项目的软件平台系统故障应急预案、硬件系统故障应急预案、网络故障应急预案、服务器故障应急预案、应急措施、服务响应、应急保障人力及物资安排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7.针对本项目平台与吴江区视频应用能力支撑平台、吴江公安社会面监控平台的对接方案的比较（10分）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平台与两个平台系统的对接编制方案，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706"/>
        <w:ind w:firstLine="482"/>
        <w:spacing w:line="360" w:lineRule="auto"/>
        <w:rPr>
          <w:b/>
          <w:bCs/>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商务分：20分</w:t>
      </w:r>
      <w:r>
        <w:rPr>
          <w:b/>
          <w:bCs/>
          <w:lang w:val="en-US" w:eastAsia="zh-CN"/>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项目负责人配置（4分）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拟投入本项目的项目负责人1名：中级工程师及以上职称证书、注册信息安全专业人员证书，以上证书每有一种得2分，最高4分。提供证书复印件或扫描件并加盖响应单位公章，否则不得分。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技术负责人配置（4分）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拟投入本项目的技术负责人1名：中级工程师及以上职称证书、注册信息安全专业人员证书，以上证书每有一种得2分，最高4分。提供证书复印件或扫描件并加盖响应单位公章，否则不得分。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其他项目组成员（8分）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其他项目组成员（除项目负责人和技术负责人）：同时具有高空安装、维护、拆除作业的特种作业操作证和高压（或低压)电工作业的特种作业操作证的，有一个得2分，本项最高得8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类似业绩（4分）</w:t>
      </w:r>
      <w:r>
        <w:rPr>
          <w:rFonts w:hint="eastAsia" w:ascii="宋体" w:hAnsi="宋体" w:eastAsia="宋体" w:cs="宋体"/>
          <w:i w:val="0"/>
          <w:iCs w:val="0"/>
          <w:color w:val="000000"/>
          <w:sz w:val="24"/>
          <w:szCs w:val="24"/>
          <w:highlight w:val="none"/>
          <w:u w:val="none"/>
          <w:lang w:val="en-US" w:eastAsia="zh-CN" w:bidi="ar"/>
        </w:rPr>
      </w:r>
      <w:r/>
    </w:p>
    <w:p>
      <w:pPr>
        <w:pStyle w:val="712"/>
        <w:ind w:firstLine="480"/>
        <w:keepLines w:val="0"/>
        <w:keepNext w:val="0"/>
        <w:pageBreakBefore w:val="0"/>
        <w:spacing w:line="360" w:lineRule="auto"/>
        <w:widowControl w:val="off"/>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磋商供应商2023年5月1日至今（以合同签订日期为准）完成过类似相关业绩的，每提供一个得2分，最高4分。（磋商响应文件中提供业绩合同复印件或扫描件，否则不得分）</w:t>
      </w:r>
      <w:r>
        <w:rPr>
          <w:rFonts w:ascii="宋体" w:hAnsi="宋体" w:eastAsia="宋体" w:cs="宋体"/>
          <w:i w:val="0"/>
          <w:iCs w:val="0"/>
          <w:color w:val="000000"/>
          <w:sz w:val="24"/>
          <w:szCs w:val="24"/>
          <w:highlight w:val="none"/>
          <w:u w:val="none"/>
          <w:lang w:val="en-US" w:eastAsia="zh-CN" w:bidi="ar"/>
        </w:rPr>
      </w:r>
      <w:r/>
    </w:p>
    <w:p>
      <w:pPr>
        <w:pStyle w:val="760"/>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760"/>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7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3"/>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706"/>
        <w:ind w:firstLine="422"/>
        <w:jc w:val="right"/>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pStyle w:val="706"/>
        <w:ind w:firstLine="422"/>
        <w:jc w:val="righ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采购编号：</w:t>
      </w:r>
      <w:r>
        <w:rPr>
          <w:rFonts w:hint="eastAsia" w:ascii="宋体" w:hAnsi="宋体" w:eastAsia="宋体" w:cs="宋体"/>
          <w:b/>
          <w:bCs w:val="0"/>
          <w:color w:val="000000"/>
          <w:sz w:val="21"/>
          <w:szCs w:val="21"/>
          <w:highlight w:val="none"/>
          <w:lang w:eastAsia="zh-CN"/>
        </w:rPr>
        <w:t xml:space="preserve">JSZC-320509-ZZHL-C2026-0019</w:t>
      </w:r>
      <w:r>
        <w:rPr>
          <w:rFonts w:hint="eastAsia" w:ascii="宋体" w:hAnsi="宋体" w:eastAsia="宋体" w:cs="宋体"/>
          <w:b/>
          <w:bCs w:val="0"/>
          <w:color w:val="000000"/>
          <w:sz w:val="21"/>
          <w:szCs w:val="21"/>
          <w:highlight w:val="none"/>
        </w:rPr>
        <w:t xml:space="preserve">号</w:t>
      </w:r>
      <w:r>
        <w:rPr>
          <w:rFonts w:hint="eastAsia" w:ascii="宋体" w:hAnsi="宋体" w:eastAsia="宋体" w:cs="宋体"/>
          <w:b w:val="0"/>
          <w:bCs/>
          <w:color w:val="000000"/>
          <w:sz w:val="21"/>
          <w:szCs w:val="21"/>
          <w:highlight w:val="none"/>
          <w:lang w:val="en-US" w:eastAsia="zh-CN"/>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7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盛泽镇技防运维（</w:t>
      </w:r>
      <w:r>
        <w:rPr>
          <w:rFonts w:hint="eastAsia" w:ascii="宋体" w:hAnsi="宋体" w:eastAsia="宋体" w:cs="宋体"/>
          <w:color w:val="000000"/>
          <w:sz w:val="24"/>
          <w:szCs w:val="24"/>
          <w:highlight w:val="none"/>
          <w:u w:val="single"/>
          <w:lang w:val="en-US" w:eastAsia="zh-CN"/>
        </w:rPr>
        <w:t xml:space="preserve">    标段</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工作和合同中规定乙方应承担的其它义务。</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和合同规定，乙方在正确地履行合同义务后甲方应支付给乙方的价款。</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盛泽镇技防运维</w:t>
      </w:r>
      <w:r>
        <w:rPr>
          <w:rFonts w:hint="eastAsia" w:ascii="宋体" w:hAnsi="宋体" w:eastAsia="宋体" w:cs="宋体"/>
          <w:color w:val="000000"/>
          <w:sz w:val="24"/>
          <w:szCs w:val="24"/>
          <w:highlight w:val="none"/>
          <w:u w:val="single"/>
          <w:lang w:val="en-US" w:eastAsia="zh-CN"/>
        </w:rPr>
        <w:t xml:space="preserve">    （    标段）</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详见采购文件及乙方响文件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自合同生效之日起2年（</w:t>
      </w:r>
      <w:r>
        <w:rPr>
          <w:rFonts w:hint="eastAsia" w:ascii="宋体" w:hAnsi="宋体" w:eastAsia="宋体" w:cs="宋体"/>
          <w:color w:val="000000"/>
          <w:sz w:val="24"/>
          <w:szCs w:val="24"/>
          <w:highlight w:val="none"/>
          <w:lang w:val="en-US" w:eastAsia="zh-CN"/>
        </w:rPr>
        <w:t xml:space="preserve">线路租赁2年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2.4.1成交通知书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2.4.2采购文件</w:t>
      </w:r>
      <w:r>
        <w:rPr>
          <w:rFonts w:hint="eastAsia" w:ascii="宋体" w:hAnsi="宋体" w:eastAsia="宋体" w:cs="宋体"/>
          <w:color w:val="000000"/>
          <w:sz w:val="24"/>
          <w:szCs w:val="24"/>
          <w:highlight w:val="none"/>
        </w:rPr>
        <w:t xml:space="preserve">及其补充文件（如有）；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2.4.3</w:t>
      </w:r>
      <w:r>
        <w:rPr>
          <w:rFonts w:hint="eastAsia" w:ascii="宋体" w:hAnsi="宋体" w:eastAsia="宋体" w:cs="宋体"/>
          <w:color w:val="000000"/>
          <w:sz w:val="24"/>
          <w:szCs w:val="24"/>
          <w:highlight w:val="none"/>
        </w:rPr>
        <w:t xml:space="preserve">乙方的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2.4.4</w:t>
      </w:r>
      <w:r>
        <w:rPr>
          <w:rFonts w:hint="eastAsia" w:ascii="宋体" w:hAnsi="宋体" w:eastAsia="宋体" w:cs="宋体"/>
          <w:color w:val="000000"/>
          <w:sz w:val="24"/>
          <w:szCs w:val="24"/>
          <w:highlight w:val="none"/>
        </w:rPr>
        <w:t xml:space="preserve">乙方在采购过程中所作的其它承诺、声明、书面澄清等。</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完成本项目服务内容所需的</w:t>
      </w:r>
      <w:r>
        <w:rPr>
          <w:rFonts w:hint="eastAsia" w:ascii="宋体" w:hAnsi="宋体" w:eastAsia="宋体" w:cs="宋体"/>
          <w:color w:val="000000"/>
          <w:sz w:val="24"/>
          <w:szCs w:val="24"/>
          <w:highlight w:val="none"/>
          <w:lang w:val="en-US" w:eastAsia="zh-CN"/>
        </w:rPr>
        <w:t xml:space="preserve">设备、备品备件、网络及线路租赁、存储调试、</w:t>
      </w:r>
      <w:r>
        <w:rPr>
          <w:rFonts w:hint="eastAsia" w:ascii="宋体" w:hAnsi="宋体" w:eastAsia="宋体" w:cs="宋体"/>
          <w:color w:val="000000"/>
          <w:sz w:val="24"/>
          <w:szCs w:val="24"/>
          <w:highlight w:val="none"/>
        </w:rPr>
        <w:t xml:space="preserve">各类人员的工资、加班费、服装、福利、意外险、高温费、节假日补贴以及国家规定的社会保险、管理费、人员培训费、通讯、服装、胸卡、</w:t>
      </w:r>
      <w:r>
        <w:rPr>
          <w:rFonts w:hint="eastAsia" w:ascii="宋体" w:hAnsi="宋体" w:eastAsia="宋体" w:cs="宋体"/>
          <w:color w:val="000000"/>
          <w:sz w:val="24"/>
          <w:szCs w:val="24"/>
          <w:highlight w:val="none"/>
          <w:lang w:val="en-US" w:eastAsia="zh-CN"/>
        </w:rPr>
        <w:t xml:space="preserve">仓储、运输、装卸、登高、</w:t>
      </w:r>
      <w:r>
        <w:rPr>
          <w:rFonts w:hint="eastAsia" w:ascii="宋体" w:hAnsi="宋体" w:eastAsia="宋体" w:cs="宋体"/>
          <w:color w:val="000000"/>
          <w:sz w:val="24"/>
          <w:szCs w:val="24"/>
          <w:highlight w:val="none"/>
        </w:rPr>
        <w:t xml:space="preserve">各种税费、保险、劳保、</w:t>
      </w:r>
      <w:r>
        <w:rPr>
          <w:rFonts w:hint="eastAsia" w:ascii="宋体" w:hAnsi="宋体" w:eastAsia="宋体" w:cs="宋体"/>
          <w:color w:val="000000"/>
          <w:sz w:val="24"/>
          <w:szCs w:val="24"/>
          <w:highlight w:val="none"/>
          <w:lang w:eastAsia="zh-CN"/>
        </w:rPr>
        <w:t xml:space="preserve">利润、税金、代理服务费、政策性文件</w:t>
      </w:r>
      <w:r>
        <w:rPr>
          <w:rFonts w:hint="eastAsia" w:ascii="宋体" w:hAnsi="宋体" w:eastAsia="宋体" w:cs="宋体"/>
          <w:color w:val="000000"/>
          <w:sz w:val="24"/>
          <w:szCs w:val="24"/>
          <w:highlight w:val="none"/>
        </w:rPr>
        <w:t xml:space="preserve">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1.以固定总价方式结算。</w:t>
      </w:r>
      <w:r>
        <w:rPr>
          <w:rFonts w:hint="eastAsia"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2.1付款步骤：合同生效后，甲方根据考核结果按季度支付，每季度支付金额=合同金额/8-考核扣减（如有）</w:t>
      </w:r>
      <w:r>
        <w:rPr>
          <w:rFonts w:hint="eastAsia"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2.2考核扣减</w:t>
      </w:r>
      <w:r>
        <w:rPr>
          <w:rFonts w:hint="eastAsia"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（1）每月考评结果≥90分，实际付款金额=应付金额*100%。</w:t>
      </w:r>
      <w:r>
        <w:rPr>
          <w:rFonts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（2）90分＞每月考评结果≥80分，实际付款金额=应付金额*90%。</w:t>
      </w:r>
      <w:r>
        <w:rPr>
          <w:rFonts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（3）80分＞每月考评结果≥70分，实际付款金额=应付金额*70%。</w:t>
      </w:r>
      <w:r>
        <w:rPr>
          <w:rFonts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（4）70分＞每月考评结果≥60分，实际付款金额=应付金额*50%。</w:t>
      </w:r>
      <w:r>
        <w:rPr>
          <w:rFonts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（5）每月考评结果＜60分，甲方有权拒绝支付当月费用。</w:t>
      </w:r>
      <w:r>
        <w:rPr>
          <w:rFonts w:ascii="宋体" w:hAnsi="宋体" w:eastAsia="宋体" w:cs="宋体"/>
          <w:color w:val="000000"/>
          <w:sz w:val="24"/>
          <w:szCs w:val="24"/>
          <w:highlight w:val="none"/>
          <w:lang w:val="en-US" w:eastAsia="zh-CN"/>
        </w:rPr>
      </w:r>
      <w:r/>
    </w:p>
    <w:p>
      <w:pPr>
        <w:pStyle w:val="70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（6）全年累计三次以上月考核＜60分，甲方有权解除合同。</w:t>
      </w:r>
      <w:r>
        <w:rPr>
          <w:rFonts w:ascii="宋体" w:hAnsi="宋体" w:eastAsia="宋体" w:cs="宋体"/>
          <w:color w:val="000000"/>
          <w:sz w:val="24"/>
          <w:szCs w:val="24"/>
          <w:highlight w:val="none"/>
          <w:lang w:val="en-US" w:eastAsia="zh-CN"/>
        </w:rPr>
      </w:r>
      <w:r/>
    </w:p>
    <w:p>
      <w:pPr>
        <w:pStyle w:val="706"/>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《考核细则》详见合同附件。</w:t>
      </w:r>
      <w:r>
        <w:rPr>
          <w:rFonts w:ascii="宋体" w:hAnsi="宋体" w:eastAsia="宋体" w:cs="宋体"/>
          <w:b/>
          <w:bCs/>
          <w:color w:val="000000"/>
          <w:sz w:val="24"/>
          <w:szCs w:val="24"/>
          <w:highlight w:val="none"/>
          <w:lang w:val="en-US" w:eastAsia="zh-CN"/>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.账户信息</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乙方开户名称：</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五、甲、乙双方的责任</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1.甲方责任：</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1.1依本合同约定按期支付合同款项；</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1.2依本合同约定及时组织验收；</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1.3协助乙方进行项目的相关协调工作及约定期限内提供相关资料以利于开展项目。</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2.乙方责任：</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乙方负责完成本次采购要求的全部服务工作，乙方应按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以及合同约定的技术规范、标准进行实施，并保证按期、保质保量完成项目的实施工作，对提交的项目质量负责。</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1.2甲方逾期付款的应按照逾期付款金额的每天万分之四支付逾期付款违约金，总额不超总价款的5%。</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2.乙方的违约责任：</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2.3乙方必须自己完成合同内容，不得自行分包，否则，甲方有权按乙方不能完成合同处理。</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2.5乙方负有对自己员工的安全责任，甲方不承担任何相关责任。</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七、不可抗力</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八、争端的解决 </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2.如果调解不成，双方中的任何一方可向人民法院提起诉讼。诉讼由合同签订地人民法院管辖。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九、违约终止合同</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 </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十二、合同转让和分包：</w:t>
      </w:r>
      <w:r>
        <w:rPr>
          <w:rFonts w:hint="eastAsia" w:ascii="宋体" w:hAnsi="宋体" w:eastAsia="宋体" w:cs="宋体"/>
          <w:color w:val="000000"/>
          <w:sz w:val="24"/>
          <w:szCs w:val="24"/>
          <w:highlight w:val="none"/>
        </w:rPr>
        <w:t xml:space="preserve">本项目不得转让和分包。</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rPr>
          <w:rFonts w:hint="eastAsia" w:ascii="宋体" w:hAnsi="宋体" w:eastAsia="宋体" w:cs="宋体"/>
          <w:color w:val="000000"/>
          <w:sz w:val="24"/>
          <w:szCs w:val="24"/>
          <w:highlight w:val="none"/>
        </w:rPr>
      </w:r>
      <w:r/>
    </w:p>
    <w:p>
      <w:pPr>
        <w:pStyle w:val="70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w:t>
      </w:r>
      <w:r>
        <w:rPr>
          <w:rFonts w:hint="eastAsia" w:ascii="宋体" w:hAnsi="宋体" w:eastAsia="宋体" w:cs="宋体"/>
          <w:b/>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、成交单位的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、中标人在采购过程中的澄清和承诺等为本合同不可缺少的组成部分。</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合同签订后须在苏州市政府采购网进行合同公示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b/>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b/>
          <w:color w:val="000000"/>
          <w:sz w:val="24"/>
          <w:szCs w:val="24"/>
          <w:highlight w:val="non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b/>
          <w:bCs/>
          <w:color w:val="000000"/>
          <w:sz w:val="24"/>
          <w:szCs w:val="24"/>
          <w:highlight w:val="none"/>
          <w:lang w:val="en-US" w:eastAsia="zh-CN"/>
        </w:rPr>
        <w:t xml:space="preserve">壹</w:t>
      </w:r>
      <w:r>
        <w:rPr>
          <w:rFonts w:hint="eastAsia" w:ascii="宋体" w:hAnsi="宋体" w:eastAsia="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各份具有同等法律效力。</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rPr>
          <w:rFonts w:hint="eastAsia" w:ascii="宋体" w:hAnsi="宋体" w:eastAsia="宋体" w:cs="宋体"/>
          <w:color w:val="000000"/>
          <w:sz w:val="24"/>
          <w:szCs w:val="24"/>
          <w:highlight w:val="none"/>
        </w:rPr>
      </w:r>
      <w:r/>
    </w:p>
    <w:p>
      <w:pPr>
        <w:pStyle w:val="7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highlight w:val="none"/>
        </w:rPr>
      </w:r>
      <w:r/>
    </w:p>
    <w:p>
      <w:pPr>
        <w:pStyle w:val="715"/>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15"/>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（以下无正文）</w:t>
      </w:r>
      <w:r>
        <w:rPr>
          <w:rFonts w:hint="eastAsia" w:ascii="宋体" w:hAnsi="宋体" w:eastAsia="宋体" w:cs="宋体"/>
          <w:b/>
          <w:color w:val="000000"/>
          <w:sz w:val="24"/>
          <w:szCs w:val="24"/>
          <w:highlight w:val="none"/>
        </w:rPr>
      </w:r>
      <w:r/>
    </w:p>
    <w:p>
      <w:pPr>
        <w:pStyle w:val="706"/>
        <w:rPr>
          <w:color w:val="000000"/>
          <w:highlight w:val="none"/>
        </w:rPr>
      </w:pPr>
      <w:r>
        <w:rPr>
          <w:color w:val="000000"/>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70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70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70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715"/>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70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706"/>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706"/>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706"/>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706"/>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合同签订地</w:t>
            </w:r>
            <w:r>
              <w:rPr>
                <w:rFonts w:ascii="宋体" w:hAnsi="宋体" w:eastAsia="宋体" w:cs="宋体"/>
                <w:b/>
                <w:bCs/>
                <w:color w:val="000000"/>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70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706"/>
        <w:ind w:firstLine="482"/>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合同附件：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考核</w:t>
      </w:r>
      <w:r>
        <w:rPr>
          <w:rFonts w:hint="eastAsia" w:ascii="宋体" w:hAnsi="宋体" w:eastAsia="宋体" w:cs="宋体"/>
          <w:b/>
          <w:bCs/>
          <w:color w:val="000000"/>
          <w:sz w:val="24"/>
          <w:szCs w:val="24"/>
          <w:highlight w:val="none"/>
          <w:lang w:val="en-US" w:eastAsia="zh-CN"/>
        </w:rPr>
        <w:t xml:space="preserve">细则</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highlight w:val="none"/>
          <w:lang w:val="en-US" w:eastAsia="zh-CN"/>
        </w:rPr>
      </w:r>
      <w:r/>
    </w:p>
    <w:p>
      <w:pPr>
        <w:pStyle w:val="7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考核方式：每</w:t>
      </w:r>
      <w:r>
        <w:rPr>
          <w:rFonts w:hint="eastAsia" w:ascii="宋体" w:hAnsi="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提供监控点每日在线率表格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在线率须达到98%以上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rPr>
        <w:t xml:space="preserve">度考核打分表</w:t>
      </w:r>
      <w:r>
        <w:rPr>
          <w:rFonts w:hint="eastAsia" w:ascii="宋体" w:hAnsi="宋体" w:eastAsia="宋体" w:cs="宋体"/>
          <w:color w:val="000000"/>
          <w:sz w:val="24"/>
          <w:szCs w:val="24"/>
          <w:highlight w:val="none"/>
          <w:lang w:val="en-US" w:eastAsia="zh-CN"/>
        </w:rPr>
        <w:t xml:space="preserve">由甲方打分并</w:t>
      </w:r>
      <w:r>
        <w:rPr>
          <w:rFonts w:hint="eastAsia" w:ascii="宋体" w:hAnsi="宋体" w:eastAsia="宋体" w:cs="宋体"/>
          <w:color w:val="000000"/>
          <w:sz w:val="24"/>
          <w:szCs w:val="24"/>
          <w:highlight w:val="none"/>
        </w:rPr>
        <w:t xml:space="preserve">签字确认</w:t>
      </w:r>
      <w:r>
        <w:rPr>
          <w:rFonts w:hint="eastAsia" w:ascii="宋体" w:hAnsi="宋体" w:eastAsia="宋体" w:cs="宋体"/>
          <w:color w:val="000000"/>
          <w:sz w:val="24"/>
          <w:szCs w:val="24"/>
          <w:highlight w:val="none"/>
        </w:rPr>
      </w:r>
      <w:r/>
    </w:p>
    <w:tbl>
      <w:tblPr>
        <w:tblW w:w="9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712"/>
        <w:gridCol w:w="1260"/>
        <w:gridCol w:w="1036"/>
        <w:gridCol w:w="4417"/>
        <w:gridCol w:w="1200"/>
      </w:tblGrid>
      <w:tr>
        <w:trPr>
          <w:trHeight w:val="476"/>
        </w:trPr>
        <w:tc>
          <w:tcPr>
            <w:gridSpan w:val="6"/>
            <w:tcW w:w="9780" w:type="dxa"/>
            <w:vAlign w:val="center"/>
            <w:textDirection w:val="lrTb"/>
            <w:noWrap/>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技防维保项目考核打分表</w:t>
            </w:r>
            <w:r>
              <w:rPr>
                <w:rFonts w:hint="eastAsia" w:ascii="宋体" w:hAnsi="宋体" w:eastAsia="宋体" w:cs="宋体"/>
                <w:b w:val="0"/>
                <w:bCs w:val="0"/>
                <w:i w:val="0"/>
                <w:iCs w:val="0"/>
                <w:color w:val="000000"/>
                <w:sz w:val="24"/>
                <w:szCs w:val="24"/>
                <w:u w:val="none"/>
              </w:rPr>
            </w:r>
            <w:r/>
          </w:p>
        </w:tc>
      </w:tr>
      <w:tr>
        <w:trPr>
          <w:trHeight w:val="476"/>
        </w:trPr>
        <w:tc>
          <w:tcPr>
            <w:gridSpan w:val="5"/>
            <w:tcW w:w="8580" w:type="dxa"/>
            <w:vAlign w:val="center"/>
            <w:textDirection w:val="lrTb"/>
            <w:noWrap/>
          </w:tcPr>
          <w:p>
            <w:pPr>
              <w:pStyle w:val="706"/>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考核周期：    年   月-      年   月</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textDirection w:val="lrTb"/>
            <w:noWrap w:val="false"/>
          </w:tcPr>
          <w:p>
            <w:pPr>
              <w:pStyle w:val="70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rPr>
                <w:rFonts w:hint="eastAsia" w:ascii="宋体" w:hAnsi="宋体" w:eastAsia="宋体" w:cs="宋体"/>
                <w:b/>
                <w:bCs/>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内容</w:t>
            </w:r>
            <w:r>
              <w:rPr>
                <w:rFonts w:hint="eastAsia" w:ascii="宋体" w:hAnsi="宋体" w:eastAsia="宋体" w:cs="宋体"/>
                <w:b/>
                <w:bCs/>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考核分</w:t>
            </w:r>
            <w:r>
              <w:rPr>
                <w:rFonts w:hint="eastAsia" w:ascii="宋体" w:hAnsi="宋体" w:eastAsia="宋体" w:cs="宋体"/>
                <w:b/>
                <w:bCs/>
                <w:i w:val="0"/>
                <w:iCs w:val="0"/>
                <w:color w:val="000000"/>
                <w:sz w:val="24"/>
                <w:szCs w:val="24"/>
                <w:u w:val="none"/>
              </w:rPr>
            </w:r>
            <w:r/>
          </w:p>
        </w:tc>
        <w:tc>
          <w:tcPr>
            <w:tcW w:w="4417" w:type="dxa"/>
            <w:vAlign w:val="center"/>
            <w:textDirection w:val="lrTb"/>
            <w:noWrap w:val="false"/>
          </w:tcPr>
          <w:p>
            <w:pPr>
              <w:pStyle w:val="70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评分说明</w:t>
            </w:r>
            <w:r>
              <w:rPr>
                <w:rFonts w:hint="eastAsia" w:ascii="宋体" w:hAnsi="宋体" w:eastAsia="宋体" w:cs="宋体"/>
                <w:b/>
                <w:bCs/>
                <w:i w:val="0"/>
                <w:iCs w:val="0"/>
                <w:color w:val="000000"/>
                <w:sz w:val="24"/>
                <w:szCs w:val="24"/>
                <w:u w:val="none"/>
              </w:rPr>
            </w:r>
            <w:r/>
          </w:p>
        </w:tc>
        <w:tc>
          <w:tcPr>
            <w:tcW w:w="1200" w:type="dxa"/>
            <w:vAlign w:val="center"/>
            <w:textDirection w:val="lrTb"/>
            <w:noWrap w:val="false"/>
          </w:tcPr>
          <w:p>
            <w:pPr>
              <w:pStyle w:val="70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考核得分</w:t>
            </w:r>
            <w:r>
              <w:rPr>
                <w:rFonts w:hint="eastAsia" w:ascii="宋体" w:hAnsi="宋体" w:eastAsia="宋体" w:cs="宋体"/>
                <w:b/>
                <w:bCs/>
                <w:i w:val="0"/>
                <w:iCs w:val="0"/>
                <w:color w:val="000000"/>
                <w:sz w:val="24"/>
                <w:szCs w:val="24"/>
                <w:u w:val="none"/>
              </w:rPr>
            </w:r>
            <w:r/>
          </w:p>
        </w:tc>
      </w:tr>
      <w:tr>
        <w:trPr>
          <w:trHeight w:val="476"/>
        </w:trPr>
        <w:tc>
          <w:tcPr>
            <w:gridSpan w:val="5"/>
            <w:tcW w:w="8580" w:type="dxa"/>
            <w:vAlign w:val="center"/>
            <w:textDirection w:val="lrTb"/>
            <w:noWrap w:val="false"/>
          </w:tcPr>
          <w:p>
            <w:pPr>
              <w:pStyle w:val="706"/>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考核项</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restart"/>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基础管理（</w:t>
            </w:r>
            <w:r>
              <w:rPr>
                <w:rStyle w:val="780"/>
                <w:rFonts w:hint="eastAsia" w:ascii="宋体" w:hAnsi="宋体" w:eastAsia="宋体" w:cs="宋体"/>
                <w:b w:val="0"/>
                <w:bCs w:val="0"/>
                <w:color w:val="000000"/>
                <w:sz w:val="24"/>
                <w:szCs w:val="24"/>
                <w:lang w:val="en-US" w:eastAsia="zh-CN" w:bidi="ar"/>
              </w:rPr>
              <w:t xml:space="preserve">35</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满意度打分</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rPr>
                <w:rStyle w:val="763"/>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由采购单位根据日常使用情况的满意度给予主观打分。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车辆及备件情况</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车辆以及备件不得低于维护要求，由采购单位根据日常工作情况以及车辆使用情况的给予主观打分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rPr>
                <w:rStyle w:val="779"/>
                <w:rFonts w:hint="eastAsia" w:ascii="宋体" w:hAnsi="宋体" w:eastAsia="宋体" w:cs="宋体"/>
                <w:b w:val="0"/>
                <w:bCs w:val="0"/>
                <w:color w:val="000000"/>
                <w:sz w:val="24"/>
                <w:szCs w:val="24"/>
                <w:lang w:val="en-US" w:eastAsia="zh-CN" w:bidi="ar"/>
              </w:rPr>
              <w:t xml:space="preserve">小时保障系统及平台对接维护</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w:t>
            </w:r>
            <w:r>
              <w:rPr>
                <w:rStyle w:val="780"/>
                <w:rFonts w:hint="eastAsia" w:ascii="宋体" w:hAnsi="宋体" w:eastAsia="宋体" w:cs="宋体"/>
                <w:b w:val="0"/>
                <w:bCs w:val="0"/>
                <w:color w:val="000000"/>
                <w:sz w:val="24"/>
                <w:szCs w:val="24"/>
                <w:lang w:val="en-US" w:eastAsia="zh-CN" w:bidi="ar"/>
              </w:rPr>
              <w:t xml:space="preserve">24</w:t>
            </w:r>
            <w:r>
              <w:rPr>
                <w:rStyle w:val="779"/>
                <w:rFonts w:hint="eastAsia" w:ascii="宋体" w:hAnsi="宋体" w:eastAsia="宋体" w:cs="宋体"/>
                <w:b w:val="0"/>
                <w:bCs w:val="0"/>
                <w:color w:val="000000"/>
                <w:sz w:val="24"/>
                <w:szCs w:val="24"/>
                <w:lang w:val="en-US" w:eastAsia="zh-CN" w:bidi="ar"/>
              </w:rPr>
              <w:t xml:space="preserve">小时应急保障电话，保证及时响应，由采购单位根据保障电话的接通情况的给予主观打分。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restart"/>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质量管理（</w:t>
            </w:r>
            <w:r>
              <w:rPr>
                <w:rStyle w:val="780"/>
                <w:rFonts w:hint="eastAsia" w:ascii="宋体" w:hAnsi="宋体" w:eastAsia="宋体" w:cs="宋体"/>
                <w:b w:val="0"/>
                <w:bCs w:val="0"/>
                <w:color w:val="000000"/>
                <w:sz w:val="24"/>
                <w:szCs w:val="24"/>
                <w:lang w:val="en-US" w:eastAsia="zh-CN" w:bidi="ar"/>
              </w:rPr>
              <w:t xml:space="preserve">65</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系统设备完好率（在线率）</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日常系统设备完好率应达到</w:t>
            </w:r>
            <w:r>
              <w:rPr>
                <w:rStyle w:val="780"/>
                <w:rFonts w:hint="eastAsia" w:ascii="宋体" w:hAnsi="宋体" w:eastAsia="宋体" w:cs="宋体"/>
                <w:b w:val="0"/>
                <w:bCs w:val="0"/>
                <w:color w:val="000000"/>
                <w:sz w:val="24"/>
                <w:szCs w:val="24"/>
                <w:lang w:val="en-US" w:eastAsia="zh-CN" w:bidi="ar"/>
              </w:rPr>
              <w:t xml:space="preserve">98%</w:t>
            </w:r>
            <w:r>
              <w:rPr>
                <w:rStyle w:val="779"/>
                <w:rFonts w:hint="eastAsia" w:ascii="宋体" w:hAnsi="宋体" w:eastAsia="宋体" w:cs="宋体"/>
                <w:b w:val="0"/>
                <w:bCs w:val="0"/>
                <w:color w:val="000000"/>
                <w:sz w:val="24"/>
                <w:szCs w:val="24"/>
                <w:lang w:val="en-US" w:eastAsia="zh-CN" w:bidi="ar"/>
              </w:rPr>
              <w:t xml:space="preserve">，每低</w:t>
            </w:r>
            <w:r>
              <w:rPr>
                <w:rStyle w:val="780"/>
                <w:rFonts w:hint="eastAsia" w:ascii="宋体" w:hAnsi="宋体" w:eastAsia="宋体" w:cs="宋体"/>
                <w:b w:val="0"/>
                <w:bCs w:val="0"/>
                <w:color w:val="000000"/>
                <w:sz w:val="24"/>
                <w:szCs w:val="24"/>
                <w:lang w:val="en-US" w:eastAsia="zh-CN" w:bidi="ar"/>
              </w:rPr>
              <w:t xml:space="preserve">1%</w:t>
            </w:r>
            <w:r>
              <w:rPr>
                <w:rStyle w:val="779"/>
                <w:rFonts w:hint="eastAsia" w:ascii="宋体" w:hAnsi="宋体" w:eastAsia="宋体" w:cs="宋体"/>
                <w:b w:val="0"/>
                <w:bCs w:val="0"/>
                <w:color w:val="000000"/>
                <w:sz w:val="24"/>
                <w:szCs w:val="24"/>
                <w:lang w:val="en-US" w:eastAsia="zh-CN" w:bidi="ar"/>
              </w:rPr>
              <w:t xml:space="preserve">一次扣</w:t>
            </w:r>
            <w:r>
              <w:rPr>
                <w:rStyle w:val="780"/>
                <w:rFonts w:hint="eastAsia" w:ascii="宋体" w:hAnsi="宋体" w:eastAsia="宋体" w:cs="宋体"/>
                <w:b w:val="0"/>
                <w:bCs w:val="0"/>
                <w:color w:val="000000"/>
                <w:sz w:val="24"/>
                <w:szCs w:val="24"/>
                <w:lang w:val="en-US" w:eastAsia="zh-CN" w:bidi="ar"/>
              </w:rPr>
              <w:t xml:space="preserve">2</w:t>
            </w:r>
            <w:r>
              <w:rPr>
                <w:rStyle w:val="779"/>
                <w:rFonts w:hint="eastAsia" w:ascii="宋体" w:hAnsi="宋体" w:eastAsia="宋体" w:cs="宋体"/>
                <w:b w:val="0"/>
                <w:bCs w:val="0"/>
                <w:color w:val="000000"/>
                <w:sz w:val="24"/>
                <w:szCs w:val="24"/>
                <w:lang w:val="en-US" w:eastAsia="zh-CN" w:bidi="ar"/>
              </w:rPr>
              <w:t xml:space="preserve">分（停电原因、道路施工、点位迁移、不可抗力等因素除外）。日常系统设备完好率每月统计一次。</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故障响应速度及修复时间</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不按规定时间及时修复的，每发生一次扣</w:t>
            </w:r>
            <w:r>
              <w:rPr>
                <w:rStyle w:val="764"/>
                <w:rFonts w:hint="eastAsia" w:ascii="宋体" w:hAnsi="宋体" w:eastAsia="宋体" w:cs="宋体"/>
                <w:b w:val="0"/>
                <w:bCs w:val="0"/>
                <w:color w:val="000000"/>
                <w:sz w:val="24"/>
                <w:szCs w:val="24"/>
                <w:lang w:val="en-US" w:eastAsia="zh-CN" w:bidi="ar"/>
              </w:rPr>
              <w:t xml:space="preserve">1</w:t>
            </w:r>
            <w:r>
              <w:rPr>
                <w:rStyle w:val="779"/>
                <w:rFonts w:hint="eastAsia" w:ascii="宋体" w:hAnsi="宋体" w:eastAsia="宋体" w:cs="宋体"/>
                <w:b w:val="0"/>
                <w:bCs w:val="0"/>
                <w:color w:val="000000"/>
                <w:sz w:val="24"/>
                <w:szCs w:val="24"/>
                <w:lang w:val="en-US" w:eastAsia="zh-CN" w:bidi="ar"/>
              </w:rPr>
              <w:t xml:space="preserve">分，扣完为止，特殊情况需报备。</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对重大事件、活动的现场保障</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706"/>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重大活动保障及重要监控图像保障，如因维护问题出现的监控图像丢失产生严重后果的，直接扣</w:t>
            </w:r>
            <w:r>
              <w:rPr>
                <w:rStyle w:val="780"/>
                <w:rFonts w:hint="eastAsia" w:ascii="宋体" w:hAnsi="宋体" w:eastAsia="宋体" w:cs="宋体"/>
                <w:b w:val="0"/>
                <w:bCs w:val="0"/>
                <w:color w:val="000000"/>
                <w:sz w:val="24"/>
                <w:szCs w:val="24"/>
                <w:lang w:val="en-US" w:eastAsia="zh-CN" w:bidi="ar"/>
              </w:rPr>
              <w:t xml:space="preserve">10</w:t>
            </w:r>
            <w:r>
              <w:rPr>
                <w:rStyle w:val="779"/>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gridSpan w:val="5"/>
            <w:tcW w:w="8580" w:type="dxa"/>
            <w:vAlign w:val="center"/>
            <w:textDirection w:val="lrTb"/>
            <w:noWrap/>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合计得分：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706"/>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476"/>
        </w:trPr>
        <w:tc>
          <w:tcPr>
            <w:gridSpan w:val="2"/>
            <w:tcW w:w="1867" w:type="dxa"/>
            <w:vAlign w:val="center"/>
            <w:textDirection w:val="lrTb"/>
            <w:noWrap/>
          </w:tcPr>
          <w:p>
            <w:pPr>
              <w:pStyle w:val="706"/>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经办人（签字）：</w:t>
            </w:r>
            <w:r>
              <w:rPr>
                <w:rFonts w:hint="eastAsia" w:ascii="宋体" w:hAnsi="宋体" w:eastAsia="宋体" w:cs="宋体"/>
                <w:b w:val="0"/>
                <w:bCs w:val="0"/>
                <w:i w:val="0"/>
                <w:iCs w:val="0"/>
                <w:color w:val="000000"/>
                <w:sz w:val="24"/>
                <w:szCs w:val="24"/>
                <w:u w:val="none"/>
              </w:rPr>
            </w:r>
            <w:r/>
          </w:p>
        </w:tc>
        <w:tc>
          <w:tcPr>
            <w:gridSpan w:val="4"/>
            <w:tcW w:w="7913" w:type="dxa"/>
            <w:vAlign w:val="center"/>
            <w:textDirection w:val="lrTb"/>
            <w:noWrap/>
          </w:tcPr>
          <w:p>
            <w:pPr>
              <w:pStyle w:val="706"/>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2806"/>
        </w:trPr>
        <w:tc>
          <w:tcPr>
            <w:gridSpan w:val="6"/>
            <w:tcW w:w="9780" w:type="dxa"/>
            <w:vAlign w:val="center"/>
            <w:textDirection w:val="lrTb"/>
            <w:noWrap/>
          </w:tcPr>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每月考评结果≥90分，实际付款金额=应付金额*100%。</w:t>
            </w:r>
            <w:r>
              <w:rPr>
                <w:rFonts w:hint="eastAsia" w:ascii="宋体" w:hAnsi="宋体" w:eastAsia="宋体" w:cs="宋体"/>
                <w:b w:val="0"/>
                <w:bCs w:val="0"/>
                <w:color w:val="000000"/>
                <w:sz w:val="24"/>
                <w:szCs w:val="24"/>
                <w:highlight w:val="none"/>
                <w:lang w:eastAsia="zh-CN"/>
              </w:rPr>
            </w:r>
            <w:r/>
          </w:p>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）90分＞每月考评结果≥80分，实际付款金额=应付金额*90%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）80分＞每月考评结果≥70分，实际付款金额=应付金额*70%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）70分＞每月考评结果≥60分，实际付款金额=应付金额*50%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）每月考评结果＜60分，甲方有权拒绝支付当月费</w:t>
            </w:r>
            <w:r>
              <w:rPr>
                <w:rFonts w:hint="eastAsia" w:ascii="宋体" w:hAnsi="宋体" w:eastAsia="宋体" w:cs="宋体"/>
                <w:b w:val="0"/>
                <w:bCs w:val="0"/>
                <w:color w:val="000000"/>
                <w:sz w:val="24"/>
                <w:szCs w:val="24"/>
                <w:highlight w:val="none"/>
                <w:lang w:val="en-US" w:eastAsia="zh-CN"/>
              </w:rPr>
              <w:t xml:space="preserve">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06"/>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）全年累计三次以上月考核＜60分，甲方有权解除合同。</w:t>
            </w:r>
            <w:r>
              <w:rPr>
                <w:rFonts w:hint="eastAsia" w:ascii="宋体" w:hAnsi="宋体" w:eastAsia="宋体" w:cs="宋体"/>
                <w:b w:val="0"/>
                <w:bCs w:val="0"/>
                <w:color w:val="000000"/>
                <w:sz w:val="24"/>
                <w:szCs w:val="24"/>
                <w:highlight w:val="none"/>
                <w:lang w:val="en-US" w:eastAsia="zh-CN"/>
              </w:rPr>
            </w:r>
            <w:r/>
          </w:p>
        </w:tc>
      </w:tr>
    </w:tbl>
    <w:p>
      <w:pPr>
        <w:pStyle w:val="7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6"/>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2"/>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06"/>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706"/>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7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706"/>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JSZC-320509-ZZHL-C2026-0019</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70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70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0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714"/>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714"/>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7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7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06"/>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728"/>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728"/>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728"/>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70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8"/>
        <w:rPr>
          <w:rFonts w:hint="eastAsia"/>
          <w:color w:val="000000"/>
          <w:highlight w:val="none"/>
        </w:rPr>
      </w:pPr>
      <w:r>
        <w:rPr>
          <w:rFonts w:hint="eastAsia"/>
          <w:color w:val="000000"/>
          <w:highlight w:val="none"/>
        </w:rPr>
      </w:r>
      <w:r/>
    </w:p>
    <w:p>
      <w:pPr>
        <w:pStyle w:val="706"/>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706"/>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70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磋商编号：JSZC-320509-ZZHL-C2026-0019号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706"/>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70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70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706"/>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71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6"/>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706"/>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70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07"/>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706"/>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706"/>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采购编号：</w:t>
      </w:r>
      <w:r>
        <w:rPr>
          <w:rFonts w:hint="eastAsia" w:ascii="宋体" w:hAnsi="宋体" w:eastAsia="宋体" w:cs="宋体"/>
          <w:color w:val="000000"/>
          <w:spacing w:val="20"/>
          <w:sz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trHeight w:val="503"/>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rPr>
                <w:rFonts w:hint="eastAsia"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单价（元）</w:t>
            </w: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rPr>
                <w:rFonts w:hint="eastAsia" w:ascii="宋体" w:hAnsi="宋体" w:cs="宋体"/>
                <w:color w:val="000000"/>
                <w:sz w:val="24"/>
                <w:highlight w:val="none"/>
              </w:rPr>
            </w:r>
            <w:r/>
          </w:p>
        </w:tc>
        <w:tc>
          <w:tcPr>
            <w:tcW w:w="140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427"/>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706"/>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93"/>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706"/>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706"/>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05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70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8"/>
        </w:trPr>
        <w:tc>
          <w:tcPr>
            <w:gridSpan w:val="2"/>
            <w:tcW w:w="3995" w:type="dxa"/>
            <w:vAlign w:val="center"/>
            <w:textDirection w:val="lrTb"/>
            <w:noWrap/>
          </w:tcPr>
          <w:p>
            <w:pPr>
              <w:pStyle w:val="70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rPr>
                <w:rFonts w:hint="eastAsia" w:ascii="宋体" w:hAnsi="宋体" w:cs="宋体"/>
                <w:color w:val="000000"/>
                <w:sz w:val="24"/>
                <w:highlight w:val="none"/>
              </w:rPr>
            </w:r>
            <w:r/>
          </w:p>
        </w:tc>
        <w:tc>
          <w:tcPr>
            <w:gridSpan w:val="4"/>
            <w:tcW w:w="5293" w:type="dxa"/>
            <w:vAlign w:val="center"/>
            <w:textDirection w:val="lrTb"/>
            <w:noWrap/>
          </w:tcPr>
          <w:p>
            <w:pPr>
              <w:pStyle w:val="706"/>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rPr>
                <w:rFonts w:hint="eastAsia" w:ascii="宋体" w:hAnsi="宋体" w:cs="宋体"/>
                <w:color w:val="000000"/>
                <w:sz w:val="24"/>
                <w:highlight w:val="none"/>
              </w:rPr>
            </w:r>
            <w:r/>
          </w:p>
        </w:tc>
      </w:tr>
    </w:tbl>
    <w:p>
      <w:pPr>
        <w:pStyle w:val="706"/>
        <w:ind w:firstLine="562"/>
        <w:keepLines w:val="0"/>
        <w:keepNext w:val="0"/>
        <w:pageBreakBefore w:val="0"/>
        <w:spacing w:line="360" w:lineRule="auto"/>
        <w:widowControl w:val="off"/>
        <w:rPr>
          <w:rFonts w:hint="eastAsia" w:ascii="宋体" w:hAnsi="宋体" w:eastAsia="宋体" w:cs="宋体"/>
          <w:b/>
          <w:bCs/>
          <w:color w:val="000000"/>
          <w:spacing w:val="20"/>
          <w:sz w:val="24"/>
          <w:highlight w:val="none"/>
          <w:lang w:val="en-US" w:eastAsia="zh-CN"/>
        </w:rPr>
      </w:pPr>
      <w:r>
        <w:rPr>
          <w:rFonts w:hint="eastAsia" w:ascii="宋体" w:hAnsi="宋体" w:eastAsia="宋体" w:cs="宋体"/>
          <w:b/>
          <w:bCs/>
          <w:color w:val="000000"/>
          <w:spacing w:val="20"/>
          <w:sz w:val="24"/>
          <w:highlight w:val="none"/>
          <w:lang w:val="en-US" w:eastAsia="zh-CN"/>
        </w:rPr>
        <w:t xml:space="preserve">注：磋商分析表磋商响应报价一览表总价一致，否则以磋商响应报价一览表为准。</w:t>
      </w:r>
      <w:r>
        <w:rPr>
          <w:rFonts w:hint="eastAsia" w:ascii="宋体" w:hAnsi="宋体" w:eastAsia="宋体" w:cs="宋体"/>
          <w:b/>
          <w:bCs/>
          <w:color w:val="000000"/>
          <w:spacing w:val="20"/>
          <w:sz w:val="24"/>
          <w:highlight w:val="none"/>
          <w:lang w:val="en-US" w:eastAsia="zh-CN"/>
        </w:rPr>
      </w:r>
      <w:r/>
    </w:p>
    <w:p>
      <w:pPr>
        <w:pStyle w:val="706"/>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r>
      <w:r/>
    </w:p>
    <w:p>
      <w:pPr>
        <w:pStyle w:val="706"/>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706"/>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70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706"/>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706"/>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706"/>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714"/>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70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72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706"/>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70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JSZC-320509-ZZHL-C2026-0019</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71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0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70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70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725"/>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2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706"/>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706"/>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706"/>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JSZC-320509-ZZHL-C2026-0019</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0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70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706"/>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27"/>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27"/>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706"/>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706"/>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7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7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7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6"/>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6"/>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706"/>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706"/>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706"/>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0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706"/>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14"/>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714"/>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714"/>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714"/>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706"/>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70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320"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397"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714"/>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7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06"/>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7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70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6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76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70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70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712"/>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70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06"/>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bookmarkStart w:id="138" w:name="OLE_LINK14"/>
      <w:r/>
      <w:bookmarkStart w:id="139"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706"/>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8"/>
      <w:r/>
      <w:bookmarkEnd w:id="139"/>
      <w:r>
        <w:rPr>
          <w:rFonts w:hint="eastAsia" w:ascii="宋体" w:hAnsi="宋体" w:cs="宋体"/>
          <w:b/>
          <w:color w:val="000000"/>
          <w:spacing w:val="6"/>
          <w:sz w:val="24"/>
          <w:highlight w:val="none"/>
        </w:rPr>
      </w:r>
      <w:r/>
    </w:p>
    <w:p>
      <w:pPr>
        <w:pStyle w:val="706"/>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70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70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70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0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06"/>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706"/>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706"/>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706"/>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06"/>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06"/>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0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718"/>
        <w:rPr>
          <w:rFonts w:hint="eastAsia"/>
          <w:color w:val="000000"/>
          <w:highlight w:val="none"/>
          <w:lang w:val="zh-CN"/>
        </w:rPr>
      </w:pPr>
      <w:r>
        <w:rPr>
          <w:rFonts w:hint="eastAsia"/>
          <w:color w:val="000000"/>
          <w:highlight w:val="none"/>
          <w:lang w:val="zh-CN"/>
        </w:rPr>
      </w:r>
      <w:r/>
    </w:p>
    <w:p>
      <w:pPr>
        <w:pStyle w:val="70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6"/>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715"/>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70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0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706"/>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70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70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6"/>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JSZC-320509-ZZHL-C2026-0019</w:t>
    </w:r>
    <w:r>
      <w:rPr>
        <w:rFonts w:hint="eastAsia" w:eastAsia="宋体"/>
        <w:lang w:eastAsia="zh-CN"/>
      </w:rPr>
    </w:r>
    <w:r/>
  </w:p>
  <w:p>
    <w:pPr>
      <w:pStyle w:val="724"/>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706"/>
        <w:ind w:left="432" w:hanging="432"/>
        <w:tabs>
          <w:tab w:val="num" w:pos="432" w:leader="none"/>
        </w:tabs>
      </w:pPr>
      <w:rPr>
        <w:rFonts w:hint="eastAsia" w:ascii="宋体" w:hAnsi="宋体" w:eastAsia="宋体"/>
        <w:b/>
        <w:i w:val="0"/>
        <w:sz w:val="28"/>
        <w:szCs w:val="28"/>
      </w:rPr>
    </w:lvl>
    <w:lvl w:ilvl="1">
      <w:start w:val="1"/>
      <w:numFmt w:val="decimal"/>
      <w:pStyle w:val="708"/>
      <w:isLgl w:val="false"/>
      <w:suff w:val="tab"/>
      <w:lvlText w:val="%1.%2"/>
      <w:lvlJc w:val="left"/>
      <w:pPr>
        <w:pStyle w:val="706"/>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706"/>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706"/>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706"/>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706"/>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706"/>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706"/>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706"/>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2"/>
    <w:link w:val="706"/>
    <w:qFormat/>
    <w:pPr>
      <w:jc w:val="both"/>
      <w:widowControl w:val="off"/>
    </w:pPr>
    <w:rPr>
      <w:rFonts w:ascii="Calibri" w:hAnsi="Calibri" w:cs="Calibri"/>
      <w:sz w:val="21"/>
      <w:szCs w:val="24"/>
      <w:lang w:val="en-US" w:eastAsia="zh-CN" w:bidi="ar-SA"/>
    </w:rPr>
  </w:style>
  <w:style w:type="paragraph" w:styleId="707">
    <w:name w:val="标题 1"/>
    <w:basedOn w:val="706"/>
    <w:next w:val="706"/>
    <w:link w:val="706"/>
    <w:qFormat/>
    <w:pPr>
      <w:ind w:left="405" w:hanging="405"/>
      <w:jc w:val="left"/>
      <w:keepNext/>
      <w:spacing w:line="300" w:lineRule="auto"/>
      <w:tabs>
        <w:tab w:val="left" w:pos="405" w:leader="none"/>
      </w:tabs>
      <w:outlineLvl w:val="0"/>
    </w:pPr>
    <w:rPr>
      <w:sz w:val="28"/>
    </w:rPr>
  </w:style>
  <w:style w:type="paragraph" w:styleId="708">
    <w:name w:val="标题 2"/>
    <w:basedOn w:val="706"/>
    <w:next w:val="706"/>
    <w:link w:val="706"/>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709">
    <w:name w:val="标题 3"/>
    <w:basedOn w:val="706"/>
    <w:next w:val="706"/>
    <w:link w:val="706"/>
    <w:qFormat/>
    <w:pPr>
      <w:keepLines/>
      <w:keepNext/>
      <w:spacing w:before="260" w:after="260" w:line="413" w:lineRule="auto"/>
      <w:outlineLvl w:val="2"/>
    </w:pPr>
    <w:rPr>
      <w:b/>
      <w:sz w:val="32"/>
    </w:rPr>
  </w:style>
  <w:style w:type="character" w:styleId="710">
    <w:name w:val="默认段落字体"/>
    <w:next w:val="710"/>
    <w:link w:val="706"/>
    <w:semiHidden/>
    <w:qFormat/>
  </w:style>
  <w:style w:type="table" w:styleId="711">
    <w:name w:val="普通表格"/>
    <w:next w:val="711"/>
    <w:link w:val="706"/>
    <w:semiHidden/>
    <w:tblPr/>
  </w:style>
  <w:style w:type="paragraph" w:styleId="712">
    <w:name w:val="首行缩进"/>
    <w:basedOn w:val="706"/>
    <w:next w:val="712"/>
    <w:link w:val="706"/>
    <w:qFormat/>
    <w:pPr>
      <w:ind w:firstLine="480"/>
      <w:jc w:val="left"/>
      <w:spacing w:line="360" w:lineRule="auto"/>
    </w:pPr>
    <w:rPr>
      <w:rFonts w:ascii="宋体" w:hAnsi="宋体"/>
      <w:sz w:val="24"/>
    </w:rPr>
  </w:style>
  <w:style w:type="paragraph" w:styleId="713">
    <w:name w:val="目录 7"/>
    <w:basedOn w:val="706"/>
    <w:next w:val="706"/>
    <w:link w:val="706"/>
    <w:uiPriority w:val="39"/>
    <w:unhideWhenUsed/>
    <w:qFormat/>
    <w:pPr>
      <w:ind w:left="1260"/>
      <w:jc w:val="left"/>
    </w:pPr>
    <w:rPr>
      <w:sz w:val="18"/>
      <w:szCs w:val="18"/>
    </w:rPr>
  </w:style>
  <w:style w:type="paragraph" w:styleId="714">
    <w:name w:val="正文缩进"/>
    <w:basedOn w:val="706"/>
    <w:next w:val="715"/>
    <w:link w:val="706"/>
    <w:qFormat/>
    <w:pPr>
      <w:ind w:firstLine="420"/>
    </w:pPr>
    <w:rPr>
      <w:szCs w:val="20"/>
    </w:rPr>
  </w:style>
  <w:style w:type="paragraph" w:styleId="715">
    <w:name w:val="正文文本"/>
    <w:basedOn w:val="706"/>
    <w:next w:val="715"/>
    <w:link w:val="706"/>
    <w:qFormat/>
    <w:pPr>
      <w:tabs>
        <w:tab w:val="left" w:pos="5250" w:leader="none"/>
      </w:tabs>
    </w:pPr>
    <w:rPr>
      <w:sz w:val="28"/>
    </w:rPr>
  </w:style>
  <w:style w:type="paragraph" w:styleId="716">
    <w:name w:val="批注文字"/>
    <w:basedOn w:val="706"/>
    <w:next w:val="716"/>
    <w:link w:val="717"/>
    <w:qFormat/>
    <w:pPr>
      <w:jc w:val="left"/>
    </w:pPr>
  </w:style>
  <w:style w:type="character" w:styleId="717">
    <w:name w:val="批注文字 字符"/>
    <w:next w:val="717"/>
    <w:link w:val="716"/>
    <w:rPr>
      <w:rFonts w:ascii="Calibri" w:hAnsi="Calibri" w:cs="Calibri"/>
      <w:sz w:val="21"/>
      <w:szCs w:val="24"/>
    </w:rPr>
  </w:style>
  <w:style w:type="paragraph" w:styleId="718">
    <w:name w:val="正文文本缩进"/>
    <w:basedOn w:val="706"/>
    <w:next w:val="719"/>
    <w:link w:val="706"/>
    <w:qFormat/>
    <w:pPr>
      <w:ind w:left="420"/>
      <w:spacing w:after="120"/>
    </w:pPr>
  </w:style>
  <w:style w:type="paragraph" w:styleId="719">
    <w:name w:val="寄信人地址"/>
    <w:basedOn w:val="706"/>
    <w:next w:val="719"/>
    <w:link w:val="706"/>
    <w:qFormat/>
    <w:rPr>
      <w:rFonts w:ascii="Arial" w:hAnsi="Arial" w:eastAsia="楷体_GB2312"/>
      <w:sz w:val="26"/>
      <w:szCs w:val="20"/>
    </w:rPr>
  </w:style>
  <w:style w:type="paragraph" w:styleId="720">
    <w:name w:val="文本块"/>
    <w:basedOn w:val="707"/>
    <w:next w:val="706"/>
    <w:link w:val="706"/>
    <w:qFormat/>
    <w:pPr>
      <w:ind w:left="420" w:right="-294"/>
      <w:spacing w:line="320" w:lineRule="exact"/>
      <w:tabs>
        <w:tab w:val="left" w:pos="405" w:leader="none"/>
      </w:tabs>
    </w:pPr>
    <w:rPr>
      <w:rFonts w:ascii="宋体"/>
      <w:sz w:val="24"/>
    </w:rPr>
  </w:style>
  <w:style w:type="paragraph" w:styleId="721">
    <w:name w:val="纯文本"/>
    <w:basedOn w:val="706"/>
    <w:next w:val="721"/>
    <w:link w:val="706"/>
    <w:qFormat/>
    <w:rPr>
      <w:rFonts w:ascii="宋体" w:hAnsi="Courier New" w:eastAsia="楷体_GB2312"/>
      <w:sz w:val="28"/>
    </w:rPr>
  </w:style>
  <w:style w:type="paragraph" w:styleId="722">
    <w:name w:val="批注框文本"/>
    <w:basedOn w:val="706"/>
    <w:next w:val="722"/>
    <w:link w:val="706"/>
    <w:qFormat/>
    <w:rPr>
      <w:sz w:val="18"/>
      <w:szCs w:val="18"/>
    </w:rPr>
  </w:style>
  <w:style w:type="paragraph" w:styleId="723">
    <w:name w:val="页脚"/>
    <w:basedOn w:val="706"/>
    <w:next w:val="723"/>
    <w:link w:val="706"/>
    <w:uiPriority w:val="99"/>
    <w:qFormat/>
    <w:pPr>
      <w:jc w:val="left"/>
      <w:tabs>
        <w:tab w:val="center" w:pos="4153" w:leader="none"/>
        <w:tab w:val="right" w:pos="8306" w:leader="none"/>
      </w:tabs>
    </w:pPr>
    <w:rPr>
      <w:sz w:val="18"/>
      <w:szCs w:val="18"/>
    </w:rPr>
  </w:style>
  <w:style w:type="paragraph" w:styleId="724">
    <w:name w:val="页眉"/>
    <w:basedOn w:val="706"/>
    <w:next w:val="724"/>
    <w:link w:val="706"/>
    <w:uiPriority w:val="99"/>
    <w:qFormat/>
    <w:pPr>
      <w:jc w:val="center"/>
      <w:tabs>
        <w:tab w:val="center" w:pos="4153" w:leader="none"/>
        <w:tab w:val="right" w:pos="8306" w:leader="none"/>
      </w:tabs>
      <w:pBdr>
        <w:bottom w:val="none" w:color="000000" w:sz="0" w:space="1"/>
      </w:pBdr>
    </w:pPr>
    <w:rPr>
      <w:sz w:val="18"/>
      <w:szCs w:val="18"/>
    </w:rPr>
  </w:style>
  <w:style w:type="paragraph" w:styleId="725">
    <w:name w:val="副标题"/>
    <w:basedOn w:val="706"/>
    <w:next w:val="706"/>
    <w:link w:val="706"/>
    <w:qFormat/>
    <w:pPr>
      <w:jc w:val="center"/>
      <w:spacing w:before="240" w:after="60" w:line="312" w:lineRule="auto"/>
      <w:outlineLvl w:val="1"/>
    </w:pPr>
    <w:rPr>
      <w:rFonts w:ascii="宋体" w:hAnsi="Courier New" w:eastAsia="楷体_GB2312"/>
      <w:sz w:val="26"/>
    </w:rPr>
  </w:style>
  <w:style w:type="paragraph" w:styleId="726">
    <w:name w:val="脚注文本"/>
    <w:basedOn w:val="707"/>
    <w:next w:val="720"/>
    <w:link w:val="706"/>
    <w:qFormat/>
    <w:pPr>
      <w:ind w:firstLine="3584"/>
      <w:spacing w:line="360" w:lineRule="auto"/>
      <w:tabs>
        <w:tab w:val="left" w:pos="405" w:leader="none"/>
      </w:tabs>
    </w:pPr>
  </w:style>
  <w:style w:type="paragraph" w:styleId="727">
    <w:name w:val="正文文本 2"/>
    <w:basedOn w:val="706"/>
    <w:next w:val="727"/>
    <w:link w:val="706"/>
    <w:qFormat/>
    <w:pPr>
      <w:spacing w:line="360" w:lineRule="auto"/>
    </w:pPr>
    <w:rPr>
      <w:color w:val="ff0000"/>
    </w:rPr>
  </w:style>
  <w:style w:type="paragraph" w:styleId="728">
    <w:name w:val="普通(网站)"/>
    <w:basedOn w:val="706"/>
    <w:next w:val="728"/>
    <w:link w:val="706"/>
    <w:uiPriority w:val="99"/>
    <w:qFormat/>
    <w:pPr>
      <w:jc w:val="left"/>
      <w:spacing w:beforeAutospacing="1" w:afterAutospacing="1"/>
    </w:pPr>
    <w:rPr>
      <w:rFonts w:cs="Times New Roman"/>
      <w:sz w:val="24"/>
    </w:rPr>
  </w:style>
  <w:style w:type="paragraph" w:styleId="729">
    <w:name w:val="批注主题"/>
    <w:basedOn w:val="716"/>
    <w:next w:val="716"/>
    <w:link w:val="730"/>
    <w:rPr>
      <w:b/>
      <w:bCs/>
    </w:rPr>
  </w:style>
  <w:style w:type="character" w:styleId="730">
    <w:name w:val="批注主题 字符"/>
    <w:next w:val="730"/>
    <w:link w:val="729"/>
    <w:rPr>
      <w:rFonts w:ascii="Calibri" w:hAnsi="Calibri" w:cs="Calibri"/>
      <w:b/>
      <w:bCs/>
      <w:sz w:val="21"/>
      <w:szCs w:val="24"/>
    </w:rPr>
  </w:style>
  <w:style w:type="paragraph" w:styleId="731">
    <w:name w:val="正文首行缩进 2"/>
    <w:basedOn w:val="718"/>
    <w:next w:val="731"/>
    <w:link w:val="706"/>
    <w:uiPriority w:val="99"/>
    <w:unhideWhenUsed/>
    <w:qFormat/>
    <w:pPr>
      <w:ind w:firstLine="420"/>
    </w:pPr>
  </w:style>
  <w:style w:type="table" w:styleId="732">
    <w:name w:val="网格型"/>
    <w:basedOn w:val="711"/>
    <w:next w:val="732"/>
    <w:link w:val="706"/>
    <w:qFormat/>
    <w:tblPr/>
  </w:style>
  <w:style w:type="character" w:styleId="733">
    <w:name w:val="页码"/>
    <w:next w:val="733"/>
    <w:link w:val="706"/>
    <w:qFormat/>
  </w:style>
  <w:style w:type="character" w:styleId="734">
    <w:name w:val="批注引用"/>
    <w:next w:val="734"/>
    <w:link w:val="706"/>
    <w:rPr>
      <w:sz w:val="21"/>
      <w:szCs w:val="21"/>
    </w:rPr>
  </w:style>
  <w:style w:type="paragraph" w:styleId="735">
    <w:name w:val="正文首行缩进 211"/>
    <w:basedOn w:val="736"/>
    <w:next w:val="737"/>
    <w:link w:val="706"/>
    <w:qFormat/>
    <w:pPr>
      <w:ind w:left="420" w:firstLine="420"/>
      <w:spacing w:after="120" w:line="240" w:lineRule="auto"/>
    </w:pPr>
    <w:rPr>
      <w:b w:val="0"/>
      <w:szCs w:val="24"/>
    </w:rPr>
  </w:style>
  <w:style w:type="paragraph" w:styleId="736">
    <w:name w:val="正文文本缩进11"/>
    <w:basedOn w:val="706"/>
    <w:next w:val="706"/>
    <w:link w:val="706"/>
    <w:qFormat/>
    <w:pPr>
      <w:ind w:left="315" w:firstLine="632"/>
      <w:spacing w:line="360" w:lineRule="auto"/>
    </w:pPr>
    <w:rPr>
      <w:b/>
    </w:rPr>
  </w:style>
  <w:style w:type="paragraph" w:styleId="737">
    <w:name w:val="正文首行缩进11"/>
    <w:basedOn w:val="738"/>
    <w:next w:val="706"/>
    <w:link w:val="706"/>
    <w:qFormat/>
    <w:pPr>
      <w:ind w:firstLine="420"/>
      <w:spacing w:after="120" w:line="240" w:lineRule="auto"/>
    </w:pPr>
    <w:rPr>
      <w:rFonts w:ascii="Times New Roman"/>
      <w:sz w:val="26"/>
    </w:rPr>
  </w:style>
  <w:style w:type="paragraph" w:styleId="738">
    <w:name w:val="正文文本11"/>
    <w:basedOn w:val="706"/>
    <w:next w:val="739"/>
    <w:link w:val="706"/>
    <w:uiPriority w:val="99"/>
    <w:qFormat/>
    <w:pPr>
      <w:spacing w:after="120"/>
    </w:pPr>
    <w:rPr>
      <w:rFonts w:ascii="Times New Roman" w:hAnsi="Times New Roman"/>
      <w:sz w:val="20"/>
      <w:szCs w:val="20"/>
    </w:rPr>
  </w:style>
  <w:style w:type="paragraph" w:styleId="739">
    <w:name w:val="正文缩进1"/>
    <w:basedOn w:val="706"/>
    <w:next w:val="706"/>
    <w:link w:val="706"/>
    <w:qFormat/>
    <w:pPr>
      <w:ind w:firstLine="420"/>
      <w:jc w:val="left"/>
    </w:pPr>
    <w:rPr>
      <w:rFonts w:eastAsia="楷体_GB2312"/>
      <w:sz w:val="24"/>
      <w:szCs w:val="20"/>
    </w:rPr>
  </w:style>
  <w:style w:type="paragraph" w:styleId="740">
    <w:name w:val="寄信人地址111"/>
    <w:basedOn w:val="706"/>
    <w:next w:val="740"/>
    <w:link w:val="706"/>
    <w:qFormat/>
    <w:rPr>
      <w:rFonts w:ascii="Arial" w:hAnsi="Arial" w:eastAsia="楷体_GB2312"/>
      <w:sz w:val="26"/>
    </w:rPr>
  </w:style>
  <w:style w:type="paragraph" w:styleId="741">
    <w:name w:val="正文文本缩进 21"/>
    <w:basedOn w:val="706"/>
    <w:next w:val="742"/>
    <w:link w:val="706"/>
    <w:qFormat/>
    <w:pPr>
      <w:ind w:firstLine="420"/>
      <w:spacing w:line="360" w:lineRule="auto"/>
    </w:pPr>
    <w:rPr>
      <w:rFonts w:ascii="宋体" w:hAnsi="宋体"/>
    </w:rPr>
  </w:style>
  <w:style w:type="paragraph" w:styleId="742">
    <w:name w:val="索引 91"/>
    <w:basedOn w:val="706"/>
    <w:next w:val="706"/>
    <w:link w:val="706"/>
    <w:qFormat/>
    <w:pPr>
      <w:ind w:left="1600"/>
    </w:pPr>
    <w:rPr>
      <w:szCs w:val="24"/>
    </w:rPr>
  </w:style>
  <w:style w:type="paragraph" w:styleId="743">
    <w:name w:val="段"/>
    <w:basedOn w:val="744"/>
    <w:next w:val="706"/>
    <w:link w:val="706"/>
    <w:qFormat/>
    <w:pPr>
      <w:ind w:firstLine="200"/>
      <w:jc w:val="both"/>
    </w:pPr>
    <w:rPr>
      <w:rFonts w:ascii="宋体" w:hAnsi="Calibri"/>
      <w:sz w:val="21"/>
      <w:lang w:val="en-US" w:eastAsia="zh-CN" w:bidi="ar-SA"/>
    </w:rPr>
  </w:style>
  <w:style w:type="paragraph" w:styleId="744">
    <w:name w:val="正文1"/>
    <w:basedOn w:val="745"/>
    <w:next w:val="747"/>
    <w:link w:val="706"/>
    <w:qFormat/>
    <w:pPr>
      <w:ind w:left="420" w:firstLine="527"/>
      <w:spacing w:before="120" w:line="360" w:lineRule="auto"/>
    </w:pPr>
    <w:rPr>
      <w:rFonts w:ascii="宋体" w:hAnsi="宋体"/>
    </w:rPr>
  </w:style>
  <w:style w:type="paragraph" w:styleId="745">
    <w:name w:val="正文12"/>
    <w:next w:val="746"/>
    <w:link w:val="706"/>
    <w:qFormat/>
    <w:pPr>
      <w:jc w:val="both"/>
      <w:widowControl w:val="off"/>
    </w:pPr>
    <w:rPr>
      <w:rFonts w:ascii="Times New Roman" w:hAnsi="Times New Roman" w:eastAsia="宋体" w:cs="Times New Roman"/>
      <w:sz w:val="21"/>
      <w:szCs w:val="24"/>
      <w:lang w:val="en-US" w:eastAsia="zh-CN" w:bidi="ar-SA"/>
    </w:rPr>
  </w:style>
  <w:style w:type="paragraph" w:styleId="746">
    <w:name w:val="Default"/>
    <w:next w:val="746"/>
    <w:link w:val="706"/>
    <w:qFormat/>
    <w:pPr>
      <w:widowControl w:val="off"/>
    </w:pPr>
    <w:rPr>
      <w:rFonts w:ascii="宋体" w:hAnsi="Times New Roman" w:eastAsia="宋体" w:cs="宋体"/>
      <w:color w:val="000000"/>
      <w:sz w:val="24"/>
      <w:szCs w:val="24"/>
      <w:lang w:val="en-US" w:eastAsia="zh-CN" w:bidi="ar-SA"/>
    </w:rPr>
  </w:style>
  <w:style w:type="paragraph" w:styleId="747">
    <w:name w:val="正文首行缩进1"/>
    <w:basedOn w:val="748"/>
    <w:next w:val="752"/>
    <w:link w:val="706"/>
    <w:qFormat/>
    <w:pPr>
      <w:ind w:firstLine="420"/>
    </w:pPr>
    <w:rPr>
      <w:szCs w:val="22"/>
    </w:rPr>
  </w:style>
  <w:style w:type="paragraph" w:styleId="748">
    <w:name w:val="正文文本1"/>
    <w:basedOn w:val="749"/>
    <w:next w:val="750"/>
    <w:link w:val="706"/>
    <w:qFormat/>
    <w:pPr>
      <w:spacing w:after="120"/>
    </w:pPr>
  </w:style>
  <w:style w:type="paragraph" w:styleId="749">
    <w:name w:val="正文11"/>
    <w:next w:val="706"/>
    <w:link w:val="706"/>
    <w:qFormat/>
    <w:pPr>
      <w:jc w:val="both"/>
      <w:widowControl w:val="off"/>
    </w:pPr>
    <w:rPr>
      <w:rFonts w:ascii="Times New Roman" w:hAnsi="Times New Roman" w:eastAsia="宋体" w:cs="Times New Roman"/>
      <w:sz w:val="21"/>
      <w:szCs w:val="24"/>
      <w:lang w:val="en-US" w:eastAsia="zh-CN" w:bidi="ar-SA"/>
    </w:rPr>
  </w:style>
  <w:style w:type="paragraph" w:styleId="750">
    <w:name w:val="一级条标题"/>
    <w:basedOn w:val="751"/>
    <w:next w:val="743"/>
    <w:link w:val="70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name w:val="章标题"/>
    <w:next w:val="706"/>
    <w:link w:val="706"/>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52">
    <w:name w:val="正文首行缩进 21"/>
    <w:basedOn w:val="753"/>
    <w:next w:val="744"/>
    <w:link w:val="706"/>
    <w:qFormat/>
    <w:pPr>
      <w:ind w:firstLine="420"/>
      <w:widowControl/>
    </w:pPr>
    <w:rPr>
      <w:rFonts w:ascii="仿宋_GB2312"/>
      <w:color w:val="ff6600"/>
      <w:sz w:val="21"/>
    </w:rPr>
  </w:style>
  <w:style w:type="paragraph" w:styleId="753">
    <w:name w:val="正文文本缩进1"/>
    <w:basedOn w:val="706"/>
    <w:next w:val="754"/>
    <w:link w:val="706"/>
    <w:qFormat/>
    <w:pPr>
      <w:ind w:firstLine="560"/>
      <w:spacing w:line="300" w:lineRule="auto"/>
    </w:pPr>
    <w:rPr>
      <w:sz w:val="28"/>
    </w:rPr>
  </w:style>
  <w:style w:type="paragraph" w:styleId="754">
    <w:name w:val="寄信人地址1"/>
    <w:basedOn w:val="706"/>
    <w:next w:val="754"/>
    <w:link w:val="706"/>
    <w:qFormat/>
    <w:rPr>
      <w:rFonts w:ascii="Arial" w:hAnsi="Arial"/>
    </w:rPr>
  </w:style>
  <w:style w:type="paragraph" w:styleId="755">
    <w:name w:val="PlainText1"/>
    <w:basedOn w:val="706"/>
    <w:next w:val="755"/>
    <w:link w:val="706"/>
    <w:uiPriority w:val="99"/>
    <w:qFormat/>
    <w:rPr>
      <w:rFonts w:ascii="宋体" w:hAnsi="Courier New" w:eastAsia="楷体_GB2312"/>
      <w:sz w:val="28"/>
      <w:szCs w:val="20"/>
    </w:rPr>
  </w:style>
  <w:style w:type="paragraph" w:styleId="756">
    <w:name w:val="目录 51"/>
    <w:next w:val="706"/>
    <w:link w:val="706"/>
    <w:qFormat/>
    <w:pPr>
      <w:ind w:left="1275"/>
      <w:jc w:val="both"/>
    </w:pPr>
    <w:rPr>
      <w:rFonts w:ascii="Calibri" w:hAnsi="Calibri" w:eastAsia="宋体" w:cs="Times New Roman"/>
      <w:sz w:val="21"/>
      <w:lang w:val="en-US" w:eastAsia="zh-CN" w:bidi="ar-SA"/>
    </w:rPr>
  </w:style>
  <w:style w:type="paragraph" w:styleId="757">
    <w:name w:val="列表段落"/>
    <w:basedOn w:val="706"/>
    <w:next w:val="757"/>
    <w:link w:val="706"/>
    <w:uiPriority w:val="34"/>
    <w:qFormat/>
    <w:pPr>
      <w:ind w:firstLine="420"/>
    </w:pPr>
  </w:style>
  <w:style w:type="character" w:styleId="758">
    <w:name w:val="NormalCharacter1"/>
    <w:next w:val="758"/>
    <w:link w:val="706"/>
    <w:qFormat/>
  </w:style>
  <w:style w:type="paragraph" w:styleId="759">
    <w:name w:val="+标题1"/>
    <w:basedOn w:val="707"/>
    <w:next w:val="759"/>
    <w:link w:val="706"/>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760">
    <w:name w:val="纯文本13"/>
    <w:basedOn w:val="706"/>
    <w:next w:val="760"/>
    <w:link w:val="706"/>
    <w:qFormat/>
    <w:pPr>
      <w:jc w:val="left"/>
      <w:widowControl/>
    </w:pPr>
    <w:rPr>
      <w:rFonts w:ascii="宋体" w:hAnsi="Courier New" w:eastAsia="楷体_GB2312"/>
      <w:sz w:val="26"/>
      <w:lang w:eastAsia="en-US"/>
    </w:rPr>
  </w:style>
  <w:style w:type="paragraph" w:styleId="761">
    <w:name w:val="纯文本1"/>
    <w:basedOn w:val="706"/>
    <w:next w:val="761"/>
    <w:link w:val="706"/>
    <w:qFormat/>
    <w:rPr>
      <w:rFonts w:ascii="宋体" w:hAnsi="Courier New" w:eastAsia="楷体_GB2312"/>
      <w:sz w:val="26"/>
    </w:rPr>
  </w:style>
  <w:style w:type="character" w:styleId="762">
    <w:name w:val="font11"/>
    <w:basedOn w:val="710"/>
    <w:next w:val="762"/>
    <w:link w:val="706"/>
    <w:rPr>
      <w:rFonts w:hint="eastAsia" w:ascii="宋体" w:hAnsi="宋体" w:eastAsia="宋体" w:cs="宋体"/>
      <w:i w:val="0"/>
      <w:iCs w:val="0"/>
      <w:color w:val="000000"/>
      <w:sz w:val="22"/>
      <w:szCs w:val="22"/>
      <w:u w:val="none"/>
    </w:rPr>
  </w:style>
  <w:style w:type="character" w:styleId="763">
    <w:name w:val="font61"/>
    <w:basedOn w:val="710"/>
    <w:next w:val="763"/>
    <w:link w:val="706"/>
    <w:rPr>
      <w:rFonts w:ascii="Arial" w:hAnsi="Arial" w:cs="Arial"/>
      <w:i w:val="0"/>
      <w:iCs w:val="0"/>
      <w:color w:val="000000"/>
      <w:sz w:val="22"/>
      <w:szCs w:val="22"/>
      <w:u w:val="none"/>
    </w:rPr>
  </w:style>
  <w:style w:type="character" w:styleId="764">
    <w:name w:val="font71"/>
    <w:basedOn w:val="710"/>
    <w:next w:val="764"/>
    <w:link w:val="706"/>
    <w:rPr>
      <w:rFonts w:hint="eastAsia" w:ascii="宋体" w:hAnsi="宋体" w:eastAsia="宋体" w:cs="宋体"/>
      <w:i w:val="0"/>
      <w:iCs w:val="0"/>
      <w:color w:val="ff0000"/>
      <w:sz w:val="22"/>
      <w:szCs w:val="22"/>
      <w:u w:val="none"/>
    </w:rPr>
  </w:style>
  <w:style w:type="character" w:styleId="765">
    <w:name w:val="font81"/>
    <w:basedOn w:val="710"/>
    <w:next w:val="765"/>
    <w:link w:val="706"/>
    <w:rPr>
      <w:rFonts w:ascii="Calibri" w:hAnsi="Calibri" w:cs="Calibri"/>
      <w:i w:val="0"/>
      <w:iCs w:val="0"/>
      <w:color w:val="000000"/>
      <w:sz w:val="22"/>
      <w:szCs w:val="22"/>
      <w:u w:val="none"/>
    </w:rPr>
  </w:style>
  <w:style w:type="paragraph" w:styleId="766">
    <w:name w:val="p0"/>
    <w:basedOn w:val="706"/>
    <w:next w:val="766"/>
    <w:link w:val="706"/>
    <w:qFormat/>
    <w:rPr>
      <w:rFonts w:ascii="Times New Roman" w:hAnsi="Times New Roman"/>
      <w:szCs w:val="24"/>
    </w:rPr>
  </w:style>
  <w:style w:type="paragraph" w:styleId="767">
    <w:name w:val="纯文本3"/>
    <w:basedOn w:val="706"/>
    <w:next w:val="767"/>
    <w:link w:val="706"/>
    <w:qFormat/>
    <w:rPr>
      <w:rFonts w:ascii="宋体" w:hAnsi="Courier New" w:eastAsia="KaiTi_GB2312"/>
      <w:sz w:val="28"/>
      <w:szCs w:val="20"/>
    </w:rPr>
  </w:style>
  <w:style w:type="paragraph" w:styleId="768">
    <w:name w:val="纯文本11"/>
    <w:basedOn w:val="706"/>
    <w:next w:val="768"/>
    <w:link w:val="706"/>
    <w:qFormat/>
    <w:rPr>
      <w:rFonts w:ascii="宋体" w:hAnsi="Courier New" w:eastAsia="楷体_GB2312"/>
      <w:sz w:val="28"/>
      <w:szCs w:val="20"/>
    </w:rPr>
  </w:style>
  <w:style w:type="paragraph" w:styleId="769">
    <w:name w:val="正文文本缩进 311"/>
    <w:basedOn w:val="706"/>
    <w:next w:val="769"/>
    <w:link w:val="706"/>
    <w:uiPriority w:val="99"/>
    <w:qFormat/>
    <w:pPr>
      <w:ind w:firstLine="480"/>
      <w:spacing w:line="360" w:lineRule="auto"/>
      <w:widowControl/>
    </w:pPr>
    <w:rPr>
      <w:sz w:val="24"/>
    </w:rPr>
  </w:style>
  <w:style w:type="paragraph" w:styleId="770">
    <w:name w:val="标题 21"/>
    <w:basedOn w:val="706"/>
    <w:next w:val="706"/>
    <w:link w:val="706"/>
    <w:qFormat/>
    <w:pPr>
      <w:keepLines/>
      <w:keepNext/>
      <w:spacing w:before="260" w:after="260" w:line="413" w:lineRule="auto"/>
      <w:outlineLvl w:val="1"/>
    </w:pPr>
    <w:rPr>
      <w:rFonts w:ascii="Arial" w:hAnsi="Arial" w:eastAsia="黑体"/>
      <w:b/>
      <w:bCs/>
      <w:sz w:val="32"/>
      <w:szCs w:val="32"/>
    </w:rPr>
  </w:style>
  <w:style w:type="table" w:styleId="771">
    <w:name w:val="网格型2"/>
    <w:basedOn w:val="711"/>
    <w:next w:val="771"/>
    <w:link w:val="706"/>
    <w:uiPriority w:val="99"/>
    <w:qFormat/>
    <w:pPr>
      <w:jc w:val="both"/>
      <w:widowControl w:val="off"/>
    </w:pPr>
    <w:tblPr/>
  </w:style>
  <w:style w:type="paragraph" w:styleId="772">
    <w:name w:val="正文-标"/>
    <w:basedOn w:val="706"/>
    <w:next w:val="772"/>
    <w:link w:val="706"/>
    <w:qFormat/>
    <w:pPr>
      <w:ind w:firstLine="200"/>
      <w:spacing w:line="360" w:lineRule="auto"/>
    </w:pPr>
  </w:style>
  <w:style w:type="paragraph" w:styleId="773">
    <w:name w:val="Table Text"/>
    <w:basedOn w:val="706"/>
    <w:next w:val="773"/>
    <w:link w:val="706"/>
    <w:semiHidden/>
    <w:qFormat/>
    <w:rPr>
      <w:rFonts w:ascii="宋体" w:hAnsi="宋体" w:eastAsia="宋体" w:cs="宋体"/>
      <w:sz w:val="15"/>
      <w:szCs w:val="15"/>
      <w:lang w:val="en-US" w:eastAsia="en-US" w:bidi="ar-SA"/>
    </w:rPr>
  </w:style>
  <w:style w:type="table" w:styleId="774">
    <w:name w:val="Table Normal"/>
    <w:next w:val="774"/>
    <w:link w:val="706"/>
    <w:unhideWhenUsed/>
    <w:qFormat/>
    <w:tblPr/>
  </w:style>
  <w:style w:type="paragraph" w:styleId="775">
    <w:name w:val="正文文本 21"/>
    <w:basedOn w:val="706"/>
    <w:next w:val="775"/>
    <w:link w:val="706"/>
    <w:qFormat/>
    <w:pPr>
      <w:spacing w:after="120" w:line="480" w:lineRule="auto"/>
    </w:pPr>
  </w:style>
  <w:style w:type="paragraph" w:styleId="776">
    <w:name w:val="页脚1"/>
    <w:basedOn w:val="706"/>
    <w:next w:val="776"/>
    <w:link w:val="706"/>
    <w:qFormat/>
    <w:pPr>
      <w:jc w:val="left"/>
      <w:tabs>
        <w:tab w:val="center" w:pos="4153" w:leader="none"/>
        <w:tab w:val="right" w:pos="8306" w:leader="none"/>
      </w:tabs>
    </w:pPr>
    <w:rPr>
      <w:sz w:val="18"/>
      <w:szCs w:val="18"/>
    </w:rPr>
  </w:style>
  <w:style w:type="character" w:styleId="777">
    <w:name w:val="font31"/>
    <w:basedOn w:val="710"/>
    <w:next w:val="777"/>
    <w:link w:val="706"/>
    <w:qFormat/>
    <w:rPr>
      <w:rFonts w:ascii="等线" w:hAnsi="等线" w:eastAsia="等线" w:cs="等线"/>
      <w:color w:val="000000"/>
      <w:sz w:val="21"/>
      <w:szCs w:val="21"/>
      <w:u w:val="none"/>
    </w:rPr>
  </w:style>
  <w:style w:type="paragraph" w:styleId="778">
    <w:name w:val="正文缩进111"/>
    <w:basedOn w:val="706"/>
    <w:next w:val="706"/>
    <w:link w:val="706"/>
    <w:qFormat/>
    <w:pPr>
      <w:ind w:firstLine="420"/>
      <w:jc w:val="left"/>
    </w:pPr>
    <w:rPr>
      <w:rFonts w:ascii="Times New Roman" w:hAnsi="Times New Roman" w:eastAsia="楷体_GB2312"/>
      <w:sz w:val="24"/>
      <w:szCs w:val="20"/>
    </w:rPr>
  </w:style>
  <w:style w:type="character" w:styleId="779">
    <w:name w:val="font41"/>
    <w:basedOn w:val="710"/>
    <w:next w:val="779"/>
    <w:link w:val="706"/>
    <w:rPr>
      <w:rFonts w:hint="eastAsia" w:ascii="宋体" w:hAnsi="宋体" w:eastAsia="宋体" w:cs="宋体"/>
      <w:b/>
      <w:bCs/>
      <w:i w:val="0"/>
      <w:iCs w:val="0"/>
      <w:color w:val="ff0000"/>
      <w:sz w:val="32"/>
      <w:szCs w:val="32"/>
      <w:u w:val="none"/>
    </w:rPr>
  </w:style>
  <w:style w:type="character" w:styleId="780">
    <w:name w:val="font51"/>
    <w:basedOn w:val="710"/>
    <w:next w:val="780"/>
    <w:link w:val="706"/>
    <w:qFormat/>
    <w:rPr>
      <w:rFonts w:ascii="Times New Roman" w:hAnsi="Times New Roman" w:cs="Times New Roman"/>
      <w:color w:val="000000"/>
      <w:sz w:val="21"/>
      <w:szCs w:val="21"/>
      <w:u w:val="none"/>
    </w:rPr>
  </w:style>
  <w:style w:type="character" w:styleId="12545" w:default="1">
    <w:name w:val="Default Paragraph Font"/>
    <w:uiPriority w:val="1"/>
    <w:semiHidden/>
    <w:unhideWhenUsed/>
  </w:style>
  <w:style w:type="numbering" w:styleId="12546" w:default="1">
    <w:name w:val="No List"/>
    <w:uiPriority w:val="99"/>
    <w:semiHidden/>
    <w:unhideWhenUsed/>
  </w:style>
  <w:style w:type="table" w:styleId="125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3</cp:revision>
  <dcterms:created xsi:type="dcterms:W3CDTF">2025-05-18T16:19:00Z</dcterms:created>
  <dcterms:modified xsi:type="dcterms:W3CDTF">2026-06-29T08:26:52Z</dcterms:modified>
</cp:coreProperties>
</file>