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b/>
          <w:bCs/>
          <w:sz w:val="36"/>
        </w:rPr>
      </w:pPr>
      <w:r>
        <w:rPr>
          <w:rFonts w:hint="eastAsia" w:ascii="宋体" w:hAnsi="宋体"/>
          <w:b/>
          <w:bCs/>
          <w:sz w:val="36"/>
        </w:rPr>
        <w:t xml:space="preserve">编号：JSZC-320000-JJJC-G2026-0014</w:t>
      </w:r>
      <w:r/>
    </w:p>
    <w:p>
      <w:pPr>
        <w:pStyle w:val="969"/>
        <w:ind w:firstLine="0"/>
        <w:spacing w:line="360" w:lineRule="auto"/>
      </w:pPr>
      <w:r/>
      <w:r/>
    </w:p>
    <w:p>
      <w:r/>
      <w:r/>
    </w:p>
    <w:p>
      <w:r/>
      <w:r/>
    </w:p>
    <w:p>
      <w:pPr>
        <w:jc w:val="center"/>
        <w:spacing w:line="360" w:lineRule="auto"/>
        <w:rPr>
          <w:rFonts w:ascii="宋体" w:hAnsi="宋体"/>
          <w:b/>
          <w:bCs/>
          <w:sz w:val="36"/>
        </w:rPr>
      </w:pPr>
      <w:r>
        <w:rPr>
          <w:rFonts w:hint="eastAsia" w:ascii="宋体" w:hAnsi="宋体"/>
          <w:b/>
          <w:bCs/>
          <w:sz w:val="36"/>
        </w:rPr>
        <w:t xml:space="preserve">扬州大学公共云机房建设（三期）项目</w:t>
      </w:r>
      <w:r/>
    </w:p>
    <w:p>
      <w:pPr>
        <w:jc w:val="center"/>
        <w:spacing w:line="360" w:lineRule="auto"/>
        <w:rPr>
          <w:rFonts w:ascii="宋体" w:hAnsi="宋体"/>
          <w:sz w:val="36"/>
          <w:szCs w:val="36"/>
        </w:rPr>
      </w:pPr>
      <w:r>
        <w:rPr>
          <w:rFonts w:hint="eastAsia" w:ascii="宋体" w:hAnsi="宋体"/>
          <w:b/>
          <w:bCs/>
          <w:sz w:val="36"/>
        </w:rPr>
        <w:t xml:space="preserve">公开招标文件</w:t>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sz w:val="36"/>
        </w:rPr>
        <mc:AlternateContent>
          <mc:Choice Requires="wpg">
            <w:drawing>
              <wp:inline xmlns:wp="http://schemas.openxmlformats.org/drawingml/2006/wordprocessingDrawing" distT="0" distB="0" distL="0" distR="0">
                <wp:extent cx="5267325" cy="3733800"/>
                <wp:effectExtent l="0" t="0" r="9525" b="0"/>
                <wp:docPr id="3"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1f51d74f3b3cf4a4c9ebd768e2f8ce"/>
                        <pic:cNvPicPr>
                          <a:picLocks noChangeAspect="1"/>
                        </pic:cNvPicPr>
                        <pic:nvPr/>
                      </pic:nvPicPr>
                      <pic:blipFill>
                        <a:blip r:embed="rId15"/>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94.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b/>
          <w:bCs/>
          <w:sz w:val="32"/>
          <w:szCs w:val="21"/>
        </w:rPr>
      </w:pPr>
      <w:r>
        <w:rPr>
          <w:rFonts w:hint="eastAsia" w:ascii="宋体" w:hAnsi="宋体"/>
          <w:b/>
          <w:bCs/>
          <w:sz w:val="32"/>
          <w:szCs w:val="21"/>
        </w:rPr>
        <w:t xml:space="preserve">采  购  人：</w:t>
      </w:r>
      <w:bookmarkStart w:id="0" w:name="OLE_LINK1"/>
      <w:r>
        <w:rPr>
          <w:rFonts w:hint="eastAsia" w:ascii="宋体" w:hAnsi="宋体"/>
          <w:b/>
          <w:bCs/>
          <w:sz w:val="32"/>
          <w:szCs w:val="21"/>
        </w:rPr>
        <w:t xml:space="preserve">扬州大学（本部）</w:t>
      </w:r>
      <w:bookmarkEnd w:id="0"/>
      <w:r/>
    </w:p>
    <w:p>
      <w:pPr>
        <w:jc w:val="center"/>
        <w:spacing w:line="360" w:lineRule="auto"/>
        <w:rPr>
          <w:rFonts w:ascii="宋体" w:hAnsi="宋体"/>
          <w:b/>
          <w:bCs/>
          <w:sz w:val="32"/>
          <w:szCs w:val="21"/>
        </w:rPr>
      </w:pPr>
      <w:r>
        <w:rPr>
          <w:rFonts w:hint="eastAsia" w:ascii="宋体" w:hAnsi="宋体"/>
          <w:b/>
          <w:bCs/>
          <w:sz w:val="32"/>
          <w:szCs w:val="21"/>
        </w:rPr>
        <w:t xml:space="preserve">采购代理机构(章)：江苏嘉加诚工程投资咨询有限公司</w:t>
      </w:r>
      <w:r/>
    </w:p>
    <w:p>
      <w:pPr>
        <w:jc w:val="center"/>
        <w:spacing w:line="360" w:lineRule="auto"/>
        <w:rPr>
          <w:rFonts w:ascii="宋体" w:hAnsi="宋体"/>
          <w:b/>
          <w:bCs/>
          <w:sz w:val="32"/>
          <w:szCs w:val="21"/>
        </w:rPr>
      </w:pPr>
      <w:r>
        <w:rPr>
          <w:rFonts w:hint="eastAsia" w:ascii="宋体" w:hAnsi="宋体"/>
          <w:b/>
          <w:bCs/>
          <w:sz w:val="32"/>
          <w:szCs w:val="21"/>
        </w:rPr>
        <w:t xml:space="preserve">发 放 日 期：</w:t>
      </w:r>
      <w:bookmarkStart w:id="1" w:name="EB59c3faf64f2a4bd092a206fb1d0c3c03"/>
      <w:r>
        <w:rPr>
          <w:rFonts w:hint="eastAsia" w:ascii="宋体" w:hAnsi="宋体"/>
          <w:b/>
          <w:bCs/>
          <w:sz w:val="32"/>
          <w:szCs w:val="21"/>
        </w:rPr>
        <w:t xml:space="preserve"> </w:t>
      </w:r>
      <w:bookmarkEnd w:id="1"/>
      <w:r>
        <w:rPr>
          <w:rFonts w:hint="eastAsia" w:ascii="宋体" w:hAnsi="宋体"/>
          <w:b/>
          <w:bCs/>
          <w:sz w:val="32"/>
          <w:szCs w:val="21"/>
        </w:rPr>
        <w:t xml:space="preserve">2026年06月</w:t>
      </w:r>
      <w:r>
        <w:rPr>
          <w:rFonts w:hint="eastAsia" w:ascii="宋体" w:hAnsi="宋体"/>
          <w:b/>
          <w:bCs/>
          <w:sz w:val="32"/>
          <w:szCs w:val="21"/>
          <w:lang w:val="en-US" w:eastAsia="zh-CN"/>
        </w:rPr>
        <w:t xml:space="preserve">10</w:t>
      </w:r>
      <w:r>
        <w:rPr>
          <w:rFonts w:hint="eastAsia" w:ascii="宋体" w:hAnsi="宋体"/>
          <w:b/>
          <w:bCs/>
          <w:sz w:val="32"/>
          <w:szCs w:val="21"/>
        </w:rPr>
        <w:t xml:space="preserve">日</w:t>
      </w:r>
      <w:r/>
    </w:p>
    <w:p>
      <w:pPr>
        <w:spacing w:line="360" w:lineRule="auto"/>
        <w:rPr>
          <w:rFonts w:ascii="宋体" w:hAnsi="宋体"/>
          <w:sz w:val="32"/>
          <w:szCs w:val="32"/>
        </w:rPr>
      </w:pPr>
      <w:r>
        <w:rPr>
          <w:rFonts w:ascii="宋体" w:hAnsi="宋体"/>
          <w:sz w:val="32"/>
          <w:szCs w:val="32"/>
        </w:rPr>
      </w:r>
      <w:r/>
    </w:p>
    <w:p>
      <w:pPr>
        <w:rPr>
          <w:rFonts w:ascii="宋体" w:hAnsi="宋体"/>
          <w:sz w:val="32"/>
        </w:rPr>
      </w:pPr>
      <w:r>
        <w:rPr>
          <w:rFonts w:hint="eastAsia" w:ascii="宋体" w:hAnsi="宋体"/>
          <w:sz w:val="32"/>
        </w:rPr>
        <w:br w:type="page" w:clear="all"/>
      </w:r>
      <w:r/>
    </w:p>
    <w:p>
      <w:pPr>
        <w:jc w:val="center"/>
        <w:spacing w:line="360" w:lineRule="auto"/>
        <w:rPr>
          <w:rFonts w:ascii="宋体" w:hAnsi="宋体"/>
          <w:sz w:val="32"/>
          <w:szCs w:val="32"/>
        </w:rPr>
      </w:pPr>
      <w:r>
        <w:rPr>
          <w:rFonts w:hint="eastAsia" w:ascii="宋体" w:hAnsi="宋体"/>
          <w:sz w:val="32"/>
        </w:rPr>
        <w:t xml:space="preserve">目 录</w:t>
      </w:r>
      <w:r/>
    </w:p>
    <w:p>
      <w:pPr>
        <w:pStyle w:val="964"/>
        <w:jc w:val="center"/>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t xml:space="preserve">3</w:t>
      </w:r>
      <w:r/>
    </w:p>
    <w:p>
      <w:pPr>
        <w:pStyle w:val="964"/>
        <w:jc w:val="center"/>
        <w:spacing w:line="360" w:lineRule="auto"/>
        <w:tabs>
          <w:tab w:val="right" w:pos="8296" w:leader="dot"/>
        </w:tabs>
      </w:pPr>
      <w:r>
        <w:rPr>
          <w:rFonts w:hint="eastAsia" w:ascii="宋体" w:hAnsi="宋体"/>
        </w:rPr>
        <w:t xml:space="preserve">第二章 投标人须知</w:t>
      </w:r>
      <w:r>
        <w:rPr>
          <w:rFonts w:hint="eastAsia"/>
        </w:rPr>
        <w:tab/>
      </w:r>
      <w:r>
        <w:rPr>
          <w:rFonts w:hint="eastAsia"/>
        </w:rPr>
        <w:t xml:space="preserve">6</w:t>
      </w:r>
      <w:r/>
    </w:p>
    <w:p>
      <w:pPr>
        <w:pStyle w:val="964"/>
        <w:jc w:val="center"/>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t xml:space="preserve">16</w:t>
      </w:r>
      <w:r/>
    </w:p>
    <w:p>
      <w:pPr>
        <w:pStyle w:val="964"/>
        <w:jc w:val="center"/>
        <w:spacing w:line="360" w:lineRule="auto"/>
        <w:tabs>
          <w:tab w:val="right" w:pos="8296" w:leader="dot"/>
        </w:tabs>
      </w:pPr>
      <w:r>
        <w:rPr>
          <w:rFonts w:hint="eastAsia"/>
        </w:rPr>
        <w:t xml:space="preserve">第四章 项目需求</w:t>
      </w:r>
      <w:r>
        <w:rPr>
          <w:rFonts w:hint="eastAsia"/>
        </w:rPr>
        <w:tab/>
      </w:r>
      <w:r>
        <w:rPr>
          <w:rFonts w:hint="eastAsia"/>
        </w:rPr>
        <w:t xml:space="preserve">31</w:t>
      </w:r>
      <w:r/>
    </w:p>
    <w:p>
      <w:pPr>
        <w:pStyle w:val="964"/>
        <w:jc w:val="center"/>
        <w:spacing w:line="360" w:lineRule="auto"/>
        <w:tabs>
          <w:tab w:val="right" w:pos="8296" w:leader="dot"/>
        </w:tabs>
      </w:pPr>
      <w:r>
        <w:rPr>
          <w:rFonts w:hint="eastAsia" w:ascii="宋体" w:hAnsi="宋体"/>
        </w:rPr>
        <w:t xml:space="preserve">第五章 评标方法及评标标准</w:t>
      </w:r>
      <w:r>
        <w:rPr>
          <w:rFonts w:hint="eastAsia"/>
        </w:rPr>
        <w:tab/>
      </w:r>
      <w:r>
        <w:rPr>
          <w:rFonts w:hint="eastAsia"/>
        </w:rPr>
        <w:t xml:space="preserve">43</w:t>
      </w:r>
      <w:r/>
    </w:p>
    <w:p>
      <w:pPr>
        <w:pStyle w:val="964"/>
        <w:jc w:val="center"/>
        <w:spacing w:line="360" w:lineRule="auto"/>
        <w:tabs>
          <w:tab w:val="right" w:pos="8296" w:leader="dot"/>
        </w:tabs>
        <w:rPr>
          <w:rFonts w:hint="eastAsia" w:eastAsia="宋体"/>
          <w:lang w:eastAsia="zh-CN"/>
        </w:rPr>
      </w:pPr>
      <w:r>
        <w:rPr>
          <w:rFonts w:hint="eastAsia" w:ascii="宋体" w:hAnsi="宋体"/>
        </w:rPr>
        <w:t xml:space="preserve">第六章 投标文件格式</w:t>
      </w:r>
      <w:r>
        <w:rPr>
          <w:rFonts w:hint="eastAsia"/>
        </w:rPr>
        <w:tab/>
      </w:r>
      <w:r>
        <w:rPr>
          <w:rFonts w:hint="eastAsia"/>
        </w:rPr>
        <w:t xml:space="preserve">4</w:t>
      </w:r>
      <w:r>
        <w:rPr>
          <w:rFonts w:hint="eastAsia"/>
          <w:lang w:val="en-US" w:eastAsia="zh-CN"/>
        </w:rPr>
        <w:t xml:space="preserve">8</w:t>
      </w:r>
      <w:r/>
    </w:p>
    <w:p>
      <w:pPr>
        <w:jc w:val="center"/>
        <w:spacing w:line="360" w:lineRule="auto"/>
        <w:rPr>
          <w:rFonts w:ascii="宋体" w:hAnsi="宋体"/>
          <w:sz w:val="28"/>
        </w:rPr>
      </w:pPr>
      <w:r>
        <w:rPr>
          <w:rFonts w:hint="eastAsia" w:ascii="宋体" w:hAnsi="宋体"/>
          <w:sz w:val="28"/>
        </w:rPr>
        <w:fldChar w:fldCharType="end"/>
      </w:r>
      <w:r/>
    </w:p>
    <w:p>
      <w:pPr>
        <w:jc w:val="center"/>
        <w:spacing w:line="360" w:lineRule="auto"/>
        <w:rPr>
          <w:rFonts w:ascii="宋体" w:hAnsi="宋体"/>
          <w:b/>
          <w:bCs/>
          <w:sz w:val="36"/>
        </w:rPr>
      </w:pPr>
      <w:r>
        <w:rPr>
          <w:rFonts w:hint="eastAsia" w:ascii="宋体" w:hAnsi="宋体"/>
          <w:sz w:val="28"/>
        </w:rPr>
        <w:br w:type="page" w:clear="all"/>
      </w:r>
      <w:r>
        <w:rPr>
          <w:rFonts w:hint="eastAsia" w:ascii="宋体" w:hAnsi="宋体"/>
          <w:b/>
          <w:bCs/>
          <w:sz w:val="44"/>
          <w:szCs w:val="28"/>
        </w:rPr>
        <w:t xml:space="preserve">第一章 招标公告</w:t>
      </w:r>
      <w:r/>
    </w:p>
    <w:p>
      <w:pPr>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扬州大学公共云机房建设（三期）项目JSZC-320000-JJJC-G2026-0014采购项目的潜在供应商应在“江苏政府采购网”和“中国政府采购网”获取采购文件，并于2026-0</w:t>
      </w:r>
      <w:r>
        <w:rPr>
          <w:rFonts w:hint="eastAsia" w:ascii="宋体" w:hAnsi="宋体" w:cs="宋体"/>
          <w:lang w:val="en-US" w:eastAsia="zh-CN"/>
        </w:rPr>
        <w:t xml:space="preserve">7</w:t>
      </w:r>
      <w:r>
        <w:rPr>
          <w:rFonts w:hint="eastAsia" w:ascii="宋体" w:hAnsi="宋体" w:cs="宋体"/>
        </w:rPr>
        <w:t xml:space="preserve">-10</w:t>
      </w:r>
      <w:r>
        <w:rPr>
          <w:rFonts w:hint="eastAsia" w:ascii="宋体" w:hAnsi="宋体" w:cs="宋体"/>
        </w:rPr>
        <w:t xml:space="preserve"> </w:t>
      </w:r>
      <w:r>
        <w:rPr>
          <w:rFonts w:hint="eastAsia" w:ascii="宋体" w:hAnsi="宋体" w:cs="宋体"/>
          <w:lang w:val="en-US" w:eastAsia="zh-CN"/>
        </w:rPr>
        <w:t xml:space="preserve">15</w:t>
      </w:r>
      <w:r>
        <w:rPr>
          <w:rFonts w:hint="eastAsia" w:ascii="宋体" w:hAnsi="宋体" w:cs="宋体"/>
        </w:rPr>
        <w:t xml:space="preserve">:</w:t>
      </w:r>
      <w:r>
        <w:rPr>
          <w:rFonts w:hint="eastAsia" w:ascii="宋体" w:hAnsi="宋体" w:cs="宋体"/>
          <w:lang w:val="en-US" w:eastAsia="zh-CN"/>
        </w:rPr>
        <w:t xml:space="preserve">00</w:t>
      </w:r>
      <w:r>
        <w:rPr>
          <w:rFonts w:hint="eastAsia" w:ascii="宋体" w:hAnsi="宋体" w:cs="宋体"/>
        </w:rPr>
        <w:t xml:space="preserve"> （北京时间）前提交响应文件。</w:t>
      </w:r>
      <w:r/>
    </w:p>
    <w:p>
      <w:pPr>
        <w:spacing w:line="360" w:lineRule="auto"/>
        <w:tabs>
          <w:tab w:val="left" w:pos="266" w:leader="none"/>
        </w:tabs>
        <w:rPr>
          <w:rFonts w:ascii="宋体" w:hAnsi="宋体" w:cs="宋体"/>
          <w:b/>
          <w:bCs/>
        </w:rPr>
      </w:pPr>
      <w:r/>
      <w:bookmarkStart w:id="2" w:name="_Toc28359002"/>
      <w:r/>
      <w:bookmarkStart w:id="3" w:name="_Toc35393621"/>
      <w:r/>
      <w:bookmarkStart w:id="4" w:name="_Toc28359079"/>
      <w:r/>
      <w:bookmarkStart w:id="5" w:name="_Toc35393790"/>
      <w:r/>
      <w:bookmarkStart w:id="6" w:name="_Toc38985263"/>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项目编号：JSZC-320000-JJJC-G2026-0014</w:t>
      </w:r>
      <w:r/>
    </w:p>
    <w:p>
      <w:pPr>
        <w:ind w:firstLine="420"/>
        <w:spacing w:line="360" w:lineRule="auto"/>
        <w:rPr>
          <w:rFonts w:ascii="宋体" w:hAnsi="宋体" w:cs="宋体"/>
        </w:rPr>
      </w:pPr>
      <w:r>
        <w:rPr>
          <w:rFonts w:hint="eastAsia" w:ascii="宋体" w:hAnsi="宋体" w:cs="宋体"/>
        </w:rPr>
        <w:t xml:space="preserve">项目名称：扬州大学公共云机房建设（三期）项目</w:t>
      </w:r>
      <w:r/>
    </w:p>
    <w:p>
      <w:pPr>
        <w:ind w:firstLine="420"/>
        <w:spacing w:line="360" w:lineRule="auto"/>
        <w:rPr>
          <w:rFonts w:ascii="宋体" w:hAnsi="宋体" w:cs="宋体"/>
        </w:rPr>
      </w:pPr>
      <w:r>
        <w:rPr>
          <w:rFonts w:hint="eastAsia" w:ascii="宋体" w:hAnsi="宋体" w:cs="宋体"/>
        </w:rPr>
        <w:t xml:space="preserve">采购方式：公开招标</w:t>
      </w:r>
      <w:bookmarkEnd w:id="7"/>
      <w:r/>
    </w:p>
    <w:p>
      <w:pPr>
        <w:ind w:firstLine="420"/>
        <w:spacing w:line="360" w:lineRule="auto"/>
        <w:rPr>
          <w:rFonts w:ascii="宋体" w:hAnsi="宋体"/>
          <w:szCs w:val="21"/>
        </w:rPr>
      </w:pPr>
      <w:r>
        <w:rPr>
          <w:rFonts w:hint="eastAsia" w:ascii="宋体" w:hAnsi="宋体" w:cs="宋体"/>
        </w:rPr>
        <w:t xml:space="preserve">预算金额：</w:t>
      </w:r>
      <w:r>
        <w:rPr>
          <w:rFonts w:hint="eastAsia" w:ascii="宋体" w:hAnsi="宋体"/>
          <w:szCs w:val="21"/>
        </w:rPr>
        <w:t xml:space="preserve">395.</w:t>
      </w:r>
      <w:r>
        <w:rPr>
          <w:rFonts w:hint="eastAsia" w:ascii="宋体" w:hAnsi="宋体" w:cs="宋体"/>
        </w:rPr>
        <w:t xml:space="preserve">000000</w:t>
      </w:r>
      <w:r>
        <w:rPr>
          <w:rFonts w:hint="eastAsia" w:ascii="宋体" w:hAnsi="宋体"/>
          <w:szCs w:val="21"/>
        </w:rPr>
        <w:t xml:space="preserve">万元</w:t>
      </w:r>
      <w:r/>
    </w:p>
    <w:p>
      <w:pPr>
        <w:ind w:firstLine="420"/>
        <w:spacing w:line="360" w:lineRule="auto"/>
        <w:rPr>
          <w:rFonts w:ascii="宋体" w:hAnsi="宋体" w:cs="宋体"/>
        </w:rPr>
      </w:pPr>
      <w:r>
        <w:rPr>
          <w:rFonts w:ascii="Times New Roman" w:hAnsi="Times New Roman"/>
          <w:highlight w:val="none"/>
        </w:rPr>
        <w:t xml:space="preserve">最高限价（如有）：</w:t>
      </w:r>
      <w:r>
        <w:rPr>
          <w:rFonts w:hint="eastAsia" w:ascii="宋体" w:hAnsi="宋体" w:cs="宋体"/>
          <w:highlight w:val="none"/>
        </w:rPr>
        <w:t xml:space="preserve">376.6万元</w:t>
      </w:r>
      <w:r>
        <w:rPr>
          <w:rFonts w:ascii="Times New Roman" w:hAnsi="Times New Roman"/>
          <w:highlight w:val="none"/>
        </w:rPr>
        <w:t xml:space="preserve">。各</w:t>
      </w:r>
      <w:r>
        <w:rPr>
          <w:rFonts w:ascii="Times New Roman" w:hAnsi="Times New Roman"/>
        </w:rPr>
        <w:t xml:space="preserve">投标</w:t>
      </w:r>
      <w:r>
        <w:rPr>
          <w:rFonts w:hint="eastAsia" w:ascii="Times New Roman" w:hAnsi="Times New Roman"/>
        </w:rPr>
        <w:t xml:space="preserve">人</w:t>
      </w:r>
      <w:r>
        <w:rPr>
          <w:rFonts w:ascii="Times New Roman" w:hAnsi="Times New Roman"/>
        </w:rPr>
        <w:t xml:space="preserve">报价不得超过设定的最高限价，否则作为无效</w:t>
      </w:r>
      <w:r>
        <w:rPr>
          <w:rFonts w:hint="eastAsia" w:ascii="Times New Roman" w:hAnsi="Times New Roman"/>
        </w:rPr>
        <w:t xml:space="preserve">响应</w:t>
      </w:r>
      <w:r>
        <w:rPr>
          <w:rFonts w:ascii="Times New Roman" w:hAnsi="Times New Roman"/>
        </w:rPr>
        <w:t xml:space="preserve">处理。  </w:t>
      </w:r>
      <w:r/>
    </w:p>
    <w:p>
      <w:pPr>
        <w:ind w:firstLine="420"/>
        <w:spacing w:line="360" w:lineRule="auto"/>
        <w:rPr>
          <w:rFonts w:ascii="宋体" w:hAnsi="宋体" w:cs="宋体"/>
          <w:u w:val="single"/>
        </w:rPr>
      </w:pPr>
      <w:r>
        <w:rPr>
          <w:rFonts w:hint="eastAsia" w:ascii="宋体" w:hAnsi="宋体" w:cs="宋体"/>
        </w:rPr>
        <w:t xml:space="preserve">采购需求：</w:t>
      </w:r>
      <w:r>
        <w:rPr>
          <w:rFonts w:hint="eastAsia" w:ascii="宋体" w:hAnsi="宋体"/>
          <w:szCs w:val="21"/>
        </w:rPr>
        <w:t xml:space="preserve">具体详见第四章“项目需求”。</w:t>
      </w:r>
      <w:r/>
    </w:p>
    <w:p>
      <w:pPr>
        <w:ind w:firstLine="420"/>
        <w:jc w:val="left"/>
        <w:spacing w:line="360" w:lineRule="auto"/>
        <w:rPr>
          <w:rFonts w:ascii="宋体" w:hAnsi="宋体" w:cs="宋体"/>
          <w:szCs w:val="21"/>
        </w:rPr>
      </w:pPr>
      <w:r>
        <w:rPr>
          <w:rFonts w:hint="eastAsia" w:ascii="宋体" w:hAnsi="宋体" w:cs="宋体"/>
        </w:rPr>
        <w:t xml:space="preserve">合同履行期限：合同签订后40个日历天内完成。</w:t>
      </w:r>
      <w:r/>
    </w:p>
    <w:p>
      <w:pPr>
        <w:ind w:firstLine="420"/>
        <w:spacing w:line="360" w:lineRule="auto"/>
        <w:rPr>
          <w:rFonts w:hint="eastAsia" w:ascii="宋体" w:hAnsi="宋体" w:cs="宋体"/>
        </w:rPr>
      </w:pPr>
      <w:r/>
      <w:bookmarkStart w:id="8" w:name="_Toc35393622"/>
      <w:r/>
      <w:bookmarkStart w:id="9" w:name="_Toc28359080"/>
      <w:r/>
      <w:bookmarkStart w:id="10" w:name="_Toc35393791"/>
      <w:r/>
      <w:bookmarkStart w:id="11" w:name="_Toc38985264"/>
      <w:r/>
      <w:bookmarkStart w:id="12" w:name="_Toc28359003"/>
      <w:r>
        <w:rPr>
          <w:rFonts w:hint="eastAsia" w:ascii="宋体" w:hAnsi="宋体" w:cs="宋体"/>
        </w:rPr>
        <w:t xml:space="preserve">本项目（是/否）接受联合体：否</w:t>
      </w:r>
      <w:r/>
    </w:p>
    <w:p>
      <w:pPr>
        <w:ind w:firstLine="420"/>
        <w:spacing w:line="360" w:lineRule="auto"/>
        <w:rPr>
          <w:rFonts w:hint="eastAsia" w:ascii="宋体" w:hAnsi="宋体" w:cs="宋体"/>
        </w:rPr>
      </w:pPr>
      <w:r>
        <w:rPr>
          <w:rFonts w:hint="eastAsia" w:ascii="宋体" w:hAnsi="宋体" w:cs="宋体"/>
        </w:rPr>
        <w:t xml:space="preserve">本项目不接受进口产品投标。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81"/>
      <w:r/>
      <w:bookmarkStart w:id="14" w:name="_Toc35393623"/>
      <w:r/>
      <w:bookmarkStart w:id="15" w:name="_Toc28359004"/>
      <w:r/>
      <w:bookmarkStart w:id="16" w:name="_Toc35393792"/>
      <w:r/>
      <w:bookmarkStart w:id="17" w:name="_Toc38985265"/>
      <w:r>
        <w:rPr>
          <w:rFonts w:hint="eastAsia" w:ascii="宋体" w:hAnsi="宋体" w:cs="宋体"/>
          <w:szCs w:val="21"/>
        </w:rPr>
        <w:t xml:space="preserve">（一）满足《中华人民共和国政府采购法》第二十二条规定： </w:t>
      </w:r>
      <w:r/>
    </w:p>
    <w:p>
      <w:pPr>
        <w:ind w:firstLine="420"/>
        <w:spacing w:line="360" w:lineRule="auto"/>
        <w:rPr>
          <w:rFonts w:ascii="宋体" w:hAnsi="宋体" w:cs="宋体"/>
          <w:szCs w:val="21"/>
        </w:rPr>
      </w:pPr>
      <w:r>
        <w:rPr>
          <w:rFonts w:hint="eastAsia" w:ascii="宋体" w:hAnsi="宋体" w:cs="宋体"/>
          <w:szCs w:val="21"/>
        </w:rPr>
        <w:t xml:space="preserve">1.法人或者其他组织的营业执照等证明文件，自然人的身份证明</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2.上一年度的财务状况报告（成立不满一年无需提供）</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4.具备履行合同所必需的设备和专业技术能力的书面声明</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5.参加政府采购活动前3年内在经营活动中没有重大违法记录的书面声明</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6.供应商信用承诺函</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7.未被“信用中国”网站、“中国政府采购网"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ascii="Times New Roman" w:hAnsi="Times New Roman" w:cs="宋体"/>
          <w:szCs w:val="21"/>
        </w:rPr>
      </w:pPr>
      <w:r>
        <w:rPr>
          <w:rFonts w:hint="eastAsia" w:ascii="宋体" w:hAnsi="宋体" w:cs="宋体"/>
          <w:szCs w:val="21"/>
        </w:rPr>
        <w:t xml:space="preserve">（二）落实政府采购政策需满足的资格要求：无。</w:t>
      </w:r>
      <w:r/>
    </w:p>
    <w:p>
      <w:pPr>
        <w:ind w:firstLine="420"/>
        <w:spacing w:line="360" w:lineRule="auto"/>
        <w:rPr>
          <w:rFonts w:ascii="宋体" w:hAnsi="宋体" w:cs="宋体"/>
          <w:szCs w:val="21"/>
        </w:rPr>
      </w:pPr>
      <w:r>
        <w:rPr>
          <w:rFonts w:hint="eastAsia" w:ascii="宋体" w:hAnsi="宋体" w:cs="宋体"/>
          <w:szCs w:val="21"/>
        </w:rPr>
        <w:t xml:space="preserve">（三）本项目的特定资格要求：无。</w:t>
      </w:r>
      <w:r/>
    </w:p>
    <w:p>
      <w:pPr>
        <w:spacing w:line="360" w:lineRule="auto"/>
        <w:tabs>
          <w:tab w:val="left" w:pos="266" w:leader="none"/>
        </w:tabs>
        <w:rPr>
          <w:rFonts w:ascii="宋体" w:hAnsi="宋体" w:cs="宋体"/>
          <w:b/>
          <w:bCs/>
        </w:rPr>
      </w:pPr>
      <w:r>
        <w:rPr>
          <w:rFonts w:hint="eastAsia" w:ascii="宋体" w:hAnsi="宋体" w:cs="宋体"/>
          <w:b/>
          <w:bCs/>
        </w:rPr>
        <w:t xml:space="preserve">三、获取采购文件</w:t>
      </w:r>
      <w:bookmarkEnd w:id="13"/>
      <w:r/>
      <w:bookmarkEnd w:id="14"/>
      <w:r/>
      <w:bookmarkEnd w:id="15"/>
      <w:r/>
      <w:bookmarkEnd w:id="16"/>
      <w:r/>
      <w:bookmarkEnd w:id="17"/>
      <w:r/>
      <w:r/>
    </w:p>
    <w:p>
      <w:pPr>
        <w:ind w:firstLine="420"/>
        <w:spacing w:line="360" w:lineRule="auto"/>
        <w:rPr>
          <w:rFonts w:ascii="Times New Roman" w:hAnsi="Times New Roman" w:cs="宋体"/>
          <w:szCs w:val="21"/>
        </w:rPr>
      </w:pPr>
      <w:r/>
      <w:bookmarkStart w:id="18" w:name="_Toc28359007"/>
      <w:r/>
      <w:bookmarkStart w:id="19" w:name="_Toc38985267"/>
      <w:r/>
      <w:bookmarkStart w:id="20" w:name="_Toc35393625"/>
      <w:r/>
      <w:bookmarkStart w:id="21" w:name="_Toc28359084"/>
      <w:r/>
      <w:bookmarkStart w:id="22" w:name="_Toc35393794"/>
      <w:r>
        <w:rPr>
          <w:rFonts w:hint="eastAsia" w:ascii="Times New Roman" w:hAnsi="Times New Roman" w:cs="宋体"/>
          <w:szCs w:val="21"/>
        </w:rPr>
        <w:t xml:space="preserve">时间：自采购文件公告发布之日起5个工作日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地点：“江苏政府采购网”和“中国政府采购网”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方式：本项目采用网上注册登记方式。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售价：0.00元</w:t>
      </w:r>
      <w:r/>
    </w:p>
    <w:p>
      <w:pPr>
        <w:spacing w:line="360" w:lineRule="auto"/>
        <w:tabs>
          <w:tab w:val="left" w:pos="266" w:leader="none"/>
        </w:tabs>
        <w:rPr>
          <w:rFonts w:ascii="宋体" w:hAnsi="宋体" w:cs="宋体"/>
          <w:b/>
          <w:bCs/>
        </w:rPr>
      </w:pPr>
      <w:r>
        <w:rPr>
          <w:rFonts w:hint="eastAsia" w:ascii="宋体" w:hAnsi="宋体" w:cs="宋体"/>
          <w:b/>
          <w:bCs/>
        </w:rPr>
        <w:t xml:space="preserve">四、响应文件提交</w:t>
      </w:r>
      <w:r/>
    </w:p>
    <w:p>
      <w:pPr>
        <w:ind w:firstLine="420"/>
        <w:spacing w:line="360" w:lineRule="auto"/>
        <w:rPr>
          <w:rFonts w:ascii="宋体" w:hAnsi="宋体" w:cs="宋体"/>
          <w:bCs/>
          <w:szCs w:val="21"/>
          <w:u w:val="single"/>
        </w:rPr>
      </w:pPr>
      <w:r>
        <w:rPr>
          <w:rFonts w:hint="eastAsia" w:ascii="宋体" w:hAnsi="宋体" w:cs="宋体"/>
        </w:rPr>
        <w:t xml:space="preserve">截止时间：2026-0</w:t>
      </w: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val="en-US" w:eastAsia="zh-CN"/>
        </w:rPr>
        <w:t xml:space="preserve">10</w:t>
      </w:r>
      <w:r>
        <w:rPr>
          <w:rFonts w:hint="eastAsia" w:ascii="宋体" w:hAnsi="宋体" w:cs="宋体"/>
        </w:rPr>
        <w:t xml:space="preserve">  </w:t>
      </w:r>
      <w:r>
        <w:rPr>
          <w:rFonts w:hint="eastAsia" w:ascii="宋体" w:hAnsi="宋体" w:cs="宋体"/>
          <w:lang w:val="en-US" w:eastAsia="zh-CN"/>
        </w:rPr>
        <w:t xml:space="preserve">15</w:t>
      </w:r>
      <w:r>
        <w:rPr>
          <w:rFonts w:hint="eastAsia" w:ascii="宋体" w:hAnsi="宋体" w:cs="宋体"/>
        </w:rPr>
        <w:t xml:space="preserve">:</w:t>
      </w:r>
      <w:r>
        <w:rPr>
          <w:rFonts w:hint="eastAsia" w:ascii="宋体" w:hAnsi="宋体" w:cs="宋体"/>
          <w:lang w:val="en-US" w:eastAsia="zh-CN"/>
        </w:rPr>
        <w:t xml:space="preserve">00</w:t>
      </w:r>
      <w:r>
        <w:rPr>
          <w:rFonts w:hint="eastAsia" w:ascii="宋体" w:hAnsi="宋体" w:cs="宋体"/>
        </w:rPr>
        <w:t xml:space="preserve"> （北京时间）</w:t>
      </w:r>
      <w:r/>
    </w:p>
    <w:p>
      <w:pPr>
        <w:ind w:firstLine="420"/>
        <w:spacing w:line="360" w:lineRule="auto"/>
        <w:rPr>
          <w:rFonts w:ascii="宋体" w:hAnsi="宋体"/>
          <w:b w:val="0"/>
          <w:bCs/>
          <w:szCs w:val="21"/>
        </w:rPr>
      </w:pPr>
      <w:r>
        <w:rPr>
          <w:rFonts w:hint="eastAsia" w:ascii="宋体" w:hAnsi="宋体" w:cs="宋体"/>
        </w:rPr>
        <w:t xml:space="preserve">地点：</w:t>
      </w:r>
      <w:r>
        <w:rPr>
          <w:rFonts w:hint="eastAsia" w:ascii="宋体" w:hAnsi="宋体"/>
          <w:b w:val="0"/>
          <w:bCs/>
          <w:szCs w:val="21"/>
        </w:rPr>
        <w:t xml:space="preserve">“苏采云”系统（网址：</w:t>
      </w:r>
      <w:r>
        <w:rPr>
          <w:b w:val="0"/>
          <w:bCs/>
        </w:rPr>
        <w:fldChar w:fldCharType="begin"/>
      </w:r>
      <w:r>
        <w:rPr>
          <w:b w:val="0"/>
          <w:bCs/>
        </w:rPr>
        <w:instrText xml:space="preserve"> HYPERLINK "http://jszfcg.jsczt.cn/）" </w:instrText>
      </w:r>
      <w:r>
        <w:rPr>
          <w:b w:val="0"/>
          <w:bCs/>
        </w:rPr>
        <w:fldChar w:fldCharType="separate"/>
      </w:r>
      <w:r>
        <w:rPr>
          <w:rFonts w:hint="eastAsia" w:ascii="宋体" w:hAnsi="宋体"/>
          <w:b w:val="0"/>
          <w:bCs/>
          <w:szCs w:val="21"/>
        </w:rPr>
        <w:t xml:space="preserve">http://jszfcg.jsczt.cn/）</w:t>
      </w:r>
      <w:r>
        <w:rPr>
          <w:rFonts w:hint="eastAsia" w:ascii="宋体" w:hAnsi="宋体"/>
          <w:b w:val="0"/>
          <w:bCs/>
          <w:szCs w:val="21"/>
        </w:rPr>
        <w:fldChar w:fldCharType="end"/>
      </w:r>
      <w:r/>
    </w:p>
    <w:p>
      <w:pPr>
        <w:pStyle w:val="983"/>
        <w:spacing w:before="0" w:after="0" w:line="360" w:lineRule="auto"/>
        <w:rPr>
          <w:rFonts w:ascii="宋体" w:hAnsi="宋体" w:cs="宋体"/>
          <w:bCs w:val="0"/>
          <w:sz w:val="21"/>
          <w:szCs w:val="21"/>
        </w:rPr>
      </w:pPr>
      <w:r/>
      <w:bookmarkStart w:id="23" w:name="_Toc109304967"/>
      <w:r/>
      <w:bookmarkStart w:id="24" w:name="_Toc12476"/>
      <w:r>
        <w:rPr>
          <w:rFonts w:hint="eastAsia" w:ascii="宋体" w:hAnsi="宋体" w:cs="宋体"/>
          <w:bCs w:val="0"/>
          <w:sz w:val="21"/>
          <w:szCs w:val="21"/>
        </w:rPr>
        <w:t xml:space="preserve">五、开启</w:t>
      </w:r>
      <w:bookmarkEnd w:id="23"/>
      <w:r/>
      <w:bookmarkEnd w:id="24"/>
      <w:r/>
      <w:bookmarkEnd w:id="18"/>
      <w:bookmarkEnd w:id="19"/>
      <w:bookmarkEnd w:id="20"/>
      <w:bookmarkEnd w:id="21"/>
      <w:bookmarkEnd w:id="22"/>
      <w:r/>
    </w:p>
    <w:p>
      <w:pPr>
        <w:ind w:firstLine="420"/>
        <w:spacing w:line="360" w:lineRule="auto"/>
        <w:rPr>
          <w:rFonts w:ascii="宋体" w:hAnsi="宋体" w:cs="宋体"/>
        </w:rPr>
      </w:pPr>
      <w:r/>
      <w:bookmarkStart w:id="25" w:name="_Toc35393626"/>
      <w:r/>
      <w:bookmarkStart w:id="26" w:name="_Toc38985268"/>
      <w:r/>
      <w:bookmarkStart w:id="27" w:name="_Toc35393795"/>
      <w:r>
        <w:rPr>
          <w:rFonts w:hint="eastAsia" w:ascii="宋体" w:hAnsi="宋体" w:cs="宋体"/>
        </w:rPr>
        <w:t xml:space="preserve">时间：2026-0</w:t>
      </w: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val="en-US" w:eastAsia="zh-CN"/>
        </w:rPr>
        <w:t xml:space="preserve">10</w:t>
      </w:r>
      <w:r>
        <w:rPr>
          <w:rFonts w:hint="eastAsia" w:ascii="宋体" w:hAnsi="宋体" w:cs="宋体"/>
        </w:rPr>
        <w:t xml:space="preserve">  </w:t>
      </w:r>
      <w:r>
        <w:rPr>
          <w:rFonts w:hint="eastAsia" w:ascii="宋体" w:hAnsi="宋体" w:cs="宋体"/>
          <w:lang w:val="en-US" w:eastAsia="zh-CN"/>
        </w:rPr>
        <w:t xml:space="preserve">15</w:t>
      </w:r>
      <w:r>
        <w:rPr>
          <w:rFonts w:hint="eastAsia" w:ascii="宋体" w:hAnsi="宋体" w:cs="宋体"/>
        </w:rPr>
        <w:t xml:space="preserve">:</w:t>
      </w:r>
      <w:r>
        <w:rPr>
          <w:rFonts w:hint="eastAsia" w:ascii="宋体" w:hAnsi="宋体" w:cs="宋体"/>
          <w:lang w:val="en-US" w:eastAsia="zh-CN"/>
        </w:rPr>
        <w:t xml:space="preserve">00</w:t>
      </w:r>
      <w:r>
        <w:rPr>
          <w:rFonts w:hint="eastAsia" w:ascii="宋体" w:hAnsi="宋体" w:cs="宋体"/>
        </w:rPr>
        <w:t xml:space="preserve"> （北京时间）</w:t>
      </w:r>
      <w:r/>
    </w:p>
    <w:p>
      <w:pPr>
        <w:ind w:firstLine="420"/>
        <w:spacing w:line="360" w:lineRule="auto"/>
        <w:rPr>
          <w:rFonts w:ascii="宋体" w:hAnsi="宋体" w:cs="宋体"/>
        </w:rPr>
      </w:pPr>
      <w:r>
        <w:rPr>
          <w:rFonts w:hint="eastAsia" w:ascii="宋体" w:hAnsi="宋体" w:cs="宋体"/>
        </w:rPr>
        <w:t xml:space="preserve">地点：“苏采云”系统（网址： http://jszfcg.jsczt.cn/）“开标大厅”</w:t>
      </w:r>
      <w:r/>
    </w:p>
    <w:p>
      <w:pPr>
        <w:spacing w:line="360" w:lineRule="auto"/>
        <w:tabs>
          <w:tab w:val="left" w:pos="266" w:leader="none"/>
        </w:tabs>
        <w:rPr>
          <w:rFonts w:ascii="宋体" w:hAnsi="宋体" w:cs="宋体"/>
          <w:b/>
          <w:bCs/>
        </w:rPr>
      </w:pPr>
      <w:r>
        <w:rPr>
          <w:rFonts w:hint="eastAsia" w:ascii="宋体" w:hAnsi="宋体" w:cs="宋体"/>
          <w:b/>
          <w:bCs/>
        </w:rPr>
        <w:t xml:space="preserve">六、公告期限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七、其他补充事宜</w:t>
      </w:r>
      <w:bookmarkEnd w:id="25"/>
      <w:r/>
      <w:bookmarkEnd w:id="26"/>
      <w:r/>
      <w:bookmarkEnd w:id="27"/>
      <w:r/>
      <w:r/>
    </w:p>
    <w:p>
      <w:pPr>
        <w:ind w:firstLine="422"/>
        <w:spacing w:line="360" w:lineRule="auto"/>
        <w:shd w:val="clear" w:color="auto" w:fill="ffffff"/>
        <w:rPr>
          <w:rFonts w:ascii="宋体" w:hAnsi="宋体"/>
          <w:b/>
          <w:bCs/>
        </w:rPr>
      </w:pPr>
      <w:r/>
      <w:bookmarkStart w:id="28" w:name="_Toc28359008"/>
      <w:r/>
      <w:bookmarkStart w:id="29" w:name="_Toc28359085"/>
      <w:r/>
      <w:bookmarkStart w:id="30" w:name="_Toc38985269"/>
      <w:r/>
      <w:bookmarkStart w:id="31" w:name="_Toc35393627"/>
      <w:r/>
      <w:bookmarkStart w:id="32" w:name="_Toc35393796"/>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0"/>
        <w:spacing w:line="360" w:lineRule="auto"/>
        <w:rPr>
          <w:rFonts w:ascii="宋体" w:hAnsi="宋体"/>
          <w:szCs w:val="21"/>
        </w:rPr>
      </w:pPr>
      <w:r>
        <w:rPr>
          <w:rFonts w:hint="eastAsia" w:ascii="宋体" w:hAnsi="宋体"/>
          <w:szCs w:val="21"/>
        </w:rPr>
        <w:t xml:space="preserve">3.本次招标不收取投标保证金。</w:t>
      </w:r>
      <w:r/>
    </w:p>
    <w:p>
      <w:pPr>
        <w:ind w:firstLine="420"/>
        <w:spacing w:line="360" w:lineRule="auto"/>
        <w:rPr>
          <w:rFonts w:ascii="宋体" w:hAnsi="宋体"/>
          <w:szCs w:val="21"/>
        </w:rPr>
      </w:pPr>
      <w:r>
        <w:rPr>
          <w:rFonts w:hint="eastAsia" w:ascii="宋体" w:hAnsi="宋体"/>
          <w:szCs w:val="21"/>
        </w:rPr>
        <w:t xml:space="preserve">4.潜在供应商对采购文件项目需求部分的询问、质疑请向采购人提出，由采购人负责答复。</w:t>
      </w:r>
      <w:r/>
    </w:p>
    <w:p>
      <w:pPr>
        <w:ind w:firstLine="420"/>
        <w:spacing w:line="360" w:lineRule="auto"/>
        <w:rPr>
          <w:rFonts w:ascii="宋体" w:hAnsi="宋体"/>
          <w:szCs w:val="21"/>
        </w:rPr>
      </w:pPr>
      <w:r>
        <w:rPr>
          <w:rFonts w:hint="eastAsia" w:ascii="宋体" w:hAnsi="宋体"/>
          <w:szCs w:val="21"/>
        </w:rPr>
        <w:t xml:space="preserve">5.有关本次招标的事项若存在变动或修改，敬请及时关注““江苏省政府采购网”、“中国政府采购网”发布的信息。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w:t>
      </w:r>
      <w:r/>
    </w:p>
    <w:p>
      <w:pPr>
        <w:ind w:firstLine="420"/>
        <w:jc w:val="left"/>
        <w:spacing w:line="360" w:lineRule="auto"/>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落实好政府采购履约资金扶持政策。中标/成交供应商可凭政府采购合同办理融资贷款，详见江苏政府采购网“政采贷”专栏。”</w:t>
      </w:r>
      <w:r>
        <w:rPr>
          <w:rFonts w:ascii="宋体" w:hAnsi="宋体" w:cs="宋体"/>
          <w:b/>
          <w:szCs w:val="21"/>
        </w:rPr>
        <w:br w:type="textWrapping" w:clear="all"/>
      </w:r>
      <w:r>
        <w:rPr>
          <w:rFonts w:hint="eastAsia" w:ascii="宋体" w:hAnsi="宋体" w:cs="宋体"/>
          <w:b/>
          <w:szCs w:val="21"/>
        </w:rPr>
        <w:t xml:space="preserve">    9.</w:t>
      </w:r>
      <w:r>
        <w:rPr>
          <w:rFonts w:ascii="宋体" w:hAnsi="宋体" w:cs="宋体"/>
          <w:b/>
          <w:szCs w:val="21"/>
        </w:rPr>
        <w:t xml:space="preserve">严格执行政府采购关于支持</w:t>
      </w:r>
      <w:r>
        <w:rPr>
          <w:rFonts w:ascii="宋体" w:hAnsi="宋体"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szCs w:val="21"/>
        </w:rPr>
      </w:pPr>
      <w:r>
        <w:rPr>
          <w:rFonts w:hint="eastAsia" w:ascii="宋体" w:hAnsi="宋体" w:cs="宋体"/>
          <w:b/>
          <w:szCs w:val="21"/>
        </w:rPr>
        <w:t xml:space="preserve">10.</w:t>
      </w:r>
      <w:r>
        <w:rPr>
          <w:rFonts w:ascii="宋体" w:hAnsi="宋体" w:cs="宋体"/>
          <w:b/>
          <w:szCs w:val="21"/>
        </w:rPr>
        <w:t xml:space="preserve">供应商对于投标产品的包装应按照“财办库〔2020〕123号《关于印发《商品包装</w:t>
      </w:r>
      <w:r>
        <w:rPr>
          <w:rFonts w:hAnsi="宋体" w:cs="宋体"/>
          <w:b/>
          <w:szCs w:val="21"/>
        </w:rPr>
        <w:t xml:space="preserve">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八、</w:t>
      </w:r>
      <w:bookmarkEnd w:id="28"/>
      <w:r/>
      <w:bookmarkEnd w:id="29"/>
      <w:r/>
      <w:bookmarkEnd w:id="30"/>
      <w:r/>
      <w:bookmarkEnd w:id="31"/>
      <w:r/>
      <w:bookmarkEnd w:id="32"/>
      <w:r>
        <w:rPr>
          <w:rFonts w:hint="eastAsia" w:ascii="宋体" w:hAnsi="宋体" w:cs="宋体"/>
          <w:b/>
          <w:bCs/>
        </w:rPr>
        <w:t xml:space="preserve">凡对本次采购提出询问，请按以下方式联系。</w:t>
      </w:r>
      <w:r/>
    </w:p>
    <w:p>
      <w:pPr>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单位名称：扬州大学（本部）</w:t>
      </w:r>
      <w:r/>
    </w:p>
    <w:p>
      <w:pPr>
        <w:ind w:firstLine="420"/>
        <w:jc w:val="left"/>
        <w:spacing w:line="360" w:lineRule="auto"/>
        <w:rPr>
          <w:rFonts w:ascii="宋体" w:hAnsi="宋体"/>
          <w:szCs w:val="21"/>
        </w:rPr>
      </w:pPr>
      <w:r>
        <w:rPr>
          <w:rFonts w:hint="eastAsia" w:ascii="宋体" w:hAnsi="宋体"/>
          <w:szCs w:val="21"/>
        </w:rPr>
        <w:t xml:space="preserve">单位地址：扬州市邗江区大学南路88号</w:t>
      </w:r>
      <w:r/>
    </w:p>
    <w:p>
      <w:pPr>
        <w:ind w:firstLine="420"/>
        <w:jc w:val="left"/>
        <w:spacing w:line="360" w:lineRule="auto"/>
        <w:rPr>
          <w:rFonts w:ascii="宋体" w:hAnsi="宋体"/>
          <w:szCs w:val="21"/>
        </w:rPr>
      </w:pPr>
      <w:r>
        <w:rPr>
          <w:rFonts w:hint="eastAsia" w:ascii="宋体" w:hAnsi="宋体"/>
          <w:szCs w:val="21"/>
        </w:rPr>
        <w:t xml:space="preserve">项目联系人：徐斌、</w:t>
      </w:r>
      <w:r>
        <w:rPr>
          <w:rFonts w:ascii="宋体" w:hAnsi="宋体"/>
          <w:szCs w:val="21"/>
        </w:rPr>
        <w:t xml:space="preserve"> </w:t>
      </w:r>
      <w:r>
        <w:rPr>
          <w:rFonts w:hint="eastAsia" w:ascii="宋体" w:hAnsi="宋体"/>
          <w:szCs w:val="21"/>
        </w:rPr>
        <w:t xml:space="preserve">柏甫荣</w:t>
      </w:r>
      <w:r/>
    </w:p>
    <w:p>
      <w:pPr>
        <w:ind w:firstLine="420"/>
        <w:jc w:val="left"/>
        <w:spacing w:line="360" w:lineRule="auto"/>
        <w:rPr>
          <w:rFonts w:ascii="宋体" w:hAnsi="宋体"/>
          <w:szCs w:val="21"/>
        </w:rPr>
      </w:pPr>
      <w:r>
        <w:rPr>
          <w:rFonts w:hint="eastAsia" w:ascii="宋体" w:hAnsi="宋体"/>
          <w:szCs w:val="21"/>
        </w:rPr>
        <w:t xml:space="preserve">电　　话：</w:t>
      </w:r>
      <w:r>
        <w:rPr>
          <w:rFonts w:ascii="宋体" w:hAnsi="宋体"/>
          <w:szCs w:val="21"/>
        </w:rPr>
        <w:t xml:space="preserve">13605270336</w:t>
      </w:r>
      <w:r>
        <w:rPr>
          <w:rFonts w:hint="eastAsia" w:ascii="宋体" w:hAnsi="宋体"/>
          <w:szCs w:val="21"/>
        </w:rPr>
        <w:t xml:space="preserve">、13665258586</w:t>
      </w:r>
      <w:r/>
    </w:p>
    <w:p>
      <w:pPr>
        <w:jc w:val="left"/>
        <w:spacing w:line="360" w:lineRule="auto"/>
        <w:rPr>
          <w:rFonts w:ascii="宋体" w:hAnsi="宋体"/>
          <w:szCs w:val="21"/>
        </w:rPr>
      </w:pPr>
      <w:r>
        <w:rPr>
          <w:rFonts w:hint="eastAsia" w:ascii="宋体" w:hAnsi="宋体"/>
          <w:szCs w:val="21"/>
        </w:rPr>
        <w:t xml:space="preserve">2.采购代理机构信息（如有）</w:t>
      </w:r>
      <w:r/>
    </w:p>
    <w:p>
      <w:pPr>
        <w:ind w:firstLine="420"/>
        <w:jc w:val="left"/>
        <w:spacing w:line="360" w:lineRule="auto"/>
        <w:rPr>
          <w:rFonts w:ascii="宋体" w:hAnsi="宋体" w:cs="宋体"/>
        </w:rPr>
      </w:pPr>
      <w:r>
        <w:rPr>
          <w:rFonts w:hint="eastAsia" w:ascii="宋体" w:hAnsi="宋体" w:cs="宋体"/>
        </w:rPr>
        <w:t xml:space="preserve">单位名 称：</w:t>
      </w:r>
      <w:r>
        <w:rPr>
          <w:rFonts w:hint="eastAsia" w:ascii="宋体" w:hAnsi="宋体"/>
          <w:szCs w:val="21"/>
        </w:rPr>
        <w:t xml:space="preserve">江苏嘉加诚工程投资咨询有限公司</w:t>
      </w:r>
      <w:r/>
    </w:p>
    <w:p>
      <w:pPr>
        <w:ind w:firstLine="420"/>
        <w:spacing w:line="360" w:lineRule="auto"/>
        <w:rPr>
          <w:rFonts w:ascii="宋体" w:hAnsi="宋体" w:cs="宋体"/>
        </w:rPr>
      </w:pPr>
      <w:r>
        <w:rPr>
          <w:rFonts w:hint="eastAsia" w:ascii="宋体" w:hAnsi="宋体" w:cs="宋体"/>
        </w:rPr>
        <w:t xml:space="preserve">单位地　址：</w:t>
      </w:r>
      <w:r>
        <w:rPr>
          <w:rFonts w:hint="eastAsia" w:ascii="宋体" w:hAnsi="宋体"/>
          <w:szCs w:val="21"/>
        </w:rPr>
        <w:t xml:space="preserve">江苏省扬州市邗江区文汇西路268号新辰大厦F7层</w:t>
      </w:r>
      <w:r/>
    </w:p>
    <w:p>
      <w:pPr>
        <w:ind w:firstLine="420"/>
        <w:spacing w:line="360" w:lineRule="auto"/>
        <w:rPr>
          <w:rFonts w:ascii="宋体" w:hAnsi="宋体"/>
          <w:szCs w:val="21"/>
        </w:rPr>
      </w:pPr>
      <w:r/>
      <w:bookmarkStart w:id="33" w:name="_Toc28359010"/>
      <w:r/>
      <w:bookmarkStart w:id="34" w:name="_Toc28359087"/>
      <w:r>
        <w:rPr>
          <w:rFonts w:hint="eastAsia" w:ascii="宋体" w:hAnsi="宋体"/>
          <w:szCs w:val="21"/>
        </w:rPr>
        <w:t xml:space="preserve">联系人：王静、高中翠</w:t>
      </w:r>
      <w:r/>
    </w:p>
    <w:p>
      <w:pPr>
        <w:ind w:firstLine="420"/>
        <w:spacing w:line="360" w:lineRule="auto"/>
        <w:rPr>
          <w:rFonts w:ascii="宋体" w:hAnsi="宋体"/>
          <w:szCs w:val="21"/>
        </w:rPr>
      </w:pPr>
      <w:r>
        <w:rPr>
          <w:rFonts w:hint="eastAsia" w:ascii="宋体" w:hAnsi="宋体"/>
          <w:szCs w:val="21"/>
        </w:rPr>
        <w:t xml:space="preserve">联系电话：15794519245、13270572163</w:t>
      </w:r>
      <w:bookmarkEnd w:id="33"/>
      <w:bookmarkEnd w:id="34"/>
      <w:r/>
    </w:p>
    <w:p>
      <w:pPr>
        <w:pStyle w:val="947"/>
        <w:jc w:val="center"/>
        <w:spacing w:line="360" w:lineRule="auto"/>
        <w:rPr>
          <w:rFonts w:ascii="宋体" w:hAnsi="宋体"/>
          <w:b w:val="0"/>
          <w:szCs w:val="21"/>
        </w:rPr>
      </w:pPr>
      <w:r>
        <w:rPr>
          <w:rFonts w:hint="eastAsia" w:ascii="宋体" w:hAnsi="宋体"/>
          <w:szCs w:val="36"/>
        </w:rPr>
        <w:br w:type="page" w:clear="all"/>
      </w:r>
      <w:r>
        <w:rPr>
          <w:rFonts w:hint="eastAsia" w:ascii="宋体" w:hAnsi="宋体"/>
          <w:szCs w:val="36"/>
        </w:rPr>
        <w:t xml:space="preserve">第二章 投标人须知</w:t>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本次招标采取公开招标方式，本招标文件仅适用于JSZC-320000-JJJC-G2026-0014项目。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rFonts w:ascii="宋体" w:hAnsi="宋体"/>
          <w:bCs/>
          <w:szCs w:val="21"/>
        </w:rPr>
      </w:pPr>
      <w:r>
        <w:rPr>
          <w:rFonts w:hint="eastAsia" w:ascii="宋体" w:hAnsi="宋体"/>
          <w:bCs/>
          <w:szCs w:val="21"/>
        </w:rPr>
        <w:t xml:space="preserve">4.1 投标人应自行承担所有与参加投标有关的费用，无论投标过程中的做法和结果如 何，代理机构在任何情况下均无义务和责任承担这些费用。 </w:t>
      </w:r>
      <w:r/>
    </w:p>
    <w:p>
      <w:pPr>
        <w:pStyle w:val="747"/>
        <w:ind w:firstLine="420"/>
        <w:spacing w:before="0" w:after="0" w:line="360" w:lineRule="auto"/>
        <w:rPr>
          <w:rFonts w:ascii="Times New Roman" w:hAnsi="Times New Roman" w:eastAsia="宋体"/>
          <w:b w:val="0"/>
          <w:bCs w:val="0"/>
          <w:sz w:val="21"/>
          <w:szCs w:val="21"/>
        </w:rPr>
      </w:pPr>
      <w:r>
        <w:rPr>
          <w:rFonts w:hint="eastAsia" w:ascii="宋体" w:hAnsi="宋体" w:eastAsia="宋体" w:cs="Times New Roman"/>
          <w:b w:val="0"/>
          <w:sz w:val="21"/>
          <w:szCs w:val="21"/>
        </w:rPr>
        <w:t xml:space="preserve">4.2 </w:t>
      </w:r>
      <w:r>
        <w:rPr>
          <w:rFonts w:hint="eastAsia" w:ascii="Times New Roman" w:hAnsi="Times New Roman" w:eastAsia="宋体"/>
          <w:b w:val="0"/>
          <w:sz w:val="21"/>
          <w:szCs w:val="21"/>
        </w:rPr>
        <w:t xml:space="preserve">本次</w:t>
      </w:r>
      <w:r>
        <w:rPr>
          <w:rFonts w:hint="eastAsia" w:ascii="Times New Roman" w:hAnsi="Times New Roman" w:eastAsia="宋体"/>
          <w:b w:val="0"/>
          <w:bCs w:val="0"/>
          <w:sz w:val="21"/>
          <w:szCs w:val="21"/>
        </w:rPr>
        <w:t xml:space="preserve">采购由中标供应商在领取中标通知书前一次性支付给招标代理机构代理服务费，招标代理服务费按发改价格〔2011〕534号文件规定货物类标准*24%计算。（具体计算方式详见下表）。</w:t>
      </w:r>
      <w:r/>
    </w:p>
    <w:tbl>
      <w:tblPr>
        <w:tblStyle w:val="754"/>
        <w:tblpPr w:horzAnchor="page" w:tblpX="1920" w:vertAnchor="text" w:tblpY="199"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服务项目</w:t>
            </w:r>
            <w:r/>
          </w:p>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747"/>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代理服务费最高限价</w:t>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代理费</w:t>
            </w:r>
            <w:r/>
          </w:p>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代理费</w:t>
            </w:r>
            <w:r/>
          </w:p>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代理费</w:t>
            </w:r>
            <w:r/>
          </w:p>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（单位：元）</w:t>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747"/>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747"/>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24 %</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747"/>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10000元</w:t>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747"/>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r>
    </w:tbl>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747"/>
        <w:ind w:firstLine="420"/>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基准费率表</w:t>
      </w:r>
      <w:r/>
    </w:p>
    <w:tbl>
      <w:tblPr>
        <w:tblStyle w:val="754"/>
        <w:tblW w:w="0" w:type="auto"/>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0.05％</w:t>
            </w:r>
            <w:r/>
          </w:p>
        </w:tc>
      </w:tr>
    </w:tbl>
    <w:p>
      <w:r/>
      <w:r/>
    </w:p>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（1）代理服务费以人民币支付；</w:t>
      </w:r>
      <w:r/>
    </w:p>
    <w:p>
      <w:pPr>
        <w:pStyle w:val="747"/>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（2）代理服务费支付方式：一次性以电汇或转账等形式支付。</w:t>
      </w:r>
      <w:r/>
    </w:p>
    <w:p>
      <w:pPr>
        <w:pStyle w:val="747"/>
        <w:ind w:firstLine="420"/>
        <w:spacing w:before="0" w:after="0" w:line="360" w:lineRule="auto"/>
        <w:rPr>
          <w:rFonts w:ascii="宋体" w:hAnsi="宋体"/>
          <w:szCs w:val="21"/>
        </w:rPr>
      </w:pPr>
      <w:r>
        <w:rPr>
          <w:rFonts w:hint="eastAsia" w:ascii="Times New Roman" w:hAnsi="Times New Roman" w:eastAsia="宋体"/>
          <w:b w:val="0"/>
          <w:bCs w:val="0"/>
          <w:sz w:val="21"/>
          <w:szCs w:val="21"/>
        </w:rPr>
        <w:t xml:space="preserve">（3）代理服务费不在报价中单列，但包含在总价中，由中标供应商支付给代理机构。</w:t>
      </w:r>
      <w:r/>
    </w:p>
    <w:p>
      <w:pPr>
        <w:ind w:firstLine="420"/>
        <w:spacing w:line="360" w:lineRule="auto"/>
        <w:rPr>
          <w:rFonts w:ascii="宋体" w:hAnsi="宋体"/>
          <w:bCs/>
          <w:szCs w:val="21"/>
        </w:rPr>
      </w:pPr>
      <w:r>
        <w:rPr>
          <w:rFonts w:hint="eastAsia" w:ascii="宋体" w:hAnsi="宋体"/>
          <w:bCs/>
          <w:szCs w:val="21"/>
        </w:rPr>
        <w:t xml:space="preserve">4.3专家评审费</w:t>
      </w:r>
      <w:r>
        <w:rPr>
          <w:rFonts w:hint="eastAsia" w:ascii="宋体" w:hAnsi="宋体"/>
          <w:bCs/>
          <w:szCs w:val="21"/>
          <w:lang w:val="en-US" w:eastAsia="zh-CN"/>
        </w:rPr>
        <w:t xml:space="preserve">参照</w:t>
      </w:r>
      <w:r>
        <w:rPr>
          <w:rFonts w:hint="eastAsia" w:ascii="宋体" w:hAnsi="宋体"/>
          <w:bCs/>
          <w:szCs w:val="21"/>
        </w:rPr>
        <w:t xml:space="preserve">《关于规范江苏省政府采购专家评审费标准的通知》（苏财购〔2016〕48号）执行，</w:t>
      </w:r>
      <w:r>
        <w:rPr>
          <w:rFonts w:hint="eastAsia" w:ascii="Times New Roman" w:hAnsi="Times New Roman"/>
          <w:szCs w:val="21"/>
        </w:rPr>
        <w:t xml:space="preserve">按实结算，由采购人支付</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35" w:name="_Toc16938541"/>
      <w:r/>
      <w:bookmarkStart w:id="36" w:name="_Toc20823297"/>
      <w:r/>
      <w:bookmarkStart w:id="37" w:name="_Toc513029225"/>
      <w:r/>
      <w:bookmarkStart w:id="38" w:name="_Toc462564084"/>
      <w:r>
        <w:rPr>
          <w:rFonts w:hint="eastAsia" w:ascii="宋体" w:hAnsi="宋体"/>
          <w:b/>
          <w:szCs w:val="21"/>
        </w:rPr>
        <w:t xml:space="preserve">17、投标文件</w:t>
      </w:r>
      <w:bookmarkEnd w:id="35"/>
      <w:r/>
      <w:bookmarkEnd w:id="36"/>
      <w:r/>
      <w:bookmarkEnd w:id="37"/>
      <w:r/>
      <w:bookmarkEnd w:id="38"/>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39" w:name="_Toc513029226"/>
      <w:r/>
      <w:bookmarkStart w:id="40" w:name="_Toc20823298"/>
      <w:r/>
      <w:bookmarkStart w:id="41"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39"/>
      <w:r/>
      <w:bookmarkEnd w:id="40"/>
      <w:r/>
      <w:bookmarkEnd w:id="41"/>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2" w:name="_Toc20823299"/>
      <w:r/>
      <w:bookmarkStart w:id="43" w:name="_Toc16938543"/>
      <w:r/>
      <w:bookmarkStart w:id="44" w:name="_Toc513029227"/>
      <w:r>
        <w:rPr>
          <w:rFonts w:hint="eastAsia" w:ascii="宋体" w:hAnsi="宋体"/>
          <w:b/>
          <w:szCs w:val="21"/>
        </w:rPr>
        <w:t xml:space="preserve">19、投标文件</w:t>
      </w:r>
      <w:bookmarkEnd w:id="42"/>
      <w:r/>
      <w:bookmarkEnd w:id="43"/>
      <w:r/>
      <w:bookmarkEnd w:id="44"/>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45" w:name="_Toc16938544"/>
      <w:r/>
      <w:bookmarkStart w:id="46" w:name="_Toc513029228"/>
      <w:r/>
      <w:bookmarkStart w:id="47" w:name="_Toc20823300"/>
      <w:r>
        <w:rPr>
          <w:rFonts w:hint="eastAsia" w:ascii="宋体" w:hAnsi="宋体"/>
          <w:b/>
          <w:szCs w:val="21"/>
        </w:rPr>
        <w:t xml:space="preserve">20、投标文件的撤回和修改</w:t>
      </w:r>
      <w:bookmarkEnd w:id="45"/>
      <w:r/>
      <w:bookmarkEnd w:id="46"/>
      <w:r/>
      <w:bookmarkEnd w:id="47"/>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当排名第一的中标候选人放弃中标、因不可抗力提出不能履行合同或者因其他原因被取消中标资格的，采购人可以确定排名第二的中标候选人为中标人或重新招标；排名第二的中标候选人因同样的原因不能签订合同的，采购人可以确定排名第三的中标候选人为中标人或重新招标。</w:t>
      </w:r>
      <w:r/>
    </w:p>
    <w:p>
      <w:pPr>
        <w:ind w:firstLine="420"/>
        <w:spacing w:line="360" w:lineRule="auto"/>
        <w:rPr>
          <w:rFonts w:ascii="宋体" w:hAnsi="宋体"/>
          <w:bCs/>
          <w:szCs w:val="21"/>
        </w:rPr>
      </w:pPr>
      <w:r>
        <w:rPr>
          <w:rFonts w:hint="eastAsia" w:ascii="宋体" w:hAnsi="宋体"/>
          <w:bCs/>
          <w:szCs w:val="21"/>
        </w:rPr>
        <w:t xml:space="preserve">27.3代理机构将在“江苏省政府采购网”、“中国政府采购网”发布中标公告，公告期限为1个工作日。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
          <w:szCs w:val="21"/>
        </w:rPr>
      </w:pPr>
      <w:r>
        <w:rPr>
          <w:rFonts w:hint="eastAsia" w:ascii="宋体" w:hAnsi="宋体"/>
          <w:bCs/>
          <w:szCs w:val="21"/>
        </w:rPr>
        <w:t xml:space="preserve">28.5 代理机构及采购人只接收以纸质原件形式送达的质疑。</w:t>
      </w:r>
      <w:r>
        <w:rPr>
          <w:rFonts w:hint="eastAsia" w:ascii="宋体" w:hAnsi="宋体"/>
          <w:b/>
          <w:szCs w:val="21"/>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30.3 合同在“政府采购管理交易系统（苏采云）”中签订，签订合同后，</w:t>
      </w:r>
      <w:r>
        <w:rPr>
          <w:rFonts w:hint="eastAsia" w:ascii="Times New Roman" w:hAnsi="Times New Roman" w:cs="宋体"/>
          <w:bCs/>
          <w:i/>
          <w:iCs/>
          <w:color w:val="auto"/>
          <w:szCs w:val="21"/>
          <w:highlight w:val="none"/>
          <w:u w:val="single"/>
        </w:rPr>
        <w:t xml:space="preserve">中标人不得将货物或服务及其他服务进行转包</w:t>
      </w:r>
      <w:r>
        <w:rPr>
          <w:rFonts w:hint="eastAsia" w:ascii="Times New Roman" w:hAnsi="Times New Roman"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rFonts w:hint="eastAsia" w:ascii="宋体" w:hAnsi="宋体" w:eastAsia="宋体" w:cs="宋体"/>
          <w:b/>
          <w:bCs/>
          <w:color w:val="auto"/>
          <w:szCs w:val="21"/>
          <w:highlight w:val="none"/>
          <w:lang w:eastAsia="zh-CN"/>
        </w:rPr>
      </w:pPr>
      <w:r>
        <w:rPr>
          <w:rFonts w:hint="eastAsia" w:ascii="Times New Roman" w:hAnsi="Times New Roman" w:cs="宋体"/>
          <w:bCs/>
          <w:color w:val="auto"/>
          <w:szCs w:val="21"/>
          <w:highlight w:val="none"/>
          <w:lang w:val="en-US" w:eastAsia="zh-CN"/>
        </w:rPr>
        <w:t xml:space="preserve">30.5</w:t>
      </w:r>
      <w:r>
        <w:rPr>
          <w:rFonts w:hint="eastAsia" w:ascii="宋体" w:hAnsi="宋体" w:cs="宋体"/>
          <w:b w:val="0"/>
          <w:bCs w:val="0"/>
          <w:color w:val="auto"/>
          <w:szCs w:val="21"/>
          <w:highlight w:val="none"/>
        </w:rPr>
        <w:t xml:space="preserve">如中标候选</w:t>
      </w:r>
      <w:r>
        <w:rPr>
          <w:rFonts w:hint="eastAsia" w:ascii="宋体" w:hAnsi="宋体" w:cs="宋体"/>
          <w:b w:val="0"/>
          <w:bCs w:val="0"/>
          <w:color w:val="auto"/>
          <w:szCs w:val="21"/>
          <w:highlight w:val="none"/>
          <w:lang w:val="en-US" w:eastAsia="zh-CN"/>
        </w:rPr>
        <w:t xml:space="preserve">人</w:t>
      </w:r>
      <w:r>
        <w:rPr>
          <w:rFonts w:hint="eastAsia" w:ascii="宋体" w:hAnsi="宋体" w:cs="宋体"/>
          <w:b w:val="0"/>
          <w:bCs w:val="0"/>
          <w:color w:val="auto"/>
          <w:szCs w:val="21"/>
          <w:highlight w:val="none"/>
        </w:rPr>
        <w:t xml:space="preserve">在规定时间不与学校签订合同、主动放弃</w:t>
      </w:r>
      <w:r>
        <w:rPr>
          <w:rFonts w:hint="eastAsia" w:ascii="宋体" w:hAnsi="宋体" w:cs="宋体"/>
          <w:b w:val="0"/>
          <w:bCs w:val="0"/>
          <w:color w:val="auto"/>
          <w:szCs w:val="21"/>
          <w:highlight w:val="none"/>
          <w:lang w:val="en-US" w:eastAsia="zh-CN"/>
        </w:rPr>
        <w:t xml:space="preserve">中标</w:t>
      </w:r>
      <w:r>
        <w:rPr>
          <w:rFonts w:hint="eastAsia" w:ascii="宋体" w:hAnsi="宋体" w:cs="宋体"/>
          <w:b w:val="0"/>
          <w:bCs w:val="0"/>
          <w:color w:val="auto"/>
          <w:szCs w:val="21"/>
          <w:highlight w:val="none"/>
        </w:rPr>
        <w:t xml:space="preserve">资格或无正当理由终止合同履行的，将列入学校不良行为记录名单，我校有权在学校相关网址公开供应商不良行为黑名单信息，并保留在一至三年内禁止其参加学校采购活动的权利</w:t>
      </w:r>
      <w:r>
        <w:rPr>
          <w:rFonts w:hint="eastAsia" w:ascii="宋体" w:hAnsi="宋体" w:cs="宋体"/>
          <w:b/>
          <w:bCs/>
          <w:color w:val="auto"/>
          <w:szCs w:val="21"/>
          <w:highlight w:val="none"/>
          <w:lang w:eastAsia="zh-CN"/>
        </w:rPr>
        <w:t xml:space="preserve">。</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31、货物（包含与货物相关的服务）的追加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32、政府采购履约资金扶持政策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中标供应商可凭政府采购合同办理融资贷款，详情请见江苏政府采购网“政采贷”专栏。</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33、电子投标文件要求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33.1政府采购管理交易系统（苏采云）相关要求是本招标文件的组成部分。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33.2投标人应对 CA 证书妥善保管，如被他人盗用投标，因此带来的结果均由投标人自行承担。</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33.3投标人应当对招标文件提出的要求和条件作出实质性响应，并在电子投标系统逐条应答。</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33.4投标人应对要求提供的资格证明文件（如资质证书、资格证书）、技术资料（如白皮书、彩页、手册、检测报告等）扫描上传至投标系统。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34、</w:t>
      </w:r>
      <w:r>
        <w:rPr>
          <w:rFonts w:hint="eastAsia" w:ascii="Times New Roman" w:hAnsi="Times New Roman"/>
          <w:b/>
          <w:color w:val="auto"/>
          <w:szCs w:val="21"/>
          <w:highlight w:val="none"/>
        </w:rPr>
        <w:t xml:space="preserve">提交投标文件的截止时间（投标截止时间）</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34.1投标人应当在招标文件要求提交投标文件的截止时间前，将投标文件提交至“苏采云”系统，逾期提交的投标文件，“苏采云”系统将自动拒收。</w:t>
      </w:r>
      <w:r/>
    </w:p>
    <w:p>
      <w:pPr>
        <w:ind w:firstLine="420"/>
        <w:spacing w:line="360" w:lineRule="auto"/>
        <w:rPr>
          <w:rFonts w:ascii="Times New Roman" w:hAnsi="Times New Roman" w:cs="宋体"/>
          <w:bCs/>
          <w:color w:val="auto"/>
          <w:szCs w:val="21"/>
          <w:highlight w:val="none"/>
        </w:rPr>
      </w:pPr>
      <w:r>
        <w:rPr>
          <w:rFonts w:hint="eastAsia" w:ascii="Times New Roman" w:hAnsi="Times New Roman"/>
          <w:b/>
          <w:color w:val="auto"/>
          <w:szCs w:val="21"/>
          <w:highlight w:val="none"/>
        </w:rPr>
        <w:t xml:space="preserve">34.2各投标人应在规定时间内凭CA证书进行网上解密。</w:t>
      </w:r>
      <w:r/>
    </w:p>
    <w:p>
      <w:pPr>
        <w:ind w:firstLine="42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35、其他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color w:val="auto"/>
          <w:highlight w:val="none"/>
        </w:rPr>
        <w:t xml:space="preserve">35.1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
          <w:bCs/>
          <w:sz w:val="32"/>
          <w:szCs w:val="32"/>
        </w:rPr>
      </w:pPr>
      <w:r>
        <w:rPr>
          <w:rFonts w:hint="eastAsia" w:ascii="宋体" w:hAnsi="宋体"/>
          <w:bCs/>
          <w:szCs w:val="21"/>
        </w:rPr>
        <w:br w:type="page" w:clear="all"/>
      </w:r>
      <w:bookmarkStart w:id="48" w:name="_Toc55204179"/>
      <w:r/>
      <w:bookmarkStart w:id="49" w:name="_Hlk69392822"/>
      <w:r>
        <w:rPr>
          <w:rFonts w:hint="eastAsia" w:ascii="宋体" w:hAnsi="宋体"/>
          <w:b/>
          <w:bCs/>
          <w:sz w:val="44"/>
          <w:szCs w:val="36"/>
        </w:rPr>
        <w:t xml:space="preserve">第三章 合同条款及格式</w:t>
      </w:r>
      <w:bookmarkEnd w:id="48"/>
      <w:r/>
      <w:r/>
    </w:p>
    <w:p>
      <w:pPr>
        <w:pStyle w:val="958"/>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59"/>
        <w:jc w:val="center"/>
        <w:rPr>
          <w:rFonts w:hAnsi="宋体"/>
          <w:sz w:val="21"/>
        </w:rPr>
      </w:pPr>
      <w:r>
        <w:rPr>
          <w:rFonts w:hint="eastAsia" w:hAnsi="宋体"/>
          <w:sz w:val="21"/>
        </w:rPr>
        <w:t xml:space="preserve"> </w:t>
      </w:r>
      <w:bookmarkEnd w:id="49"/>
      <w:r/>
      <w:r/>
    </w:p>
    <w:p>
      <w:pPr>
        <w:pStyle w:val="759"/>
        <w:jc w:val="center"/>
        <w:rPr>
          <w:rFonts w:hAnsi="宋体"/>
          <w:sz w:val="21"/>
        </w:rPr>
      </w:pPr>
      <w:r>
        <w:rPr>
          <w:rFonts w:hAnsi="宋体"/>
          <w:sz w:val="21"/>
        </w:rPr>
      </w:r>
      <w:r/>
    </w:p>
    <w:p>
      <w:pPr>
        <w:pStyle w:val="759"/>
        <w:jc w:val="center"/>
        <w:rPr>
          <w:rFonts w:hAnsi="宋体"/>
          <w:sz w:val="21"/>
        </w:rPr>
      </w:pPr>
      <w:r>
        <w:rPr>
          <w:rFonts w:hAnsi="宋体"/>
          <w:sz w:val="21"/>
        </w:rPr>
      </w:r>
      <w:r/>
    </w:p>
    <w:p>
      <w:pPr>
        <w:pStyle w:val="759"/>
        <w:jc w:val="center"/>
        <w:rPr>
          <w:rFonts w:hAnsi="宋体"/>
          <w:sz w:val="21"/>
        </w:rPr>
      </w:pPr>
      <w:r>
        <w:rPr>
          <w:rFonts w:hAnsi="宋体"/>
          <w:sz w:val="21"/>
        </w:rPr>
      </w:r>
      <w:r/>
    </w:p>
    <w:p>
      <w:pPr>
        <w:pStyle w:val="759"/>
        <w:jc w:val="center"/>
        <w:rPr>
          <w:rFonts w:hAnsi="宋体"/>
          <w:sz w:val="21"/>
        </w:rPr>
      </w:pPr>
      <w:r>
        <w:rPr>
          <w:rFonts w:hAnsi="宋体"/>
          <w:sz w:val="21"/>
        </w:rPr>
      </w:r>
      <w:r/>
    </w:p>
    <w:p>
      <w:pPr>
        <w:pStyle w:val="759"/>
        <w:jc w:val="center"/>
        <w:rPr>
          <w:rFonts w:hAnsi="宋体"/>
          <w:sz w:val="21"/>
        </w:rPr>
      </w:pPr>
      <w:r>
        <w:rPr>
          <w:rFonts w:hAnsi="宋体"/>
          <w:sz w:val="21"/>
        </w:rPr>
      </w:r>
      <w:r/>
    </w:p>
    <w:p>
      <w:pPr>
        <w:pStyle w:val="75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5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eastAsia="黑体"/>
          <w:sz w:val="44"/>
          <w:szCs w:val="44"/>
        </w:rPr>
      </w:r>
      <w:r/>
    </w:p>
    <w:p>
      <w:pPr>
        <w:pStyle w:val="745"/>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745"/>
        <w:spacing w:line="400" w:lineRule="exact"/>
        <w:rPr>
          <w:rFonts w:ascii="黑体" w:hAnsi="华文中宋" w:eastAsia="黑体"/>
          <w:sz w:val="28"/>
          <w:szCs w:val="28"/>
        </w:rPr>
      </w:pPr>
      <w:r>
        <w:rPr>
          <w:rFonts w:ascii="黑体" w:hAnsi="华文中宋" w:eastAsia="黑体"/>
          <w:sz w:val="28"/>
          <w:szCs w:val="28"/>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（1）采购项目名称：</w:t>
      </w:r>
      <w:r>
        <w:rPr>
          <w:rFonts w:ascii="宋体" w:hAnsi="宋体" w:cs="宋体"/>
          <w:color w:val="000000"/>
          <w:u w:val="single"/>
        </w:rPr>
        <w:t xml:space="preserve">           </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rPr>
        <w:t xml:space="preserve">①</w:t>
      </w:r>
      <w:r>
        <w:rPr>
          <w:rFonts w:ascii="宋体" w:hAnsi="宋体" w:cs="宋体"/>
          <w:color w:val="000000"/>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标的名称：</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型号：</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微软雅黑" w:hAnsi="微软雅黑" w:eastAsia="微软雅黑" w:cs="微软雅黑"/>
          <w:color w:val="000000"/>
        </w:rPr>
        <w:t xml:space="preserve">②</w:t>
      </w:r>
      <w:r>
        <w:rPr>
          <w:rFonts w:ascii="宋体" w:hAnsi="宋体" w:cs="宋体"/>
          <w:color w:val="000000"/>
        </w:rPr>
        <w:t xml:space="preserve">涉及车辆采购，请填写是否属于新能源汽车：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数量：</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Wingdings" w:hAnsi="Wingdings" w:eastAsia="Wingdings" w:cs="Wingdings"/>
          <w:color w:val="000000"/>
        </w:rPr>
        <w:t xml:space="preserve"></w:t>
      </w:r>
      <w:r>
        <w:rPr>
          <w:rFonts w:ascii="宋体" w:hAnsi="宋体" w:cs="宋体"/>
          <w:color w:val="000000"/>
        </w:rPr>
        <w:t xml:space="preserve">部门集中采购</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numPr>
          <w:ilvl w:val="0"/>
          <w:numId w:val="5"/>
        </w:num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31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Wingdings" w:hAnsi="Wingdings" w:eastAsia="Wingdings" w:cs="Wingdings"/>
          <w:color w:val="000000"/>
        </w:rPr>
        <w:t xml:space="preserve"></w:t>
      </w:r>
      <w:r>
        <w:rPr>
          <w:rFonts w:ascii="宋体" w:hAnsi="宋体" w:cs="宋体"/>
          <w:color w:val="000000"/>
        </w:rPr>
        <w:t xml:space="preserve">中型企业</w:t>
      </w:r>
      <w:r>
        <w:rPr>
          <w:rFonts w:ascii="Wingdings" w:hAnsi="Wingdings" w:eastAsia="Wingdings" w:cs="Wingdings"/>
          <w:color w:val="000000"/>
        </w:rPr>
        <w:t xml:space="preserve"></w:t>
      </w:r>
      <w:r>
        <w:rPr>
          <w:rFonts w:ascii="宋体" w:hAnsi="宋体" w:cs="宋体"/>
          <w:color w:val="000000"/>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是否涉及节能产品：</w:t>
      </w:r>
      <w:r/>
    </w:p>
    <w:p>
      <w:pPr>
        <w:ind w:firstLine="105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rPr>
        <w:t xml:space="preserve">                   </w:t>
      </w:r>
      <w:r>
        <w:rPr>
          <w:rFonts w:ascii="宋体" w:hAnsi="宋体" w:cs="宋体"/>
          <w:color w:val="000000"/>
        </w:rPr>
        <w:t xml:space="preserve">是否涉及绿色产品：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rPr>
          <w:rFonts w:ascii="Wingdings" w:hAnsi="Wingdings" w:eastAsia="Wingdings" w:cs="Wingdings"/>
          <w:color w:val="000000"/>
        </w:rPr>
        <w:t xml:space="preserve"></w:t>
      </w:r>
      <w:r>
        <w:rPr>
          <w:rFonts w:ascii="宋体" w:hAnsi="宋体" w:cs="宋体"/>
          <w:color w:val="000000"/>
        </w:rPr>
        <w:t xml:space="preserve">不涉及</w:t>
      </w:r>
      <w:r/>
    </w:p>
    <w:p>
      <w:pPr>
        <w:ind w:firstLine="52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color w:val="000000"/>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（3）付款方式（按项目实际勾选填写）：</w:t>
      </w:r>
      <w:r/>
    </w:p>
    <w:p>
      <w:pPr>
        <w:ind w:firstLine="630"/>
        <w:spacing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highlight w:val="none"/>
        </w:rPr>
        <w:t xml:space="preserve"></w:t>
      </w:r>
      <w:r>
        <w:rPr>
          <w:rFonts w:ascii="宋体" w:hAnsi="宋体" w:cs="宋体"/>
          <w:color w:val="000000"/>
          <w:highlight w:val="none"/>
        </w:rPr>
        <w:t xml:space="preserve">全额付款：</w:t>
      </w:r>
      <w:r>
        <w:rPr>
          <w:rFonts w:ascii="宋体" w:hAnsi="宋体" w:cs="宋体"/>
          <w:color w:val="000000"/>
          <w:highlight w:val="none"/>
          <w:u w:val="single"/>
        </w:rPr>
        <w:t xml:space="preserve">  （应明确一次性支付合同款项的条件）</w:t>
      </w:r>
      <w:r/>
    </w:p>
    <w:p>
      <w:pPr>
        <w:ind w:firstLine="636"/>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pacing w:val="1"/>
          <w:highlight w:val="none"/>
        </w:rPr>
        <w:t xml:space="preserve">☑</w:t>
      </w:r>
      <w:r>
        <w:rPr>
          <w:rFonts w:ascii="宋体" w:hAnsi="宋体" w:cs="宋体"/>
          <w:color w:val="000000"/>
          <w:highlight w:val="none"/>
        </w:rPr>
        <w:t xml:space="preserve">分期付款：</w:t>
      </w:r>
      <w:r>
        <w:rPr>
          <w:rFonts w:hint="eastAsia" w:ascii="宋体" w:hAnsi="宋体" w:cs="宋体"/>
          <w:color w:val="000000" w:themeColor="text1"/>
          <w:highlight w:val="none"/>
          <w14:textFill>
            <w14:solidFill>
              <w14:schemeClr w14:val="tx1"/>
            </w14:solidFill>
          </w14:textFill>
        </w:rPr>
        <w:t xml:space="preserve">1、合同签订后，乙方向甲方开具发票，甲方自收到发票之日起10个工作日内支付合同总价30%的预付款；</w:t>
      </w:r>
      <w:r/>
    </w:p>
    <w:p>
      <w:pPr>
        <w:ind w:firstLine="636"/>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2、项目验收合格后，乙方向甲方开具发票，甲方自收到发票之日起10个工作日内付清剩余款项。</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（应明确按照成本补偿方式的支付方式和支付条件）</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（应明确按照绩效激励方式的支付方式和支付条件）</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（1）起始日期：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日，完成日期：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（2）履约地点：</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（3）履约担保：是否收取履约保证金：</w:t>
      </w:r>
      <w:r>
        <w:rPr>
          <w:rFonts w:ascii="Wingdings" w:hAnsi="Wingdings" w:eastAsia="Wingdings" w:cs="Wingdings"/>
          <w:color w:val="000000"/>
        </w:rPr>
        <w:t xml:space="preserve"></w:t>
      </w:r>
      <w:r>
        <w:rPr>
          <w:rFonts w:ascii="宋体" w:hAnsi="宋体" w:cs="宋体"/>
          <w:color w:val="000000"/>
        </w:rPr>
        <w:t xml:space="preserve">是</w:t>
      </w:r>
      <w:r>
        <w:rPr>
          <w:rFonts w:ascii="Segoe UI Symbol" w:hAnsi="Segoe UI Symbol" w:cs="Segoe UI Symbol"/>
          <w:color w:val="000000"/>
          <w:spacing w:val="1"/>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cs="宋体"/>
          <w:color w:val="000000"/>
        </w:rPr>
        <w:t xml:space="preserve">收取履约保证金形式：</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收取履约保证金金额：</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履约担保期限：</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（4）分期履行要求：</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（5）风险处置措施和替代方案：</w:t>
      </w:r>
      <w:r>
        <w:rPr>
          <w:rFonts w:ascii="宋体" w:hAnsi="宋体" w:cs="宋体"/>
          <w:color w:val="000000"/>
          <w:u w:val="single"/>
        </w:rPr>
        <w:t xml:space="preserve">  </w:t>
      </w:r>
      <w:r>
        <w:rPr>
          <w:rFonts w:ascii="宋体" w:hAnsi="宋体" w:cs="宋体"/>
          <w:color w:val="000000"/>
        </w:rPr>
        <w:t xml:space="preserve"> </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合同验收</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验收组织方式：</w:t>
      </w:r>
      <w:r>
        <w:rPr>
          <w:rFonts w:ascii="Wingdings" w:hAnsi="Wingdings" w:eastAsia="Wingdings" w:cs="Wingdings"/>
          <w:color w:val="000000"/>
        </w:rPr>
        <w:t xml:space="preserve"></w:t>
      </w:r>
      <w:r>
        <w:rPr>
          <w:rFonts w:ascii="宋体" w:hAnsi="宋体" w:cs="宋体"/>
          <w:color w:val="000000"/>
        </w:rPr>
        <w:t xml:space="preserve">自行组织 </w:t>
      </w:r>
      <w:r>
        <w:rPr>
          <w:rFonts w:ascii="Wingdings" w:hAnsi="Wingdings" w:eastAsia="Wingdings" w:cs="Wingdings"/>
          <w:color w:val="000000"/>
        </w:rPr>
        <w:t xml:space="preserve"></w:t>
      </w:r>
      <w:r>
        <w:rPr>
          <w:rFonts w:ascii="宋体" w:hAnsi="宋体" w:cs="宋体"/>
          <w:color w:val="000000"/>
        </w:rPr>
        <w:t xml:space="preserve">委托第三方组织</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验收主体：</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是否邀请本项目的其他供应商参加验收：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是否邀请专家参加验收：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是否邀请服务对象参加验收：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是否邀请第三方检测机构参加验收：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是否进行抽查检测：</w:t>
      </w:r>
      <w:r>
        <w:rPr>
          <w:rFonts w:ascii="Wingdings" w:hAnsi="Wingdings" w:eastAsia="Wingdings" w:cs="Wingdings"/>
          <w:color w:val="000000"/>
        </w:rPr>
        <w:t xml:space="preserve"></w:t>
      </w:r>
      <w:r>
        <w:rPr>
          <w:rFonts w:ascii="宋体" w:hAnsi="宋体" w:cs="宋体"/>
          <w:color w:val="000000"/>
        </w:rPr>
        <w:t xml:space="preserve">是，抽查比例：</w:t>
      </w:r>
      <w:r>
        <w:rPr>
          <w:rFonts w:ascii="宋体" w:hAnsi="宋体" w:cs="宋体"/>
          <w:color w:val="000000"/>
          <w:u w:val="single"/>
        </w:rPr>
        <w:t xml:space="preserve">        </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是否存在破坏性检测：</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u w:val="single"/>
        </w:rPr>
        <w:t xml:space="preserve">（应明确对被破坏的检测产品的处理方式）</w:t>
      </w:r>
      <w:r/>
    </w:p>
    <w:p>
      <w:pPr>
        <w:ind w:firstLine="52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验收组织的其他事项：</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（2）履约验收时间：</w:t>
      </w:r>
      <w:r>
        <w:rPr>
          <w:rFonts w:ascii="宋体" w:hAnsi="宋体" w:cs="宋体"/>
          <w:color w:val="000000"/>
          <w:u w:val="single"/>
        </w:rPr>
        <w:t xml:space="preserve">（计划于何时验收/供应商提出验收申请之日起   日内组织验收）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（3）履约验收方式：</w:t>
      </w:r>
      <w:r>
        <w:rPr>
          <w:rFonts w:ascii="Wingdings" w:hAnsi="Wingdings" w:eastAsia="Wingdings" w:cs="Wingdings"/>
          <w:color w:val="000000"/>
        </w:rPr>
        <w:t xml:space="preserve"></w:t>
      </w:r>
      <w:r>
        <w:rPr>
          <w:rFonts w:ascii="宋体" w:hAnsi="宋体" w:cs="宋体"/>
          <w:color w:val="000000"/>
        </w:rPr>
        <w:t xml:space="preserve">一次性验收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分期/分项验收：</w:t>
      </w:r>
      <w:r>
        <w:rPr>
          <w:rFonts w:ascii="宋体" w:hAnsi="宋体" w:cs="宋体"/>
          <w:color w:val="000000"/>
          <w:u w:val="single"/>
        </w:rPr>
        <w:t xml:space="preserve"> （应明确分期/分项验收的工作安排）</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（4）履约验收程序：</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（5）履约验收的内容：</w:t>
      </w:r>
      <w:r>
        <w:rPr>
          <w:rFonts w:ascii="宋体" w:hAnsi="宋体" w:cs="宋体"/>
          <w:color w:val="000000"/>
          <w:u w:val="single"/>
        </w:rPr>
        <w:t xml:space="preserve"> （应当包括每一项技术和商务要求的履约情况，特别是落实政府采购扶持中小企业，支持绿色发展和乡村振兴等政策情况）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（6）履约验收标准：</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（7）是否以采购活动中供应商提供的样品作为参考：</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（8）履约验收其他事项：</w:t>
      </w:r>
      <w:r>
        <w:rPr>
          <w:rFonts w:ascii="宋体" w:hAnsi="宋体" w:cs="宋体"/>
          <w:color w:val="000000"/>
          <w:u w:val="single"/>
        </w:rPr>
        <w:t xml:space="preserve">      （产权过户登记等）</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（4）中标（成交）通知书</w:t>
      </w:r>
      <w:r/>
    </w:p>
    <w:p>
      <w:pPr>
        <w:ind w:firstLine="420"/>
        <w:spacing w:line="400" w:lineRule="atLeast"/>
        <w:tabs>
          <w:tab w:val="left" w:pos="5904"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（5）投标（响应）文件</w:t>
      </w:r>
      <w:r>
        <w:tab/>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（7）有关技术文件，图纸</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（8）国家法律、行政法规和规章制度规定或合同约定的作为合同组成部分的其他文件</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本合同自</w:t>
      </w:r>
      <w:r>
        <w:rPr>
          <w:rFonts w:ascii="宋体" w:hAnsi="宋体" w:cs="宋体"/>
          <w:color w:val="000000"/>
          <w:u w:val="single"/>
        </w:rPr>
        <w:t xml:space="preserve">                             </w:t>
      </w:r>
      <w:r>
        <w:rPr>
          <w:rFonts w:ascii="宋体" w:hAnsi="宋体" w:cs="宋体"/>
          <w:color w:val="000000"/>
        </w:rPr>
        <w:t xml:space="preserve">生效。</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本合同一式</w:t>
      </w:r>
      <w:r>
        <w:rPr>
          <w:rFonts w:ascii="宋体" w:hAnsi="宋体" w:cs="宋体"/>
          <w:color w:val="000000"/>
          <w:u w:val="single"/>
        </w:rPr>
        <w:t xml:space="preserve">    </w:t>
      </w:r>
      <w:r>
        <w:rPr>
          <w:rFonts w:ascii="宋体" w:hAnsi="宋体" w:cs="宋体"/>
          <w:color w:val="000000"/>
        </w:rPr>
        <w:t xml:space="preserve">份，甲方执</w:t>
      </w:r>
      <w:r>
        <w:rPr>
          <w:rFonts w:ascii="宋体" w:hAnsi="宋体" w:cs="宋体"/>
          <w:color w:val="000000"/>
          <w:u w:val="single"/>
        </w:rPr>
        <w:t xml:space="preserve">    </w:t>
      </w:r>
      <w:r>
        <w:rPr>
          <w:rFonts w:ascii="宋体" w:hAnsi="宋体" w:cs="宋体"/>
          <w:color w:val="000000"/>
        </w:rPr>
        <w:t xml:space="preserve">份，乙方执</w:t>
      </w:r>
      <w:r>
        <w:rPr>
          <w:rFonts w:ascii="宋体" w:hAnsi="宋体" w:cs="宋体"/>
          <w:color w:val="000000"/>
          <w:u w:val="single"/>
        </w:rPr>
        <w:t xml:space="preserve">    </w:t>
      </w:r>
      <w:r>
        <w:rPr>
          <w:rFonts w:ascii="宋体" w:hAnsi="宋体" w:cs="宋体"/>
          <w:color w:val="000000"/>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合同订立时间：</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合同订立地点：</w:t>
      </w:r>
      <w:r>
        <w:rPr>
          <w:rFonts w:ascii="宋体" w:hAnsi="宋体" w:cs="宋体"/>
          <w:color w:val="000000"/>
          <w:u w:val="single"/>
        </w:rPr>
        <w:t xml:space="preserve">                           </w:t>
      </w:r>
      <w:r/>
    </w:p>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附件：具体标的及其技术要求和商务要求、联合协议、分包意向协议等</w:t>
      </w:r>
      <w:r>
        <w:rPr>
          <w:b/>
          <w:color w:val="000000"/>
          <w:sz w:val="44"/>
        </w:rPr>
        <w:t xml:space="preserve">  </w:t>
      </w:r>
      <w:r/>
    </w:p>
    <w:tbl>
      <w:tblPr>
        <w:tblStyle w:val="754"/>
        <w:tblpPr w:horzAnchor="page" w:tblpX="1535" w:vertAnchor="text" w:tblpY="184" w:leftFromText="180" w:topFromText="0" w:rightFromText="180" w:bottomFromText="0"/>
        <w:tblW w:w="8644"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214"/>
        <w:gridCol w:w="2693"/>
        <w:gridCol w:w="1845"/>
      </w:tblGrid>
      <w:tr>
        <w:trPr>
          <w:trHeight w:val="490"/>
        </w:trPr>
        <w:tc>
          <w:tcPr>
            <w:gridSpan w:val="2"/>
            <w:tcBorders>
              <w:bottom w:val="single" w:color="auto" w:sz="2" w:space="0"/>
              <w:right w:val="single" w:color="auto" w:sz="2" w:space="0"/>
            </w:tcBorders>
            <w:tcW w:w="4106"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53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804"/>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703"/>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214"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214"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644" w:type="dxa"/>
            <w:vAlign w:val="center"/>
            <w:textDirection w:val="lrTb"/>
            <w:noWrap w:val="false"/>
          </w:tcPr>
          <w:p>
            <w:pPr>
              <w:pStyle w:val="760"/>
              <w:jc w:val="left"/>
              <w:spacing w:before="156" w:line="360" w:lineRule="auto"/>
              <w:rPr>
                <w:spacing w:val="20"/>
                <w:szCs w:val="21"/>
              </w:rPr>
            </w:pPr>
            <w:r>
              <w:rPr>
                <w:rFonts w:hint="eastAsia" w:ascii="宋体" w:hAnsi="宋体"/>
                <w:szCs w:val="21"/>
              </w:rPr>
              <w:t xml:space="preserve">注：涉及联合体或其他合同主体的信息应按上表格式加列。</w:t>
            </w:r>
            <w:r/>
          </w:p>
        </w:tc>
      </w:tr>
    </w:tbl>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b/>
          <w:color w:val="000000"/>
          <w:sz w:val="44"/>
        </w:rPr>
      </w:r>
      <w:r/>
    </w:p>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b/>
          <w:color w:val="000000"/>
          <w:sz w:val="44"/>
        </w:rPr>
      </w:r>
      <w:r/>
    </w:p>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b/>
          <w:color w:val="000000"/>
          <w:sz w:val="44"/>
        </w:rPr>
      </w:r>
      <w:r/>
    </w:p>
    <w:p>
      <w:pPr>
        <w:pStyle w:val="745"/>
        <w:ind w:firstLine="2520"/>
        <w:spacing w:before="156"/>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pStyle w:val="745"/>
        <w:ind w:firstLine="2520"/>
        <w:spacing w:before="156"/>
        <w:rPr>
          <w:rFonts w:ascii="黑体" w:hAnsi="黑体" w:eastAsia="黑体"/>
          <w:sz w:val="28"/>
          <w:szCs w:val="28"/>
        </w:rPr>
      </w:pPr>
      <w:r>
        <w:rPr>
          <w:rFonts w:ascii="黑体" w:hAnsi="黑体" w:eastAsia="黑体"/>
          <w:sz w:val="28"/>
          <w:szCs w:val="28"/>
        </w:rPr>
      </w:r>
      <w:r/>
    </w:p>
    <w:p>
      <w:pPr>
        <w:pStyle w:val="745"/>
        <w:ind w:firstLine="2520"/>
        <w:spacing w:before="156"/>
        <w:rPr>
          <w:rFonts w:ascii="黑体" w:hAnsi="黑体" w:eastAsia="黑体"/>
          <w:sz w:val="28"/>
          <w:szCs w:val="28"/>
        </w:rPr>
      </w:pPr>
      <w:r>
        <w:rPr>
          <w:rFonts w:ascii="黑体" w:hAnsi="黑体" w:eastAsia="黑体"/>
          <w:sz w:val="28"/>
          <w:szCs w:val="28"/>
        </w:rPr>
      </w:r>
      <w:r/>
    </w:p>
    <w:p>
      <w:pPr>
        <w:pStyle w:val="745"/>
        <w:ind w:firstLine="2520"/>
        <w:spacing w:before="156"/>
        <w:rPr>
          <w:rFonts w:ascii="黑体" w:hAnsi="黑体" w:eastAsia="黑体"/>
          <w:sz w:val="28"/>
          <w:szCs w:val="28"/>
        </w:rPr>
      </w:pP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numPr>
          <w:ilvl w:val="0"/>
          <w:numId w:val="9"/>
        </w:numPr>
        <w:ind w:firstLine="420"/>
        <w:jc w:val="left"/>
        <w:spacing w:line="400" w:lineRule="exact"/>
        <w:rPr>
          <w:rFonts w:ascii="宋体" w:hAnsi="宋体"/>
          <w:szCs w:val="21"/>
        </w:rPr>
      </w:pPr>
      <w:r>
        <w:rPr>
          <w:rFonts w:hint="eastAsia" w:ascii="宋体" w:hAnsi="宋体"/>
          <w:szCs w:val="21"/>
        </w:rPr>
        <w:t xml:space="preserve">采购人（以下称甲方）是指使用财政性资金，通过政府采购方式向供应商购买货物及其相关服务的国家机关、</w:t>
      </w:r>
      <w:r/>
    </w:p>
    <w:p>
      <w:pPr>
        <w:jc w:val="left"/>
        <w:spacing w:line="400" w:lineRule="exact"/>
        <w:rPr>
          <w:rFonts w:ascii="宋体" w:hAnsi="宋体"/>
          <w:szCs w:val="21"/>
        </w:rPr>
      </w:pPr>
      <w:r>
        <w:rPr>
          <w:rFonts w:hint="eastAsia" w:ascii="宋体" w:hAnsi="宋体"/>
          <w:szCs w:val="21"/>
        </w:rPr>
        <w:t xml:space="preserve">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ascii="宋体" w:hAnsi="宋体"/>
          <w:b/>
          <w:bCs/>
          <w:color w:val="000000"/>
          <w:sz w:val="24"/>
        </w:rPr>
        <w:t xml:space="preserve">2.</w:t>
      </w: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9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6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9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9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9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9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9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9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9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9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5"/>
        <w:rPr>
          <w:rFonts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75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9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47"/>
        <w:jc w:val="center"/>
        <w:spacing w:line="360" w:lineRule="auto"/>
        <w:rPr>
          <w:rFonts w:hAnsi="宋体"/>
          <w:sz w:val="21"/>
        </w:rPr>
      </w:pPr>
      <w:r>
        <w:rPr>
          <w:rFonts w:hAnsi="宋体"/>
          <w:sz w:val="21"/>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pStyle w:val="947"/>
        <w:jc w:val="center"/>
        <w:spacing w:line="360" w:lineRule="auto"/>
        <w:rPr>
          <w:rFonts w:hAnsi="宋体"/>
          <w:sz w:val="21"/>
        </w:rPr>
      </w:pPr>
      <w:r>
        <w:rPr>
          <w:rFonts w:hAnsi="宋体"/>
          <w:sz w:val="21"/>
        </w:rPr>
      </w:r>
      <w:r/>
    </w:p>
    <w:p>
      <w:r/>
      <w:r/>
    </w:p>
    <w:p>
      <w:pPr>
        <w:pStyle w:val="947"/>
        <w:jc w:val="center"/>
        <w:spacing w:line="360" w:lineRule="auto"/>
        <w:rPr>
          <w:rFonts w:ascii="宋体" w:hAnsi="宋体"/>
          <w:sz w:val="32"/>
          <w:szCs w:val="32"/>
        </w:rPr>
      </w:pPr>
      <w:r>
        <w:rPr>
          <w:rFonts w:hint="eastAsia" w:ascii="宋体" w:hAnsi="宋体"/>
          <w:szCs w:val="36"/>
        </w:rPr>
        <w:t xml:space="preserve">第四章 项目需求</w:t>
      </w:r>
      <w:r/>
    </w:p>
    <w:p>
      <w:pPr>
        <w:ind w:firstLine="422"/>
        <w:spacing w:line="360" w:lineRule="auto"/>
        <w:rPr>
          <w:rFonts w:ascii="宋体" w:hAnsi="宋体"/>
          <w:b/>
          <w:iCs/>
          <w:szCs w:val="21"/>
        </w:rPr>
      </w:pPr>
      <w:r/>
      <w:bookmarkStart w:id="50" w:name="_Hlk58856582"/>
      <w:r/>
      <w:bookmarkStart w:id="51" w:name="_Toc267757099"/>
      <w:r/>
      <w:bookmarkStart w:id="52" w:name="_Toc37707593"/>
      <w:r/>
      <w:bookmarkStart w:id="53" w:name="_Toc55204181"/>
      <w:r>
        <w:rPr>
          <w:rFonts w:hint="eastAsia" w:ascii="宋体" w:hAnsi="宋体"/>
          <w:b/>
          <w:iCs/>
          <w:szCs w:val="21"/>
        </w:rPr>
        <w:t xml:space="preserve">一、其他要求</w:t>
      </w:r>
      <w:r/>
    </w:p>
    <w:p>
      <w:pPr>
        <w:ind w:firstLine="420"/>
        <w:spacing w:line="360" w:lineRule="auto"/>
        <w:rPr>
          <w:rFonts w:ascii="宋体" w:hAnsi="宋体"/>
          <w:bCs/>
          <w:iCs/>
          <w:szCs w:val="21"/>
        </w:rPr>
      </w:pPr>
      <w:r>
        <w:rPr>
          <w:rFonts w:hint="eastAsia" w:ascii="宋体" w:hAnsi="宋体"/>
          <w:bCs/>
          <w:iCs/>
          <w:szCs w:val="21"/>
        </w:rPr>
        <w:t xml:space="preserve">1.严格执行政府采购关于支持</w:t>
      </w:r>
      <w:r>
        <w:rPr>
          <w:rFonts w:hint="eastAsia" w:ascii="宋体" w:hAnsi="宋体"/>
          <w:bCs/>
          <w:i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bCs/>
          <w:iCs/>
          <w:szCs w:val="21"/>
        </w:rPr>
      </w:pPr>
      <w:r>
        <w:rPr>
          <w:rFonts w:hint="eastAsia" w:ascii="宋体" w:hAnsi="宋体"/>
          <w:bCs/>
          <w:iCs/>
          <w:szCs w:val="21"/>
        </w:rPr>
        <w:t xml:space="preserve">本项目强制节能产品：无。</w:t>
      </w:r>
      <w:r/>
    </w:p>
    <w:p>
      <w:pPr>
        <w:ind w:firstLine="420"/>
        <w:spacing w:line="360" w:lineRule="auto"/>
        <w:rPr>
          <w:rFonts w:ascii="宋体" w:hAnsi="宋体"/>
          <w:b/>
          <w:iCs/>
          <w:szCs w:val="21"/>
        </w:rPr>
      </w:pPr>
      <w:r>
        <w:rPr>
          <w:rFonts w:hint="eastAsia" w:ascii="宋体" w:hAnsi="宋体"/>
          <w:b/>
          <w:iCs/>
          <w:szCs w:val="21"/>
        </w:rPr>
        <w:t xml:space="preserve">二、核心产品</w:t>
      </w:r>
      <w:r/>
    </w:p>
    <w:p>
      <w:pPr>
        <w:ind w:firstLine="420"/>
        <w:spacing w:line="360" w:lineRule="auto"/>
        <w:rPr>
          <w:rFonts w:ascii="宋体" w:hAnsi="宋体"/>
          <w:bCs/>
          <w:iCs/>
          <w:szCs w:val="21"/>
        </w:rPr>
      </w:pPr>
      <w:r>
        <w:rPr>
          <w:rFonts w:hint="eastAsia" w:ascii="宋体" w:hAnsi="宋体"/>
          <w:bCs/>
          <w:iCs/>
          <w:szCs w:val="21"/>
        </w:rPr>
        <w:t xml:space="preserve">核心产品：</w:t>
      </w:r>
      <w:r>
        <w:rPr>
          <w:rFonts w:hint="eastAsia" w:ascii="宋体" w:hAnsi="宋体"/>
          <w:b/>
          <w:iCs/>
          <w:color w:val="ff0000"/>
          <w:szCs w:val="21"/>
        </w:rPr>
        <w:t xml:space="preserve">胖终端</w:t>
      </w:r>
      <w:r/>
    </w:p>
    <w:p>
      <w:pPr>
        <w:ind w:firstLine="420"/>
        <w:spacing w:line="360" w:lineRule="auto"/>
        <w:rPr>
          <w:rFonts w:ascii="宋体" w:hAnsi="宋体"/>
          <w:b/>
          <w:iCs/>
          <w:szCs w:val="21"/>
        </w:rPr>
      </w:pPr>
      <w:r>
        <w:rPr>
          <w:rFonts w:hint="eastAsia" w:ascii="宋体" w:hAnsi="宋体"/>
          <w:b/>
          <w:iCs/>
          <w:szCs w:val="21"/>
        </w:rPr>
        <w:t xml:space="preserve">三、采购标的对应的中小企业划分标准所属行业一览表</w:t>
      </w:r>
      <w:r/>
    </w:p>
    <w:tbl>
      <w:tblPr>
        <w:tblStyle w:val="754"/>
        <w:tblW w:w="8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854"/>
        <w:gridCol w:w="3323"/>
      </w:tblGrid>
      <w:tr>
        <w:trPr>
          <w:cantSplit/>
          <w:jc w:val="center"/>
        </w:trPr>
        <w:tc>
          <w:tcPr>
            <w:tcW w:w="928"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序号</w:t>
            </w:r>
            <w:r/>
          </w:p>
        </w:tc>
        <w:tc>
          <w:tcPr>
            <w:tcW w:w="3854"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采购标的</w:t>
            </w:r>
            <w:r/>
          </w:p>
        </w:tc>
        <w:tc>
          <w:tcPr>
            <w:tcW w:w="3323"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对应中小企业划分标准所属行业</w:t>
            </w:r>
            <w:r/>
          </w:p>
        </w:tc>
      </w:tr>
      <w:tr>
        <w:trPr>
          <w:cantSplit/>
          <w:jc w:val="center"/>
          <w:trHeight w:val="291"/>
        </w:trPr>
        <w:tc>
          <w:tcPr>
            <w:tcW w:w="928"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1</w:t>
            </w:r>
            <w:r/>
          </w:p>
        </w:tc>
        <w:tc>
          <w:tcPr>
            <w:tcW w:w="3854"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扬州大学公共云机房建设（三期）项目</w:t>
            </w:r>
            <w:r/>
          </w:p>
        </w:tc>
        <w:tc>
          <w:tcPr>
            <w:tcW w:w="3323"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b/>
                <w:bCs/>
                <w:color w:val="ff0000"/>
                <w:szCs w:val="21"/>
              </w:rPr>
              <w:t xml:space="preserve">工业</w:t>
            </w:r>
            <w:r/>
          </w:p>
        </w:tc>
      </w:tr>
    </w:tbl>
    <w:p>
      <w:r/>
      <w:r/>
    </w:p>
    <w:p>
      <w:pPr>
        <w:ind w:firstLine="422"/>
        <w:spacing w:line="360" w:lineRule="auto"/>
        <w:rPr>
          <w:rFonts w:ascii="宋体" w:hAnsi="宋体" w:cs="宋体"/>
          <w:b/>
          <w:bCs/>
          <w:szCs w:val="21"/>
        </w:rPr>
      </w:pPr>
      <w:r>
        <w:rPr>
          <w:rFonts w:hint="eastAsia" w:ascii="宋体" w:hAnsi="宋体" w:cs="宋体"/>
          <w:b/>
          <w:bCs/>
          <w:szCs w:val="21"/>
        </w:rPr>
        <w:t xml:space="preserve">四、建设内容</w:t>
      </w:r>
      <w:r/>
    </w:p>
    <w:p>
      <w:pPr>
        <w:ind w:firstLine="420"/>
        <w:spacing w:line="360" w:lineRule="auto"/>
        <w:rPr>
          <w:rFonts w:ascii="宋体" w:hAnsi="宋体"/>
          <w:szCs w:val="21"/>
        </w:rPr>
      </w:pPr>
      <w:r>
        <w:rPr>
          <w:rFonts w:hint="eastAsia" w:ascii="宋体" w:hAnsi="宋体"/>
          <w:szCs w:val="21"/>
        </w:rPr>
        <w:t xml:space="preserve">1.本期建设的扬子津校区公共云计算机机房，拟采用胖终端模式对扬子津校区7间教室建设(</w:t>
      </w:r>
      <w:r>
        <w:rPr>
          <w:rFonts w:ascii="宋体" w:hAnsi="宋体"/>
          <w:szCs w:val="21"/>
        </w:rPr>
        <w:t xml:space="preserve">550</w:t>
      </w:r>
      <w:r>
        <w:rPr>
          <w:rFonts w:hint="eastAsia" w:ascii="宋体" w:hAnsi="宋体"/>
          <w:szCs w:val="21"/>
        </w:rPr>
        <w:t xml:space="preserve">学生机点位+</w:t>
      </w:r>
      <w:r>
        <w:rPr>
          <w:rFonts w:ascii="宋体" w:hAnsi="宋体"/>
          <w:szCs w:val="21"/>
        </w:rPr>
        <w:t xml:space="preserve">7</w:t>
      </w:r>
      <w:r>
        <w:rPr>
          <w:rFonts w:hint="eastAsia" w:ascii="宋体" w:hAnsi="宋体"/>
          <w:szCs w:val="21"/>
        </w:rPr>
        <w:t xml:space="preserve">个教师机点位)。</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2268"/>
        <w:gridCol w:w="1965"/>
        <w:gridCol w:w="2225"/>
      </w:tblGrid>
      <w:tr>
        <w:trPr>
          <w:jc w:val="center"/>
        </w:trPr>
        <w:tc>
          <w:tcPr>
            <w:shd w:val="clear" w:color="auto" w:fill="auto"/>
            <w:tcW w:w="1838"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校区</w:t>
            </w:r>
            <w:r/>
          </w:p>
        </w:tc>
        <w:tc>
          <w:tcPr>
            <w:shd w:val="clear" w:color="auto" w:fill="auto"/>
            <w:tcW w:w="2268"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地点</w:t>
            </w:r>
            <w:r/>
          </w:p>
        </w:tc>
        <w:tc>
          <w:tcPr>
            <w:shd w:val="clear" w:color="auto" w:fill="auto"/>
            <w:tcW w:w="1965"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点位数（个）</w:t>
            </w:r>
            <w:r/>
          </w:p>
        </w:tc>
        <w:tc>
          <w:tcPr>
            <w:shd w:val="clear" w:color="auto" w:fill="auto"/>
            <w:tcW w:w="2225"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服务器放置地点</w:t>
            </w:r>
            <w:r/>
          </w:p>
        </w:tc>
      </w:tr>
      <w:tr>
        <w:trPr>
          <w:jc w:val="center"/>
        </w:trPr>
        <w:tc>
          <w:tcPr>
            <w:shd w:val="clear" w:color="auto" w:fill="auto"/>
            <w:tcW w:w="18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扬子津校区</w:t>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N501</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信息化处机房</w:t>
            </w:r>
            <w:r>
              <w:rPr>
                <w:rFonts w:ascii="宋体" w:hAnsi="宋体" w:cs="宋体"/>
                <w:szCs w:val="21"/>
              </w:rPr>
              <w:br/>
            </w:r>
            <w:r>
              <w:rPr>
                <w:rFonts w:hint="eastAsia" w:ascii="宋体" w:hAnsi="宋体" w:cs="宋体"/>
                <w:szCs w:val="21"/>
              </w:rPr>
              <w:t xml:space="preserve">（暂定）</w:t>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N502</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70+1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N503</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N504</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N505</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N507</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N508</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本次采购中的硬件设备主要涉及胖终端、交换机、键鼠及安装过程中的光纤、超六类双绞线等各项辅材。</w:t>
      </w:r>
      <w:r>
        <w:rPr>
          <w:rFonts w:hint="eastAsia" w:ascii="宋体" w:hAnsi="宋体" w:cs="宋体"/>
          <w:szCs w:val="21"/>
          <w:highlight w:val="none"/>
        </w:rPr>
        <w:t xml:space="preserve">软件主</w:t>
      </w:r>
      <w:r>
        <w:rPr>
          <w:rFonts w:hint="eastAsia" w:ascii="宋体" w:hAnsi="宋体" w:cs="宋体"/>
          <w:color w:val="000000" w:themeColor="text1"/>
          <w:szCs w:val="21"/>
          <w:highlight w:val="none"/>
          <w14:textFill>
            <w14:solidFill>
              <w14:schemeClr w14:val="tx1"/>
            </w14:solidFill>
          </w14:textFill>
        </w:rPr>
        <w:t xml:space="preserve">要是云平台管理软件、终端客户端软件和电子教学软件。项</w:t>
      </w:r>
      <w:r>
        <w:rPr>
          <w:rFonts w:hint="eastAsia" w:ascii="宋体" w:hAnsi="宋体" w:cs="宋体"/>
          <w:szCs w:val="21"/>
        </w:rPr>
        <w:t xml:space="preserve">目建设完成后，应满足扬子津校区公共计算机语言和多个学院的专业软件的教学要求以及各类涉及计算机类考试、阅卷、招生等公共事务服务的计算机资源使用需求。</w:t>
      </w:r>
      <w:r/>
    </w:p>
    <w:p>
      <w:pPr>
        <w:ind w:firstLine="420"/>
        <w:spacing w:line="360" w:lineRule="auto"/>
        <w:rPr>
          <w:rFonts w:ascii="宋体" w:hAnsi="宋体" w:cs="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本次</w:t>
      </w:r>
      <w:r>
        <w:rPr>
          <w:rFonts w:hint="eastAsia" w:ascii="宋体" w:hAnsi="宋体" w:cs="宋体"/>
          <w:szCs w:val="21"/>
        </w:rPr>
        <w:t xml:space="preserve">采购中涉及到的少量装修内容主要包括扬子津校区</w:t>
      </w:r>
      <w:r>
        <w:rPr>
          <w:rFonts w:ascii="宋体" w:hAnsi="宋体" w:cs="宋体"/>
          <w:szCs w:val="21"/>
        </w:rPr>
        <w:t xml:space="preserve">7</w:t>
      </w:r>
      <w:r>
        <w:rPr>
          <w:rFonts w:hint="eastAsia" w:ascii="宋体" w:hAnsi="宋体" w:cs="宋体"/>
          <w:szCs w:val="21"/>
        </w:rPr>
        <w:t xml:space="preserve">间教室的墙面出新、静电陶瓷地板更换以及项目实施所必须包含的强电和弱电改造所需全部施工材料以及安装服务。</w:t>
      </w:r>
      <w:r/>
    </w:p>
    <w:p>
      <w:pPr>
        <w:ind w:firstLine="420"/>
        <w:spacing w:line="360" w:lineRule="auto"/>
        <w:rPr>
          <w:rFonts w:ascii="宋体" w:hAnsi="宋体"/>
          <w:szCs w:val="21"/>
        </w:rPr>
      </w:pPr>
      <w:r>
        <w:rPr>
          <w:rFonts w:hint="eastAsia" w:ascii="宋体" w:hAnsi="宋体" w:cs="宋体"/>
          <w:szCs w:val="21"/>
        </w:rPr>
        <w:t xml:space="preserve">4.系统集成</w:t>
      </w:r>
      <w:r>
        <w:rPr>
          <w:rFonts w:ascii="宋体" w:hAnsi="宋体" w:cs="宋体"/>
          <w:szCs w:val="21"/>
        </w:rPr>
        <w:t xml:space="preserve">:</w:t>
      </w:r>
      <w:r>
        <w:rPr>
          <w:rFonts w:hint="eastAsia" w:ascii="宋体" w:hAnsi="宋体" w:cs="宋体"/>
          <w:szCs w:val="21"/>
        </w:rPr>
        <w:t xml:space="preserve">将服务器(另购</w:t>
      </w:r>
      <w:r>
        <w:rPr>
          <w:rFonts w:ascii="宋体" w:hAnsi="宋体" w:cs="宋体"/>
          <w:szCs w:val="21"/>
        </w:rPr>
        <w:t xml:space="preserve">)</w:t>
      </w:r>
      <w:r>
        <w:rPr>
          <w:rFonts w:hint="eastAsia" w:ascii="宋体" w:hAnsi="宋体" w:cs="宋体"/>
          <w:szCs w:val="21"/>
        </w:rPr>
        <w:t xml:space="preserve">、交换机、终端等硬件与各云桌面软件进行系统集成。</w:t>
      </w:r>
      <w:r/>
    </w:p>
    <w:tbl>
      <w:tblPr>
        <w:tblStyle w:val="754"/>
        <w:tblW w:w="5230" w:type="pct"/>
        <w:tblInd w:w="-323" w:type="dxa"/>
        <w:tblLayout w:type="fixed"/>
        <w:tblCellMar>
          <w:left w:w="108" w:type="dxa"/>
          <w:top w:w="0" w:type="dxa"/>
          <w:right w:w="108" w:type="dxa"/>
          <w:bottom w:w="0" w:type="dxa"/>
        </w:tblCellMar>
        <w:tblLook w:val="04A0" w:firstRow="1" w:lastRow="0" w:firstColumn="1" w:lastColumn="0" w:noHBand="0" w:noVBand="1"/>
      </w:tblPr>
      <w:tblGrid>
        <w:gridCol w:w="443"/>
        <w:gridCol w:w="639"/>
        <w:gridCol w:w="7642"/>
        <w:gridCol w:w="508"/>
        <w:gridCol w:w="1188"/>
      </w:tblGrid>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bookmarkStart w:id="54" w:name="_Hlk230681272"/>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设备名称</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设备规格及</w:t>
            </w:r>
            <w:r>
              <w:rPr>
                <w:rFonts w:ascii="宋体" w:hAnsi="宋体" w:cs="宋体"/>
                <w:color w:val="000000"/>
                <w:szCs w:val="21"/>
              </w:rPr>
              <w:t xml:space="preserve">技术参数要求</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数量</w:t>
            </w:r>
            <w:r/>
          </w:p>
        </w:tc>
      </w:tr>
      <w:tr>
        <w:trPr>
          <w:trHeight w:val="1606"/>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胖终端</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szCs w:val="21"/>
              </w:rPr>
              <w:t xml:space="preserve">▲1、处理器: 性能不低于英特尔酷睿I5-13420H，主频≥1.99GHz；，核心数≥8核，终端支持分辨率≥3840×2160（4K）</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▲2、内存：≥16GB</w:t>
            </w:r>
            <w:r>
              <w:rPr>
                <w:rFonts w:ascii="宋体" w:hAnsi="宋体" w:cs="宋体"/>
                <w:color w:val="000000" w:themeColor="text1"/>
                <w:szCs w:val="21"/>
                <w:highlight w:val="none"/>
                <w14:textFill>
                  <w14:solidFill>
                    <w14:schemeClr w14:val="tx1"/>
                  </w14:solidFill>
                </w14:textFill>
              </w:rPr>
              <w:t xml:space="preserve"> DDR4 3200 </w:t>
            </w:r>
            <w:r>
              <w:rPr>
                <w:rFonts w:hint="eastAsia" w:ascii="宋体" w:hAnsi="宋体" w:cs="宋体"/>
                <w:color w:val="000000" w:themeColor="text1"/>
                <w:szCs w:val="21"/>
                <w:highlight w:val="none"/>
                <w14:textFill>
                  <w14:solidFill>
                    <w14:schemeClr w14:val="tx1"/>
                  </w14:solidFill>
                </w14:textFill>
              </w:rPr>
              <w:t xml:space="preserve">；存储：≥512GB</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M.2 NVME协议；支持操作系统：Windows及Linux； </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3、网口：电源接口*1、千兆双网口*1、HDMI2.1及以上*1、DP1.2及以上*1、USB3.2Gen1*4、全功能Type-c接口*1、3.5mm耳麦接口*1； </w:t>
            </w:r>
            <w:r/>
          </w:p>
          <w:p>
            <w:pPr>
              <w:spacing w:line="360" w:lineRule="auto"/>
              <w:widowControl/>
              <w:rPr>
                <w:rFonts w:ascii="宋体" w:hAnsi="宋体" w:cs="宋体"/>
                <w:color w:val="000000"/>
                <w:szCs w:val="21"/>
              </w:rPr>
            </w:pPr>
            <w:r/>
            <w:bookmarkStart w:id="55" w:name="OLE_LINK45"/>
            <w:r/>
            <w:bookmarkStart w:id="56" w:name="OLE_LINK46"/>
            <w:r>
              <w:rPr>
                <w:rFonts w:hint="eastAsia" w:ascii="宋体" w:hAnsi="宋体" w:cs="宋体"/>
                <w:color w:val="000000" w:themeColor="text1"/>
                <w:szCs w:val="21"/>
                <w:highlight w:val="none"/>
                <w14:textFill>
                  <w14:solidFill>
                    <w14:schemeClr w14:val="tx1"/>
                  </w14:solidFill>
                </w14:textFill>
              </w:rPr>
              <w:t xml:space="preserve">▲</w:t>
            </w:r>
            <w:bookmarkEnd w:id="55"/>
            <w:r/>
            <w:bookmarkEnd w:id="56"/>
            <w:r>
              <w:rPr>
                <w:rFonts w:hint="eastAsia" w:ascii="宋体" w:hAnsi="宋体" w:cs="宋体"/>
                <w:color w:val="000000" w:themeColor="text1"/>
                <w:szCs w:val="21"/>
                <w:highlight w:val="none"/>
                <w14:textFill>
                  <w14:solidFill>
                    <w14:schemeClr w14:val="tx1"/>
                  </w14:solidFill>
                </w14:textFill>
              </w:rPr>
              <w:t xml:space="preserve">4、虚拟化协议：支持主流虚拟化协议（TF-VDI、VDP 、RDP、ICA、PCoIP、SPICE等主流厂商协议）；</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键鼠</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国产信创优质品牌；USB 3.2/Type-C 接口，108 键全尺寸键盘；有线 / 无线双模光鼠，分辨率 ≥4000dpi。</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汇聚交换机</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核心交换芯片采用国产自主可控品牌</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万兆光口</w:t>
            </w:r>
            <w:r>
              <w:rPr>
                <w:rFonts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，支持堆叠；</w:t>
            </w:r>
            <w:r>
              <w:rPr>
                <w:rFonts w:ascii="宋体" w:hAnsi="宋体" w:cs="宋体"/>
                <w:color w:val="000000" w:themeColor="text1"/>
                <w:szCs w:val="21"/>
                <w:highlight w:val="none"/>
                <w14:textFill>
                  <w14:solidFill>
                    <w14:schemeClr w14:val="tx1"/>
                  </w14:solidFill>
                </w14:textFill>
              </w:rPr>
              <w:t xml:space="preserve">交换容量≥24Tbps，包转发率≥357.12Mpps；支持前后、后前风道；</w:t>
            </w:r>
            <w:r>
              <w:rPr>
                <w:rFonts w:hint="eastAsia" w:ascii="宋体" w:hAnsi="宋体" w:cs="宋体"/>
                <w:color w:val="000000" w:themeColor="text1"/>
                <w:szCs w:val="21"/>
                <w:highlight w:val="none"/>
                <w14:textFill>
                  <w14:solidFill>
                    <w14:schemeClr w14:val="tx1"/>
                  </w14:solidFill>
                </w14:textFill>
              </w:rPr>
              <w:t xml:space="preserve">具备模块化风扇冗余设计，</w:t>
            </w:r>
            <w:r>
              <w:rPr>
                <w:rFonts w:ascii="宋体" w:hAnsi="宋体" w:cs="宋体"/>
                <w:color w:val="000000" w:themeColor="text1"/>
                <w:szCs w:val="21"/>
                <w:highlight w:val="none"/>
                <w14:textFill>
                  <w14:solidFill>
                    <w14:schemeClr w14:val="tx1"/>
                  </w14:solidFill>
                </w14:textFill>
              </w:rPr>
              <w:t xml:space="preserve">风扇模块≥4；</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支持静态路由、RIP v1/v2、OSPF、BGP、ISIS、RIPng、OSPFv3、ISISv6、BGP4+，支持策略路由、路由策略、VRRP、BFD for OSPF、BGP、IS-IS、Static Route；SRv6、EVPN；</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支持 IPv6、支持 IPv4/IPv6 双栈、IPv6 over IPv4 隧道、IPv4 over IPv6 隧道；支持 IPv6 Source Guard、RA-Guard；</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支持 IP 报文分片重组，支持 IPCA；支持 BFD 1ms检测间隔</w:t>
            </w:r>
            <w:r>
              <w:rPr>
                <w:rFonts w:ascii="宋体" w:hAnsi="宋体" w:cs="宋体"/>
                <w:color w:val="000000" w:themeColor="text1"/>
                <w:szCs w:val="21"/>
                <w:highlight w:val="none"/>
                <w14:textFill>
                  <w14:solidFill>
                    <w14:schemeClr w14:val="tx1"/>
                  </w14:solidFill>
                </w14:textFill>
              </w:rPr>
              <w:t xml:space="preserve">；</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、支持DHCP snooping，DHCP server，DHCP r</w:t>
            </w:r>
            <w:r>
              <w:rPr>
                <w:rFonts w:ascii="宋体" w:hAnsi="宋体" w:cs="宋体"/>
                <w:color w:val="000000" w:themeColor="text1"/>
                <w:szCs w:val="21"/>
                <w:highlight w:val="none"/>
                <w14:textFill>
                  <w14:solidFill>
                    <w14:schemeClr w14:val="tx1"/>
                  </w14:solidFill>
                </w14:textFill>
              </w:rPr>
              <w:t xml:space="preserve">e</w:t>
            </w:r>
            <w:r>
              <w:rPr>
                <w:rFonts w:hint="eastAsia" w:ascii="宋体" w:hAnsi="宋体" w:cs="宋体"/>
                <w:color w:val="000000" w:themeColor="text1"/>
                <w:szCs w:val="21"/>
                <w:highlight w:val="none"/>
                <w14:textFill>
                  <w14:solidFill>
                    <w14:schemeClr w14:val="tx1"/>
                  </w14:solidFill>
                </w14:textFill>
              </w:rPr>
              <w:t xml:space="preserve">lay；支持DHCP</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Snooping有效防范欺骗攻击。</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 台 </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接入交换机 </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1、单台配置：千兆电口≥48，万兆SFP28≥4；交换容量≥1.2</w:t>
            </w:r>
            <w:r>
              <w:rPr>
                <w:rFonts w:hint="eastAsia" w:ascii="宋体" w:hAnsi="宋体" w:cs="宋体"/>
                <w:color w:val="000000" w:themeColor="text1"/>
                <w:szCs w:val="21"/>
                <w:highlight w:val="none"/>
                <w14:textFill>
                  <w14:solidFill>
                    <w14:schemeClr w14:val="tx1"/>
                  </w14:solidFill>
                </w14:textFill>
              </w:rPr>
              <w:t xml:space="preserve">T</w:t>
            </w:r>
            <w:r>
              <w:rPr>
                <w:rFonts w:ascii="宋体" w:hAnsi="宋体" w:cs="宋体"/>
                <w:color w:val="000000" w:themeColor="text1"/>
                <w:szCs w:val="21"/>
                <w:highlight w:val="none"/>
                <w14:textFill>
                  <w14:solidFill>
                    <w14:schemeClr w14:val="tx1"/>
                  </w14:solidFill>
                </w14:textFill>
              </w:rPr>
              <w:t xml:space="preserve"> bps，包转发率≥480 Mpps；</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2、支持MAC表容量≥32k，ARP表容量≥16k，IPv4路由表≥16k；</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3、支持MAC地址认证、802.1x认证、Portal认证等多种安全认证方式，实现用户策略（VLAN、QoS、ACL）的动态下发；支持静态路由，支持RIP、RIPng、OSPF、OSPFv3协议；</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支持虚拟化技术，可将多台物理设备虚拟化为一台逻辑设备统一管理</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5、支持电信级的以太环网保护协议，保护倒换时间&lt;50ms；同时支持STP/RSTP/MSTP协议，双上行主备链路保护，LACP链路聚合等简单高效的冗余保护机制；</w:t>
            </w:r>
            <w:r>
              <w:rPr>
                <w:rFonts w:ascii="宋体" w:hAnsi="宋体" w:cs="宋体"/>
                <w:color w:val="000000" w:themeColor="text1"/>
                <w:szCs w:val="21"/>
                <w:highlight w:val="none"/>
                <w14:textFill>
                  <w14:solidFill>
                    <w14:schemeClr w14:val="tx1"/>
                  </w14:solidFill>
                </w14:textFill>
              </w:rPr>
              <w:t xml:space="preserve"> </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、支持IGMPv1/v2/v3、PIM-SM、PIM-DM，支持组播流量跨VLAN复制功能；</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、支持DHCP snooping，DHCP server，DHCP r</w:t>
            </w:r>
            <w:r>
              <w:rPr>
                <w:rFonts w:ascii="宋体" w:hAnsi="宋体" w:cs="宋体"/>
                <w:color w:val="000000" w:themeColor="text1"/>
                <w:szCs w:val="21"/>
                <w:highlight w:val="none"/>
                <w14:textFill>
                  <w14:solidFill>
                    <w14:schemeClr w14:val="tx1"/>
                  </w14:solidFill>
                </w14:textFill>
              </w:rPr>
              <w:t xml:space="preserve">e</w:t>
            </w:r>
            <w:r>
              <w:rPr>
                <w:rFonts w:hint="eastAsia" w:ascii="宋体" w:hAnsi="宋体" w:cs="宋体"/>
                <w:color w:val="000000" w:themeColor="text1"/>
                <w:szCs w:val="21"/>
                <w:highlight w:val="none"/>
                <w14:textFill>
                  <w14:solidFill>
                    <w14:schemeClr w14:val="tx1"/>
                  </w14:solidFill>
                </w14:textFill>
              </w:rPr>
              <w:t xml:space="preserve">lay, 支持IP Source Guard，DAI等安全特性；</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含配套光模块。万兆多模SFP+（300米，LC接口，OM3/OM4，850nm）：数量</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8个。</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台 </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14</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平台管理软件</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1、平台可统一对基础架构（服务器虚拟化）、云桌面、终端、用户、排课等进行管理，在一个Web平台上即可完成镜像模板更新、云桌面发布、用户创建、云终端管理、云终端配置更新等操作；</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2、管理系统至少支持VDI、 VOI或TCI、IDV三种云桌面技术架构，在一个系统平台可以实现VDI、 VOI或TCI 、IDV三种类型的桌面管理，既能够充分利用服务器资源，将桌面运行在服务器端，终端通过远程协议访问，也可将桌面镜像直接下发到终端本地，利用终端资源运行，不占用服务器资源，便于后期无缝扩展；</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采用分布式存储架构，可以将服务器集群中多个节点的本地磁盘融合为统一存储资源空间；具备在线横向扩展能力，任一节点故障，都不会影响数据的正常访问；当集群内某一服务器出现故障时，其余服务器能够快速接管该服务器上所有运行业务，保证终端的正常使用。当网络出现故障，导致VDI桌面无法使用时，可点击切换至本地系统，不影响正常的上课业务；</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支持控制节点HA，HA切换过程中，用户虚拟桌面业务无感知，无需重新登录，所有终端连接服务器的网络配置无需更改（例如使用浮动IP）。为保证服务器硬盘故障后数据可快速重构，要求所投产品在分布式存储方案下，在万兆网络、无其他业务压力、采用SSD缓存的典型配置下，1T数据重构时间 ≤ 60分钟；</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5、为保证云桌面的使用体验，要求三节点集群模式下4KB块大小全随机100%读IOPS&gt;170万；</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支持桌面还原属性修改，桌面创建完成后，可随时在管理平台根据教学需求修改教学桌面还原属性，可单独分别为系统盘和数据盘设置每次还原也可对场景中的任意数量的桌面实现还原操作，满足教学桌面还原和考试环境数据保存等需求； </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7、支持系统环境的批量部署，可根据不同专业的教学、考试要求，快速创建多套教学环境，使用时开放，不使用时随时回收；</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支持跨校区多区域资源汇总分析，可统计所有区域的桌面云部署信息，至少包括服务器数量，CPU、内存、存储使用率，教室数量，终端数量，桌面数量等，也可统计分析区域内桌面使用次数，桌面场景使用时长，机房日均使用时长等信息，便于学校掌握桌面云整体建设使用情况；</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教师和学生通过账号随机获取要使用的桌面资源，使用完后可释放资源；教学桌面池不限终端类型，用户无需账号密码可在任意终端上（如学生笔记本）随机获取桌面资源，使用完后可释放资源，满足开放型实验、公共学习等要求；</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0</w:t>
            </w:r>
            <w:r>
              <w:rPr>
                <w:rFonts w:hint="eastAsia" w:ascii="宋体" w:hAnsi="宋体" w:cs="宋体"/>
                <w:color w:val="000000" w:themeColor="text1"/>
                <w:szCs w:val="21"/>
                <w14:textFill>
                  <w14:solidFill>
                    <w14:schemeClr w14:val="tx1"/>
                  </w14:solidFill>
                </w14:textFill>
              </w:rPr>
              <w:t xml:space="preserve">、至少支持Windows客户端和linux客户端，Windows客户端支持窗口模式和全屏模式并可设置开机自启；linux客户端支持虚实双系统断网切换，虚拟桌面连接中断时，无需人工干预，平台自动将虚拟桌面切换至终端本地系统；</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、兼容主流X86及信创架构服务器，支持主流</w:t>
            </w:r>
            <w:r>
              <w:rPr>
                <w:rFonts w:ascii="宋体" w:hAnsi="宋体" w:cs="宋体"/>
                <w:color w:val="000000" w:themeColor="text1"/>
                <w:szCs w:val="21"/>
                <w14:textFill>
                  <w14:solidFill>
                    <w14:schemeClr w14:val="tx1"/>
                  </w14:solidFill>
                </w14:textFill>
              </w:rPr>
              <w:t xml:space="preserve">操作系统</w:t>
            </w:r>
            <w:r>
              <w:rPr>
                <w:rFonts w:hint="eastAsia" w:ascii="宋体" w:hAnsi="宋体" w:cs="宋体"/>
                <w:color w:val="000000" w:themeColor="text1"/>
                <w:szCs w:val="21"/>
                <w14:textFill>
                  <w14:solidFill>
                    <w14:schemeClr w14:val="tx1"/>
                  </w14:solidFill>
                </w14:textFill>
              </w:rPr>
              <w:t xml:space="preserve">及信创操作系统；</w:t>
            </w:r>
            <w:r>
              <w:rPr>
                <w:rFonts w:ascii="宋体" w:hAnsi="宋体" w:cs="宋体"/>
                <w:color w:val="000000" w:themeColor="text1"/>
                <w:szCs w:val="21"/>
                <w14:textFill>
                  <w14:solidFill>
                    <w14:schemeClr w14:val="tx1"/>
                  </w14:solidFill>
                </w14:textFill>
              </w:rPr>
              <w:t xml:space="preserve">支持异构资源池，</w:t>
            </w:r>
            <w:r>
              <w:rPr>
                <w:rFonts w:hint="eastAsia" w:ascii="宋体" w:hAnsi="宋体" w:cs="宋体"/>
                <w:color w:val="000000" w:themeColor="text1"/>
                <w:szCs w:val="21"/>
                <w14:textFill>
                  <w14:solidFill>
                    <w14:schemeClr w14:val="tx1"/>
                  </w14:solidFill>
                </w14:textFill>
              </w:rPr>
              <w:t xml:space="preserve">支持在同一集群中同时运行搭载不同厂商以及不同代际CPU的物理服务器，并能构建统一资源池，并作为一个统一的计算资源池进行管理；</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支持将物理服务器虚拟成多个逻辑上相互独立的虚拟机，虚拟机之间可实现隔离保护，任何一个虚拟机发生故障时都不会影响同物理机上的其它虚拟机运行；虚拟机具</w:t>
            </w:r>
            <w:r>
              <w:rPr>
                <w:rFonts w:hint="eastAsia" w:ascii="宋体" w:hAnsi="宋体" w:cs="宋体"/>
                <w:color w:val="000000" w:themeColor="text1"/>
                <w:szCs w:val="21"/>
                <w14:textFill>
                  <w14:solidFill>
                    <w14:schemeClr w14:val="tx1"/>
                  </w14:solidFill>
                </w14:textFill>
              </w:rPr>
              <w:t xml:space="preserve">独立</w:t>
            </w:r>
            <w:r>
              <w:rPr>
                <w:rFonts w:ascii="宋体" w:hAnsi="宋体" w:cs="宋体"/>
                <w:color w:val="000000" w:themeColor="text1"/>
                <w:szCs w:val="21"/>
                <w14:textFill>
                  <w14:solidFill>
                    <w14:schemeClr w14:val="tx1"/>
                  </w14:solidFill>
                </w14:textFill>
              </w:rPr>
              <w:t xml:space="preserve">资源（内存、CPU、网卡、存储），可指定单独的IP地址、MAC地址</w:t>
            </w:r>
            <w:r>
              <w:rPr>
                <w:rFonts w:hint="eastAsia" w:ascii="宋体" w:hAnsi="宋体" w:cs="宋体"/>
                <w:color w:val="000000" w:themeColor="text1"/>
                <w:szCs w:val="21"/>
                <w14:textFill>
                  <w14:solidFill>
                    <w14:schemeClr w14:val="tx1"/>
                  </w14:solidFill>
                </w14:textFill>
              </w:rPr>
              <w:t xml:space="preserve">；虚拟机在不关机、不中断业务的情况下，支持在不同品牌物理服务器之间或不同代际CPU之间进行实时在线迁移；</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支持GPU虚拟化技术</w:t>
            </w:r>
            <w:r>
              <w:rPr>
                <w:rFonts w:hint="eastAsia" w:ascii="宋体" w:hAnsi="宋体" w:cs="宋体"/>
                <w:color w:val="000000" w:themeColor="text1"/>
                <w:szCs w:val="21"/>
                <w14:textFill>
                  <w14:solidFill>
                    <w14:schemeClr w14:val="tx1"/>
                  </w14:solidFill>
                </w14:textFill>
              </w:rPr>
              <w:t xml:space="preserve">；支持不同品牌或不同代级的GPU资源的统筹管理和统一调度。可对GPU资源池创建GPU使用策略，有vGPU授权可以选择直通和虚拟，无vGPU授权可进行cuda切分，支持设置详细配置的GPU显存、应用的桌面范围；可新增、启用、停用、编辑、删除策略；单个GPU资源池支持设置多条使用策略，也可对某条重要的策略开启“高优先级”，高优先级的策略关联的桌面启动时会抢占GPU资源；</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支持1+N网卡绑定,实现增加网络吞吐量和提高网络可靠性的目</w:t>
            </w:r>
            <w:r>
              <w:rPr>
                <w:rFonts w:hint="eastAsia" w:ascii="宋体" w:hAnsi="宋体" w:cs="宋体"/>
                <w:color w:val="000000" w:themeColor="text1"/>
                <w:szCs w:val="21"/>
                <w14:textFill>
                  <w14:solidFill>
                    <w14:schemeClr w14:val="tx1"/>
                  </w14:solidFill>
                </w14:textFill>
              </w:rPr>
              <w:t xml:space="preserve">的</w:t>
            </w:r>
            <w:r>
              <w:rPr>
                <w:rFonts w:ascii="宋体" w:hAnsi="宋体" w:cs="宋体"/>
                <w:color w:val="000000" w:themeColor="text1"/>
                <w:szCs w:val="21"/>
                <w14:textFill>
                  <w14:solidFill>
                    <w14:schemeClr w14:val="tx1"/>
                  </w14:solidFill>
                </w14:textFill>
              </w:rPr>
              <w:t xml:space="preserve">，支持多种绑定模式</w:t>
            </w:r>
            <w:r>
              <w:rPr>
                <w:rFonts w:hint="eastAsia" w:ascii="宋体" w:hAnsi="宋体" w:cs="宋体"/>
                <w:color w:val="000000" w:themeColor="text1"/>
                <w:szCs w:val="21"/>
                <w14:textFill>
                  <w14:solidFill>
                    <w14:schemeClr w14:val="tx1"/>
                  </w14:solidFill>
                </w14:textFill>
              </w:rPr>
              <w:t xml:space="preserve">，支持 2.5G/10G/25G 网卡链路聚合；</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、支持主流NVIDIA、AMD或国产GPU加速卡，支持vGPU虚拟化及算力切分，满足实训渲染、AI教学及高并发算力需求；具体GPU规格根据实际采购的服务器硬件配置确定；</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557</w:t>
            </w:r>
            <w:r/>
          </w:p>
        </w:tc>
      </w:tr>
      <w:tr>
        <w:trPr>
          <w:trHeight w:val="90"/>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终端客户端软件</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终端可同时支持虚拟桌面和本地系统，两者可使用统一镜像模板进行维护，保障虚拟系统和本地系统的一致性，便于服务器故障下的持续教学；终端支持裸机部署模式，本地无操作系统也可连接服务器部署客户端，便于终端和服务器处在跨VLAN环境下的环境部署；</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2、支持高效镜像分发机制，提升系统下发效率；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3、支持云桌面自动多种登录功能策略（如自动登录、账号密码登录等），管理员可根据教学、考试等不同场景灵活配置；</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4、可通过管理平台进行批量更新操作，软件更新后，无需再次重复配置云终端（如网络地址、主机名等）、云桌面参数（服务器连接地址、编号等）,管理员可通过终端管理软件远程集中管理终端；</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5、当云桌面断开连接或终端意外重启，云桌面恢复连接后，原有操作不变及数据不丢失；</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6、为了方便后期的扩展性，要求同一虚拟教室的学生机可以支持IDV、TCI或VDI等主流架构，且支持统一管理；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7、支持分级分权管理，可以按需自定义不同角色用户对应的管理权限：①可以针对角色指定其可以操作的功能菜单，至少包括镜像管理、教室管理、用户管理、系统设置等权限设置。②可以针对角色指定其可以操作的具体功能按钮，至少包括镜像模版的删除、创建、复制、快照管理等权限设置。③可以针对用户指定其具体可以管理的哪几个镜像模版、哪几间教室；</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8、为了管理的便捷性，支持管理员通过服务器集群的web管理平台唤醒远程不同网段的终端，中间无需使用跳板机转发；为确保镜像文件修改后，修改前的镜像不丢失，支持镜像模版自动快照，每次镜像发布时可以自动为镜像模版打快照，支持的最大快照数量≥8个；</w:t>
            </w:r>
            <w:r>
              <w:rPr>
                <w:rFonts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9、为实现资源最大集约化，支持二级学院申请某时间段资源优先进行保障上课，课程完成后自动关机；</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、为保证云桌面系统存储空间利用率高，存储池可以设置的冗余策略至少包括：单副本、2副本、3副本、纠删码等冗余策略，纠删码可实际部署使用，磁盘空间的利用率≥65%；</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11、离线运行能力：终端需支持断网离线运行本地操作系统，保障在网络故障或服务器宕机时，仍能正常进行计算机等级考试及日常教学，且本地数据不丢失；</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12、系统保护与还原：终端需支持底层系统还原保护功能（如重启还原、定时还原等），以快速恢复教学环境，防范病毒及学生误操作。</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ff0000"/>
                <w:szCs w:val="21"/>
              </w:rPr>
            </w:pPr>
            <w:r>
              <w:rPr>
                <w:rFonts w:hint="eastAsia" w:ascii="宋体" w:hAnsi="宋体" w:cs="宋体"/>
                <w:color w:val="000000" w:themeColor="text1"/>
                <w:szCs w:val="21"/>
                <w14:textFill>
                  <w14:solidFill>
                    <w14:schemeClr w14:val="tx1"/>
                  </w14:solidFill>
                </w14:textFill>
              </w:rPr>
              <w:t xml:space="preserve">电子教学软件</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、支持</w:t>
            </w:r>
            <w:r>
              <w:rPr>
                <w:rFonts w:ascii="宋体" w:hAnsi="宋体" w:cs="宋体"/>
                <w:color w:val="000000"/>
                <w:szCs w:val="21"/>
              </w:rPr>
              <w:t xml:space="preserve">快捷部署，中文界面，</w:t>
            </w:r>
            <w:r>
              <w:rPr>
                <w:rFonts w:hint="eastAsia" w:ascii="宋体" w:hAnsi="宋体" w:cs="宋体"/>
                <w:color w:val="000000"/>
                <w:szCs w:val="21"/>
              </w:rPr>
              <w:t xml:space="preserve">具备在</w:t>
            </w:r>
            <w:r>
              <w:rPr>
                <w:rFonts w:ascii="宋体" w:hAnsi="宋体" w:cs="宋体"/>
                <w:color w:val="000000"/>
                <w:szCs w:val="21"/>
              </w:rPr>
              <w:t xml:space="preserve">线帮助、支持主窗口功能按钮、浮动工具条等</w:t>
            </w:r>
            <w:r>
              <w:rPr>
                <w:rFonts w:hint="eastAsia" w:ascii="宋体" w:hAnsi="宋体" w:cs="宋体"/>
                <w:color w:val="000000"/>
                <w:szCs w:val="21"/>
              </w:rPr>
              <w:t xml:space="preserve">功能；</w:t>
            </w:r>
            <w:r>
              <w:rPr>
                <w:rFonts w:ascii="宋体" w:hAnsi="宋体" w:cs="宋体"/>
                <w:color w:val="000000"/>
                <w:szCs w:val="21"/>
              </w:rPr>
              <w:t xml:space="preserve">支持软件防杀进程、断线保护、卸载密码保护</w:t>
            </w:r>
            <w:r>
              <w:rPr>
                <w:rFonts w:hint="eastAsia" w:ascii="宋体" w:hAnsi="宋体" w:cs="宋体"/>
                <w:color w:val="000000"/>
                <w:szCs w:val="21"/>
              </w:rPr>
              <w:t xml:space="preserve">，</w:t>
            </w:r>
            <w:r>
              <w:rPr>
                <w:rFonts w:ascii="宋体" w:hAnsi="宋体" w:cs="宋体"/>
                <w:color w:val="000000"/>
                <w:szCs w:val="21"/>
              </w:rPr>
              <w:t xml:space="preserve">支持Windows</w:t>
            </w:r>
            <w:r>
              <w:rPr>
                <w:rFonts w:hint="eastAsia" w:ascii="宋体" w:hAnsi="宋体" w:cs="宋体"/>
                <w:color w:val="000000"/>
                <w:szCs w:val="21"/>
              </w:rPr>
              <w:t xml:space="preserve">系列、</w:t>
            </w:r>
            <w:r>
              <w:rPr>
                <w:rFonts w:ascii="宋体" w:hAnsi="宋体" w:cs="宋体"/>
                <w:color w:val="000000"/>
                <w:szCs w:val="21"/>
              </w:rPr>
              <w:t xml:space="preserve">Linux操作系统部署</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、支持</w:t>
            </w:r>
            <w:r>
              <w:rPr>
                <w:rFonts w:ascii="宋体" w:hAnsi="宋体" w:cs="宋体"/>
                <w:color w:val="000000"/>
                <w:szCs w:val="21"/>
              </w:rPr>
              <w:t xml:space="preserve">教师机视频无延时同步到学生机，支持Windows Media、AVI、MP3</w:t>
            </w:r>
            <w:r>
              <w:rPr>
                <w:rFonts w:hint="eastAsia" w:ascii="宋体" w:hAnsi="宋体" w:cs="宋体"/>
                <w:color w:val="000000"/>
                <w:szCs w:val="21"/>
              </w:rPr>
              <w:t xml:space="preserve">、</w:t>
            </w:r>
            <w:r>
              <w:rPr>
                <w:rFonts w:ascii="宋体" w:hAnsi="宋体" w:cs="宋体"/>
                <w:color w:val="000000"/>
                <w:szCs w:val="21"/>
              </w:rPr>
              <w:t xml:space="preserve">MP4等主流音视频格式，支持</w:t>
            </w:r>
            <w:r>
              <w:rPr>
                <w:rFonts w:hint="eastAsia" w:ascii="宋体" w:hAnsi="宋体" w:cs="宋体"/>
                <w:color w:val="000000"/>
                <w:szCs w:val="21"/>
              </w:rPr>
              <w:t xml:space="preserve">4K超高清视频播放与广播；</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3、支持云桌面与本地系统双环境部署，当云桌面网络异常时，可自动或手动切换至本地系统进行教学广播与作业收发，保障教学不中断；</w:t>
            </w:r>
            <w:r/>
          </w:p>
          <w:p>
            <w:pPr>
              <w:jc w:val="left"/>
              <w:spacing w:line="360" w:lineRule="auto"/>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支持文件分发和提交，添加文件或文件目录，云桌面模式下，文件可自动分发至云桌面中；云桌面断开时，文件可自动发送至终端本地桌面或指定目录</w:t>
            </w:r>
            <w:r>
              <w:rPr>
                <w:rFonts w:hint="eastAsia" w:ascii="宋体" w:hAnsi="宋体" w:cs="宋体"/>
                <w:color w:val="000000"/>
                <w:szCs w:val="21"/>
              </w:rPr>
              <w:t xml:space="preserve">；</w:t>
            </w:r>
            <w:r>
              <w:rPr>
                <w:rFonts w:ascii="宋体" w:hAnsi="宋体" w:cs="宋体"/>
                <w:color w:val="000000"/>
                <w:szCs w:val="21"/>
              </w:rPr>
              <w:t xml:space="preserve">支持将教师机屏幕实时广播给单一、部分或全体学生，可选择全屏或窗口方式</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、支持</w:t>
            </w:r>
            <w:r>
              <w:rPr>
                <w:rFonts w:ascii="宋体" w:hAnsi="宋体" w:cs="宋体"/>
                <w:color w:val="000000"/>
                <w:szCs w:val="21"/>
              </w:rPr>
              <w:t xml:space="preserve">教师端屏幕广播时采用终端本地网络，无需占用云桌面网络带宽</w:t>
            </w:r>
            <w:r>
              <w:rPr>
                <w:rFonts w:hint="eastAsia" w:ascii="宋体" w:hAnsi="宋体" w:cs="宋体"/>
                <w:color w:val="000000"/>
                <w:szCs w:val="21"/>
              </w:rPr>
              <w:t xml:space="preserve">，</w:t>
            </w:r>
            <w:r>
              <w:rPr>
                <w:rFonts w:ascii="宋体" w:hAnsi="宋体" w:cs="宋体"/>
                <w:color w:val="000000"/>
                <w:szCs w:val="21"/>
              </w:rPr>
              <w:t xml:space="preserve">云桌面断开连接时</w:t>
            </w:r>
            <w:r>
              <w:rPr>
                <w:rFonts w:hint="eastAsia" w:ascii="宋体" w:hAnsi="宋体" w:cs="宋体"/>
                <w:color w:val="000000"/>
                <w:szCs w:val="21"/>
              </w:rPr>
              <w:t xml:space="preserve">，</w:t>
            </w:r>
            <w:r>
              <w:rPr>
                <w:rFonts w:ascii="宋体" w:hAnsi="宋体" w:cs="宋体"/>
                <w:color w:val="000000"/>
                <w:szCs w:val="21"/>
              </w:rPr>
              <w:t xml:space="preserve">不影响屏幕广播的正常使用</w:t>
            </w:r>
            <w:r>
              <w:rPr>
                <w:rFonts w:hint="eastAsia" w:ascii="宋体" w:hAnsi="宋体" w:cs="宋体"/>
                <w:color w:val="000000"/>
                <w:szCs w:val="21"/>
              </w:rPr>
              <w:t xml:space="preserve">；支持</w:t>
            </w:r>
            <w:r>
              <w:rPr>
                <w:rFonts w:ascii="宋体" w:hAnsi="宋体" w:cs="宋体"/>
                <w:color w:val="000000"/>
                <w:szCs w:val="21"/>
              </w:rPr>
              <w:t xml:space="preserve">收发作业时，教师端云桌面和学生端云桌面直接传输，</w:t>
            </w:r>
            <w:r>
              <w:rPr>
                <w:rFonts w:hint="eastAsia" w:ascii="宋体" w:hAnsi="宋体" w:cs="宋体"/>
                <w:color w:val="000000"/>
                <w:szCs w:val="21"/>
              </w:rPr>
              <w:t xml:space="preserve">不</w:t>
            </w:r>
            <w:r>
              <w:rPr>
                <w:rFonts w:ascii="宋体" w:hAnsi="宋体" w:cs="宋体"/>
                <w:color w:val="000000"/>
                <w:szCs w:val="21"/>
              </w:rPr>
              <w:t xml:space="preserve">占用本地网络资源</w:t>
            </w:r>
            <w:r>
              <w:rPr>
                <w:rFonts w:hint="eastAsia" w:ascii="宋体" w:hAnsi="宋体" w:cs="宋体"/>
                <w:color w:val="000000"/>
                <w:szCs w:val="21"/>
              </w:rPr>
              <w:t xml:space="preserve">；</w:t>
            </w:r>
            <w:r>
              <w:rPr>
                <w:rFonts w:ascii="宋体" w:hAnsi="宋体" w:cs="宋体"/>
                <w:color w:val="000000"/>
                <w:szCs w:val="21"/>
              </w:rPr>
              <w:t xml:space="preserve"> </w:t>
            </w:r>
            <w:r/>
          </w:p>
          <w:p>
            <w:pPr>
              <w:jc w:val="left"/>
              <w:spacing w:line="360" w:lineRule="auto"/>
              <w:widowControl/>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、具备</w:t>
            </w:r>
            <w:r>
              <w:rPr>
                <w:rFonts w:ascii="宋体" w:hAnsi="宋体" w:cs="宋体"/>
                <w:color w:val="000000"/>
                <w:szCs w:val="21"/>
              </w:rPr>
              <w:t xml:space="preserve">控制学生云桌面/终端打开/关闭应用程序</w:t>
            </w:r>
            <w:r>
              <w:rPr>
                <w:rFonts w:hint="eastAsia" w:ascii="宋体" w:hAnsi="宋体" w:cs="宋体"/>
                <w:color w:val="000000"/>
                <w:szCs w:val="21"/>
              </w:rPr>
              <w:t xml:space="preserve">的功能；</w:t>
            </w:r>
            <w:r>
              <w:rPr>
                <w:rFonts w:ascii="宋体" w:hAnsi="宋体" w:cs="宋体"/>
                <w:color w:val="000000"/>
                <w:szCs w:val="21"/>
              </w:rPr>
              <w:t xml:space="preserve">支持即时通讯功能，包括文字或图片通讯</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w:t>
            </w:r>
            <w:r>
              <w:rPr>
                <w:rFonts w:ascii="宋体" w:hAnsi="宋体" w:cs="宋体"/>
                <w:color w:val="000000"/>
                <w:szCs w:val="21"/>
              </w:rPr>
              <w:t xml:space="preserve">支持举手功能，学生端点击“举手”，教师端显示明显标识并文字提示</w:t>
            </w:r>
            <w:r>
              <w:rPr>
                <w:rFonts w:hint="eastAsia" w:ascii="宋体" w:hAnsi="宋体" w:cs="宋体"/>
                <w:color w:val="000000"/>
                <w:szCs w:val="21"/>
              </w:rPr>
              <w:t xml:space="preserve">；支持</w:t>
            </w:r>
            <w:r>
              <w:rPr>
                <w:rFonts w:ascii="宋体" w:hAnsi="宋体" w:cs="宋体"/>
                <w:color w:val="000000"/>
                <w:szCs w:val="21"/>
              </w:rPr>
              <w:t xml:space="preserve">教师云桌面和学生云桌面共用同一桌面模板，云桌面中基于教学服务器自动识别教师和学生身份。当教学过程中教师机出现故障时只需一步操作即可快速将任意一台学生机切换为教师机；</w:t>
            </w:r>
            <w:r>
              <w:rPr>
                <w:rFonts w:hint="eastAsia" w:ascii="宋体" w:hAnsi="宋体" w:cs="宋体"/>
                <w:color w:val="000000"/>
                <w:szCs w:val="21"/>
              </w:rPr>
              <w:t xml:space="preserve">支持黑屏肃静，教师可对学生执行黑屏肃静操作，能够自定义黑屏肃静的提示信息，支持手动解锁、按时解锁、按时长解锁；</w:t>
            </w:r>
            <w:r/>
          </w:p>
          <w:p>
            <w:pPr>
              <w:jc w:val="left"/>
              <w:spacing w:line="360" w:lineRule="auto"/>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、支持</w:t>
            </w:r>
            <w:r>
              <w:rPr>
                <w:rFonts w:ascii="宋体" w:hAnsi="宋体" w:cs="宋体"/>
                <w:color w:val="000000"/>
                <w:szCs w:val="21"/>
              </w:rPr>
              <w:t xml:space="preserve">电子教学软件程序启动时，根据登录的账号自动识别为教师端和学生端，并启动对应的界面</w:t>
            </w:r>
            <w:r>
              <w:rPr>
                <w:rFonts w:hint="eastAsia" w:ascii="宋体" w:hAnsi="宋体" w:cs="宋体"/>
                <w:color w:val="000000"/>
                <w:szCs w:val="21"/>
              </w:rPr>
              <w:t xml:space="preserve">；支持</w:t>
            </w:r>
            <w:r>
              <w:rPr>
                <w:rFonts w:ascii="宋体" w:hAnsi="宋体" w:cs="宋体"/>
                <w:color w:val="000000"/>
                <w:szCs w:val="21"/>
              </w:rPr>
              <w:t xml:space="preserve">教师机监视单一、部分、全体学生机的屏幕</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w:t>
            </w:r>
            <w:r>
              <w:rPr>
                <w:rFonts w:ascii="宋体" w:hAnsi="宋体" w:cs="宋体"/>
                <w:color w:val="000000"/>
                <w:szCs w:val="21"/>
              </w:rPr>
              <w:t xml:space="preserve">支持学生签到功能，保留学生的签到信息，期末可统一导出，核对学生考勤情况</w:t>
            </w:r>
            <w:r>
              <w:rPr>
                <w:rFonts w:hint="eastAsia" w:ascii="宋体" w:hAnsi="宋体" w:cs="宋体"/>
                <w:color w:val="000000"/>
                <w:szCs w:val="21"/>
              </w:rPr>
              <w:t xml:space="preserve">；</w:t>
            </w:r>
            <w:r>
              <w:rPr>
                <w:rFonts w:ascii="宋体" w:hAnsi="宋体" w:cs="宋体"/>
                <w:color w:val="000000"/>
                <w:szCs w:val="21"/>
              </w:rPr>
              <w:t xml:space="preserve">支持上网控制，设定学生访问网站的黑名单或白名单，对学生可以访问的Internet站点进行管理</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、支持</w:t>
            </w:r>
            <w:r>
              <w:rPr>
                <w:rFonts w:ascii="宋体" w:hAnsi="宋体" w:cs="宋体"/>
                <w:color w:val="000000"/>
                <w:szCs w:val="21"/>
              </w:rPr>
              <w:t xml:space="preserve">对终端设备远程开机、关机、重启</w:t>
            </w:r>
            <w:r>
              <w:rPr>
                <w:rFonts w:hint="eastAsia" w:ascii="宋体" w:hAnsi="宋体" w:cs="宋体"/>
                <w:color w:val="000000"/>
                <w:szCs w:val="21"/>
              </w:rPr>
              <w:t xml:space="preserve">；支持</w:t>
            </w:r>
            <w:r>
              <w:rPr>
                <w:rFonts w:ascii="宋体" w:hAnsi="宋体" w:cs="宋体"/>
                <w:color w:val="000000"/>
                <w:szCs w:val="21"/>
              </w:rPr>
              <w:t xml:space="preserve">云桌面多系统时，教师端一键控制学生进入指定的云桌面</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、支持老师在线打开学生作业；支持TXT、Word、PDF、图片等学生作业格式。在线查看学生作业后，可以在个人空间中打分；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、支持自主注册账号、支持管理员统一账号导入；老师账号仅支持密码登陆个人空间；学生账号支持密码登陆和无密码登陆；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支持老师对选中文件的分发和回收；支持老师对文件分发学生范围设置，支持老师根据姓名、小组、班级、年级或全员进行分发；支持考试对单独文件或文件夹形式分发；支持老师设置文件回收截止时间；支持老师设置回收后的文件存储位置；支持学生一键文件提交。 随堂测试：为方便老师快速出题，支持老师通过教师端导入TXT、Word、PDF等题库文件，也可以通过截屏方式快速出题。老师可以通过全班答题、抢答、随机答题多种方式发起测试，发起测试时为防止作弊老师可选择全屏答题或窗口答题；</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超六类四对屏蔽双绞线</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国内优质品牌，</w:t>
            </w:r>
            <w:r>
              <w:rPr>
                <w:rFonts w:ascii="宋体" w:hAnsi="宋体" w:cs="宋体"/>
                <w:color w:val="000000"/>
                <w:szCs w:val="21"/>
              </w:rPr>
              <w:t xml:space="preserve">符合YD/T1019-2013、TIA/EIA-568-C.2和ISO/IEC11801 标准；</w:t>
            </w:r>
            <w:r/>
          </w:p>
          <w:p>
            <w:pPr>
              <w:jc w:val="left"/>
              <w:spacing w:line="360" w:lineRule="auto"/>
              <w:widowControl/>
              <w:rPr>
                <w:rFonts w:ascii="宋体" w:hAnsi="宋体" w:cs="宋体"/>
                <w:color w:val="000000"/>
                <w:szCs w:val="21"/>
              </w:rPr>
            </w:pPr>
            <w:r>
              <w:rPr>
                <w:rFonts w:ascii="宋体" w:hAnsi="宋体" w:cs="宋体"/>
                <w:color w:val="000000"/>
                <w:szCs w:val="21"/>
              </w:rPr>
              <w:t xml:space="preserve">2、线缆中心十字骨架；</w:t>
            </w:r>
            <w:r/>
          </w:p>
          <w:p>
            <w:pPr>
              <w:jc w:val="left"/>
              <w:spacing w:line="360" w:lineRule="auto"/>
              <w:widowControl/>
              <w:rPr>
                <w:rFonts w:ascii="宋体" w:hAnsi="宋体" w:cs="宋体"/>
                <w:color w:val="000000"/>
                <w:szCs w:val="21"/>
              </w:rPr>
            </w:pPr>
            <w:r>
              <w:rPr>
                <w:rFonts w:ascii="宋体" w:hAnsi="宋体" w:cs="宋体"/>
                <w:color w:val="000000"/>
                <w:szCs w:val="21"/>
              </w:rPr>
              <w:t xml:space="preserve">3、带宽满足500MHz测试</w:t>
            </w:r>
            <w:r>
              <w:rPr>
                <w:rFonts w:hint="eastAsia" w:ascii="宋体" w:hAnsi="宋体" w:cs="宋体"/>
                <w:color w:val="000000"/>
                <w:szCs w:val="21"/>
              </w:rPr>
              <w:t xml:space="preserve">，</w:t>
            </w:r>
            <w:r>
              <w:rPr>
                <w:rFonts w:ascii="宋体" w:hAnsi="宋体" w:cs="宋体"/>
                <w:color w:val="000000"/>
                <w:szCs w:val="21"/>
              </w:rPr>
              <w:t xml:space="preserve">符合超六类标准；</w:t>
            </w:r>
            <w:r/>
          </w:p>
          <w:p>
            <w:pPr>
              <w:jc w:val="left"/>
              <w:spacing w:line="360" w:lineRule="auto"/>
              <w:widowControl/>
              <w:rPr>
                <w:rFonts w:ascii="宋体" w:hAnsi="宋体" w:cs="宋体"/>
                <w:color w:val="000000"/>
                <w:szCs w:val="21"/>
              </w:rPr>
            </w:pPr>
            <w:r>
              <w:rPr>
                <w:rFonts w:ascii="宋体" w:hAnsi="宋体" w:cs="宋体"/>
                <w:color w:val="000000"/>
                <w:szCs w:val="21"/>
              </w:rPr>
              <w:t xml:space="preserve">4、外径：7.7±0.2mm；</w:t>
            </w:r>
            <w:r/>
          </w:p>
          <w:p>
            <w:pPr>
              <w:jc w:val="left"/>
              <w:spacing w:line="360" w:lineRule="auto"/>
              <w:widowControl/>
              <w:rPr>
                <w:rFonts w:ascii="宋体" w:hAnsi="宋体" w:cs="宋体"/>
                <w:color w:val="000000"/>
                <w:szCs w:val="21"/>
              </w:rPr>
            </w:pPr>
            <w:r>
              <w:rPr>
                <w:rFonts w:ascii="宋体" w:hAnsi="宋体" w:cs="宋体"/>
                <w:color w:val="000000"/>
                <w:szCs w:val="21"/>
              </w:rPr>
              <w:t xml:space="preserve">5、导体：23AWG，0.57±0.005mm，实芯裸铜导线；</w:t>
            </w:r>
            <w:r/>
          </w:p>
          <w:p>
            <w:pPr>
              <w:jc w:val="left"/>
              <w:spacing w:line="360" w:lineRule="auto"/>
              <w:widowControl/>
              <w:rPr>
                <w:rFonts w:ascii="宋体" w:hAnsi="宋体" w:cs="宋体"/>
                <w:color w:val="000000"/>
                <w:szCs w:val="21"/>
              </w:rPr>
            </w:pPr>
            <w:r>
              <w:rPr>
                <w:rFonts w:ascii="宋体" w:hAnsi="宋体" w:cs="宋体"/>
                <w:color w:val="000000"/>
                <w:szCs w:val="21"/>
              </w:rPr>
              <w:t xml:space="preserve">6、绝缘层：高密度聚乙烯，绝缘直径：1.15±0.03mm；</w:t>
            </w:r>
            <w:r/>
          </w:p>
          <w:p>
            <w:pPr>
              <w:jc w:val="left"/>
              <w:spacing w:line="360" w:lineRule="auto"/>
              <w:widowControl/>
              <w:rPr>
                <w:rFonts w:ascii="宋体" w:hAnsi="宋体" w:cs="宋体"/>
                <w:color w:val="000000"/>
                <w:szCs w:val="21"/>
              </w:rPr>
            </w:pPr>
            <w:r>
              <w:rPr>
                <w:rFonts w:ascii="宋体" w:hAnsi="宋体" w:cs="宋体"/>
                <w:color w:val="000000"/>
                <w:szCs w:val="21"/>
              </w:rPr>
              <w:t xml:space="preserve">7、外护套采用阻燃PVC材料；</w:t>
            </w:r>
            <w:r/>
          </w:p>
          <w:p>
            <w:pPr>
              <w:jc w:val="left"/>
              <w:spacing w:line="360" w:lineRule="auto"/>
              <w:widowControl/>
              <w:rPr>
                <w:rFonts w:ascii="宋体" w:hAnsi="宋体" w:cs="宋体"/>
                <w:szCs w:val="21"/>
              </w:rPr>
            </w:pPr>
            <w:r>
              <w:rPr>
                <w:rFonts w:ascii="宋体" w:hAnsi="宋体" w:cs="宋体"/>
                <w:szCs w:val="21"/>
              </w:rPr>
              <w:t xml:space="preserve">8、阻燃等级：CM、IEC60332-1可选；</w:t>
            </w:r>
            <w:r/>
          </w:p>
          <w:p>
            <w:pPr>
              <w:jc w:val="left"/>
              <w:spacing w:line="360" w:lineRule="auto"/>
              <w:widowControl/>
              <w:rPr>
                <w:rFonts w:ascii="宋体" w:hAnsi="宋体" w:cs="宋体"/>
                <w:szCs w:val="21"/>
              </w:rPr>
            </w:pPr>
            <w:r>
              <w:rPr>
                <w:rFonts w:ascii="宋体" w:hAnsi="宋体" w:cs="宋体"/>
                <w:szCs w:val="21"/>
              </w:rPr>
              <w:t xml:space="preserve">9、最大电容：≤5.6nF/100m；</w:t>
            </w:r>
            <w:r/>
          </w:p>
          <w:p>
            <w:pPr>
              <w:jc w:val="left"/>
              <w:spacing w:line="360" w:lineRule="auto"/>
              <w:widowControl/>
              <w:rPr>
                <w:rFonts w:ascii="宋体" w:hAnsi="宋体" w:cs="宋体"/>
                <w:szCs w:val="21"/>
              </w:rPr>
            </w:pPr>
            <w:r>
              <w:rPr>
                <w:rFonts w:ascii="宋体" w:hAnsi="宋体" w:cs="宋体"/>
                <w:szCs w:val="21"/>
              </w:rPr>
              <w:t xml:space="preserve">10、最大直流电阻：≤7.0Ω/100m；</w:t>
            </w:r>
            <w:r/>
          </w:p>
          <w:p>
            <w:pPr>
              <w:jc w:val="left"/>
              <w:spacing w:line="360" w:lineRule="auto"/>
              <w:widowControl/>
              <w:rPr>
                <w:rFonts w:ascii="宋体" w:hAnsi="宋体" w:cs="宋体"/>
                <w:szCs w:val="21"/>
              </w:rPr>
            </w:pPr>
            <w:r>
              <w:rPr>
                <w:rFonts w:ascii="宋体" w:hAnsi="宋体" w:cs="宋体"/>
                <w:szCs w:val="21"/>
              </w:rPr>
              <w:t xml:space="preserve">11、工作温度：-20℃到70℃</w:t>
            </w:r>
            <w:r>
              <w:rPr>
                <w:rFonts w:hint="eastAsia" w:ascii="宋体" w:hAnsi="宋体" w:cs="宋体"/>
                <w:szCs w:val="21"/>
              </w:rPr>
              <w:t xml:space="preserve">。</w:t>
            </w:r>
            <w:r/>
          </w:p>
          <w:p>
            <w:pPr>
              <w:jc w:val="left"/>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w:t>
            </w:r>
            <w:r>
              <w:rPr>
                <w:rFonts w:hint="eastAsia" w:ascii="MS Mincho" w:hAnsi="MS Mincho" w:eastAsia="MS Mincho" w:cs="MS Mincho"/>
                <w:szCs w:val="21"/>
              </w:rPr>
              <w:t xml:space="preserve">‌‌</w:t>
            </w:r>
            <w:r>
              <w:rPr>
                <w:rFonts w:hint="eastAsia" w:ascii="宋体" w:hAnsi="宋体" w:cs="宋体"/>
                <w:szCs w:val="21"/>
              </w:rPr>
              <w:t xml:space="preserve">特性阻抗</w:t>
            </w:r>
            <w:r>
              <w:rPr>
                <w:rFonts w:hint="eastAsia" w:ascii="MS Mincho" w:hAnsi="MS Mincho" w:eastAsia="MS Mincho" w:cs="MS Mincho"/>
                <w:szCs w:val="21"/>
              </w:rPr>
              <w:t xml:space="preserve">‌</w:t>
            </w:r>
            <w:r>
              <w:rPr>
                <w:rFonts w:hint="eastAsia" w:ascii="宋体" w:hAnsi="宋体" w:cs="宋体"/>
                <w:szCs w:val="21"/>
              </w:rPr>
              <w:t xml:space="preserve">：</w:t>
            </w:r>
            <w:r>
              <w:rPr>
                <w:rFonts w:ascii="Times New Roman" w:hAnsi="Times New Roman" w:eastAsia="MS Mincho"/>
                <w:szCs w:val="21"/>
              </w:rPr>
              <w:t xml:space="preserve">‌</w:t>
            </w:r>
            <w:r>
              <w:rPr>
                <w:rFonts w:ascii="Times New Roman" w:hAnsi="Times New Roman"/>
                <w:szCs w:val="21"/>
              </w:rPr>
              <w:t xml:space="preserve">100 ± 15 Ω</w:t>
            </w:r>
            <w:r>
              <w:rPr>
                <w:rFonts w:ascii="Times New Roman" w:hAnsi="Times New Roman" w:eastAsia="MS Mincho"/>
                <w:szCs w:val="21"/>
              </w:rPr>
              <w:t xml:space="preserve">‌</w:t>
            </w:r>
            <w:r>
              <w:rPr>
                <w:rFonts w:ascii="Times New Roman" w:hAnsi="Times New Roman"/>
                <w:szCs w:val="21"/>
              </w:rPr>
              <w:t xml:space="preserve">（1–500 MHz </w:t>
            </w:r>
            <w:r>
              <w:rPr>
                <w:rFonts w:hint="eastAsia" w:ascii="宋体" w:hAnsi="宋体" w:cs="宋体"/>
                <w:szCs w:val="21"/>
              </w:rPr>
              <w:t xml:space="preserve">频段内）</w:t>
            </w:r>
            <w:r>
              <w:rPr>
                <w:rFonts w:hint="eastAsia" w:ascii="MS Mincho" w:hAnsi="MS Mincho" w:eastAsia="MS Mincho" w:cs="MS Mincho"/>
                <w:szCs w:val="21"/>
              </w:rPr>
              <w:t xml:space="preserve">‌‌</w:t>
            </w:r>
            <w:r>
              <w:rPr>
                <w:rFonts w:ascii="MS Mincho" w:hAnsi="MS Mincho" w:cs="MS Mincho" w:eastAsiaTheme="minorEastAsia"/>
                <w:szCs w:val="21"/>
              </w:rPr>
              <w:t xml:space="preserve">;</w:t>
            </w:r>
            <w:r>
              <w:rPr>
                <w:rFonts w:hint="eastAsia"/>
              </w:rPr>
              <w:t xml:space="preserve"> </w:t>
            </w:r>
            <w:r>
              <w:rPr>
                <w:rFonts w:hint="eastAsia" w:ascii="MS Mincho" w:hAnsi="MS Mincho" w:cs="MS Mincho" w:eastAsiaTheme="minorEastAsia"/>
                <w:szCs w:val="21"/>
              </w:rPr>
              <w:t xml:space="preserve">转移阻抗 </w:t>
            </w:r>
            <w:r>
              <w:rPr>
                <w:rFonts w:hint="eastAsia" w:ascii="Times New Roman" w:hAnsi="Times New Roman" w:eastAsia="MS Mincho"/>
                <w:szCs w:val="21"/>
              </w:rPr>
              <w:t xml:space="preserve">(Zt)</w:t>
            </w:r>
            <w:r>
              <w:rPr>
                <w:rFonts w:ascii="MS Mincho" w:hAnsi="MS Mincho" w:cs="MS Mincho" w:eastAsiaTheme="minorEastAsia"/>
                <w:szCs w:val="21"/>
              </w:rPr>
              <w:t xml:space="preserve">:</w:t>
            </w:r>
            <w:r>
              <w:rPr>
                <w:rFonts w:hint="eastAsia"/>
              </w:rPr>
              <w:t xml:space="preserve"> </w:t>
            </w:r>
            <w:r>
              <w:rPr>
                <w:rFonts w:asciiTheme="majorEastAsia" w:hAnsiTheme="majorEastAsia" w:eastAsiaTheme="majorEastAsia"/>
                <w:szCs w:val="21"/>
              </w:rPr>
              <w:t xml:space="preserve">≤</w:t>
            </w:r>
            <w:r>
              <w:rPr>
                <w:rFonts w:hint="eastAsia" w:ascii="Times New Roman" w:hAnsi="Times New Roman" w:eastAsia="MS Mincho"/>
                <w:szCs w:val="21"/>
              </w:rPr>
              <w:t xml:space="preserve"> 100 mΩ/m (30~300 MHz)</w:t>
            </w:r>
            <w:r>
              <w:rPr>
                <w:rFonts w:ascii="MS Mincho" w:hAnsi="MS Mincho" w:cs="MS Mincho" w:eastAsiaTheme="minorEastAsia"/>
                <w:szCs w:val="21"/>
              </w:rPr>
              <w:t xml:space="preserve">;</w:t>
            </w:r>
            <w:r>
              <w:rPr>
                <w:rFonts w:hint="eastAsia"/>
              </w:rPr>
              <w:t xml:space="preserve"> </w:t>
            </w:r>
            <w:r>
              <w:rPr>
                <w:rFonts w:hint="eastAsia" w:ascii="MS Mincho" w:hAnsi="MS Mincho" w:cs="MS Mincho" w:eastAsiaTheme="minorEastAsia"/>
                <w:szCs w:val="21"/>
              </w:rPr>
              <w:t xml:space="preserve">屏蔽衰减 </w:t>
            </w:r>
            <w:r>
              <w:rPr>
                <w:rFonts w:hint="eastAsia" w:ascii="Times New Roman" w:hAnsi="Times New Roman" w:eastAsia="MS Mincho"/>
                <w:szCs w:val="21"/>
              </w:rPr>
              <w:t xml:space="preserve">(a_s)</w:t>
            </w:r>
            <w:r>
              <w:rPr>
                <w:rFonts w:hint="eastAsia" w:ascii="MS Mincho" w:hAnsi="MS Mincho" w:cs="MS Mincho" w:eastAsiaTheme="minorEastAsia"/>
                <w:szCs w:val="21"/>
              </w:rPr>
              <w:t xml:space="preserve">≥ </w:t>
            </w:r>
            <w:r>
              <w:rPr>
                <w:rFonts w:hint="eastAsia" w:ascii="Times New Roman" w:hAnsi="Times New Roman" w:eastAsia="MS Mincho"/>
                <w:szCs w:val="21"/>
              </w:rPr>
              <w:t xml:space="preserve">70 dB (1~6 GHz)</w:t>
            </w:r>
            <w:r>
              <w:rPr>
                <w:rFonts w:hint="eastAsia" w:ascii="MS Mincho" w:hAnsi="MS Mincho" w:eastAsia="MS Mincho" w:cs="MS Mincho"/>
                <w:szCs w:val="21"/>
              </w:rPr>
              <w:t xml:space="preserve">‌</w:t>
            </w: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 米 </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9590</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辅材</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配套(含PDU、PVC线槽、电线、光纤、插线板、空开等）</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批</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0</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静电地板</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1、规格尺寸： 600×600mm，厚度：≥30mm；</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zCs w:val="21"/>
              </w:rPr>
              <w:t xml:space="preserve">▲2、</w:t>
            </w:r>
            <w:r>
              <w:rPr>
                <w:rFonts w:hint="eastAsia" w:ascii="宋体" w:hAnsi="宋体" w:cs="宋体"/>
                <w:color w:val="000000" w:themeColor="text1"/>
                <w:szCs w:val="21"/>
                <w:highlight w:val="none"/>
                <w14:textFill>
                  <w14:solidFill>
                    <w14:schemeClr w14:val="tx1"/>
                  </w14:solidFill>
                </w14:textFill>
              </w:rPr>
              <w:t xml:space="preserve">面层材质：2mm厚高耐磨陶瓷贴面（氧化铝增强），基材材质：高密度水泥基（密度≥1.8g/cm³），导电层：铜箔导电网（厚度≥0.05mm），防火等级：A级不燃材料（GB 8624-2012标准）；</w:t>
            </w:r>
            <w:r>
              <w:rPr>
                <w:rFonts w:hint="eastAsia" w:ascii="宋体" w:hAnsi="宋体" w:cs="宋体"/>
                <w:b/>
                <w:bCs/>
                <w:color w:val="000000" w:themeColor="text1"/>
                <w:szCs w:val="21"/>
                <w:highlight w:val="none"/>
                <w14:textFill>
                  <w14:solidFill>
                    <w14:schemeClr w14:val="tx1"/>
                  </w14:solidFill>
                </w14:textFill>
              </w:rPr>
              <w:t xml:space="preserve">（提供静电地板A级不燃材料的证明材料）</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3、表面电阻：</w:t>
            </w:r>
            <w:r>
              <w:rPr>
                <w:rFonts w:ascii="宋体" w:hAnsi="宋体" w:cs="宋体"/>
                <w:color w:val="000000" w:themeColor="text1"/>
                <w:szCs w:val="21"/>
                <w:highlight w:val="none"/>
                <w14:textFill>
                  <w14:solidFill>
                    <w14:schemeClr w14:val="tx1"/>
                  </w14:solidFill>
                </w14:textFill>
              </w:rPr>
              <w:t xml:space="preserve">1×10</w:t>
            </w:r>
            <w:r>
              <w:rPr>
                <w:rFonts w:hint="eastAsia" w:ascii="MS Mincho" w:hAnsi="MS Mincho" w:eastAsia="MS Mincho" w:cs="MS Mincho"/>
                <w:color w:val="000000" w:themeColor="text1"/>
                <w:szCs w:val="21"/>
                <w:highlight w:val="none"/>
                <w14:textFill>
                  <w14:solidFill>
                    <w14:schemeClr w14:val="tx1"/>
                  </w14:solidFill>
                </w14:textFill>
              </w:rPr>
              <w:t xml:space="preserve">⁶</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rPr>
                <w:rFonts w:hint="eastAsia" w:ascii="MS Mincho" w:hAnsi="MS Mincho" w:eastAsia="MS Mincho" w:cs="MS Mincho"/>
                <w:color w:val="000000" w:themeColor="text1"/>
                <w:szCs w:val="21"/>
                <w:highlight w:val="none"/>
                <w14:textFill>
                  <w14:solidFill>
                    <w14:schemeClr w14:val="tx1"/>
                  </w14:solidFill>
                </w14:textFill>
              </w:rPr>
              <w:t xml:space="preserve">⁹</w:t>
            </w:r>
            <w:r>
              <w:rPr>
                <w:rFonts w:ascii="宋体" w:hAnsi="宋体" w:cs="宋体"/>
                <w:color w:val="000000" w:themeColor="text1"/>
                <w:szCs w:val="21"/>
                <w:highlight w:val="none"/>
                <w14:textFill>
                  <w14:solidFill>
                    <w14:schemeClr w14:val="tx1"/>
                  </w14:solidFill>
                </w14:textFill>
              </w:rPr>
              <w:t xml:space="preserve">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4、集中载荷：≥5000N（单点承重500kg以上）；均布载荷：≥12,000N/m²，抗冲击性：≥15J</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平方</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980</w:t>
            </w:r>
            <w:r/>
          </w:p>
        </w:tc>
      </w:tr>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spacing w:line="360" w:lineRule="auto"/>
              <w:widowControl/>
              <w:rPr>
                <w:rFonts w:ascii="宋体" w:hAnsi="宋体" w:cs="宋体"/>
                <w:color w:val="000000"/>
                <w:szCs w:val="21"/>
              </w:rPr>
            </w:pPr>
            <w:r>
              <w:rPr>
                <w:rFonts w:hint="eastAsia" w:ascii="宋体" w:hAnsi="宋体"/>
                <w:b/>
                <w:bCs/>
                <w:iCs/>
                <w:szCs w:val="21"/>
              </w:rPr>
              <w:t xml:space="preserve">单人位桌</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1、规格尺寸要求：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外形</w:t>
            </w:r>
            <w:r>
              <w:rPr>
                <w:rFonts w:hint="eastAsia" w:ascii="宋体" w:hAnsi="宋体"/>
                <w:bCs/>
                <w:color w:val="000000" w:themeColor="text1"/>
                <w:szCs w:val="21"/>
                <w14:textFill>
                  <w14:solidFill>
                    <w14:schemeClr w14:val="tx1"/>
                  </w14:solidFill>
                </w14:textFill>
              </w:rPr>
              <w:t xml:space="preserve">尺寸：770×670×760mm；</w:t>
            </w:r>
            <w:r>
              <w:rPr>
                <w:rFonts w:hint="eastAsia" w:ascii="宋体" w:hAnsi="宋体" w:cs="宋体"/>
                <w:color w:val="000000"/>
                <w:szCs w:val="21"/>
              </w:rPr>
              <w:t xml:space="preserve">长、宽、高误差≤2mm，邻边垂直度：台面对角线、框架对角线 1000mm的误差≤2mm，2000mm的误差≤3mm，3000mm的误差≤3mm；地脚平稳性：误差≤1mm；</w:t>
            </w:r>
            <w:r/>
          </w:p>
          <w:p>
            <w:pPr>
              <w:jc w:val="left"/>
              <w:spacing w:line="360" w:lineRule="auto"/>
              <w:widowControl/>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涂层：各涂层均匀，涂层厚度≥75μm，钢制板材表面平整，无色差、无拼接、无明显凹凸、无毛刺、无斑点、无划痕、无碰伤等缺陷;木制贴面和封边部件严密、平整，无脱胶、鼓泡、凹陷、压痕以及表面划伤、麻点、裂痕、崩角和刃口等现象，外表的圆角、倒棱均匀一致；钢结构部件表面经静电粉末喷涂处理，平整光滑，无喷涂层脱落、鼓泡、凹陷、压痕以及表面划伤、麻点、裂痕、崩角和刃口等；</w:t>
            </w:r>
            <w:r/>
          </w:p>
          <w:p>
            <w:pPr>
              <w:jc w:val="left"/>
              <w:spacing w:line="360" w:lineRule="auto"/>
              <w:widowControl/>
              <w:rPr>
                <w:rFonts w:ascii="宋体" w:hAnsi="宋体" w:cs="宋体"/>
                <w:color w:val="000000"/>
                <w:szCs w:val="21"/>
              </w:rPr>
            </w:pPr>
            <w:r>
              <w:rPr>
                <w:rFonts w:ascii="宋体" w:hAnsi="宋体" w:cs="宋体"/>
                <w:color w:val="000000"/>
                <w:szCs w:val="21"/>
              </w:rPr>
              <w:t xml:space="preserve">1.3</w:t>
            </w:r>
            <w:r>
              <w:rPr>
                <w:rFonts w:hint="eastAsia" w:ascii="宋体" w:hAnsi="宋体" w:cs="宋体"/>
                <w:color w:val="000000"/>
                <w:szCs w:val="21"/>
              </w:rPr>
              <w:t xml:space="preserve"> 台面采用木纹色（颜色需中标后经用户确认）专用一体通透实芯抗倍特板，厚度≥19mm。台面要求具有防水、耐磨、抗污染等优点，四周边缘加厚处理，操作面前缘上下边经1/4圆角处理，边角采用1/4圆角（R20mm）美观且光滑不伤手。 </w:t>
            </w:r>
            <w:r/>
          </w:p>
          <w:p>
            <w:pPr>
              <w:jc w:val="left"/>
              <w:spacing w:line="360" w:lineRule="auto"/>
              <w:widowControl/>
              <w:rPr>
                <w:rFonts w:ascii="宋体" w:hAnsi="宋体" w:cs="宋体"/>
                <w:color w:val="000000"/>
                <w:szCs w:val="21"/>
              </w:rPr>
            </w:pPr>
            <w:r>
              <w:rPr>
                <w:rFonts w:ascii="宋体" w:hAnsi="宋体" w:cs="宋体"/>
                <w:color w:val="000000"/>
                <w:szCs w:val="21"/>
              </w:rPr>
              <w:t xml:space="preserve">1.4</w:t>
            </w:r>
            <w:r>
              <w:rPr>
                <w:rFonts w:hint="eastAsia" w:ascii="宋体" w:hAnsi="宋体" w:cs="宋体"/>
                <w:color w:val="000000"/>
                <w:szCs w:val="21"/>
              </w:rPr>
              <w:t xml:space="preserve">物理性能须满足以下需求：1、耐刮划性(金刚石划痕法) ≥1.5N试件表面无整圈连续划痕；2、耐磨性能≥1150；3、耐龟裂性能5级无变化；4、抗拉强度≥127MPa;5、抗弯强度≥162MPa；</w:t>
            </w:r>
            <w:r/>
          </w:p>
          <w:p>
            <w:pPr>
              <w:jc w:val="left"/>
              <w:spacing w:line="360" w:lineRule="auto"/>
              <w:widowControl/>
              <w:rPr>
                <w:rFonts w:ascii="宋体" w:hAnsi="宋体" w:eastAsia="宋体" w:cs="宋体"/>
                <w:color w:val="333333"/>
                <w:szCs w:val="21"/>
                <w:highlight w:val="yellow"/>
              </w:rPr>
            </w:pPr>
            <w:r>
              <w:rPr>
                <w:rFonts w:hint="eastAsia" w:ascii="宋体" w:hAnsi="宋体" w:eastAsia="宋体" w:cs="宋体"/>
                <w:color w:val="333333"/>
                <w:szCs w:val="21"/>
                <w:highlight w:val="yellow"/>
              </w:rPr>
              <w:t xml:space="preserve">▲</w:t>
            </w:r>
            <w:r>
              <w:rPr>
                <w:rFonts w:ascii="宋体" w:hAnsi="宋体" w:eastAsia="宋体" w:cs="宋体"/>
                <w:color w:val="333333"/>
                <w:szCs w:val="21"/>
                <w:highlight w:val="yellow"/>
              </w:rPr>
              <w:t xml:space="preserve">1.5</w:t>
            </w:r>
            <w:r>
              <w:rPr>
                <w:rFonts w:hint="eastAsia" w:ascii="宋体" w:hAnsi="宋体" w:eastAsia="宋体" w:cs="宋体"/>
                <w:color w:val="333333"/>
                <w:szCs w:val="21"/>
                <w:highlight w:val="yellow"/>
              </w:rPr>
              <w:t xml:space="preserve">台面材料测试项不少于</w:t>
            </w:r>
            <w:r>
              <w:rPr>
                <w:rFonts w:ascii="宋体" w:hAnsi="宋体" w:eastAsia="宋体" w:cs="宋体"/>
                <w:color w:val="333333"/>
                <w:szCs w:val="21"/>
                <w:highlight w:val="yellow"/>
              </w:rPr>
              <w:t xml:space="preserve">14项。以下参照GB/T 7911-2024《热固性树脂浸渍纸高压装饰层积板》进行检测，其中不限于如下几种：耐沸水、耐干热、耐湿热、耐水蒸气达5级标准（5级表面无变化），耐污染性能达5级标准；耐光色牢度达5级标准；抗拉强度、弯曲强度等项目均符合国家标准；甲醛参照GB 18580-2025《室内装饰装修材料 人造板及制品中甲醛释放限量》检测，且甲醛释放量≤0.124mg/m3；（提供第三方CMA检测报告，原件扫描上传）。</w:t>
            </w:r>
            <w:r/>
          </w:p>
          <w:p>
            <w:pPr>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、箱体及抽面门板：</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2.1  所有箱体板采用国标E0级18mm厚的三聚氰胺饰面多层板，采用1*20mmPVC同色封边条封边，热熔胶高温全自动直线机封边；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2.2  所有抽面及门板采用国标E0级暖白色18mm厚的三聚氰胺饰面多层板，采用2*22mmPVC同色封边条封边，热熔胶高温全自动直线机封边；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3、钢架：</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3.1  钢架结构为组合连接结构，并具方便拆装、重复使用功能；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3.2  钢架全部采用40*40*1.2mm厚面包管焊接，整体焊接成口字型结构，承重150kg/㎡以上之荷重功能，表面使用环氧树脂粉末喷涂防腐处理；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3.3  钢架连接翼、固定片:材料采用1.0mm厚镀锌钢板冲孔折制作，表面使用环氧树脂粉末喷涂防腐处理；背面连接板留检修门板，开关自如。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3.4  可调脚：采用ABS专用注塑可调脚，高度可调节，调节范围为5-15mm，防滑减震，满足桌面承重要求；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3.5  所有钢架表面接缝均应满焊，焊接处打磨平整以保持为连续的平滑表面，所有部件不得于安装现场焊接加工，以避免破坏表面环氧树脂涂层；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  五金及配件：</w:t>
            </w:r>
            <w:r/>
          </w:p>
          <w:p>
            <w:pPr>
              <w:jc w:val="left"/>
              <w:spacing w:line="360" w:lineRule="auto"/>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.1 铰链：采用金属耐腐蚀阻尼铰链，具有耐酸碱、抗腐蚀、承重力强、开启110度，闭合循环寿命高达5万次;自闭式，与柜体面水平角度&lt;15度时，柜门即可自行关闭，弹性好，使用过程中无噪音； 投标人提供第三方检测机构出具的有效期内的检测报告，需按照</w:t>
            </w:r>
            <w:r>
              <w:rPr>
                <w:rFonts w:hint="eastAsia" w:ascii="宋体" w:hAnsi="宋体" w:cs="宋体"/>
                <w:color w:val="000000"/>
                <w:szCs w:val="21"/>
                <w:highlight w:val="yellow"/>
                <w:lang w:eastAsia="zh-CN"/>
              </w:rPr>
              <w:t xml:space="preserve">GB/T 3325-2024</w:t>
            </w:r>
            <w:r>
              <w:rPr>
                <w:rFonts w:hint="eastAsia" w:ascii="宋体" w:hAnsi="宋体" w:cs="宋体"/>
                <w:color w:val="000000"/>
                <w:szCs w:val="21"/>
                <w:highlight w:val="yellow"/>
              </w:rPr>
              <w:t xml:space="preserve">标准</w:t>
            </w:r>
            <w:r>
              <w:rPr>
                <w:rFonts w:hint="eastAsia" w:ascii="宋体" w:hAnsi="宋体" w:cs="宋体"/>
                <w:color w:val="000000"/>
                <w:szCs w:val="21"/>
              </w:rPr>
              <w:t xml:space="preserve">，作相应理化性能以及金属电镀层抗盐雾测试；</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▲4.2 抽屉导轨：采用三节承重钢珠自动回位滑轨，开合平稳、承重力强、耐磨;使用寿命循环抽拉高达5万次;投标人提供第三方检测机构出具的有效期内的检测报告，需按照</w:t>
            </w:r>
            <w:r>
              <w:rPr>
                <w:rFonts w:hint="eastAsia" w:ascii="宋体" w:hAnsi="宋体" w:cs="宋体"/>
                <w:color w:val="000000"/>
                <w:szCs w:val="21"/>
                <w:highlight w:val="yellow"/>
                <w:lang w:eastAsia="zh-CN"/>
              </w:rPr>
              <w:t xml:space="preserve">GB/T 3325-2024</w:t>
            </w:r>
            <w:r>
              <w:rPr>
                <w:rFonts w:hint="eastAsia" w:ascii="宋体" w:hAnsi="宋体" w:cs="宋体"/>
                <w:color w:val="000000"/>
                <w:szCs w:val="21"/>
                <w:highlight w:val="yellow"/>
              </w:rPr>
              <w:t xml:space="preserve">标准</w:t>
            </w:r>
            <w:r>
              <w:rPr>
                <w:rFonts w:hint="eastAsia" w:ascii="宋体" w:hAnsi="宋体" w:cs="宋体"/>
                <w:color w:val="000000"/>
                <w:szCs w:val="21"/>
              </w:rPr>
              <w:t xml:space="preserve">，作相应理化性能以及金属电镀层抗盐雾测试</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（提供第三方CMA检测报告，原件扫描上传。）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4.3 把手：采用铝合金一字型拉手， 投标人提供第三方检测机构出具的有效期内的检测报告，需按照</w:t>
            </w:r>
            <w:r>
              <w:rPr>
                <w:rFonts w:hint="eastAsia" w:ascii="宋体" w:hAnsi="宋体" w:cs="宋体"/>
                <w:color w:val="000000"/>
                <w:szCs w:val="21"/>
                <w:highlight w:val="yellow"/>
                <w:lang w:eastAsia="zh-CN"/>
              </w:rPr>
              <w:t xml:space="preserve">GB/T 3325-2024</w:t>
            </w:r>
            <w:r>
              <w:rPr>
                <w:rFonts w:hint="eastAsia" w:ascii="宋体" w:hAnsi="宋体" w:cs="宋体"/>
                <w:color w:val="000000"/>
                <w:szCs w:val="21"/>
                <w:highlight w:val="yellow"/>
              </w:rPr>
              <w:t xml:space="preserve">标准</w:t>
            </w:r>
            <w:r>
              <w:rPr>
                <w:rFonts w:hint="eastAsia" w:ascii="宋体" w:hAnsi="宋体" w:cs="宋体"/>
                <w:color w:val="000000"/>
                <w:szCs w:val="21"/>
              </w:rPr>
              <w:t xml:space="preserve">，作相应理化性能以及金属电镀层抗盐雾测试。嵌入箱体的柜门采用96mmPP或304不锈钢C型中弯拉手，外观美观大方。</w:t>
            </w:r>
            <w:r/>
          </w:p>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t xml:space="preserve">5、公共机房桌性能检测要求：（主要依据以下标准和方法执行，若标准和方法更新以最新版本为准：GB18584-2024《家具中有害物质限量》、 GB/T 3324-2024《木家具通用技术条件》、GB/T 3325-2024《金属家具通用技术条件》、GB/T35607-2024《绿色产品评价家具》等；GB/T4893系列《家具表面漆膜理化性能试验》、GB/T 17657-2022《人造板及饰面人造板理化性能试验方法》等）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5.1台面耐划痕：加载1.5N，无整圈连续划痕，检测结果：符合要求；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5.2耐光色牢度：灰色样卡≥4级，检测结果：符合要求；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5.3表面耐磨性（图案）：磨100r后应保留50%以上花纹，检测结果：符合要求；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5.4台面耐冷热循环：（80±2）℃，（120±10）min，（-20±3）℃，（120±10）min，四个周期;无裂纹、鼓泡、起皱和无明显变色;检测结果：符合要求；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5.5柜体耐干热：80℃，20min≥3级，柜体耐湿热：70℃，20min≥3级，检测结果：符合要求；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5.6柜体抗冲击：冲击高度50mm≥3级，检测结果：符合要求；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5.7有害物质检测：甲醛释放量≤0.7 mg/L，检测结果：符合要求；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5.8安全性要求：与人体接触的零部件不应有毛刺、刃口、尖锐的棱角和端头，抽屉和柜门等推拉件应有防脱落装置，检测结果：符合要求；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5.9 金属件外观要求：焊接件、喷涂层、冲压件，管材应无裂缝、叠缝、外露管口端面应封闭；焊接表面波纹均匀、高低之差不大于1mm，焊接处无脱焊、虚焊、焊穿、错位，焊接处无夹渣、气孔、焊瘤、焊丝头、咬边、飞溅等现象；冲压件无脱层、裂缝现象；喷涂层应无漏喷、锈蚀，喷涂层光滑均匀、色泽一致、应无流挂、皱皮、飞漆等缺陷，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6、其他要求：①电源要求：每个工位配备1套斜五孔插座电源，1套2孔USB数据面板（不低于兼容USB3.0*2要求），需配2根连接终端的不低于兼容USB3.0*2要求的USB接线，所有强、弱电线必须规范安装且隐蔽于柜体内，不得外露，要求有专门的终端放置位置。强弱电电线需分开布线。②工作台需防静电处置。</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张</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90</w:t>
            </w:r>
            <w:r/>
          </w:p>
        </w:tc>
      </w:tr>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集成</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集成配套</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bookmarkEnd w:id="54"/>
            <w:r/>
          </w:p>
        </w:tc>
      </w:tr>
    </w:tbl>
    <w:p>
      <w:pPr>
        <w:ind w:firstLine="420"/>
        <w:spacing w:line="360" w:lineRule="auto"/>
        <w:rPr>
          <w:rFonts w:ascii="宋体" w:hAnsi="宋体"/>
          <w:iCs/>
          <w:szCs w:val="21"/>
        </w:rPr>
      </w:pPr>
      <w:r>
        <w:rPr>
          <w:rFonts w:hint="eastAsia" w:ascii="宋体" w:hAnsi="宋体"/>
          <w:iCs/>
          <w:szCs w:val="21"/>
        </w:rPr>
        <w:t xml:space="preserve">5. 单人位桌设计参考图</w:t>
      </w:r>
      <w:r/>
    </w:p>
    <w:p>
      <w:pPr>
        <w:ind w:firstLine="420"/>
        <w:spacing w:line="360" w:lineRule="auto"/>
        <w:rPr>
          <w:rFonts w:ascii="宋体" w:hAnsi="宋体"/>
          <w:iCs/>
          <w:szCs w:val="21"/>
        </w:rPr>
      </w:pPr>
      <w:r>
        <w:rPr>
          <w:rFonts w:ascii="宋体" w:hAnsi="宋体"/>
          <w:iCs/>
          <w:szCs w:val="21"/>
        </w:rPr>
        <mc:AlternateContent>
          <mc:Choice Requires="wpg">
            <w:drawing>
              <wp:inline xmlns:wp="http://schemas.openxmlformats.org/drawingml/2006/wordprocessingDrawing" distT="0" distB="0" distL="0" distR="0">
                <wp:extent cx="4694555" cy="2603500"/>
                <wp:effectExtent l="0" t="0" r="10795"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4694555" cy="26035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9.6pt;height:205.0pt;mso-wrap-distance-left:0.0pt;mso-wrap-distance-top:0.0pt;mso-wrap-distance-right:0.0pt;mso-wrap-distance-bottom:0.0pt;" stroked="false">
                <v:path textboxrect="0,0,0,0"/>
                <v:imagedata r:id="rId16" o:title=""/>
              </v:shape>
            </w:pict>
          </mc:Fallback>
        </mc:AlternateContent>
      </w:r>
      <w:r/>
    </w:p>
    <w:p>
      <w:pPr>
        <w:ind w:firstLine="420"/>
        <w:jc w:val="center"/>
        <w:spacing w:line="360" w:lineRule="auto"/>
        <w:rPr>
          <w:rFonts w:ascii="宋体" w:hAnsi="宋体"/>
          <w:i/>
          <w:szCs w:val="21"/>
          <w:u w:val="single"/>
        </w:rPr>
      </w:pPr>
      <w:r>
        <w:rPr>
          <w:rFonts w:hint="eastAsia" w:ascii="宋体" w:hAnsi="宋体"/>
          <w:iCs/>
          <w:szCs w:val="21"/>
        </w:rPr>
        <w:t xml:space="preserve">单人位桌示意图</w:t>
      </w:r>
      <w:r/>
    </w:p>
    <w:p>
      <w:pPr>
        <w:ind w:firstLine="422"/>
        <w:spacing w:line="360" w:lineRule="auto"/>
        <w:rPr>
          <w:rFonts w:ascii="宋体" w:hAnsi="宋体"/>
          <w:b/>
          <w:szCs w:val="21"/>
        </w:rPr>
      </w:pPr>
      <w:r>
        <w:rPr>
          <w:rFonts w:hint="eastAsia" w:ascii="宋体" w:hAnsi="宋体" w:cs="宋体"/>
          <w:b/>
          <w:szCs w:val="21"/>
        </w:rPr>
        <w:t xml:space="preserve">五、服务要求</w:t>
      </w:r>
      <w:r/>
    </w:p>
    <w:p>
      <w:pPr>
        <w:ind w:firstLine="420"/>
        <w:spacing w:line="360" w:lineRule="auto"/>
        <w:rPr>
          <w:rFonts w:ascii="宋体" w:hAnsi="宋体" w:cs="宋体"/>
          <w:szCs w:val="21"/>
        </w:rPr>
      </w:pPr>
      <w:r>
        <w:rPr>
          <w:rFonts w:hint="eastAsia" w:ascii="宋体" w:hAnsi="宋体" w:cs="宋体"/>
          <w:szCs w:val="21"/>
        </w:rPr>
        <w:t xml:space="preserve">  1、本项目为交钥匙项目，招标文件所提供的设备清单、集成服务项目量均为报价依据，项目报价应包含除设备清单外的辅材及与项目相关的所有费用（如强、弱电的转移费用、安装管线孔洞的修复封堵费用、垃圾清除费用；采购人负责强弱电至配电箱）。</w:t>
      </w:r>
      <w:r/>
    </w:p>
    <w:p>
      <w:pPr>
        <w:ind w:firstLine="630"/>
        <w:spacing w:line="360" w:lineRule="auto"/>
        <w:rPr>
          <w:rFonts w:ascii="宋体" w:hAnsi="宋体" w:cs="宋体"/>
          <w:szCs w:val="21"/>
        </w:rPr>
      </w:pPr>
      <w:r>
        <w:rPr>
          <w:rFonts w:hint="eastAsia" w:ascii="宋体" w:hAnsi="宋体" w:cs="宋体"/>
          <w:szCs w:val="21"/>
        </w:rPr>
        <w:t xml:space="preserve">2、设备及安装施工依据：</w:t>
      </w:r>
      <w:r/>
    </w:p>
    <w:p>
      <w:pPr>
        <w:ind w:firstLine="840"/>
        <w:spacing w:line="360" w:lineRule="auto"/>
        <w:rPr>
          <w:rFonts w:ascii="宋体" w:hAnsi="宋体" w:cs="宋体"/>
          <w:szCs w:val="21"/>
        </w:rPr>
      </w:pPr>
      <w:r>
        <w:rPr>
          <w:rFonts w:hint="eastAsia" w:ascii="宋体" w:hAnsi="宋体" w:cs="宋体"/>
          <w:szCs w:val="21"/>
        </w:rPr>
        <w:t xml:space="preserve">要求执行的最新版本的施工及验收规范：（包括但不限于以下所列规范、标准）</w:t>
      </w:r>
      <w:r/>
    </w:p>
    <w:p>
      <w:pPr>
        <w:ind w:firstLine="840"/>
        <w:spacing w:line="360" w:lineRule="auto"/>
        <w:rPr>
          <w:rFonts w:ascii="宋体" w:hAnsi="宋体" w:cs="宋体"/>
          <w:szCs w:val="21"/>
        </w:rPr>
      </w:pPr>
      <w:r>
        <w:rPr>
          <w:rFonts w:hint="eastAsia" w:ascii="宋体" w:hAnsi="宋体" w:cs="宋体"/>
          <w:szCs w:val="21"/>
        </w:rPr>
        <w:t xml:space="preserve">《数据中心设计规范》GB50174-2017；</w:t>
      </w:r>
      <w:r/>
    </w:p>
    <w:p>
      <w:pPr>
        <w:ind w:firstLine="840"/>
        <w:spacing w:line="360" w:lineRule="auto"/>
        <w:rPr>
          <w:rFonts w:ascii="宋体" w:hAnsi="宋体" w:cs="宋体"/>
          <w:szCs w:val="21"/>
        </w:rPr>
      </w:pPr>
      <w:r>
        <w:rPr>
          <w:rFonts w:hint="eastAsia" w:ascii="宋体" w:hAnsi="宋体" w:cs="宋体"/>
          <w:szCs w:val="21"/>
        </w:rPr>
        <w:t xml:space="preserve">《数据中心基础设施施工及验收标准》</w:t>
      </w:r>
      <w:r>
        <w:rPr>
          <w:rFonts w:ascii="宋体" w:hAnsi="宋体" w:cs="宋体"/>
          <w:szCs w:val="21"/>
        </w:rPr>
        <w:t xml:space="preserve">GB50462-2024</w:t>
      </w:r>
      <w:r>
        <w:rPr>
          <w:rFonts w:hint="eastAsia" w:ascii="MS Mincho" w:hAnsi="MS Mincho" w:eastAsia="MS Mincho" w:cs="MS Mincho"/>
          <w:szCs w:val="21"/>
        </w:rPr>
        <w:t xml:space="preserve">‌</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《计算机场地通用规范》GT</w:t>
      </w:r>
      <w:r>
        <w:rPr>
          <w:rFonts w:ascii="宋体" w:hAnsi="宋体" w:cs="宋体"/>
          <w:szCs w:val="21"/>
        </w:rPr>
        <w:t xml:space="preserve">/</w:t>
      </w:r>
      <w:r>
        <w:rPr>
          <w:rFonts w:hint="eastAsia" w:ascii="宋体" w:hAnsi="宋体" w:cs="宋体"/>
          <w:szCs w:val="21"/>
        </w:rPr>
        <w:t xml:space="preserve">T</w:t>
      </w:r>
      <w:r>
        <w:rPr>
          <w:rFonts w:ascii="宋体" w:hAnsi="宋体" w:cs="宋体"/>
          <w:szCs w:val="21"/>
        </w:rPr>
        <w:t xml:space="preserve">2887</w:t>
      </w:r>
      <w:r>
        <w:rPr>
          <w:rFonts w:hint="eastAsia" w:ascii="宋体" w:hAnsi="宋体" w:cs="宋体"/>
          <w:szCs w:val="21"/>
        </w:rPr>
        <w:t xml:space="preserve">-</w:t>
      </w:r>
      <w:r>
        <w:rPr>
          <w:rFonts w:ascii="宋体" w:hAnsi="宋体" w:cs="宋体"/>
          <w:szCs w:val="21"/>
        </w:rPr>
        <w:t xml:space="preserve">2011</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《计算机场地安全要求》GT</w:t>
      </w:r>
      <w:r>
        <w:rPr>
          <w:rFonts w:ascii="宋体" w:hAnsi="宋体" w:cs="宋体"/>
          <w:szCs w:val="21"/>
        </w:rPr>
        <w:t xml:space="preserve">/</w:t>
      </w:r>
      <w:r>
        <w:rPr>
          <w:rFonts w:hint="eastAsia" w:ascii="宋体" w:hAnsi="宋体" w:cs="宋体"/>
          <w:szCs w:val="21"/>
        </w:rPr>
        <w:t xml:space="preserve">T</w:t>
      </w:r>
      <w:r>
        <w:rPr>
          <w:rFonts w:ascii="宋体" w:hAnsi="宋体" w:cs="宋体"/>
          <w:szCs w:val="21"/>
        </w:rPr>
        <w:t xml:space="preserve">9361</w:t>
      </w:r>
      <w:r>
        <w:rPr>
          <w:rFonts w:hint="eastAsia" w:ascii="宋体" w:hAnsi="宋体" w:cs="宋体"/>
          <w:szCs w:val="21"/>
        </w:rPr>
        <w:t xml:space="preserve">-</w:t>
      </w:r>
      <w:r>
        <w:rPr>
          <w:rFonts w:ascii="宋体" w:hAnsi="宋体" w:cs="宋体"/>
          <w:szCs w:val="21"/>
        </w:rPr>
        <w:t xml:space="preserve">2011</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《金属家具质量检验及质量评定》QB/T 1951.2-2024；</w:t>
      </w:r>
      <w:r/>
    </w:p>
    <w:p>
      <w:pPr>
        <w:ind w:firstLine="840"/>
        <w:spacing w:line="360" w:lineRule="auto"/>
        <w:rPr>
          <w:rFonts w:ascii="宋体" w:hAnsi="宋体" w:cs="宋体"/>
          <w:color w:val="000000"/>
          <w:szCs w:val="21"/>
        </w:rPr>
      </w:pPr>
      <w:r>
        <w:rPr>
          <w:rFonts w:hint="eastAsia" w:ascii="宋体" w:hAnsi="宋体" w:cs="宋体"/>
          <w:color w:val="000000"/>
          <w:szCs w:val="21"/>
        </w:rPr>
        <w:t xml:space="preserve">《热固性树脂浸渍纸高压装饰层积板》GB/T 7911-20</w:t>
      </w:r>
      <w:r>
        <w:rPr>
          <w:rFonts w:ascii="宋体" w:hAnsi="宋体" w:cs="宋体"/>
          <w:color w:val="000000"/>
          <w:szCs w:val="21"/>
        </w:rPr>
        <w:t xml:space="preserve">24</w:t>
      </w:r>
      <w:r/>
    </w:p>
    <w:p>
      <w:pPr>
        <w:ind w:firstLine="840"/>
        <w:spacing w:line="360" w:lineRule="auto"/>
        <w:rPr>
          <w:rFonts w:hint="eastAsia" w:ascii="宋体" w:hAnsi="宋体" w:eastAsia="宋体" w:cs="宋体"/>
          <w:color w:val="000000"/>
          <w:szCs w:val="21"/>
          <w:highlight w:val="yellow"/>
          <w:lang w:eastAsia="zh-CN"/>
        </w:rPr>
      </w:pPr>
      <w:r>
        <w:rPr>
          <w:rFonts w:hint="eastAsia" w:ascii="宋体" w:hAnsi="宋体" w:cs="宋体"/>
          <w:color w:val="000000"/>
          <w:szCs w:val="21"/>
          <w:highlight w:val="yellow"/>
        </w:rPr>
        <w:t xml:space="preserve">《室内装饰装修材料 人造板及制品中甲醛释放限量》</w:t>
      </w:r>
      <w:r>
        <w:rPr>
          <w:rFonts w:hint="eastAsia" w:ascii="宋体" w:hAnsi="宋体" w:cs="宋体"/>
          <w:color w:val="000000"/>
          <w:szCs w:val="21"/>
          <w:highlight w:val="yellow"/>
          <w:lang w:eastAsia="zh-CN"/>
        </w:rPr>
        <w:t xml:space="preserve">GB 18580-2025</w:t>
      </w:r>
      <w:r/>
    </w:p>
    <w:p>
      <w:pPr>
        <w:ind w:firstLine="840"/>
        <w:spacing w:line="360" w:lineRule="auto"/>
        <w:rPr>
          <w:rFonts w:ascii="宋体" w:hAnsi="宋体" w:cs="宋体"/>
          <w:szCs w:val="21"/>
        </w:rPr>
      </w:pPr>
      <w:r>
        <w:rPr>
          <w:rFonts w:hint="eastAsia" w:ascii="宋体" w:hAnsi="宋体" w:cs="宋体"/>
          <w:color w:val="000000"/>
          <w:szCs w:val="21"/>
        </w:rPr>
        <w:t xml:space="preserve">《</w:t>
      </w:r>
      <w:r>
        <w:rPr>
          <w:rFonts w:ascii="宋体" w:hAnsi="宋体" w:cs="宋体"/>
          <w:color w:val="000000"/>
          <w:szCs w:val="21"/>
        </w:rPr>
        <w:t xml:space="preserve">金属家具通用技术条件</w:t>
      </w:r>
      <w:r>
        <w:rPr>
          <w:rFonts w:hint="eastAsia" w:ascii="宋体" w:hAnsi="宋体" w:cs="宋体"/>
          <w:color w:val="000000"/>
          <w:szCs w:val="21"/>
        </w:rPr>
        <w:t xml:space="preserve">》GB/T 3325-20</w:t>
      </w:r>
      <w:r>
        <w:rPr>
          <w:rFonts w:ascii="宋体" w:hAnsi="宋体" w:cs="宋体"/>
          <w:color w:val="000000"/>
          <w:szCs w:val="21"/>
        </w:rPr>
        <w:t xml:space="preserve">24</w:t>
      </w:r>
      <w:r/>
    </w:p>
    <w:p>
      <w:pPr>
        <w:ind w:firstLine="630"/>
        <w:spacing w:line="360" w:lineRule="auto"/>
        <w:rPr>
          <w:rFonts w:ascii="宋体" w:hAnsi="宋体" w:cs="宋体"/>
          <w:szCs w:val="21"/>
        </w:rPr>
      </w:pPr>
      <w:r>
        <w:rPr>
          <w:rFonts w:hint="eastAsia" w:ascii="宋体" w:hAnsi="宋体" w:cs="宋体"/>
          <w:szCs w:val="21"/>
        </w:rPr>
        <w:t xml:space="preserve">3、项目质量：</w:t>
      </w:r>
      <w:bookmarkStart w:id="69" w:name="_GoBack"/>
      <w:r/>
      <w:bookmarkEnd w:id="69"/>
      <w:r/>
      <w:r/>
    </w:p>
    <w:p>
      <w:pPr>
        <w:ind w:firstLine="420"/>
        <w:spacing w:line="360" w:lineRule="auto"/>
        <w:rPr>
          <w:rFonts w:ascii="宋体" w:hAnsi="宋体" w:cs="宋体"/>
          <w:szCs w:val="21"/>
        </w:rPr>
      </w:pPr>
      <w:r>
        <w:rPr>
          <w:rFonts w:hint="eastAsia" w:ascii="宋体" w:hAnsi="宋体" w:cs="宋体"/>
          <w:szCs w:val="21"/>
        </w:rPr>
        <w:t xml:space="preserve">货物外型构造尺寸应满足现场安装条件；设备、材料质量必须满足相关标准要求；项目质量必须符合国家质量验收规范标准。</w:t>
      </w:r>
      <w:r/>
    </w:p>
    <w:p>
      <w:pPr>
        <w:ind w:firstLine="630"/>
        <w:spacing w:line="360" w:lineRule="auto"/>
        <w:rPr>
          <w:rFonts w:ascii="宋体" w:hAnsi="宋体" w:cs="宋体"/>
          <w:szCs w:val="21"/>
        </w:rPr>
      </w:pPr>
      <w:r>
        <w:rPr>
          <w:rFonts w:hint="eastAsia" w:ascii="宋体" w:hAnsi="宋体" w:cs="宋体"/>
          <w:szCs w:val="21"/>
        </w:rPr>
        <w:t xml:space="preserve">4、施工组织设计：</w:t>
      </w:r>
      <w:r/>
    </w:p>
    <w:p>
      <w:pPr>
        <w:ind w:firstLine="420"/>
        <w:spacing w:line="360" w:lineRule="auto"/>
        <w:rPr>
          <w:rFonts w:ascii="宋体" w:hAnsi="宋体" w:cs="宋体"/>
          <w:szCs w:val="21"/>
        </w:rPr>
      </w:pPr>
      <w:r>
        <w:rPr>
          <w:rFonts w:hint="eastAsia" w:ascii="宋体" w:hAnsi="宋体" w:cs="宋体"/>
          <w:szCs w:val="21"/>
        </w:rPr>
        <w:t xml:space="preserve">投标人均应根据项目实际情况编制施工组织设计。</w:t>
      </w:r>
      <w:r/>
    </w:p>
    <w:p>
      <w:pPr>
        <w:ind w:firstLine="630"/>
        <w:spacing w:line="360" w:lineRule="auto"/>
        <w:rPr>
          <w:rFonts w:ascii="宋体" w:hAnsi="宋体" w:cs="宋体"/>
          <w:szCs w:val="21"/>
        </w:rPr>
      </w:pPr>
      <w:r>
        <w:rPr>
          <w:rFonts w:hint="eastAsia" w:ascii="宋体" w:hAnsi="宋体" w:cs="宋体"/>
          <w:szCs w:val="21"/>
        </w:rPr>
        <w:t xml:space="preserve">5、建设周期：</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为保证公共计算机云平台项目的顺利建设</w:t>
      </w:r>
      <w:r>
        <w:rPr>
          <w:rFonts w:hint="eastAsia" w:ascii="宋体" w:hAnsi="宋体" w:cs="宋体"/>
          <w:b w:val="0"/>
          <w:bCs w:val="0"/>
          <w:i/>
          <w:iCs/>
          <w:szCs w:val="21"/>
          <w:u w:val="single"/>
        </w:rPr>
        <w:t xml:space="preserve">，本次设备到货、安装、调试工作应在</w:t>
      </w:r>
      <w:r>
        <w:rPr>
          <w:rFonts w:hint="eastAsia" w:ascii="宋体" w:hAnsi="宋体" w:cs="宋体"/>
          <w:b w:val="0"/>
          <w:bCs w:val="0"/>
          <w:i/>
          <w:iCs/>
          <w:color w:val="000000"/>
          <w:szCs w:val="21"/>
          <w:u w:val="single"/>
        </w:rPr>
        <w:t xml:space="preserve">合同签订后</w:t>
      </w:r>
      <w:r>
        <w:rPr>
          <w:rFonts w:ascii="宋体" w:hAnsi="宋体" w:cs="宋体"/>
          <w:b w:val="0"/>
          <w:bCs w:val="0"/>
          <w:i/>
          <w:iCs/>
          <w:color w:val="000000"/>
          <w:szCs w:val="21"/>
          <w:u w:val="single"/>
        </w:rPr>
        <w:t xml:space="preserve">40</w:t>
      </w:r>
      <w:r>
        <w:rPr>
          <w:rFonts w:hint="eastAsia" w:ascii="宋体" w:hAnsi="宋体" w:cs="宋体"/>
          <w:b w:val="0"/>
          <w:bCs w:val="0"/>
          <w:i/>
          <w:iCs/>
          <w:color w:val="000000"/>
          <w:szCs w:val="21"/>
          <w:u w:val="single"/>
        </w:rPr>
        <w:t xml:space="preserve">个日历天内</w:t>
      </w:r>
      <w:r>
        <w:rPr>
          <w:rFonts w:hint="eastAsia" w:ascii="宋体" w:hAnsi="宋体" w:cs="宋体"/>
          <w:b w:val="0"/>
          <w:bCs w:val="0"/>
          <w:i/>
          <w:iCs/>
          <w:szCs w:val="21"/>
          <w:u w:val="single"/>
        </w:rPr>
        <w:t xml:space="preserve">完成，应按照招标需求合理安排时间，制</w:t>
      </w:r>
      <w:r>
        <w:rPr>
          <w:rFonts w:hint="eastAsia" w:ascii="宋体" w:hAnsi="宋体" w:cs="宋体"/>
          <w:i/>
          <w:iCs/>
          <w:szCs w:val="21"/>
          <w:u w:val="single"/>
        </w:rPr>
        <w:t xml:space="preserve">定相应的项目实施详细进度计划。</w:t>
      </w:r>
      <w:r>
        <w:rPr>
          <w:rFonts w:hint="eastAsia" w:ascii="宋体" w:hAnsi="宋体" w:cs="宋体"/>
          <w:b/>
          <w:bCs w:val="0"/>
          <w:i/>
          <w:iCs/>
          <w:color w:val="ff0000"/>
          <w:szCs w:val="21"/>
          <w:u w:val="single"/>
        </w:rPr>
        <w:t xml:space="preserve">（须提供承诺函原件扫描上传，格式自拟）</w:t>
      </w:r>
      <w:r/>
    </w:p>
    <w:p>
      <w:pPr>
        <w:ind w:firstLine="630"/>
        <w:spacing w:line="360" w:lineRule="auto"/>
        <w:rPr>
          <w:rFonts w:ascii="宋体" w:hAnsi="宋体" w:cs="宋体"/>
          <w:szCs w:val="21"/>
        </w:rPr>
      </w:pPr>
      <w:r>
        <w:rPr>
          <w:rFonts w:hint="eastAsia" w:ascii="宋体" w:hAnsi="宋体" w:cs="宋体"/>
          <w:szCs w:val="21"/>
        </w:rPr>
        <w:t xml:space="preserve">6、安装、调试与验收：</w:t>
      </w:r>
      <w:r/>
    </w:p>
    <w:p>
      <w:pPr>
        <w:ind w:firstLine="420"/>
        <w:spacing w:line="360" w:lineRule="auto"/>
        <w:rPr>
          <w:rFonts w:ascii="宋体" w:hAnsi="宋体" w:cs="宋体"/>
          <w:szCs w:val="21"/>
        </w:rPr>
      </w:pPr>
      <w:r>
        <w:rPr>
          <w:rFonts w:hint="eastAsia" w:ascii="宋体" w:hAnsi="宋体" w:cs="宋体"/>
          <w:szCs w:val="21"/>
        </w:rPr>
        <w:t xml:space="preserve">（1）中标人负责检查安装现场的安装条件，事先提出对安装的环境方面的要求，（室外机安装所需的土建基础由土建装饰单位提供）。</w:t>
      </w:r>
      <w:r/>
    </w:p>
    <w:p>
      <w:pPr>
        <w:ind w:firstLine="420"/>
        <w:spacing w:line="360" w:lineRule="auto"/>
        <w:rPr>
          <w:rFonts w:ascii="宋体" w:hAnsi="宋体" w:cs="宋体"/>
          <w:szCs w:val="21"/>
        </w:rPr>
      </w:pPr>
      <w:r>
        <w:rPr>
          <w:rFonts w:hint="eastAsia" w:ascii="宋体" w:hAnsi="宋体" w:cs="宋体"/>
          <w:szCs w:val="21"/>
        </w:rPr>
        <w:t xml:space="preserve">（2）本项目涉及的设备由中标人负责测试、安装、调试和有关配置工作，中标人应提供详细的具有时效性的测试、安装、调试方案，经采购人确认后，作为设备验收的标准，中标人应按上述方案完成测试、安装、调试和有关配置工作。</w:t>
      </w:r>
      <w:r/>
    </w:p>
    <w:p>
      <w:pPr>
        <w:ind w:firstLine="420"/>
        <w:spacing w:line="360" w:lineRule="auto"/>
        <w:rPr>
          <w:rFonts w:ascii="宋体" w:hAnsi="宋体" w:cs="宋体"/>
          <w:szCs w:val="21"/>
        </w:rPr>
      </w:pPr>
      <w:r>
        <w:rPr>
          <w:rFonts w:hint="eastAsia" w:ascii="宋体" w:hAnsi="宋体" w:cs="宋体"/>
          <w:szCs w:val="21"/>
        </w:rPr>
        <w:t xml:space="preserve">（3）中标人需保证设备均为制造商原产地原装产品，保证所提供货物是全新的、未使用过的，并完全符合合同规定的质量、规格和性能的要求。货物到达采购人指定的现场后，由中标人与采购人共同核对装箱单，共同开箱（若有争议，请质检机构检验确定），依照合同的货物清单清点，并进行签字确认。</w:t>
      </w:r>
      <w:r/>
    </w:p>
    <w:p>
      <w:pPr>
        <w:ind w:firstLine="420"/>
        <w:spacing w:line="360" w:lineRule="auto"/>
        <w:rPr>
          <w:rFonts w:ascii="宋体" w:hAnsi="宋体" w:cs="宋体"/>
          <w:szCs w:val="21"/>
        </w:rPr>
      </w:pPr>
      <w:r>
        <w:rPr>
          <w:rFonts w:hint="eastAsia" w:ascii="宋体" w:hAnsi="宋体" w:cs="宋体"/>
          <w:szCs w:val="21"/>
        </w:rPr>
        <w:t xml:space="preserve">（4）中标人保证其提供的货物在正确安装、正常使用和保养条件下，在使用寿命期内具有满意的性能，中标人对由于产品设计、工艺或材料的缺陷而产生的故障负责与制造商沟通解决。</w:t>
      </w:r>
      <w:r/>
    </w:p>
    <w:p>
      <w:pPr>
        <w:ind w:firstLine="420"/>
        <w:spacing w:line="360" w:lineRule="auto"/>
        <w:rPr>
          <w:rFonts w:ascii="宋体" w:hAnsi="宋体" w:cs="宋体"/>
          <w:szCs w:val="21"/>
        </w:rPr>
      </w:pPr>
      <w:r>
        <w:rPr>
          <w:rFonts w:hint="eastAsia" w:ascii="宋体" w:hAnsi="宋体" w:cs="宋体"/>
          <w:szCs w:val="21"/>
        </w:rPr>
        <w:t xml:space="preserve">（5）中标人承诺本次提供的所有设备满足招标文件要求及自身投标文件承诺，对招标文件中的变更修改内容以本合同的设备配置附件为准。中标人承诺所有的设备满足技术完整性要求。</w:t>
      </w:r>
      <w:r/>
    </w:p>
    <w:p>
      <w:pPr>
        <w:ind w:firstLine="422"/>
        <w:spacing w:line="360" w:lineRule="auto"/>
        <w:rPr>
          <w:rFonts w:ascii="宋体" w:hAnsi="宋体" w:cs="宋体"/>
          <w:b/>
          <w:bCs/>
          <w:szCs w:val="21"/>
        </w:rPr>
      </w:pPr>
      <w:r>
        <w:rPr>
          <w:rFonts w:hint="eastAsia" w:ascii="宋体" w:hAnsi="宋体" w:cs="宋体"/>
          <w:b/>
          <w:bCs/>
          <w:szCs w:val="21"/>
        </w:rPr>
        <w:t xml:space="preserve">六、售后服务</w:t>
      </w:r>
      <w:r/>
    </w:p>
    <w:p>
      <w:pPr>
        <w:ind w:firstLine="420"/>
        <w:spacing w:line="360" w:lineRule="auto"/>
        <w:rPr>
          <w:rFonts w:ascii="宋体" w:hAnsi="宋体" w:cs="宋体"/>
          <w:szCs w:val="21"/>
        </w:rPr>
      </w:pPr>
      <w:r>
        <w:rPr>
          <w:rFonts w:hint="eastAsia" w:ascii="宋体" w:hAnsi="宋体" w:cs="宋体"/>
          <w:szCs w:val="21"/>
        </w:rPr>
        <w:t xml:space="preserve">1、按国家规定实行“三包”（包修、包换、包退）。</w:t>
      </w:r>
      <w:r/>
    </w:p>
    <w:p>
      <w:pPr>
        <w:ind w:firstLine="420"/>
        <w:spacing w:line="360" w:lineRule="auto"/>
        <w:rPr>
          <w:rFonts w:ascii="宋体" w:hAnsi="宋体" w:cs="宋体"/>
          <w:szCs w:val="21"/>
        </w:rPr>
      </w:pPr>
      <w:r>
        <w:rPr>
          <w:rFonts w:hint="eastAsia" w:ascii="宋体" w:hAnsi="宋体" w:cs="宋体"/>
          <w:szCs w:val="21"/>
        </w:rPr>
        <w:t xml:space="preserve">2、中标人对采购人的相关人员进行设备操作、维修等技术方面提供免费培训与指导。由技术人员保障本项目的实施和运行。</w:t>
      </w:r>
      <w:r/>
    </w:p>
    <w:p>
      <w:pPr>
        <w:ind w:firstLine="420"/>
        <w:spacing w:line="360" w:lineRule="auto"/>
        <w:rPr>
          <w:rFonts w:ascii="宋体" w:hAnsi="宋体" w:cs="宋体"/>
          <w:szCs w:val="21"/>
        </w:rPr>
      </w:pPr>
      <w:r>
        <w:rPr>
          <w:rFonts w:hint="eastAsia" w:ascii="宋体" w:hAnsi="宋体" w:cs="宋体"/>
          <w:szCs w:val="21"/>
        </w:rPr>
        <w:t xml:space="preserve">3、中标人应在接到采购人故障报告后在服务承诺时间内作出响应，到达现场并排除故障。如果在服务承诺时间内中标人没有到达现场并且排除故障，则每次除继续维修以外另支付违约金给采购人每次壹仟元，采购人有权在中标人履约保证金中扣除，中标人对此不得提出异议。</w:t>
      </w:r>
      <w:r/>
    </w:p>
    <w:p>
      <w:pPr>
        <w:ind w:firstLine="420"/>
        <w:spacing w:line="360" w:lineRule="auto"/>
        <w:rPr>
          <w:rFonts w:ascii="宋体" w:hAnsi="宋体" w:cs="宋体"/>
          <w:szCs w:val="21"/>
        </w:rPr>
      </w:pPr>
      <w:r>
        <w:rPr>
          <w:rFonts w:hint="eastAsia" w:ascii="宋体" w:hAnsi="宋体" w:cs="宋体"/>
          <w:szCs w:val="21"/>
        </w:rPr>
        <w:t xml:space="preserve">4、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firstLine="420"/>
        <w:spacing w:line="360" w:lineRule="auto"/>
        <w:rPr>
          <w:rFonts w:ascii="宋体" w:hAnsi="宋体" w:cs="宋体"/>
          <w:szCs w:val="21"/>
        </w:rPr>
      </w:pPr>
      <w:r>
        <w:rPr>
          <w:rFonts w:hint="eastAsia" w:ascii="宋体" w:hAnsi="宋体" w:cs="宋体"/>
          <w:szCs w:val="21"/>
        </w:rPr>
        <w:t xml:space="preserve">5、质保期为项目竣工验收交付使用后承诺的时间阶段内。</w:t>
      </w:r>
      <w:r/>
    </w:p>
    <w:p>
      <w:pPr>
        <w:ind w:firstLine="420"/>
        <w:spacing w:line="360" w:lineRule="auto"/>
        <w:rPr>
          <w:rFonts w:ascii="宋体" w:hAnsi="宋体" w:cs="宋体"/>
          <w:szCs w:val="21"/>
        </w:rPr>
      </w:pPr>
      <w:r>
        <w:rPr>
          <w:rFonts w:hint="eastAsia" w:ascii="宋体" w:hAnsi="宋体" w:cs="宋体"/>
          <w:szCs w:val="21"/>
        </w:rPr>
        <w:t xml:space="preserve">6、中标人在每次服务完成后，须向采购人提交相关文档，内容包括起因、响应、过程、结果、今后注意事项等各部分。</w:t>
      </w:r>
      <w:r/>
    </w:p>
    <w:p>
      <w:pPr>
        <w:ind w:firstLine="420"/>
        <w:spacing w:line="360" w:lineRule="auto"/>
        <w:rPr>
          <w:rFonts w:ascii="宋体" w:hAnsi="宋体" w:cs="宋体"/>
          <w:szCs w:val="21"/>
        </w:rPr>
      </w:pPr>
      <w:r>
        <w:rPr>
          <w:rFonts w:hint="eastAsia" w:ascii="宋体" w:hAnsi="宋体" w:cs="宋体"/>
          <w:szCs w:val="21"/>
        </w:rPr>
        <w:t xml:space="preserve">7、在质保期结束前，由中标人工程师、采购人对所供设备进行一次全面检查，任何缺陷必须由投标人负责修理，在修复之后，中标人应将缺陷原因、修理内容、完成修理及恢复正常的时间和日期等报告给采购人。</w:t>
      </w:r>
      <w:r/>
    </w:p>
    <w:p>
      <w:pPr>
        <w:ind w:firstLine="420"/>
        <w:spacing w:line="360" w:lineRule="auto"/>
        <w:rPr>
          <w:rFonts w:ascii="宋体" w:hAnsi="宋体"/>
          <w:szCs w:val="21"/>
        </w:rPr>
      </w:pPr>
      <w:r>
        <w:rPr>
          <w:rFonts w:ascii="宋体" w:hAnsi="宋体"/>
          <w:szCs w:val="21"/>
        </w:rPr>
        <w:t xml:space="preserve">8、中标人需要根据售后服务内容提供详细的售后服务方案，包含不限售后服务机构、售后服务培训方案、质量保证、定期维修策略、应急响应方案、售后服务承诺、保障售后服务的措施等具体内容。</w:t>
      </w:r>
      <w:r/>
    </w:p>
    <w:p>
      <w:pPr>
        <w:ind w:firstLine="422"/>
        <w:spacing w:line="360" w:lineRule="auto"/>
        <w:rPr>
          <w:rFonts w:ascii="宋体" w:hAnsi="宋体" w:cs="宋体"/>
          <w:b/>
          <w:bCs/>
          <w:szCs w:val="21"/>
        </w:rPr>
      </w:pPr>
      <w:r>
        <w:rPr>
          <w:rFonts w:hint="eastAsia" w:ascii="宋体" w:hAnsi="宋体" w:cs="宋体"/>
          <w:b/>
          <w:bCs/>
          <w:szCs w:val="21"/>
        </w:rPr>
        <w:t xml:space="preserve">七、其他要求</w:t>
      </w:r>
      <w:r/>
    </w:p>
    <w:p>
      <w:pPr>
        <w:ind w:firstLine="42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b/>
          <w:szCs w:val="21"/>
        </w:rPr>
        <w:t xml:space="preserve">中标人严格按照合同时间供货、安装、调试竣工验收，验收合格后15日内办理竣工结算。</w:t>
      </w:r>
      <w:r/>
    </w:p>
    <w:p>
      <w:pPr>
        <w:ind w:firstLine="420"/>
        <w:spacing w:before="120" w:after="120" w:line="360" w:lineRule="auto"/>
        <w:rPr>
          <w:rFonts w:ascii="宋体" w:hAnsi="宋体" w:cs="宋体"/>
          <w:i/>
          <w:szCs w:val="21"/>
          <w:u w:val="single"/>
        </w:rPr>
      </w:pPr>
      <w:r>
        <w:rPr>
          <w:rFonts w:hint="eastAsia" w:ascii="宋体" w:hAnsi="宋体" w:cs="宋体"/>
          <w:i/>
          <w:szCs w:val="21"/>
          <w:u w:val="single"/>
        </w:rPr>
        <w:t xml:space="preserve">2、本项目报价总金额包括所有投标人提供的投标产品配置及分项报价表内所包含的设备费、辅材费、吊装费、安装人工费、调试费、开洞及税金等，强、弱电施工长度应根据所提供的现场实际需要配置，以上报价包含为完成本项目所发生的所有费用（如投标人提供的伴随服务/售后服务费用等），招标文件中另有规定的除外。在招标文件中未列明，而投标人认为履行本合同必需的费用也包含在合同总金额中。</w:t>
      </w:r>
      <w:r/>
    </w:p>
    <w:p>
      <w:pPr>
        <w:ind w:firstLine="420"/>
        <w:spacing w:line="360" w:lineRule="auto"/>
        <w:rPr>
          <w:rFonts w:ascii="宋体" w:hAnsi="宋体" w:cs="宋体"/>
          <w:szCs w:val="21"/>
        </w:rPr>
      </w:pPr>
      <w:r>
        <w:rPr>
          <w:rFonts w:hint="eastAsia" w:ascii="宋体" w:hAnsi="宋体" w:cs="宋体"/>
          <w:szCs w:val="21"/>
        </w:rPr>
        <w:t xml:space="preserve">3、中标人在供货前应到交货地点现场察看通行条件，做好同土建装修施工单位的协调配合工作，。安排好供应进度计划。运输车辆在校园内行驶还须服从学校管理规定，按规定行驶路线文明行驶，限制时速，注意车辆在校园内行车安全，不得影响教学和生活秩序，否则中标人承担相应责任和费用。</w:t>
      </w:r>
      <w:r/>
    </w:p>
    <w:p>
      <w:pPr>
        <w:ind w:firstLine="420"/>
        <w:spacing w:line="360" w:lineRule="auto"/>
        <w:rPr>
          <w:rFonts w:ascii="宋体" w:hAnsi="宋体" w:cs="宋体"/>
          <w:bCs/>
          <w:i/>
          <w:iCs/>
          <w:szCs w:val="21"/>
          <w:u w:val="single"/>
        </w:rPr>
      </w:pPr>
      <w:r>
        <w:rPr>
          <w:rFonts w:hint="eastAsia" w:ascii="宋体" w:hAnsi="宋体" w:cs="宋体"/>
          <w:i/>
          <w:szCs w:val="21"/>
          <w:u w:val="single"/>
        </w:rPr>
        <w:t xml:space="preserve">4、</w:t>
      </w:r>
      <w:r>
        <w:rPr>
          <w:rFonts w:hint="eastAsia" w:ascii="宋体" w:hAnsi="宋体" w:cs="宋体"/>
          <w:bCs/>
          <w:i/>
          <w:iCs/>
          <w:szCs w:val="21"/>
          <w:u w:val="single"/>
        </w:rPr>
        <w:t xml:space="preserve">考虑后期采购人服务端进行扩容，所提供服务器类型采购人可进行自行采购，云桌面制造商需提供兼容性承诺及相应服务。</w:t>
      </w:r>
      <w:r>
        <w:rPr>
          <w:rFonts w:hint="eastAsia" w:ascii="宋体" w:hAnsi="宋体" w:cs="宋体"/>
          <w:b/>
          <w:i/>
          <w:iCs/>
          <w:color w:val="ff0000"/>
          <w:szCs w:val="21"/>
          <w:u w:val="single"/>
        </w:rPr>
        <w:t xml:space="preserve">（须提供承诺函原件扫描上传，格式自拟）</w:t>
      </w:r>
      <w:r/>
    </w:p>
    <w:p>
      <w:pPr>
        <w:ind w:firstLine="420"/>
        <w:spacing w:line="360" w:lineRule="auto"/>
        <w:rPr>
          <w:rFonts w:ascii="宋体" w:hAnsi="宋体" w:cs="宋体"/>
          <w:bCs/>
          <w:iCs/>
          <w:szCs w:val="21"/>
        </w:rPr>
      </w:pPr>
      <w:r>
        <w:rPr>
          <w:rFonts w:ascii="宋体" w:hAnsi="宋体" w:cs="宋体"/>
          <w:bCs/>
          <w:iCs/>
          <w:szCs w:val="21"/>
        </w:rPr>
        <w:t xml:space="preserve">5</w:t>
      </w:r>
      <w:r>
        <w:rPr>
          <w:rFonts w:hint="eastAsia" w:ascii="宋体" w:hAnsi="宋体" w:cs="宋体"/>
          <w:bCs/>
          <w:iCs/>
          <w:szCs w:val="21"/>
        </w:rPr>
        <w:t xml:space="preserve">、为确保采购人后期终端扩容，投标人需提供承诺，若中标后三年内，采购人在该项目中需增补设备，投标人供货的设备单价不得高于本项目所投单价。</w:t>
      </w:r>
      <w:r/>
    </w:p>
    <w:p>
      <w:pPr>
        <w:ind w:firstLine="420"/>
        <w:spacing w:line="360" w:lineRule="auto"/>
        <w:rPr>
          <w:rFonts w:ascii="宋体" w:hAnsi="宋体" w:cs="宋体"/>
          <w:bCs/>
          <w:color w:val="ff0000"/>
          <w:szCs w:val="21"/>
        </w:rPr>
      </w:pPr>
      <w:r>
        <w:rPr>
          <w:rFonts w:ascii="宋体" w:hAnsi="宋体" w:cs="宋体"/>
          <w:bCs/>
          <w:szCs w:val="21"/>
        </w:rPr>
        <w:t xml:space="preserve">6</w:t>
      </w:r>
      <w:r>
        <w:rPr>
          <w:rFonts w:hint="eastAsia" w:ascii="宋体" w:hAnsi="宋体" w:cs="宋体"/>
          <w:bCs/>
          <w:szCs w:val="21"/>
        </w:rPr>
        <w:t xml:space="preserve">、质保期：验收合格之日起</w:t>
      </w:r>
      <w:r>
        <w:rPr>
          <w:rFonts w:hint="eastAsia" w:ascii="宋体" w:hAnsi="宋体" w:cs="宋体"/>
          <w:bCs/>
          <w:color w:val="000000" w:themeColor="text1"/>
          <w:szCs w:val="21"/>
          <w14:textFill>
            <w14:solidFill>
              <w14:schemeClr w14:val="tx1"/>
            </w14:solidFill>
          </w14:textFill>
        </w:rPr>
        <w:t xml:space="preserve">不少于</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年。</w:t>
      </w:r>
      <w:r/>
    </w:p>
    <w:p>
      <w:pPr>
        <w:ind w:firstLine="420"/>
        <w:spacing w:line="360" w:lineRule="auto"/>
        <w:rPr>
          <w:rFonts w:ascii="宋体" w:hAnsi="宋体" w:cs="宋体"/>
          <w:bCs/>
          <w:iCs/>
          <w:szCs w:val="21"/>
        </w:rPr>
      </w:pPr>
      <w:r>
        <w:rPr>
          <w:rFonts w:hint="eastAsia" w:ascii="宋体" w:hAnsi="宋体" w:cs="宋体"/>
          <w:bCs/>
          <w:iCs/>
          <w:szCs w:val="21"/>
        </w:rPr>
        <w:t xml:space="preserve">7、依据《教育部办公厅关于加强学校新建校舍室内空气质量管理的通知》：在本项目验收前，对学校实验室室内空气质量进行检测，应符合《民用建筑工程室内环境污染控制标准》（GB50325-2020），费用由中标人承担。</w:t>
      </w:r>
      <w:r/>
    </w:p>
    <w:p>
      <w:pPr>
        <w:ind w:firstLine="420"/>
        <w:spacing w:line="360" w:lineRule="auto"/>
        <w:rPr>
          <w:rFonts w:ascii="宋体" w:hAnsi="宋体" w:cs="宋体"/>
          <w:bCs/>
          <w:iCs/>
          <w:szCs w:val="21"/>
        </w:rPr>
      </w:pPr>
      <w:r>
        <w:rPr>
          <w:rFonts w:hint="eastAsia" w:ascii="宋体" w:hAnsi="宋体" w:cs="宋体"/>
          <w:bCs/>
          <w:iCs/>
          <w:szCs w:val="21"/>
        </w:rPr>
        <w:t xml:space="preserve">8、中标人自中标之日起五个工作日内须提供所投主要产品（胖终端、汇聚交换机、接入交换机）的技术参数详细列表（与投标文件须一致）及相关证明材料并加</w:t>
      </w:r>
      <w:r>
        <w:rPr>
          <w:rFonts w:hint="eastAsia" w:ascii="宋体" w:hAnsi="宋体" w:cs="宋体"/>
          <w:bCs/>
          <w:iCs/>
          <w:color w:val="000000" w:themeColor="text1"/>
          <w:szCs w:val="21"/>
          <w14:textFill>
            <w14:solidFill>
              <w14:schemeClr w14:val="tx1"/>
            </w14:solidFill>
          </w14:textFill>
        </w:rPr>
        <w:t xml:space="preserve">盖投标人</w:t>
      </w:r>
      <w:r>
        <w:rPr>
          <w:rFonts w:hint="eastAsia" w:ascii="宋体" w:hAnsi="宋体" w:cs="宋体"/>
          <w:bCs/>
          <w:iCs/>
          <w:szCs w:val="21"/>
        </w:rPr>
        <w:t xml:space="preserve">公章。</w:t>
      </w:r>
      <w:r/>
    </w:p>
    <w:p>
      <w:pPr>
        <w:ind w:firstLine="422"/>
        <w:jc w:val="left"/>
        <w:spacing w:line="480" w:lineRule="exact"/>
        <w:rPr>
          <w:rFonts w:ascii="宋体" w:hAnsi="宋体" w:cs="宋体"/>
          <w:b/>
          <w:bCs/>
          <w:color w:val="000000" w:themeColor="text1"/>
          <w:szCs w:val="21"/>
          <w14:textFill>
            <w14:solidFill>
              <w14:schemeClr w14:val="tx1"/>
            </w14:solidFill>
          </w14:textFill>
        </w:rPr>
      </w:pPr>
      <w:r>
        <w:rPr>
          <w:rFonts w:hint="eastAsia" w:ascii="Times New Roman" w:hAnsi="Times New Roman"/>
          <w:b/>
          <w:bCs/>
          <w:color w:val="000000" w:themeColor="text1"/>
          <w14:textFill>
            <w14:solidFill>
              <w14:schemeClr w14:val="tx1"/>
            </w14:solidFill>
          </w14:textFill>
        </w:rPr>
        <w:t xml:space="preserve">9、</w:t>
      </w:r>
      <w:bookmarkEnd w:id="50"/>
      <w:r/>
      <w:bookmarkEnd w:id="51"/>
      <w:r/>
      <w:bookmarkEnd w:id="52"/>
      <w:r>
        <w:rPr>
          <w:rFonts w:hint="eastAsia" w:ascii="宋体" w:hAnsi="宋体" w:cs="宋体"/>
          <w:b/>
          <w:bCs/>
          <w:color w:val="000000" w:themeColor="text1"/>
          <w:szCs w:val="21"/>
          <w14:textFill>
            <w14:solidFill>
              <w14:schemeClr w14:val="tx1"/>
            </w14:solidFill>
          </w14:textFill>
        </w:rPr>
        <w:t xml:space="preserve">演示要求</w:t>
      </w:r>
      <w:r/>
    </w:p>
    <w:p>
      <w:pPr>
        <w:ind w:firstLine="422"/>
        <w:jc w:val="left"/>
        <w:spacing w:line="48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投标人需按照招标文件规定的演示内容制作演示视频文件，视频文件的格式为*.mp4或*.avi，投标人须将视频文件分段压缩为*.zip文件上传(单个视频附件压缩包大小不得超过50M，整体附件压缩包不得超过300M，压缩包文件格式为zip格式。)。上传的演示视频将作为投标文件的组成部分，视频时长总计不超过15分钟。</w:t>
      </w:r>
      <w:r/>
    </w:p>
    <w:p>
      <w:pPr>
        <w:ind w:firstLine="422"/>
        <w:jc w:val="left"/>
        <w:spacing w:line="48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（2）投标人采用类似真实系统针对具体演示内容进行展示，并录制演示视频文件，视频画面须清晰。视频文件未提供或因供应商自身原因无法打开的不得分。</w:t>
      </w:r>
      <w:r/>
    </w:p>
    <w:p>
      <w:pPr>
        <w:rPr>
          <w:rFonts w:ascii="宋体" w:hAnsi="宋体"/>
          <w:b/>
          <w:bCs/>
          <w:sz w:val="44"/>
          <w:szCs w:val="36"/>
        </w:rPr>
      </w:pPr>
      <w:r>
        <w:rPr>
          <w:rFonts w:hint="eastAsia" w:ascii="宋体" w:hAnsi="宋体"/>
          <w:b/>
          <w:bCs/>
          <w:sz w:val="44"/>
          <w:szCs w:val="36"/>
        </w:rPr>
        <w:br w:type="page" w:clear="all"/>
      </w:r>
      <w:r/>
    </w:p>
    <w:p>
      <w:pPr>
        <w:pStyle w:val="969"/>
        <w:ind w:firstLine="883"/>
        <w:jc w:val="center"/>
        <w:spacing w:line="360" w:lineRule="auto"/>
        <w:rPr>
          <w:rFonts w:ascii="宋体" w:hAnsi="宋体"/>
          <w:b/>
          <w:bCs/>
          <w:sz w:val="44"/>
          <w:szCs w:val="36"/>
        </w:rPr>
      </w:pPr>
      <w:r>
        <w:rPr>
          <w:rFonts w:hint="eastAsia" w:ascii="宋体" w:hAnsi="宋体"/>
          <w:b/>
          <w:bCs/>
          <w:sz w:val="44"/>
          <w:szCs w:val="36"/>
        </w:rPr>
        <w:t xml:space="preserve">第五章 评标方法及评标标准</w:t>
      </w:r>
      <w:bookmarkEnd w:id="53"/>
      <w:r/>
      <w:r/>
    </w:p>
    <w:p>
      <w:pPr>
        <w:numPr>
          <w:ilvl w:val="0"/>
          <w:numId w:val="13"/>
        </w:numPr>
        <w:ind w:firstLine="422"/>
        <w:spacing w:line="360" w:lineRule="auto"/>
      </w:pPr>
      <w:r>
        <w:rPr>
          <w:rFonts w:hint="eastAsia"/>
          <w:b/>
          <w:bCs/>
        </w:rPr>
        <w:t xml:space="preserve">评标方法</w:t>
      </w:r>
      <w:r/>
    </w:p>
    <w:p>
      <w:pPr>
        <w:pStyle w:val="980"/>
        <w:ind w:firstLine="420"/>
        <w:rPr>
          <w:rFonts w:ascii="Times New Roman" w:hAnsi="Times New Roman"/>
          <w:sz w:val="21"/>
          <w:szCs w:val="21"/>
        </w:rPr>
      </w:pPr>
      <w:r/>
      <w:bookmarkStart w:id="57" w:name="_Toc449017024"/>
      <w:r/>
      <w:bookmarkStart w:id="58" w:name="_Toc449016388"/>
      <w:r>
        <w:rPr>
          <w:rFonts w:hint="eastAsia" w:ascii="Times New Roman" w:hAnsi="Times New Roman"/>
          <w:sz w:val="21"/>
          <w:szCs w:val="21"/>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w:t>
      </w:r>
      <w:r/>
    </w:p>
    <w:p>
      <w:pPr>
        <w:ind w:firstLine="422"/>
        <w:spacing w:line="360" w:lineRule="auto"/>
        <w:rPr>
          <w:rFonts w:ascii="Times New Roman" w:hAnsi="Times New Roman"/>
          <w:szCs w:val="21"/>
        </w:rPr>
      </w:pPr>
      <w:r>
        <w:rPr>
          <w:rFonts w:hint="eastAsia" w:ascii="Times New Roman" w:hAnsi="Times New Roman"/>
          <w:szCs w:val="21"/>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w:t>
      </w:r>
      <w:bookmarkStart w:id="59" w:name="OLE_LINK2"/>
      <w:r>
        <w:rPr>
          <w:rFonts w:hint="eastAsia" w:ascii="Times New Roman" w:hAnsi="Times New Roman"/>
          <w:szCs w:val="21"/>
        </w:rPr>
        <w:t xml:space="preserve">或重新招标</w:t>
      </w:r>
      <w:bookmarkEnd w:id="59"/>
      <w:r>
        <w:rPr>
          <w:rFonts w:hint="eastAsia" w:ascii="Times New Roman" w:hAnsi="Times New Roman"/>
          <w:szCs w:val="21"/>
        </w:rPr>
        <w:t xml:space="preserve">；排名第二的中标候选人因同样的原因不能签订合同的，采购人可以确定排名第三的中标候选人为中标人或重新招标。</w:t>
      </w:r>
      <w:bookmarkEnd w:id="57"/>
      <w:bookmarkEnd w:id="58"/>
      <w:r/>
    </w:p>
    <w:p>
      <w:pPr>
        <w:ind w:firstLine="422"/>
        <w:spacing w:line="360" w:lineRule="auto"/>
        <w:rPr>
          <w:rFonts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pPr>
      <w:r>
        <w:rPr>
          <w:rFonts w:hint="eastAsia"/>
        </w:rPr>
        <w:t xml:space="preserve">1、小微型企业价格扣除</w:t>
      </w:r>
      <w:r/>
    </w:p>
    <w:p>
      <w:pPr>
        <w:ind w:firstLine="420"/>
        <w:spacing w:line="360" w:lineRule="auto"/>
      </w:pPr>
      <w:r>
        <w:rPr>
          <w:rFonts w:hint="eastAsia"/>
        </w:rPr>
        <w:t xml:space="preserve">（1）本项目对小型和微型企业产品给予1</w:t>
      </w:r>
      <w:r>
        <w:t xml:space="preserve">0</w:t>
      </w:r>
      <w:r>
        <w:rPr>
          <w:rFonts w:hint="eastAsia"/>
        </w:rPr>
        <w:t xml:space="preserve">%的扣除价格，用扣除后的价格参与评审。</w:t>
      </w:r>
      <w:r/>
    </w:p>
    <w:p>
      <w:pPr>
        <w:ind w:firstLine="420"/>
        <w:spacing w:line="360" w:lineRule="auto"/>
      </w:pPr>
      <w:r>
        <w:rPr>
          <w:rFonts w:hint="eastAsia"/>
        </w:rPr>
        <w:t xml:space="preserve">（2）供应商需按照采购文件的要求提供相应的《中小企业声明函》。</w:t>
      </w:r>
      <w:r/>
    </w:p>
    <w:p>
      <w:pPr>
        <w:ind w:firstLine="420"/>
        <w:spacing w:line="360" w:lineRule="auto"/>
      </w:pPr>
      <w:r>
        <w:rPr>
          <w:rFonts w:hint="eastAsia"/>
        </w:rPr>
        <w:t xml:space="preserve">（3）企业标准请参照《关于印发中小企业划型标准规定的通知》（工信部联企业[2011]300号）文件规定自行填写。</w:t>
      </w:r>
      <w:r/>
    </w:p>
    <w:p>
      <w:pPr>
        <w:ind w:firstLine="420"/>
        <w:spacing w:line="360" w:lineRule="auto"/>
      </w:pPr>
      <w:r>
        <w:rPr>
          <w:rFonts w:hint="eastAsia"/>
        </w:rPr>
        <w:t xml:space="preserve">2、残疾人福利单位价格扣除</w:t>
      </w:r>
      <w:r/>
    </w:p>
    <w:p>
      <w:pPr>
        <w:ind w:firstLine="420"/>
        <w:spacing w:line="360" w:lineRule="auto"/>
      </w:pPr>
      <w:r>
        <w:rPr>
          <w:rFonts w:hint="eastAsia"/>
        </w:rPr>
        <w:t xml:space="preserve">（1）本项目对残疾人福利性单位视同小型、微型企业，给予1</w:t>
      </w:r>
      <w:r>
        <w:t xml:space="preserve">0</w:t>
      </w:r>
      <w:r>
        <w:rPr>
          <w:rFonts w:hint="eastAsia"/>
        </w:rPr>
        <w:t xml:space="preserve">%的价格扣除，用扣除后的价格参与评审。</w:t>
      </w:r>
      <w:r/>
    </w:p>
    <w:p>
      <w:pPr>
        <w:ind w:firstLine="420"/>
        <w:spacing w:line="360" w:lineRule="auto"/>
      </w:pPr>
      <w:r>
        <w:rPr>
          <w:rFonts w:hint="eastAsia"/>
        </w:rPr>
        <w:t xml:space="preserve">（2）残疾人福利单位需按照采购文件的要求提供《残疾人福利性单位声明函》。</w:t>
      </w:r>
      <w:r/>
    </w:p>
    <w:p>
      <w:pPr>
        <w:ind w:firstLine="420"/>
        <w:spacing w:line="360" w:lineRule="auto"/>
      </w:pPr>
      <w:r>
        <w:rPr>
          <w:rFonts w:hint="eastAsia"/>
        </w:rPr>
        <w:t xml:space="preserve">（3）残疾人福利单位标准请参照《关于促进残疾人就业政府采购政策的通知》（财库〔2017〕141号）。</w:t>
      </w:r>
      <w:r/>
    </w:p>
    <w:p>
      <w:pPr>
        <w:ind w:firstLine="420"/>
        <w:spacing w:line="360" w:lineRule="auto"/>
      </w:pPr>
      <w:r>
        <w:rPr>
          <w:rFonts w:hint="eastAsia"/>
        </w:rPr>
        <w:t xml:space="preserve">3、监狱和戒毒企业价格扣除</w:t>
      </w:r>
      <w:r/>
    </w:p>
    <w:p>
      <w:pPr>
        <w:ind w:firstLine="420"/>
        <w:spacing w:line="360" w:lineRule="auto"/>
      </w:pPr>
      <w:r>
        <w:rPr>
          <w:rFonts w:hint="eastAsia"/>
        </w:rPr>
        <w:t xml:space="preserve">（1）本项目对监狱和戒毒企业（简称监狱企业）视同小型、微型企业，给予1</w:t>
      </w:r>
      <w:r>
        <w:t xml:space="preserve">0</w:t>
      </w:r>
      <w:r>
        <w:rPr>
          <w:rFonts w:hint="eastAsia"/>
        </w:rPr>
        <w:t xml:space="preserve">%的价格扣除，用扣除后的价格参与评审。</w:t>
      </w:r>
      <w:r/>
    </w:p>
    <w:p>
      <w:pPr>
        <w:ind w:firstLine="420"/>
        <w:spacing w:line="360" w:lineRule="auto"/>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ind w:firstLine="420"/>
        <w:spacing w:line="360" w:lineRule="auto"/>
      </w:pPr>
      <w:r>
        <w:rPr>
          <w:rFonts w:hint="eastAsia"/>
        </w:rPr>
        <w:t xml:space="preserve">4、残疾人福利单位、监狱企业属于小型、微型企业的，不重复享受政策。</w:t>
      </w:r>
      <w:r/>
    </w:p>
    <w:p>
      <w:pPr>
        <w:ind w:firstLine="420"/>
        <w:spacing w:line="360" w:lineRule="auto"/>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rPr>
      </w:pPr>
      <w:r>
        <w:rPr>
          <w:rFonts w:hint="eastAsia"/>
        </w:rPr>
        <w:t xml:space="preserve">6、联合体各方均为小型、微型企业（残疾人福利单位、监狱企业）的，联合体享受1</w:t>
      </w:r>
      <w:r>
        <w:t xml:space="preserve">0</w:t>
      </w:r>
      <w:r>
        <w:rPr>
          <w:rFonts w:hint="eastAsia"/>
        </w:rPr>
        <w:t xml:space="preserve">%价格扣除，用扣除后的价格参与评审。</w:t>
      </w:r>
      <w:r/>
    </w:p>
    <w:p>
      <w:pPr>
        <w:ind w:firstLine="420"/>
        <w:jc w:val="left"/>
        <w:spacing w:before="120" w:after="120" w:line="360" w:lineRule="auto"/>
        <w:rPr>
          <w:rFonts w:hint="eastAsia"/>
        </w:rPr>
      </w:pPr>
      <w:r>
        <w:rPr>
          <w:rFonts w:hint="eastAsia"/>
        </w:rPr>
        <w:t xml:space="preserve">7、大中型企业向小型、微型企业分包的，分包意向协议约定小型、微型企业合同份额占到合同总金额30%以上的，给予4%的价格扣除，用扣除后的价格参与评审。</w:t>
      </w:r>
      <w:r/>
    </w:p>
    <w:p>
      <w:pPr>
        <w:ind w:firstLine="420"/>
        <w:jc w:val="left"/>
        <w:spacing w:before="120" w:after="120" w:line="360" w:lineRule="auto"/>
        <w:rPr>
          <w:rFonts w:hint="eastAsia"/>
        </w:rPr>
      </w:pPr>
      <w:r>
        <w:rPr>
          <w:rFonts w:hint="eastAsia"/>
        </w:rPr>
        <w:t xml:space="preserve">8、采购本国产品的支持政策</w:t>
      </w:r>
      <w:r/>
    </w:p>
    <w:p>
      <w:pPr>
        <w:ind w:firstLine="420"/>
        <w:jc w:val="left"/>
        <w:spacing w:before="120" w:after="120" w:line="360" w:lineRule="auto"/>
        <w:rPr>
          <w:rFonts w:hint="eastAsia"/>
        </w:rPr>
      </w:pPr>
      <w:r>
        <w:rPr>
          <w:rFonts w:hint="eastAsia"/>
        </w:rPr>
        <w:t xml:space="preserve">8.1 本项目政府采购活动中既有本国产品又有非本国产品参与竞争的，依法对本国产品给予价格评审优惠，对本国产品的报价给予 20%的价格扣除，用扣除后的价格参与评审。</w:t>
      </w:r>
      <w:r/>
    </w:p>
    <w:p>
      <w:pPr>
        <w:ind w:firstLine="420"/>
        <w:jc w:val="left"/>
        <w:spacing w:before="120" w:after="120" w:line="360" w:lineRule="auto"/>
        <w:rPr>
          <w:rFonts w:hint="eastAsia"/>
        </w:rPr>
      </w:pPr>
      <w:r>
        <w:rPr>
          <w:rFonts w:hint="eastAsi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before="120" w:after="120" w:line="360" w:lineRule="auto"/>
        <w:rPr>
          <w:rFonts w:hint="eastAsia"/>
        </w:rPr>
      </w:pPr>
      <w:r>
        <w:rPr>
          <w:rFonts w:hint="eastAsia"/>
        </w:rPr>
        <w:t xml:space="preserve">8.3 供应商需按照招标文件的要求提供《关于符合本国产品标准的声明函》（以下简称《声明函》），如不提供将不享受本国产品价格评审优惠。</w:t>
      </w:r>
      <w:r/>
    </w:p>
    <w:p>
      <w:pPr>
        <w:ind w:firstLine="420"/>
        <w:jc w:val="left"/>
        <w:spacing w:before="120" w:after="120" w:line="360" w:lineRule="auto"/>
        <w:rPr>
          <w:rFonts w:hint="eastAsia"/>
        </w:rPr>
      </w:pPr>
      <w:r>
        <w:rPr>
          <w:rFonts w:hint="eastAsia"/>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before="120" w:after="120" w:line="360" w:lineRule="auto"/>
        <w:rPr>
          <w:rFonts w:hint="eastAsia"/>
        </w:rPr>
      </w:pPr>
      <w:r>
        <w:rPr>
          <w:rFonts w:hint="eastAsia"/>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before="120" w:after="120" w:line="360" w:lineRule="auto"/>
        <w:rPr>
          <w:rFonts w:ascii="宋体" w:hAnsi="宋体"/>
          <w:b/>
          <w:szCs w:val="21"/>
        </w:rPr>
      </w:pPr>
      <w:r>
        <w:rPr>
          <w:rFonts w:hint="eastAsia" w:ascii="宋体" w:hAnsi="宋体"/>
          <w:b/>
          <w:szCs w:val="21"/>
        </w:rPr>
        <w:t xml:space="preserve">三、评标标准</w:t>
      </w:r>
      <w:r/>
    </w:p>
    <w:tbl>
      <w:tblPr>
        <w:tblStyle w:val="754"/>
        <w:tblW w:w="925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7414"/>
      </w:tblGrid>
      <w:tr>
        <w:trPr>
          <w:trHeight w:val="742"/>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评分标准</w:t>
            </w:r>
            <w:r/>
          </w:p>
        </w:tc>
      </w:tr>
      <w:tr>
        <w:trPr>
          <w:trHeight w:val="726"/>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报价</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spacing w:line="360" w:lineRule="auto"/>
              <w:rPr>
                <w:rFonts w:ascii="宋体" w:hAnsi="宋体" w:cs="宋体"/>
                <w:szCs w:val="21"/>
              </w:rPr>
            </w:pPr>
            <w:r>
              <w:rPr>
                <w:rFonts w:hint="eastAsia" w:ascii="宋体" w:hAnsi="宋体" w:cs="宋体"/>
                <w:color w:val="000000"/>
                <w:szCs w:val="21"/>
              </w:rPr>
              <w:t xml:space="preserve">以满足招标文件要求的最低投标报价为评标基准价，得满分30分，其他投标报价得分=（评标基准价/其他投标报价）×30（保留小数点后两位）。</w:t>
            </w:r>
            <w:r/>
          </w:p>
        </w:tc>
      </w:tr>
      <w:tr>
        <w:trPr>
          <w:trHeight w:val="6107"/>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硬件、软件技术性能及其他</w:t>
            </w:r>
            <w:r/>
          </w:p>
          <w:p>
            <w:pPr>
              <w:jc w:val="center"/>
              <w:spacing w:line="360" w:lineRule="auto"/>
              <w:rPr>
                <w:rFonts w:ascii="宋体" w:hAnsi="宋体" w:cs="宋体"/>
                <w:color w:val="000000"/>
                <w:szCs w:val="21"/>
              </w:rPr>
            </w:pPr>
            <w:r>
              <w:rPr>
                <w:rFonts w:hint="eastAsia" w:ascii="宋体" w:hAnsi="宋体" w:cs="宋体"/>
                <w:color w:val="000000"/>
                <w:szCs w:val="21"/>
              </w:rPr>
              <w:t xml:space="preserve">（45分）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一、标注“▲”的技术参数：根据招标文件中建设内容设备规格及技术参数要求中标注“▲”的内容为重要参数综合评分，全部满足、符合或优于招标文件中建设内容设备规格及技术参数要求的得</w:t>
            </w:r>
            <w:r>
              <w:rPr>
                <w:rFonts w:ascii="宋体" w:hAnsi="宋体" w:cs="宋体"/>
                <w:bCs/>
                <w:szCs w:val="21"/>
              </w:rPr>
              <w:t xml:space="preserve">3</w:t>
            </w:r>
            <w:r>
              <w:rPr>
                <w:rFonts w:hint="eastAsia" w:ascii="宋体" w:hAnsi="宋体" w:cs="宋体"/>
                <w:bCs/>
                <w:szCs w:val="21"/>
              </w:rPr>
              <w:t xml:space="preserve">0分，若有一项负偏离的扣</w:t>
            </w:r>
            <w:r>
              <w:rPr>
                <w:rFonts w:ascii="宋体" w:hAnsi="宋体" w:cs="宋体"/>
                <w:bCs/>
                <w:szCs w:val="21"/>
              </w:rPr>
              <w:t xml:space="preserve">3</w:t>
            </w:r>
            <w:r>
              <w:rPr>
                <w:rFonts w:hint="eastAsia" w:ascii="宋体" w:hAnsi="宋体" w:cs="宋体"/>
                <w:bCs/>
                <w:szCs w:val="21"/>
              </w:rPr>
              <w:t xml:space="preserve">分，扣完为止。</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备注：供应商须在投标文件内对于招标文件第四章建设内容设备规格及技术参数要求中标注 “▲”的参数提供相应技术资料。</w:t>
            </w:r>
            <w:r/>
          </w:p>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二、软件内容功能演示：对设备采购清单及主要技术参数表的6-8的软件部分</w:t>
            </w:r>
            <w:r>
              <w:rPr>
                <w:rFonts w:hint="eastAsia" w:ascii="宋体" w:hAnsi="宋体" w:cs="宋体"/>
                <w:b/>
                <w:szCs w:val="21"/>
              </w:rPr>
              <w:t xml:space="preserve">逐条进行演示，用录屏的形式展示，</w:t>
            </w:r>
            <w:r>
              <w:rPr>
                <w:rFonts w:hint="eastAsia" w:ascii="宋体" w:hAnsi="宋体" w:cs="宋体"/>
                <w:b/>
                <w:color w:val="000000"/>
                <w:szCs w:val="21"/>
              </w:rPr>
              <w:t xml:space="preserve">须在系统中上传演示视频。</w:t>
            </w:r>
            <w:r>
              <w:rPr>
                <w:rFonts w:hint="eastAsia" w:ascii="宋体" w:hAnsi="宋体" w:cs="宋体"/>
                <w:b/>
                <w:szCs w:val="21"/>
              </w:rPr>
              <w:t xml:space="preserve">满分1</w:t>
            </w:r>
            <w:r>
              <w:rPr>
                <w:rFonts w:ascii="宋体" w:hAnsi="宋体" w:cs="宋体"/>
                <w:b/>
                <w:szCs w:val="21"/>
              </w:rPr>
              <w:t xml:space="preserve">5</w:t>
            </w:r>
            <w:r>
              <w:rPr>
                <w:rFonts w:hint="eastAsia" w:ascii="宋体" w:hAnsi="宋体" w:cs="宋体"/>
                <w:b/>
                <w:szCs w:val="21"/>
              </w:rPr>
              <w:t xml:space="preserve">分。</w:t>
            </w:r>
            <w:r>
              <w:rPr>
                <w:rFonts w:hint="eastAsia" w:ascii="宋体" w:hAnsi="宋体" w:cs="宋体"/>
                <w:b/>
                <w:color w:val="000000"/>
                <w:szCs w:val="21"/>
              </w:rPr>
              <w:t xml:space="preserve">视频演示时间控制在15分钟内。</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1、云平台管理软件功能演示（共15项），全部满足招标文件要求得7.5分，每有1项不满足要求扣0.</w:t>
            </w:r>
            <w:r>
              <w:rPr>
                <w:rFonts w:ascii="宋体" w:hAnsi="宋体" w:cs="宋体"/>
                <w:color w:val="000000"/>
                <w:szCs w:val="21"/>
              </w:rPr>
              <w:t xml:space="preserve">5</w:t>
            </w:r>
            <w:r>
              <w:rPr>
                <w:rFonts w:hint="eastAsia" w:ascii="宋体" w:hAnsi="宋体" w:cs="宋体"/>
                <w:color w:val="000000"/>
                <w:szCs w:val="21"/>
              </w:rPr>
              <w:t xml:space="preserve">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2、终端客户端软件功能演示（12项），全部满足招标文件要求得3.6分，每有1项不满足要求扣0.3分；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3、电子教学软件功能演示（13项），全部满足招标文件要求得3.9分，每有1项不满足要求扣0.3分；</w:t>
            </w:r>
            <w:r/>
          </w:p>
        </w:tc>
      </w:tr>
      <w:tr>
        <w:trPr>
          <w:trHeight w:val="841"/>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企业综合实力</w:t>
            </w:r>
            <w:r/>
          </w:p>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1、投标人具有ITSS信息技术服务运行维护标准符合性证书成熟度等级贰级及以上得1分，不提供不得分；</w:t>
            </w:r>
            <w:r>
              <w:rPr>
                <w:rFonts w:hint="eastAsia" w:ascii="宋体" w:hAnsi="宋体" w:cs="宋体"/>
                <w:b/>
                <w:bCs/>
                <w:szCs w:val="21"/>
              </w:rPr>
              <w:t xml:space="preserve">（证书原件扫描上传）</w:t>
            </w:r>
            <w:r/>
          </w:p>
          <w:p>
            <w:pPr>
              <w:spacing w:line="360" w:lineRule="auto"/>
              <w:rPr>
                <w:rFonts w:ascii="宋体" w:hAnsi="宋体" w:cs="宋体"/>
                <w:szCs w:val="21"/>
              </w:rPr>
            </w:pPr>
            <w:r>
              <w:rPr>
                <w:rFonts w:hint="eastAsia" w:ascii="宋体" w:hAnsi="宋体" w:cs="宋体"/>
                <w:szCs w:val="21"/>
              </w:rPr>
              <w:t xml:space="preserve">2、投标人拟定的</w:t>
            </w:r>
            <w:bookmarkStart w:id="60" w:name="OLE_LINK9"/>
            <w:r/>
            <w:bookmarkStart w:id="61" w:name="OLE_LINK10"/>
            <w:r>
              <w:rPr>
                <w:rFonts w:hint="eastAsia" w:ascii="宋体" w:hAnsi="宋体" w:cs="宋体"/>
                <w:szCs w:val="21"/>
              </w:rPr>
              <w:t xml:space="preserve">项目经理具有机电一级建造师证</w:t>
            </w:r>
            <w:bookmarkEnd w:id="60"/>
            <w:r/>
            <w:bookmarkEnd w:id="61"/>
            <w:r>
              <w:rPr>
                <w:rFonts w:hint="eastAsia" w:ascii="宋体" w:hAnsi="宋体" w:cs="宋体"/>
                <w:szCs w:val="21"/>
              </w:rPr>
              <w:t xml:space="preserve">书得1分，具有机电二级建造师证书得0.5分，否则不得分；</w:t>
            </w:r>
            <w:r>
              <w:rPr>
                <w:rFonts w:hint="eastAsia" w:ascii="宋体" w:hAnsi="宋体" w:cs="宋体"/>
                <w:b/>
                <w:bCs/>
                <w:szCs w:val="21"/>
              </w:rPr>
              <w:t xml:space="preserve">（扫描上传证书等相关材料及投标人近三个月任意一个月为其缴纳社保的证明复印件）</w:t>
            </w:r>
            <w:r/>
          </w:p>
          <w:p>
            <w:pPr>
              <w:jc w:val="left"/>
              <w:spacing w:line="360" w:lineRule="auto"/>
              <w:widowControl/>
              <w:rPr>
                <w:rFonts w:ascii="宋体" w:hAnsi="宋体"/>
                <w:szCs w:val="21"/>
              </w:rPr>
            </w:pPr>
            <w:r>
              <w:rPr>
                <w:rFonts w:hint="eastAsia" w:ascii="宋体" w:hAnsi="宋体" w:cs="宋体"/>
                <w:szCs w:val="21"/>
              </w:rPr>
              <w:t xml:space="preserve">3、投标人具有ISO14001环境管理体系认证证书，ISO45001职业健康安全管理体系认证证书，ISO9001质量管理体系认证证书，ISO27001信息安全管理体系认证证书；每提供一个的0.5分，满分2分。</w:t>
            </w:r>
            <w:r>
              <w:rPr>
                <w:rFonts w:hint="eastAsia" w:ascii="宋体" w:hAnsi="宋体" w:cs="宋体"/>
                <w:b/>
                <w:bCs/>
                <w:szCs w:val="21"/>
              </w:rPr>
              <w:t xml:space="preserve">（证书原件扫描上传）</w:t>
            </w:r>
            <w:r/>
          </w:p>
        </w:tc>
      </w:tr>
      <w:tr>
        <w:trPr>
          <w:trHeight w:val="973"/>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t xml:space="preserve">4</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投标人提供2023年1月1日以来类似项目的业绩合同。每提供一个得1分，满分</w:t>
            </w:r>
            <w:r>
              <w:rPr>
                <w:rFonts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b w:val="0"/>
                <w:bCs w:val="0"/>
                <w:color w:val="000000" w:themeColor="text1"/>
                <w:szCs w:val="21"/>
                <w:highlight w:val="none"/>
                <w14:textFill>
                  <w14:solidFill>
                    <w14:schemeClr w14:val="tx1"/>
                  </w14:solidFill>
                </w14:textFill>
              </w:rPr>
              <w:t xml:space="preserve">（以合同签订时间为准，需提供合同和验收报告等（均须原件扫描上传）。）</w:t>
            </w:r>
            <w:r/>
          </w:p>
        </w:tc>
      </w:tr>
      <w:tr>
        <w:trPr>
          <w:trHeight w:val="365"/>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实施方案</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根据各投标人所提供整体项目实施方案，包括功能模块、技术方案具有科学性、先进性、合理性、适合本项目特点,施工方案组织计划设计、保证项目质量措施等，方案细致全面、合理，整体技术实施方案完全响应需求，得5分；实施技术方案较为完整，基本响应需求得3分；方案不完整、响应度低、技术可行性较低得1分；未提供项目实施方案不得分。</w:t>
            </w:r>
            <w:r/>
          </w:p>
          <w:p>
            <w:pPr>
              <w:jc w:val="left"/>
              <w:spacing w:line="360" w:lineRule="auto"/>
              <w:widowControl/>
              <w:rPr>
                <w:rFonts w:ascii="宋体" w:hAnsi="宋体" w:cs="宋体"/>
                <w:color w:val="000000"/>
                <w:szCs w:val="21"/>
              </w:rPr>
            </w:pPr>
            <w:r>
              <w:rPr>
                <w:rFonts w:hint="eastAsia" w:ascii="宋体" w:hAnsi="宋体" w:cs="宋体"/>
                <w:szCs w:val="21"/>
              </w:rPr>
              <w:t xml:space="preserve">2、投标人需要根据本项目建设要求提供施工现场布线图，整体施工现场布线图布置合理，完全符合现场需求，得5分；施工现场布线图较为完整，基本符合需求得3分；施工现场布线图不完整、部分符合需求得1分；未提供施工现场布线图不得分。</w:t>
            </w:r>
            <w:r/>
          </w:p>
        </w:tc>
      </w:tr>
      <w:tr>
        <w:trPr>
          <w:trHeight w:val="4100"/>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售后服务</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售后服务方案：</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1、包括售后服务、应急响应方案、培训体系等。</w:t>
            </w:r>
            <w:r/>
          </w:p>
          <w:p>
            <w:pPr>
              <w:jc w:val="left"/>
              <w:spacing w:line="360" w:lineRule="auto"/>
              <w:rPr>
                <w:rFonts w:ascii="宋体" w:hAnsi="宋体" w:cs="宋体"/>
                <w:color w:val="000000"/>
                <w:szCs w:val="21"/>
              </w:rPr>
            </w:pPr>
            <w:r>
              <w:rPr>
                <w:rFonts w:hint="eastAsia" w:ascii="宋体" w:hAnsi="宋体" w:cs="宋体"/>
                <w:color w:val="000000"/>
                <w:szCs w:val="21"/>
              </w:rPr>
              <w:t xml:space="preserve">售后服务方案细致全面、合理、可行性强得3分；售后服务方案较为完整，基本可行得2分；售后服务方案不完整、可行性较低得1分；未提供项目售后服务方案的不得分。</w:t>
            </w:r>
            <w:r/>
          </w:p>
          <w:p>
            <w:pPr>
              <w:jc w:val="left"/>
              <w:spacing w:line="360" w:lineRule="auto"/>
              <w:rPr>
                <w:rFonts w:ascii="宋体" w:hAnsi="宋体" w:cs="宋体"/>
                <w:color w:val="000000"/>
                <w:szCs w:val="21"/>
              </w:rPr>
            </w:pPr>
            <w:r>
              <w:rPr>
                <w:rFonts w:hint="eastAsia" w:ascii="宋体" w:hAnsi="宋体" w:cs="宋体"/>
                <w:color w:val="000000"/>
                <w:szCs w:val="21"/>
              </w:rPr>
              <w:t xml:space="preserve">2、投标人售后服务响应时间小于等于0.5小时，得1分，售后服务响应时间大于0.5小时，小于等于2小时得0.5分，响应时间超过2小时不得分。</w:t>
            </w:r>
            <w:r>
              <w:rPr>
                <w:rFonts w:hint="eastAsia" w:ascii="宋体" w:hAnsi="宋体" w:cs="宋体"/>
                <w:b/>
                <w:bCs/>
                <w:szCs w:val="21"/>
              </w:rPr>
              <w:t xml:space="preserve">（提供承诺函扫描上传）</w:t>
            </w:r>
            <w:r/>
          </w:p>
          <w:p>
            <w:pPr>
              <w:jc w:val="left"/>
              <w:spacing w:line="360" w:lineRule="auto"/>
              <w:widowControl/>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在现有免费质保期（三年）基础上</w:t>
            </w:r>
            <w:r>
              <w:rPr>
                <w:rFonts w:hint="eastAsia" w:ascii="宋体" w:hAnsi="宋体" w:cs="宋体"/>
                <w:szCs w:val="21"/>
              </w:rPr>
              <w:t xml:space="preserve">，每增加一年质保得</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color w:val="000000"/>
                <w:szCs w:val="21"/>
              </w:rPr>
              <w:t xml:space="preserve">最高得</w:t>
            </w:r>
            <w:r>
              <w:rPr>
                <w:rFonts w:ascii="宋体" w:hAnsi="宋体" w:cs="宋体"/>
                <w:color w:val="000000"/>
                <w:szCs w:val="21"/>
              </w:rPr>
              <w:t xml:space="preserve">2</w:t>
            </w:r>
            <w:r>
              <w:rPr>
                <w:rFonts w:hint="eastAsia" w:ascii="宋体" w:hAnsi="宋体" w:cs="宋体"/>
                <w:color w:val="000000"/>
                <w:szCs w:val="21"/>
              </w:rPr>
              <w:t xml:space="preserve">分，未提供不得分。</w:t>
            </w:r>
            <w:r>
              <w:rPr>
                <w:rFonts w:hint="eastAsia" w:ascii="宋体" w:hAnsi="宋体" w:cs="宋体"/>
                <w:b/>
                <w:bCs/>
                <w:szCs w:val="21"/>
              </w:rPr>
              <w:t xml:space="preserve">（提供承诺函扫描上传）</w:t>
            </w:r>
            <w:r/>
          </w:p>
        </w:tc>
      </w:tr>
      <w:tr>
        <w:trPr>
          <w:trHeight w:val="1134"/>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节能环保（</w:t>
            </w:r>
            <w:r>
              <w:rPr>
                <w:rFonts w:ascii="宋体" w:hAnsi="宋体" w:cs="宋体"/>
                <w:szCs w:val="21"/>
              </w:rPr>
              <w:t xml:space="preserve">1</w:t>
            </w:r>
            <w:r>
              <w:rPr>
                <w:rFonts w:hint="eastAsia" w:ascii="宋体" w:hAnsi="宋体" w:cs="宋体"/>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1、投标产品属于财政部、国家发改委公布的“节能产品品目清单”范围内的，投标人提供国家确定的认证机构出具的、处于有效期之内的该节能产品认证证书复印件的，有1个得0.5分，最多得</w:t>
            </w:r>
            <w:r>
              <w:rPr>
                <w:rFonts w:ascii="宋体" w:hAnsi="宋体" w:cs="宋体"/>
                <w:szCs w:val="21"/>
              </w:rPr>
              <w:t xml:space="preserve">0.5</w:t>
            </w:r>
            <w:r>
              <w:rPr>
                <w:rFonts w:hint="eastAsia" w:ascii="宋体" w:hAnsi="宋体" w:cs="宋体"/>
                <w:szCs w:val="21"/>
              </w:rPr>
              <w:t xml:space="preserve">分。如投标产品均属于政府强制采购节能产品品目清单范围内，本项不得分。</w:t>
            </w:r>
            <w:r/>
          </w:p>
          <w:p>
            <w:pPr>
              <w:jc w:val="left"/>
              <w:spacing w:line="360" w:lineRule="auto"/>
              <w:widowControl/>
              <w:rPr>
                <w:rFonts w:ascii="宋体" w:hAnsi="宋体" w:cs="宋体"/>
                <w:szCs w:val="21"/>
              </w:rPr>
            </w:pPr>
            <w:r>
              <w:rPr>
                <w:rFonts w:hint="eastAsia" w:ascii="宋体" w:hAnsi="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w:t>
            </w:r>
            <w:r>
              <w:rPr>
                <w:rFonts w:ascii="宋体" w:hAnsi="宋体" w:cs="宋体"/>
                <w:szCs w:val="21"/>
              </w:rPr>
              <w:t xml:space="preserve">0.5</w:t>
            </w:r>
            <w:r>
              <w:rPr>
                <w:rFonts w:hint="eastAsia" w:ascii="宋体" w:hAnsi="宋体" w:cs="宋体"/>
                <w:szCs w:val="21"/>
              </w:rPr>
              <w:t xml:space="preserve">分。</w:t>
            </w:r>
            <w:r/>
          </w:p>
        </w:tc>
      </w:tr>
    </w:tbl>
    <w:p>
      <w:pPr>
        <w:contextualSpacing/>
        <w:ind w:firstLine="422"/>
        <w:spacing w:line="360" w:lineRule="auto"/>
        <w:tabs>
          <w:tab w:val="left" w:pos="1134" w:leader="none"/>
        </w:tabs>
        <w:rPr>
          <w:rFonts w:ascii="Times New Roman" w:hAnsi="Times New Roman"/>
          <w:b/>
          <w:color w:val="000000" w:themeColor="text1"/>
          <w:szCs w:val="21"/>
          <w14:textFill>
            <w14:solidFill>
              <w14:schemeClr w14:val="tx1"/>
            </w14:solidFill>
          </w14:textFill>
        </w:rPr>
      </w:pPr>
      <w:r>
        <w:rPr>
          <w:rFonts w:hint="eastAsia" w:ascii="Times New Roman" w:hAnsi="Times New Roman"/>
          <w:b/>
          <w:color w:val="000000" w:themeColor="text1"/>
          <w:szCs w:val="21"/>
          <w14:textFill>
            <w14:solidFill>
              <w14:schemeClr w14:val="tx1"/>
            </w14:solidFill>
          </w14:textFill>
        </w:rPr>
        <w:t xml:space="preserve">四、本次采购执行财政部发布《关于推动解决政府采购异常低价问题的通知》财库〔2026〕2号）的文件要求。</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（一）评审过程中出现下列情形之一的，评标委员会应当启动异常低价投标（响应）审查程序：</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3.投标（响应）报价低于采购项目最高限价45%的，即投标（响应）报价&lt;采购项目最高限价×45%；</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rPr>
          <w:rFonts w:ascii="宋体" w:hAnsi="宋体"/>
        </w:rPr>
      </w:pPr>
      <w:r>
        <w:rPr>
          <w:rFonts w:ascii="宋体" w:hAnsi="宋体"/>
        </w:rPr>
      </w:r>
      <w:r/>
    </w:p>
    <w:p>
      <w:pPr>
        <w:pStyle w:val="786"/>
        <w:rPr>
          <w:rFonts w:ascii="宋体" w:hAnsi="宋体"/>
        </w:rPr>
      </w:pPr>
      <w:r>
        <w:rPr>
          <w:rFonts w:ascii="宋体" w:hAnsi="宋体"/>
        </w:rPr>
      </w:r>
      <w:r/>
    </w:p>
    <w:p>
      <w:pPr>
        <w:pStyle w:val="787"/>
        <w:rPr>
          <w:rFonts w:ascii="宋体" w:hAnsi="宋体"/>
        </w:rPr>
      </w:pPr>
      <w:r>
        <w:rPr>
          <w:rFonts w:ascii="宋体" w:hAnsi="宋体"/>
        </w:rPr>
      </w:r>
      <w:r/>
    </w:p>
    <w:p>
      <w:pPr>
        <w:pStyle w:val="788"/>
        <w:rPr>
          <w:rFonts w:ascii="宋体" w:hAnsi="宋体"/>
        </w:rPr>
      </w:pPr>
      <w:r>
        <w:rPr>
          <w:rFonts w:ascii="宋体" w:hAnsi="宋体"/>
        </w:rPr>
      </w:r>
      <w:r/>
    </w:p>
    <w:p>
      <w:pPr>
        <w:pStyle w:val="789"/>
        <w:rPr>
          <w:rFonts w:ascii="宋体" w:hAnsi="宋体"/>
        </w:rPr>
      </w:pPr>
      <w:r>
        <w:rPr>
          <w:rFonts w:ascii="宋体" w:hAnsi="宋体"/>
        </w:rPr>
      </w:r>
      <w:r/>
    </w:p>
    <w:p>
      <w:pPr>
        <w:pStyle w:val="790"/>
        <w:rPr>
          <w:rFonts w:ascii="宋体" w:hAnsi="宋体"/>
        </w:rPr>
      </w:pPr>
      <w:r>
        <w:rPr>
          <w:rFonts w:ascii="宋体" w:hAnsi="宋体"/>
        </w:rPr>
      </w:r>
      <w:r/>
    </w:p>
    <w:p>
      <w:pPr>
        <w:pStyle w:val="791"/>
        <w:rPr>
          <w:rFonts w:ascii="宋体" w:hAnsi="宋体"/>
        </w:rPr>
      </w:pPr>
      <w:r>
        <w:rPr>
          <w:rFonts w:ascii="宋体" w:hAnsi="宋体"/>
        </w:rPr>
      </w:r>
      <w:r/>
    </w:p>
    <w:p>
      <w:pPr>
        <w:pStyle w:val="792"/>
        <w:rPr>
          <w:rFonts w:ascii="宋体" w:hAnsi="宋体"/>
        </w:rPr>
      </w:pPr>
      <w:r>
        <w:rPr>
          <w:rFonts w:ascii="宋体" w:hAnsi="宋体"/>
        </w:rPr>
      </w:r>
      <w:r/>
    </w:p>
    <w:p>
      <w:pPr>
        <w:pStyle w:val="776"/>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786"/>
      </w:pPr>
      <w:r/>
      <w:r/>
    </w:p>
    <w:p>
      <w:pPr>
        <w:pStyle w:val="787"/>
      </w:pPr>
      <w:r/>
      <w:r/>
    </w:p>
    <w:p>
      <w:pPr>
        <w:pStyle w:val="947"/>
        <w:jc w:val="center"/>
        <w:spacing w:line="360" w:lineRule="auto"/>
        <w:rPr>
          <w:rFonts w:ascii="宋体" w:hAnsi="宋体"/>
        </w:rPr>
      </w:pPr>
      <w:r>
        <w:rPr>
          <w:rFonts w:hint="eastAsia" w:ascii="宋体" w:hAnsi="宋体"/>
        </w:rPr>
        <w:t xml:space="preserve">第六章 投标文件格式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807"/>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807"/>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807"/>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pStyle w:val="969"/>
        <w:ind w:firstLine="643"/>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五、投标产品配置及分项报价表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760"/>
      </w:pPr>
      <w:r/>
      <w:r/>
    </w:p>
    <w:p>
      <w:pPr>
        <w:pStyle w:val="948"/>
        <w:spacing w:line="360" w:lineRule="auto"/>
        <w:rPr>
          <w:rFonts w:ascii="宋体" w:hAnsi="宋体" w:eastAsia="宋体"/>
          <w:b w:val="0"/>
          <w:sz w:val="32"/>
          <w:szCs w:val="32"/>
        </w:rPr>
      </w:pPr>
      <w:r>
        <w:rPr>
          <w:rFonts w:hint="eastAsia" w:ascii="宋体" w:hAnsi="宋体" w:eastAsia="宋体"/>
          <w:sz w:val="32"/>
        </w:rPr>
        <w:t xml:space="preserve">一、资格审查响应对照表</w:t>
      </w:r>
      <w:r/>
    </w:p>
    <w:tbl>
      <w:tblPr>
        <w:tblStyle w:val="754"/>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631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0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58"/>
        </w:trPr>
        <w:tc>
          <w:tcPr>
            <w:gridSpan w:val="3"/>
            <w:tcW w:w="9178"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567"/>
        </w:trPr>
        <w:tc>
          <w:tcPr>
            <w:tcW w:w="660"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上一年度的财务状况报告（成立不满一年无需提供）；</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311"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参加政府采购活动前3年内在经营活动中没有重大违法记录的书面声明。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供应商信用承诺函。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W w:w="6311" w:type="dxa"/>
            <w:vAlign w:val="center"/>
            <w:textDirection w:val="lrTb"/>
            <w:noWrap w:val="false"/>
          </w:tcPr>
          <w:p>
            <w:pPr>
              <w:spacing w:line="360" w:lineRule="auto"/>
              <w:rPr>
                <w:rFonts w:ascii="宋体" w:hAnsi="宋体"/>
                <w:szCs w:val="21"/>
              </w:rPr>
            </w:pPr>
            <w:r>
              <w:rPr>
                <w:rFonts w:hint="eastAsia" w:ascii="宋体" w:hAnsi="宋体"/>
                <w:szCs w:val="21"/>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26"/>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36"/>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rPr>
      </w:r>
      <w:r/>
    </w:p>
    <w:p>
      <w:pPr>
        <w:jc w:val="center"/>
        <w:spacing w:before="156" w:after="156" w:line="360" w:lineRule="auto"/>
        <w:rPr>
          <w:rFonts w:ascii="宋体" w:hAnsi="宋体"/>
          <w:b/>
          <w:bCs/>
          <w:szCs w:val="21"/>
        </w:rPr>
      </w:pPr>
      <w:r>
        <w:rPr>
          <w:rFonts w:hint="eastAsia" w:ascii="宋体" w:hAnsi="宋体"/>
          <w:b/>
          <w:bCs/>
          <w:szCs w:val="21"/>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pStyle w:val="969"/>
        <w:ind w:firstLine="723"/>
        <w:spacing w:line="360" w:lineRule="auto"/>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pStyle w:val="969"/>
        <w:ind w:firstLine="723"/>
        <w:jc w:val="right"/>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sz w:val="28"/>
          <w:szCs w:val="28"/>
        </w:rPr>
      </w:pPr>
      <w:r>
        <w:rPr>
          <w:rFonts w:hint="eastAsia" w:ascii="宋体" w:hAnsi="宋体"/>
          <w:b/>
          <w:bCs/>
          <w:sz w:val="28"/>
          <w:szCs w:val="28"/>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方正仿宋_GBK"/>
          <w:szCs w:val="32"/>
        </w:rPr>
      </w:pPr>
      <w:r>
        <w:rPr>
          <w:rFonts w:hint="eastAsia" w:ascii="宋体" w:hAnsi="宋体"/>
          <w:b/>
          <w:bCs/>
        </w:rPr>
        <w:br w:type="page" w:clear="all"/>
      </w:r>
      <w:r>
        <w:rPr>
          <w:rFonts w:hint="eastAsia" w:ascii="宋体" w:hAnsi="宋体"/>
          <w:b/>
          <w:szCs w:val="21"/>
        </w:rPr>
        <w:t xml:space="preserve">供应商信用承诺函</w:t>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ind w:firstLine="420"/>
        <w:spacing w:line="360" w:lineRule="auto"/>
        <w:rPr>
          <w:rFonts w:ascii="宋体" w:hAnsi="宋体"/>
          <w:szCs w:val="21"/>
        </w:rPr>
      </w:pPr>
      <w:r>
        <w:rPr>
          <w:rFonts w:hint="eastAsia" w:ascii="宋体" w:hAnsi="宋体"/>
          <w:szCs w:val="21"/>
        </w:rPr>
        <w:t xml:space="preserve">承诺单位（签章）：            法定代表人（负责人）：</w:t>
      </w:r>
      <w:r/>
    </w:p>
    <w:p>
      <w:pPr>
        <w:jc w:val="center"/>
        <w:spacing w:line="360" w:lineRule="auto"/>
        <w:rPr>
          <w:rFonts w:ascii="宋体" w:hAnsi="宋体"/>
          <w:b/>
          <w:bCs/>
        </w:rPr>
      </w:pPr>
      <w:r>
        <w:rPr>
          <w:rFonts w:hint="eastAsia" w:ascii="宋体" w:hAnsi="宋体"/>
          <w:szCs w:val="21"/>
        </w:rPr>
        <w:t xml:space="preserve">　　　　　　　　　      　年    月    日</w:t>
      </w:r>
      <w:r/>
    </w:p>
    <w:p>
      <w:pPr>
        <w:spacing w:line="360" w:lineRule="auto"/>
        <w:rPr>
          <w:rFonts w:ascii="宋体" w:hAnsi="宋体"/>
          <w:b/>
          <w:bCs/>
          <w:sz w:val="28"/>
          <w:szCs w:val="28"/>
        </w:rPr>
      </w:pPr>
      <w:r>
        <w:rPr>
          <w:rFonts w:hint="eastAsia" w:ascii="宋体" w:hAnsi="宋体"/>
          <w:b/>
          <w:bCs/>
          <w:sz w:val="28"/>
          <w:szCs w:val="28"/>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投标函格式</w:t>
      </w:r>
      <w:r/>
    </w:p>
    <w:p>
      <w:pPr>
        <w:pStyle w:val="98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江苏嘉加诚工程投资咨询有限公司</w:t>
      </w:r>
      <w:r/>
    </w:p>
    <w:p>
      <w:pPr>
        <w:pStyle w:val="980"/>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80"/>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8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8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8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8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8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8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8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80"/>
        <w:ind w:firstLine="478"/>
        <w:spacing w:before="0" w:after="0"/>
        <w:rPr>
          <w:rFonts w:ascii="宋体" w:hAnsi="宋体"/>
          <w:sz w:val="21"/>
          <w:szCs w:val="21"/>
        </w:rPr>
      </w:pPr>
      <w:r>
        <w:rPr>
          <w:rFonts w:hint="eastAsia" w:ascii="宋体" w:hAnsi="宋体"/>
          <w:sz w:val="21"/>
          <w:szCs w:val="21"/>
        </w:rPr>
        <w:t xml:space="preserve">地 址：</w:t>
      </w:r>
      <w:r/>
    </w:p>
    <w:p>
      <w:pPr>
        <w:pStyle w:val="980"/>
        <w:ind w:firstLine="478"/>
        <w:spacing w:before="0" w:after="0"/>
        <w:rPr>
          <w:rFonts w:ascii="宋体" w:hAnsi="宋体"/>
          <w:sz w:val="21"/>
          <w:szCs w:val="21"/>
        </w:rPr>
      </w:pPr>
      <w:r>
        <w:rPr>
          <w:rFonts w:hint="eastAsia" w:ascii="宋体" w:hAnsi="宋体"/>
          <w:sz w:val="21"/>
          <w:szCs w:val="21"/>
        </w:rPr>
        <w:t xml:space="preserve">邮 编：</w:t>
      </w:r>
      <w:r/>
    </w:p>
    <w:p>
      <w:pPr>
        <w:pStyle w:val="980"/>
        <w:ind w:firstLine="478"/>
        <w:spacing w:before="0" w:after="0"/>
        <w:rPr>
          <w:rFonts w:ascii="宋体" w:hAnsi="宋体"/>
          <w:sz w:val="21"/>
          <w:szCs w:val="21"/>
        </w:rPr>
      </w:pPr>
      <w:r>
        <w:rPr>
          <w:rFonts w:hint="eastAsia" w:ascii="宋体" w:hAnsi="宋体"/>
          <w:sz w:val="21"/>
          <w:szCs w:val="21"/>
        </w:rPr>
        <w:t xml:space="preserve">电 话： </w:t>
      </w:r>
      <w:r/>
    </w:p>
    <w:p>
      <w:pPr>
        <w:pStyle w:val="980"/>
        <w:ind w:firstLine="478"/>
        <w:spacing w:before="0" w:after="0"/>
        <w:rPr>
          <w:rFonts w:ascii="宋体" w:hAnsi="宋体"/>
          <w:sz w:val="21"/>
          <w:szCs w:val="21"/>
        </w:rPr>
      </w:pPr>
      <w:r>
        <w:rPr>
          <w:rFonts w:hint="eastAsia" w:ascii="宋体" w:hAnsi="宋体"/>
          <w:sz w:val="21"/>
          <w:szCs w:val="21"/>
        </w:rPr>
        <w:t xml:space="preserve">传 真： </w:t>
      </w:r>
      <w:r/>
    </w:p>
    <w:p>
      <w:pPr>
        <w:pStyle w:val="980"/>
        <w:ind w:firstLine="478"/>
        <w:spacing w:before="0" w:after="0"/>
        <w:rPr>
          <w:rFonts w:ascii="宋体" w:hAnsi="宋体"/>
          <w:sz w:val="21"/>
          <w:szCs w:val="21"/>
        </w:rPr>
      </w:pPr>
      <w:r>
        <w:rPr>
          <w:rFonts w:hint="eastAsia" w:ascii="宋体" w:hAnsi="宋体"/>
          <w:sz w:val="21"/>
          <w:szCs w:val="21"/>
        </w:rPr>
        <w:t xml:space="preserve">投标人开户行：</w:t>
      </w:r>
      <w:r/>
    </w:p>
    <w:p>
      <w:pPr>
        <w:pStyle w:val="980"/>
        <w:ind w:firstLine="478"/>
        <w:spacing w:before="0" w:after="0"/>
        <w:rPr>
          <w:rFonts w:ascii="宋体" w:hAnsi="宋体"/>
          <w:sz w:val="21"/>
          <w:szCs w:val="21"/>
        </w:rPr>
      </w:pPr>
      <w:r>
        <w:rPr>
          <w:rFonts w:hint="eastAsia" w:ascii="宋体" w:hAnsi="宋体"/>
          <w:sz w:val="21"/>
          <w:szCs w:val="21"/>
        </w:rPr>
        <w:t xml:space="preserve">账 户： </w:t>
      </w:r>
      <w:r/>
    </w:p>
    <w:p>
      <w:pPr>
        <w:pStyle w:val="980"/>
        <w:ind w:firstLine="478"/>
        <w:spacing w:before="0" w:after="0"/>
        <w:rPr>
          <w:rFonts w:ascii="宋体" w:hAnsi="宋体"/>
          <w:sz w:val="21"/>
          <w:szCs w:val="21"/>
        </w:rPr>
      </w:pPr>
      <w:r>
        <w:rPr>
          <w:rFonts w:hint="eastAsia" w:ascii="宋体" w:hAnsi="宋体"/>
          <w:sz w:val="21"/>
          <w:szCs w:val="21"/>
        </w:rPr>
        <w:t xml:space="preserve">行 号：</w:t>
      </w:r>
      <w:r/>
    </w:p>
    <w:p>
      <w:pPr>
        <w:pStyle w:val="980"/>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28"/>
          <w:szCs w:val="28"/>
        </w:rPr>
      </w:pPr>
      <w:r>
        <w:rPr>
          <w:rFonts w:hint="eastAsia" w:ascii="宋体" w:hAnsi="宋体"/>
          <w:b/>
          <w:sz w:val="32"/>
          <w:szCs w:val="32"/>
        </w:rPr>
        <w:br w:type="page" w:clear="all"/>
      </w:r>
      <w:r>
        <w:rPr>
          <w:rFonts w:hint="eastAsia" w:ascii="宋体" w:hAnsi="宋体"/>
          <w:b/>
          <w:sz w:val="28"/>
          <w:szCs w:val="28"/>
        </w:rPr>
        <w:t xml:space="preserve">法人授权书</w:t>
      </w:r>
      <w:r/>
    </w:p>
    <w:p>
      <w:pPr>
        <w:pStyle w:val="98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8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81"/>
        <w:ind w:firstLine="0"/>
        <w:spacing w:line="360" w:lineRule="auto"/>
        <w:rPr>
          <w:rFonts w:ascii="宋体" w:hAnsi="宋体"/>
          <w:sz w:val="21"/>
          <w:szCs w:val="21"/>
        </w:rPr>
      </w:pPr>
      <w:r>
        <w:rPr>
          <w:rFonts w:ascii="宋体" w:hAnsi="宋体"/>
          <w:sz w:val="21"/>
          <w:szCs w:val="21"/>
        </w:rPr>
        <w:t xml:space="preserve">    </w:t>
      </w:r>
      <w:r/>
    </w:p>
    <w:p>
      <w:pPr>
        <w:pStyle w:val="981"/>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981"/>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81"/>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81"/>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81"/>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rPr>
        <w:t xml:space="preserve">被授权人身份证复印件</w:t>
      </w:r>
      <w:r/>
    </w:p>
    <w:p>
      <w:pPr>
        <w:pStyle w:val="948"/>
        <w:spacing w:line="360" w:lineRule="auto"/>
        <w:rPr>
          <w:rFonts w:ascii="宋体" w:hAnsi="宋体" w:eastAsia="宋体"/>
          <w:sz w:val="28"/>
          <w:szCs w:val="28"/>
        </w:rPr>
      </w:pPr>
      <w:r>
        <w:rPr>
          <w:rFonts w:hint="eastAsia" w:ascii="宋体" w:hAnsi="宋体" w:eastAsia="宋体"/>
          <w:sz w:val="28"/>
          <w:szCs w:val="28"/>
        </w:rPr>
        <w:t xml:space="preserve">二、符合性审查响应对照表</w:t>
      </w:r>
      <w:r/>
    </w:p>
    <w:tbl>
      <w:tblPr>
        <w:tblStyle w:val="754"/>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8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6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1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4889"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val="false"/>
          </w:tcPr>
          <w:p>
            <w:pPr>
              <w:spacing w:line="360" w:lineRule="auto"/>
              <w:rPr>
                <w:rFonts w:ascii="宋体" w:hAnsi="宋体"/>
                <w:b/>
                <w:szCs w:val="21"/>
              </w:rPr>
            </w:pPr>
            <w:r>
              <w:rPr>
                <w:rFonts w:ascii="宋体" w:hAnsi="宋体"/>
                <w:b/>
                <w:szCs w:val="21"/>
              </w:rPr>
            </w:r>
            <w:r/>
          </w:p>
        </w:tc>
        <w:tc>
          <w:tcPr>
            <w:tcW w:w="1189" w:type="dxa"/>
            <w:vAlign w:val="center"/>
            <w:textDirection w:val="lrTb"/>
            <w:noWrap w:val="false"/>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948"/>
        <w:spacing w:line="360" w:lineRule="auto"/>
        <w:rPr>
          <w:rFonts w:ascii="宋体" w:hAnsi="宋体" w:eastAsia="宋体"/>
          <w:sz w:val="28"/>
          <w:szCs w:val="28"/>
        </w:rPr>
      </w:pPr>
      <w:r>
        <w:rPr>
          <w:rFonts w:hint="eastAsia" w:ascii="宋体" w:hAnsi="宋体" w:eastAsia="宋体"/>
          <w:sz w:val="28"/>
          <w:szCs w:val="28"/>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754"/>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485"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80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45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485"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800" w:type="dxa"/>
            <w:vAlign w:val="center"/>
            <w:textDirection w:val="lrTb"/>
            <w:noWrap w:val="false"/>
          </w:tcPr>
          <w:p>
            <w:pPr>
              <w:spacing w:line="360" w:lineRule="auto"/>
              <w:rPr>
                <w:rFonts w:ascii="宋体" w:hAnsi="宋体"/>
                <w:b/>
                <w:szCs w:val="21"/>
              </w:rPr>
            </w:pPr>
            <w:r>
              <w:rPr>
                <w:rFonts w:ascii="宋体" w:hAnsi="宋体"/>
                <w:b/>
                <w:szCs w:val="21"/>
              </w:rPr>
            </w:r>
            <w:r/>
          </w:p>
        </w:tc>
        <w:tc>
          <w:tcPr>
            <w:tcW w:w="1454" w:type="dxa"/>
            <w:vAlign w:val="center"/>
            <w:textDirection w:val="lrTb"/>
            <w:noWrap w:val="false"/>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56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中小企业声明函（货物类项目）</w:t>
      </w:r>
      <w:r/>
    </w:p>
    <w:p>
      <w:pPr>
        <w:ind w:firstLine="48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14:textFill>
            <w14:solidFill>
              <w14:schemeClr w14:val="tx1"/>
            </w14:solidFill>
          </w14:textFill>
        </w:rPr>
        <w:t xml:space="preserve">        （单位名称）</w:t>
      </w:r>
      <w:r>
        <w:rPr>
          <w:rFonts w:hint="eastAsia" w:ascii="宋体" w:hAnsi="宋体" w:cs="宋体"/>
          <w:color w:val="000000" w:themeColor="text1"/>
          <w:szCs w:val="21"/>
          <w14:textFill>
            <w14:solidFill>
              <w14:schemeClr w14:val="tx1"/>
            </w14:solidFill>
          </w14:textFill>
        </w:rPr>
        <w:t xml:space="preserve">组织的</w:t>
      </w:r>
      <w:r>
        <w:rPr>
          <w:rFonts w:hint="eastAsia" w:ascii="宋体" w:hAnsi="宋体" w:cs="宋体"/>
          <w:color w:val="000000" w:themeColor="text1"/>
          <w:szCs w:val="21"/>
          <w:u w:val="single"/>
          <w14:textFill>
            <w14:solidFill>
              <w14:schemeClr w14:val="tx1"/>
            </w14:solidFill>
          </w14:textFill>
        </w:rPr>
        <w:t xml:space="preserve">（项目名称），（项目编号）</w:t>
      </w:r>
      <w:r>
        <w:rPr>
          <w:rFonts w:hint="eastAsia" w:ascii="宋体" w:hAnsi="宋体" w:cs="宋体"/>
          <w:color w:val="000000" w:themeColor="text1"/>
          <w:szCs w:val="21"/>
          <w14:textFill>
            <w14:solidFill>
              <w14:schemeClr w14:val="tx1"/>
            </w14:solidFill>
          </w14:textFill>
        </w:rPr>
        <w:t xml:space="preserve">的采购活动，提供的货物全部由符合政策要求的中小企业制造。相关企业（含联合体中的中小企业、签订分包意向协议的中小企业）的具体情况如下：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1.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行业；制造商为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万元，属于（</w:t>
      </w:r>
      <w:r>
        <w:rPr>
          <w:rFonts w:hint="eastAsia" w:ascii="宋体" w:hAnsi="宋体" w:cs="宋体"/>
          <w:color w:val="000000" w:themeColor="text1"/>
          <w:szCs w:val="21"/>
          <w:u w:val="single"/>
          <w14:textFill>
            <w14:solidFill>
              <w14:schemeClr w14:val="tx1"/>
            </w14:solidFill>
          </w14:textFill>
        </w:rPr>
        <w:t xml:space="preserve">□中型企业、□小型企业、□微型企业</w:t>
      </w:r>
      <w:r>
        <w:rPr>
          <w:rFonts w:hint="eastAsia" w:ascii="宋体" w:hAnsi="宋体" w:cs="宋体"/>
          <w:color w:val="000000" w:themeColor="text1"/>
          <w:szCs w:val="21"/>
          <w14:textFill>
            <w14:solidFill>
              <w14:schemeClr w14:val="tx1"/>
            </w14:solidFill>
          </w14:textFill>
        </w:rPr>
        <w:t xml:space="preserve">）； </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行业；制造商为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万元，属于（</w:t>
      </w:r>
      <w:r>
        <w:rPr>
          <w:rFonts w:hint="eastAsia" w:ascii="宋体" w:hAnsi="宋体" w:cs="宋体"/>
          <w:color w:val="000000" w:themeColor="text1"/>
          <w:szCs w:val="21"/>
          <w:u w:val="single"/>
          <w14:textFill>
            <w14:solidFill>
              <w14:schemeClr w14:val="tx1"/>
            </w14:solidFill>
          </w14:textFill>
        </w:rPr>
        <w:t xml:space="preserve">□中型企业、□小型企业、□微型企业</w:t>
      </w:r>
      <w:r>
        <w:rPr>
          <w:rFonts w:hint="eastAsia" w:ascii="宋体" w:hAnsi="宋体" w:cs="宋体"/>
          <w:color w:val="000000" w:themeColor="text1"/>
          <w:szCs w:val="21"/>
          <w14:textFill>
            <w14:solidFill>
              <w14:schemeClr w14:val="tx1"/>
            </w14:solidFill>
          </w14:textFill>
        </w:rPr>
        <w:t xml:space="preserve">）；</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 </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本企业对上述声明内容的真实性负责。如有虚假，将依法承担相应责任。 </w:t>
      </w:r>
      <w:r/>
    </w:p>
    <w:p>
      <w:pPr>
        <w:ind w:firstLine="408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0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企业名称（加盖CA电子公章）：</w:t>
      </w:r>
      <w:r/>
    </w:p>
    <w:p>
      <w:pPr>
        <w:ind w:firstLine="480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ind w:firstLine="48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2.专门面向中小企业采购的项目，供应商如不提供此声明函，则不能通过资格审查；非专门面向中小企业采购的项目，供应商如不提供此声明函，价格将不做相应扣除。</w:t>
      </w:r>
      <w:r/>
    </w:p>
    <w:p>
      <w:pPr>
        <w:ind w:firstLine="480"/>
        <w:jc w:val="lef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3.供应商应对照《工业和信息化部、国家统计局、国家发展和改革委员会、</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786"/>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787"/>
      </w:pPr>
      <w:r/>
      <w:r/>
    </w:p>
    <w:p>
      <w:pPr>
        <w:jc w:val="left"/>
        <w:spacing w:before="300" w:after="452"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中小微企业划型标准如下：</w:t>
      </w:r>
      <w:r/>
    </w:p>
    <w:tbl>
      <w:tblPr>
        <w:tblStyle w:val="754"/>
        <w:tblW w:w="980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626"/>
        <w:gridCol w:w="1838"/>
        <w:gridCol w:w="822"/>
        <w:gridCol w:w="2012"/>
        <w:gridCol w:w="1829"/>
        <w:gridCol w:w="1680"/>
      </w:tblGrid>
      <w:tr>
        <w:trPr>
          <w:tblCellSpacing w:w="15" w:type="dxa"/>
          <w:trHeight w:val="285"/>
        </w:trPr>
        <w:tc>
          <w:tcPr>
            <w:tcMar>
              <w:left w:w="105" w:type="dxa"/>
              <w:top w:w="0" w:type="dxa"/>
              <w:right w:w="105" w:type="dxa"/>
              <w:bottom w:w="0" w:type="dxa"/>
            </w:tcMar>
            <w:tcW w:w="1581"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行业名称</w:t>
            </w:r>
            <w:r/>
          </w:p>
        </w:tc>
        <w:tc>
          <w:tcPr>
            <w:tcMar>
              <w:left w:w="105" w:type="dxa"/>
              <w:top w:w="0" w:type="dxa"/>
              <w:right w:w="105" w:type="dxa"/>
              <w:bottom w:w="0" w:type="dxa"/>
            </w:tcMar>
            <w:tcW w:w="1808"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指标名称</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计量单位</w:t>
            </w:r>
            <w:r/>
          </w:p>
        </w:tc>
        <w:tc>
          <w:tcPr>
            <w:tcMar>
              <w:left w:w="105" w:type="dxa"/>
              <w:top w:w="0" w:type="dxa"/>
              <w:right w:w="105" w:type="dxa"/>
              <w:bottom w:w="0" w:type="dxa"/>
            </w:tcMar>
            <w:tcW w:w="1982"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中型</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小型</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农、林、牧、渔</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50≤Y＜500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工业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建筑业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6000≤Y＜80000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300≤Y＜6000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Y＜300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5000≤Z＜80000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300≤Z＜5000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批发业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5≤X＜20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X＜5</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5000≤Y＜40000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零售业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10≤X＜50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交通运输业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200≤Y＜3000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仓储业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邮政业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住宿业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餐饮业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信息传输业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100≤X＜2000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1000≤Y＜100000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ind w:firstLine="420"/>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软件和信息技术服务业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房地产开发经营</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1000≤Y＜200000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5000≤Z＜10000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物业管理</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1000≤Y＜5000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租赁和商务服务业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8000≤Z＜120000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100≤Z＜8000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其他未列明行业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bl>
    <w:p>
      <w:pPr>
        <w:ind w:firstLine="810"/>
        <w:jc w:val="left"/>
        <w:spacing w:before="300" w:after="452" w:line="360" w:lineRule="auto"/>
        <w:widowControl/>
        <w:rPr>
          <w:rFonts w:ascii="宋体" w:hAnsi="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w:t>
      </w:r>
      <w:r>
        <w:rPr>
          <w:rFonts w:hint="eastAsia" w:ascii="宋体" w:hAnsi="宋体" w:eastAsia="等线" w:cs="仿宋"/>
          <w:b/>
          <w:color w:val="000000" w:themeColor="text1"/>
          <w:szCs w:val="21"/>
          <w14:textFill>
            <w14:solidFill>
              <w14:schemeClr w14:val="tx1"/>
            </w14:solidFill>
          </w14:textFill>
        </w:rPr>
        <w:t xml:space="preserve">即可。</w:t>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 </w:t>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786"/>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787"/>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786"/>
      </w:pPr>
      <w:r/>
      <w:r/>
    </w:p>
    <w:p>
      <w:pPr>
        <w:jc w:val="center"/>
        <w:spacing w:line="400" w:lineRule="exac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 残疾人福利性单位声明函（货物类项目）</w:t>
      </w:r>
      <w:r/>
    </w:p>
    <w:p>
      <w:pPr>
        <w:ind w:firstLine="48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themeColor="text1"/>
          <w:szCs w:val="21"/>
          <w:u w:val="single"/>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本单位对上述声明的真实性负责。如有虚假，将依法承担相应责任。</w:t>
      </w:r>
      <w:r/>
    </w:p>
    <w:p>
      <w:pPr>
        <w:ind w:firstLine="48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专门面向中小企业采购的</w:t>
      </w:r>
      <w:r>
        <w:rPr>
          <w:rFonts w:ascii="宋体" w:hAnsi="宋体"/>
          <w:color w:val="000000" w:themeColor="text1"/>
          <w:szCs w:val="21"/>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Cs w:val="21"/>
          <w14:textFill>
            <w14:solidFill>
              <w14:schemeClr w14:val="tx1"/>
            </w14:solidFill>
          </w14:textFill>
        </w:rPr>
        <w:t xml:space="preserve">声明函</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否则将</w:t>
      </w:r>
      <w:r>
        <w:rPr>
          <w:rFonts w:hint="eastAsia" w:ascii="宋体" w:hAnsi="宋体"/>
          <w:color w:val="000000" w:themeColor="text1"/>
          <w:szCs w:val="21"/>
          <w14:textFill>
            <w14:solidFill>
              <w14:schemeClr w14:val="tx1"/>
            </w14:solidFill>
          </w14:textFill>
        </w:rPr>
        <w:t xml:space="preserve">不能</w:t>
      </w:r>
      <w:r>
        <w:rPr>
          <w:rFonts w:ascii="宋体" w:hAnsi="宋体"/>
          <w:color w:val="000000" w:themeColor="text1"/>
          <w:szCs w:val="21"/>
          <w14:textFill>
            <w14:solidFill>
              <w14:schemeClr w14:val="tx1"/>
            </w14:solidFill>
          </w14:textFill>
        </w:rPr>
        <w:t xml:space="preserve">通过资格审查</w:t>
      </w:r>
      <w:r>
        <w:rPr>
          <w:rFonts w:hint="eastAsia" w:ascii="宋体" w:hAnsi="宋体"/>
          <w:color w:val="000000" w:themeColor="text1"/>
          <w:szCs w:val="21"/>
          <w14:textFill>
            <w14:solidFill>
              <w14:schemeClr w14:val="tx1"/>
            </w14:solidFill>
          </w14:textFill>
        </w:rPr>
        <w:t xml:space="preserve">。</w:t>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 非专门面向中小企业采购的</w:t>
      </w:r>
      <w:r>
        <w:rPr>
          <w:rFonts w:ascii="宋体" w:hAnsi="宋体"/>
          <w:color w:val="000000" w:themeColor="text1"/>
          <w:szCs w:val="21"/>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，供应商如不提供此声明函，价格将不做相应扣除。</w:t>
      </w:r>
      <w:r/>
    </w:p>
    <w:p>
      <w:pPr>
        <w:ind w:firstLine="48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Cs w:val="21"/>
          <w14:textFill>
            <w14:solidFill>
              <w14:schemeClr w14:val="tx1"/>
            </w14:solidFill>
          </w14:textFill>
        </w:rPr>
      </w:pPr>
      <w:r>
        <w:rPr>
          <w:rFonts w:ascii="仿宋_GB2312" w:eastAsia="仿宋_GB2312"/>
          <w:color w:val="000000" w:themeColor="text1"/>
          <w:spacing w:val="6"/>
          <w:szCs w:val="21"/>
          <w14:textFill>
            <w14:solidFill>
              <w14:schemeClr w14:val="tx1"/>
            </w14:solidFill>
          </w14:textFill>
        </w:rPr>
      </w:r>
      <w:r/>
    </w:p>
    <w:p>
      <w:pPr>
        <w:ind w:right="1559" w:firstLine="624"/>
        <w:jc w:val="center"/>
        <w:spacing w:line="400" w:lineRule="exact"/>
        <w:tabs>
          <w:tab w:val="left" w:pos="4860" w:leader="none"/>
        </w:tabs>
        <w:rPr>
          <w:rFonts w:ascii="宋体" w:hAnsi="宋体"/>
          <w:color w:val="000000" w:themeColor="text1"/>
          <w:szCs w:val="21"/>
          <w14:textFill>
            <w14:solidFill>
              <w14:schemeClr w14:val="tx1"/>
            </w14:solidFill>
          </w14:textFill>
        </w:rPr>
      </w:pPr>
      <w:r>
        <w:rPr>
          <w:rFonts w:hint="eastAsia" w:ascii="仿宋_GB2312" w:eastAsia="仿宋_GB2312"/>
          <w:color w:val="000000" w:themeColor="text1"/>
          <w:spacing w:val="6"/>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778"/>
        <w:jc w:val="center"/>
        <w:spacing w:before="15" w:beforeAutospacing="0" w:after="15" w:afterAutospacing="0"/>
        <w:shd w:val="clear" w:color="auto" w:fill="ffffff"/>
        <w:widowControl/>
        <w:rPr>
          <w:color w:val="000000" w:themeColor="text1"/>
          <w:sz w:val="21"/>
          <w:szCs w:val="21"/>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 xml:space="preserve">关于符合本国产品标准的声明函</w:t>
      </w:r>
      <w:r/>
    </w:p>
    <w:p>
      <w:pPr>
        <w:pStyle w:val="778"/>
        <w:ind w:firstLine="420"/>
        <w:spacing w:before="15" w:beforeAutospacing="0" w:after="15" w:afterAutospacing="0"/>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778"/>
        <w:ind w:firstLine="420"/>
        <w:spacing w:beforeAutospacing="0" w:afterAutospacing="0" w:line="360" w:lineRule="auto"/>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1.</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1</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778"/>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2.</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778"/>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w:t>
      </w:r>
      <w:r/>
    </w:p>
    <w:p>
      <w:pPr>
        <w:pStyle w:val="778"/>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78"/>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778"/>
        <w:jc w:val="right"/>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公司（单位）名称（加盖CA电子公章）：         </w:t>
      </w:r>
      <w:r/>
    </w:p>
    <w:p>
      <w:pPr>
        <w:pStyle w:val="778"/>
        <w:jc w:val="center"/>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日期：      年   月   日         </w:t>
      </w:r>
      <w:r/>
    </w:p>
    <w:p>
      <w:pPr>
        <w:pStyle w:val="778"/>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778"/>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778"/>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_________________</w:t>
      </w:r>
      <w:r/>
    </w:p>
    <w:p>
      <w:pPr>
        <w:pStyle w:val="778"/>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78"/>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78"/>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78"/>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78"/>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78"/>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6.《声明函》中标注“</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”的地方无需填写。</w:t>
      </w:r>
      <w:r/>
    </w:p>
    <w:p>
      <w:pPr>
        <w:pStyle w:val="778"/>
        <w:jc w:val="both"/>
        <w:spacing w:beforeAutospacing="0" w:afterAutospacing="0"/>
      </w:pPr>
      <w:r>
        <w:t xml:space="preserve"> </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86"/>
        <w:rPr>
          <w:rFonts w:ascii="宋体" w:hAnsi="宋体" w:cs="Arial"/>
          <w:b/>
          <w:bCs/>
        </w:rPr>
      </w:pPr>
      <w:r>
        <w:rPr>
          <w:rFonts w:ascii="宋体" w:hAnsi="宋体" w:cs="Arial"/>
          <w:b/>
          <w:bCs/>
        </w:rPr>
      </w:r>
      <w:r/>
    </w:p>
    <w:p>
      <w:pPr>
        <w:pStyle w:val="787"/>
        <w:rPr>
          <w:rFonts w:ascii="宋体" w:hAnsi="宋体" w:cs="Arial"/>
          <w:b/>
          <w:bCs/>
        </w:rPr>
      </w:pPr>
      <w:r>
        <w:rPr>
          <w:rFonts w:ascii="宋体" w:hAnsi="宋体" w:cs="Arial"/>
          <w:b/>
          <w:bCs/>
        </w:rPr>
      </w:r>
      <w:r/>
    </w:p>
    <w:p>
      <w:pPr>
        <w:pStyle w:val="788"/>
      </w:pPr>
      <w:r/>
      <w:r/>
    </w:p>
    <w:p>
      <w:pPr>
        <w:pStyle w:val="948"/>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80"/>
        <w:spacing w:line="360" w:lineRule="auto"/>
        <w:rPr>
          <w:rFonts w:hint="eastAsia" w:cs="宋体"/>
          <w:szCs w:val="21"/>
        </w:rPr>
      </w:pPr>
      <w:r>
        <w:rPr>
          <w:rFonts w:hint="eastAsia" w:cs="宋体"/>
          <w:szCs w:val="21"/>
        </w:rPr>
        <w:t xml:space="preserve">投标人全称（加盖公章）：</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tbl>
      <w:tblPr>
        <w:tblStyle w:val="75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59"/>
              <w:jc w:val="center"/>
              <w:spacing w:before="156" w:after="20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投标项目名称</w:t>
            </w:r>
            <w:r/>
          </w:p>
        </w:tc>
        <w:tc>
          <w:tcPr>
            <w:tcW w:w="6405" w:type="dxa"/>
            <w:vAlign w:val="center"/>
            <w:textDirection w:val="lrTb"/>
            <w:noWrap w:val="false"/>
          </w:tcPr>
          <w:p>
            <w:pPr>
              <w:spacing w:after="200" w:line="360" w:lineRule="auto"/>
              <w:rPr>
                <w:rFonts w:cs="宋体"/>
                <w:szCs w:val="21"/>
              </w:rPr>
            </w:pPr>
            <w:r>
              <w:rPr>
                <w:rFonts w:cs="宋体"/>
                <w:szCs w:val="21"/>
              </w:rPr>
              <w:t xml:space="preserve">                      </w:t>
            </w:r>
            <w:r>
              <w:rPr>
                <w:rFonts w:hint="eastAsia" w:cs="宋体"/>
                <w:szCs w:val="21"/>
              </w:rPr>
              <w:t xml:space="preserve">投标报价</w:t>
            </w:r>
            <w:r/>
          </w:p>
        </w:tc>
      </w:tr>
      <w:tr>
        <w:trPr>
          <w:cantSplit/>
          <w:trHeight w:val="1697"/>
        </w:trPr>
        <w:tc>
          <w:tcPr>
            <w:tcW w:w="2481" w:type="dxa"/>
            <w:vAlign w:val="center"/>
            <w:textDirection w:val="lrTb"/>
            <w:noWrap w:val="false"/>
          </w:tcPr>
          <w:p>
            <w:pPr>
              <w:pStyle w:val="759"/>
              <w:jc w:val="center"/>
              <w:spacing w:after="200" w:line="360" w:lineRule="auto"/>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扬州大学公共云机房建设（三期）项目</w:t>
            </w:r>
            <w:r/>
          </w:p>
        </w:tc>
        <w:tc>
          <w:tcPr>
            <w:tcW w:w="6405" w:type="dxa"/>
            <w:vAlign w:val="center"/>
            <w:textDirection w:val="lrTb"/>
            <w:noWrap w:val="false"/>
          </w:tcPr>
          <w:p>
            <w:pPr>
              <w:pStyle w:val="759"/>
              <w:spacing w:after="20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大写：</w:t>
            </w:r>
            <w:r/>
          </w:p>
          <w:p>
            <w:pPr>
              <w:pStyle w:val="980"/>
              <w:ind w:firstLine="0"/>
              <w:spacing w:before="0" w:after="0"/>
              <w:rPr>
                <w:rFonts w:ascii="Times New Roman" w:hAnsi="Times New Roman" w:cs="宋体"/>
                <w:sz w:val="21"/>
                <w:szCs w:val="21"/>
              </w:rPr>
            </w:pPr>
            <w:r>
              <w:rPr>
                <w:rFonts w:hint="eastAsia" w:ascii="Times New Roman" w:hAnsi="Times New Roman" w:cs="宋体"/>
                <w:sz w:val="21"/>
                <w:szCs w:val="21"/>
              </w:rPr>
              <w:t xml:space="preserve">小写：</w:t>
            </w:r>
            <w:r>
              <w:rPr>
                <w:rFonts w:ascii="Times New Roman" w:hAnsi="Times New Roman" w:cs="宋体"/>
                <w:sz w:val="21"/>
                <w:szCs w:val="21"/>
              </w:rPr>
              <w:t xml:space="preserve">                             </w:t>
            </w:r>
            <w:r>
              <w:rPr>
                <w:rFonts w:hint="eastAsia" w:ascii="Times New Roman" w:hAnsi="Times New Roman" w:cs="宋体"/>
                <w:sz w:val="21"/>
                <w:szCs w:val="21"/>
              </w:rPr>
              <w:t xml:space="preserve">（人民币）</w:t>
            </w:r>
            <w:r/>
          </w:p>
        </w:tc>
      </w:tr>
      <w:tr>
        <w:trPr>
          <w:cantSplit/>
          <w:trHeight w:val="1361"/>
        </w:trPr>
        <w:tc>
          <w:tcPr>
            <w:tcW w:w="2481" w:type="dxa"/>
            <w:vAlign w:val="center"/>
            <w:textDirection w:val="lrTb"/>
            <w:noWrap w:val="false"/>
          </w:tcPr>
          <w:p>
            <w:pPr>
              <w:pStyle w:val="759"/>
              <w:jc w:val="center"/>
              <w:spacing w:after="200" w:line="360" w:lineRule="auto"/>
              <w:rPr>
                <w:rFonts w:hint="default" w:ascii="Times New Roman" w:hAnsi="Times New Roman" w:eastAsia="宋体" w:cs="宋体"/>
                <w:sz w:val="21"/>
                <w:szCs w:val="21"/>
                <w:lang w:val="en-US" w:eastAsia="zh-CN"/>
              </w:rPr>
            </w:pPr>
            <w:r>
              <w:rPr>
                <w:rFonts w:hint="eastAsia" w:ascii="Times New Roman" w:hAnsi="Times New Roman" w:eastAsia="宋体" w:cs="宋体"/>
                <w:sz w:val="21"/>
                <w:szCs w:val="21"/>
                <w:lang w:val="en-US" w:eastAsia="zh-CN"/>
              </w:rPr>
              <w:t xml:space="preserve">核心产品品牌</w:t>
            </w:r>
            <w:r/>
          </w:p>
        </w:tc>
        <w:tc>
          <w:tcPr>
            <w:tcW w:w="6405" w:type="dxa"/>
            <w:vAlign w:val="center"/>
            <w:textDirection w:val="lrTb"/>
            <w:noWrap w:val="false"/>
          </w:tcPr>
          <w:p>
            <w:pPr>
              <w:pStyle w:val="759"/>
              <w:ind w:firstLine="420"/>
              <w:spacing w:after="200" w:line="360" w:lineRule="auto"/>
              <w:rPr>
                <w:rFonts w:ascii="Times New Roman" w:hAnsi="Times New Roman" w:eastAsia="宋体" w:cs="宋体"/>
                <w:sz w:val="21"/>
                <w:szCs w:val="21"/>
              </w:rPr>
            </w:pPr>
            <w:r>
              <w:rPr>
                <w:rFonts w:ascii="Times New Roman" w:hAnsi="Times New Roman" w:eastAsia="宋体" w:cs="宋体"/>
                <w:sz w:val="21"/>
                <w:szCs w:val="21"/>
              </w:rPr>
            </w:r>
            <w:r/>
          </w:p>
        </w:tc>
      </w:tr>
    </w:tbl>
    <w:p>
      <w:pPr>
        <w:ind w:firstLine="482"/>
        <w:spacing w:after="312" w:line="360" w:lineRule="auto"/>
        <w:rPr>
          <w:rFonts w:ascii="宋体" w:hAnsi="宋体"/>
          <w:szCs w:val="21"/>
        </w:rPr>
      </w:pPr>
      <w:r>
        <w:rPr>
          <w:rFonts w:ascii="宋体" w:hAnsi="宋体"/>
          <w:szCs w:val="21"/>
        </w:rPr>
      </w:r>
      <w:r/>
    </w:p>
    <w:p>
      <w:pPr>
        <w:ind w:firstLine="482"/>
        <w:spacing w:after="312"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spacing w:line="360" w:lineRule="auto"/>
        <w:rPr>
          <w:rFonts w:ascii="宋体" w:hAnsi="宋体"/>
          <w:b/>
          <w:szCs w:val="21"/>
        </w:rPr>
      </w:pPr>
      <w:r>
        <w:rPr>
          <w:rFonts w:ascii="宋体" w:hAnsi="宋体"/>
          <w:b/>
          <w:szCs w:val="21"/>
        </w:rPr>
      </w:r>
      <w:r/>
    </w:p>
    <w:p>
      <w:pPr>
        <w:ind w:firstLine="480"/>
        <w:spacing w:line="360" w:lineRule="auto"/>
        <w:rPr>
          <w:rFonts w:ascii="宋体" w:hAnsi="宋体"/>
          <w:szCs w:val="21"/>
        </w:rPr>
      </w:pPr>
      <w:r>
        <w:rPr>
          <w:rFonts w:ascii="宋体" w:hAnsi="宋体"/>
          <w:szCs w:val="21"/>
        </w:rPr>
      </w:r>
      <w:r/>
    </w:p>
    <w:p>
      <w:pPr>
        <w:ind w:firstLine="420"/>
        <w:spacing w:line="360" w:lineRule="auto"/>
        <w:rPr>
          <w:rFonts w:ascii="宋体" w:hAnsi="宋体" w:cs="宋体"/>
          <w:iCs/>
          <w:szCs w:val="21"/>
        </w:rPr>
      </w:pPr>
      <w:r>
        <w:rPr>
          <w:rFonts w:ascii="宋体" w:hAnsi="宋体" w:cs="宋体"/>
          <w:iCs/>
          <w:szCs w:val="21"/>
        </w:rPr>
        <w:t xml:space="preserve">1</w:t>
      </w:r>
      <w:r>
        <w:rPr>
          <w:rFonts w:hint="eastAsia" w:ascii="宋体" w:hAnsi="宋体" w:cs="宋体"/>
          <w:iCs/>
          <w:szCs w:val="21"/>
        </w:rPr>
        <w:t xml:space="preserve">、投标报价应包括采购文件所规定的采购范围的全部内容。</w:t>
      </w:r>
      <w:r/>
    </w:p>
    <w:p>
      <w:pPr>
        <w:pStyle w:val="949"/>
        <w:spacing w:line="360" w:lineRule="auto"/>
        <w:rPr>
          <w:rFonts w:ascii="宋体" w:hAnsi="宋体"/>
          <w:iCs/>
          <w:sz w:val="32"/>
          <w:szCs w:val="32"/>
        </w:rPr>
      </w:pPr>
      <w:r>
        <w:rPr>
          <w:rFonts w:ascii="宋体" w:hAnsi="宋体" w:cs="宋体"/>
          <w:iCs/>
          <w:spacing w:val="-3"/>
        </w:rPr>
        <w:t xml:space="preserve">2</w:t>
      </w:r>
      <w:r>
        <w:rPr>
          <w:rFonts w:hint="eastAsia" w:ascii="宋体" w:hAnsi="宋体" w:cs="宋体"/>
          <w:iCs/>
          <w:spacing w:val="-3"/>
        </w:rPr>
        <w:t xml:space="preserve">、如有分包，投标人投任何一个包的标的，都需单独填写开标一览表。</w:t>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ascii="宋体" w:hAnsi="宋体" w:eastAsia="宋体" w:cs="宋体"/>
          <w:b/>
          <w:bCs w:val="0"/>
          <w:sz w:val="32"/>
          <w:szCs w:val="32"/>
          <w:lang w:val="en-US" w:eastAsia="zh-CN" w:bidi="ar-SA"/>
        </w:rPr>
      </w:pPr>
      <w:r>
        <w:rPr>
          <w:rFonts w:hint="eastAsia" w:ascii="宋体" w:hAnsi="宋体" w:cs="宋体"/>
          <w:b/>
          <w:bCs w:val="0"/>
          <w:sz w:val="32"/>
          <w:szCs w:val="32"/>
          <w:lang w:val="en-US" w:eastAsia="zh-CN" w:bidi="ar-SA"/>
        </w:rPr>
        <w:t xml:space="preserve">五</w:t>
      </w:r>
      <w:r>
        <w:rPr>
          <w:rFonts w:hint="eastAsia" w:ascii="宋体" w:hAnsi="宋体" w:eastAsia="宋体" w:cs="宋体"/>
          <w:b/>
          <w:bCs w:val="0"/>
          <w:sz w:val="32"/>
          <w:szCs w:val="32"/>
          <w:lang w:val="en-US" w:eastAsia="zh-CN" w:bidi="ar-SA"/>
        </w:rPr>
        <w:t xml:space="preserve">、投标产品配置及分项报价表</w:t>
      </w:r>
      <w:r/>
    </w:p>
    <w:p>
      <w:pPr>
        <w:spacing w:line="360" w:lineRule="auto"/>
        <w:rPr>
          <w:rFonts w:cs="宋体"/>
          <w:szCs w:val="21"/>
        </w:rPr>
      </w:pPr>
      <w:r>
        <w:rPr>
          <w:rFonts w:hint="eastAsia" w:cs="宋体"/>
          <w:szCs w:val="21"/>
        </w:rPr>
        <w:t xml:space="preserve">投标人全称（加盖公章）：</w:t>
      </w:r>
      <w:r/>
    </w:p>
    <w:p>
      <w:pPr>
        <w:spacing w:line="360" w:lineRule="auto"/>
        <w:rPr>
          <w:rFonts w:hint="eastAsia" w:cs="宋体"/>
          <w:szCs w:val="21"/>
        </w:rPr>
      </w:pPr>
      <w:r>
        <w:rPr>
          <w:rFonts w:hint="eastAsia" w:cs="宋体"/>
          <w:szCs w:val="21"/>
        </w:rPr>
        <w:t xml:space="preserve">项目名称：</w:t>
      </w:r>
      <w:r/>
    </w:p>
    <w:p>
      <w:pPr>
        <w:spacing w:line="360" w:lineRule="auto"/>
        <w:rPr>
          <w:rFonts w:hint="eastAsia" w:cs="宋体"/>
          <w:szCs w:val="21"/>
        </w:rPr>
      </w:pPr>
      <w:r>
        <w:rPr>
          <w:rFonts w:hint="eastAsia" w:cs="宋体"/>
          <w:szCs w:val="21"/>
        </w:rPr>
        <w:t xml:space="preserve">项目编号：    </w:t>
      </w:r>
      <w:r/>
    </w:p>
    <w:tbl>
      <w:tblPr>
        <w:tblStyle w:val="781"/>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744"/>
        <w:gridCol w:w="760"/>
        <w:gridCol w:w="917"/>
        <w:gridCol w:w="600"/>
        <w:gridCol w:w="1176"/>
        <w:gridCol w:w="1391"/>
        <w:gridCol w:w="1705"/>
        <w:gridCol w:w="218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rPr>
          <w:rFonts w:hint="eastAsia"/>
        </w:rPr>
      </w:pPr>
      <w:r>
        <w:rPr>
          <w:rFonts w:hint="eastAsia"/>
        </w:rPr>
      </w:r>
      <w:r/>
    </w:p>
    <w:p>
      <w:pPr>
        <w:spacing w:line="360" w:lineRule="auto"/>
        <w:rPr>
          <w:rFonts w:cs="宋体"/>
          <w:b/>
          <w:szCs w:val="21"/>
        </w:rPr>
      </w:pPr>
      <w:r>
        <w:rPr>
          <w:rFonts w:hint="eastAsia" w:cs="宋体"/>
          <w:szCs w:val="21"/>
        </w:rPr>
        <w:t xml:space="preserve">法定代表人或授权代表签字/签章：</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numPr>
          <w:ilvl w:val="0"/>
          <w:numId w:val="13"/>
        </w:num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3.投标人需认真填写本报价表，尤其注意规格型号的准确填写。</w:t>
      </w:r>
      <w:r/>
    </w:p>
    <w:p>
      <w:pPr>
        <w:spacing w:line="400" w:lineRule="exact"/>
        <w:rPr>
          <w:rFonts w:ascii="Times New Roman" w:hAnsi="Times New Roman" w:cs="方正魏碑_GBK"/>
          <w:color w:val="auto"/>
          <w:szCs w:val="21"/>
          <w:highlight w:val="none"/>
        </w:rPr>
      </w:pPr>
      <w:r>
        <w:rPr>
          <w:rFonts w:hint="eastAsia" w:ascii="Times New Roman" w:hAnsi="Times New Roman"/>
          <w:color w:val="auto"/>
          <w:szCs w:val="21"/>
          <w:highlight w:val="none"/>
        </w:rPr>
        <w:t xml:space="preserve">4.项目经办人可以根据项目实际需要对表格结构进行调整</w:t>
      </w:r>
      <w:r>
        <w:rPr>
          <w:rFonts w:hint="eastAsia" w:ascii="Times New Roman" w:hAnsi="Times New Roman" w:cs="方正魏碑_GBK"/>
          <w:color w:val="auto"/>
          <w:szCs w:val="21"/>
          <w:highlight w:val="none"/>
        </w:rPr>
        <w:t xml:space="preserve">。</w:t>
      </w:r>
      <w:r/>
    </w:p>
    <w:p>
      <w:pPr>
        <w:spacing w:line="400" w:lineRule="exact"/>
        <w:rPr>
          <w:rFonts w:ascii="Times New Roman" w:hAnsi="Times New Roman" w:cs="方正魏碑_GBK"/>
          <w:color w:val="auto"/>
          <w:sz w:val="24"/>
          <w:szCs w:val="24"/>
          <w:highlight w:val="none"/>
        </w:rPr>
      </w:pPr>
      <w:r>
        <w:rPr>
          <w:rFonts w:hint="eastAsia" w:ascii="Times New Roman" w:hAnsi="Times New Roman" w:cs="方正魏碑_GBK"/>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s="方正魏碑_GBK"/>
          <w:color w:val="auto"/>
          <w:sz w:val="24"/>
          <w:szCs w:val="24"/>
          <w:highlight w:val="none"/>
        </w:rPr>
        <w:t xml:space="preserve">。</w:t>
      </w:r>
      <w:r/>
    </w:p>
    <w:p>
      <w:pPr>
        <w:rPr>
          <w:rFonts w:ascii="Times New Roman" w:hAnsi="Times New Roman" w:cs="方正魏碑_GBK"/>
          <w:color w:val="auto"/>
          <w:sz w:val="24"/>
          <w:szCs w:val="24"/>
          <w:highlight w:val="none"/>
        </w:rPr>
      </w:pPr>
      <w:r>
        <w:rPr>
          <w:rFonts w:hint="eastAsia" w:ascii="Times New Roman" w:hAnsi="Times New Roman" w:cs="方正魏碑_GBK"/>
          <w:color w:val="auto"/>
          <w:sz w:val="24"/>
          <w:szCs w:val="24"/>
          <w:highlight w:val="none"/>
        </w:rPr>
        <w:br w:type="page" w:clear="all"/>
      </w:r>
      <w:r/>
    </w:p>
    <w:p>
      <w:pPr>
        <w:jc w:val="center"/>
        <w:spacing w:line="360" w:lineRule="auto"/>
        <w:widowControl/>
        <w:rPr>
          <w:rFonts w:ascii="宋体" w:hAnsi="宋体"/>
          <w:sz w:val="28"/>
          <w:szCs w:val="28"/>
        </w:rPr>
      </w:pPr>
      <w:r>
        <w:rPr>
          <w:rFonts w:hint="eastAsia" w:ascii="宋体" w:hAnsi="宋体"/>
          <w:b/>
          <w:bCs/>
          <w:sz w:val="28"/>
          <w:szCs w:val="28"/>
          <w:lang w:val="en-US" w:eastAsia="zh-CN"/>
        </w:rPr>
        <w:t xml:space="preserve">六</w:t>
      </w:r>
      <w:r>
        <w:rPr>
          <w:rFonts w:hint="eastAsia" w:ascii="宋体" w:hAnsi="宋体"/>
          <w:b/>
          <w:bCs/>
          <w:sz w:val="28"/>
          <w:szCs w:val="28"/>
        </w:rPr>
        <w:t xml:space="preserve">、技术参数响应及偏离表</w:t>
      </w:r>
      <w:r/>
    </w:p>
    <w:tbl>
      <w:tblPr>
        <w:tblStyle w:val="754"/>
        <w:tblW w:w="8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jc w:val="center"/>
        </w:trPr>
        <w:tc>
          <w:tcPr>
            <w:tcW w:w="7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1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33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203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jc w:val="center"/>
        <w:spacing w:line="360" w:lineRule="auto"/>
        <w:rPr>
          <w:rFonts w:ascii="宋体" w:hAnsi="宋体"/>
          <w:sz w:val="32"/>
          <w:szCs w:val="32"/>
        </w:rPr>
      </w:pPr>
      <w:r>
        <w:rPr>
          <w:rFonts w:hint="eastAsia" w:ascii="黑体" w:hAnsi="Arial" w:eastAsia="黑体"/>
          <w:sz w:val="32"/>
        </w:rPr>
        <w:br w:type="page" w:clear="all"/>
      </w:r>
      <w:bookmarkStart w:id="62" w:name="_Hlt26955054"/>
      <w:r/>
      <w:bookmarkEnd w:id="62"/>
      <w:r/>
      <w:bookmarkStart w:id="63" w:name="_Toc113352363"/>
      <w:r>
        <w:rPr>
          <w:rFonts w:hint="eastAsia" w:ascii="宋体" w:hAnsi="宋体" w:eastAsia="黑体"/>
          <w:b/>
          <w:bCs/>
          <w:sz w:val="28"/>
          <w:szCs w:val="28"/>
          <w:lang w:val="en-US" w:eastAsia="zh-CN"/>
        </w:rPr>
        <w:t xml:space="preserve">七</w:t>
      </w:r>
      <w:r>
        <w:rPr>
          <w:rFonts w:hint="eastAsia" w:ascii="宋体" w:hAnsi="宋体"/>
          <w:b/>
          <w:bCs/>
          <w:sz w:val="28"/>
          <w:szCs w:val="28"/>
        </w:rPr>
        <w:t xml:space="preserve">、商务条款响应及偏离表</w:t>
      </w:r>
      <w:bookmarkEnd w:id="63"/>
      <w:r/>
      <w:r/>
    </w:p>
    <w:tbl>
      <w:tblPr>
        <w:tblStyle w:val="754"/>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W w:w="232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仿宋_GB2312" w:hAnsi="Arial"/>
          <w:sz w:val="30"/>
        </w:rPr>
      </w:pPr>
      <w:r>
        <w:rPr>
          <w:rFonts w:ascii="仿宋_GB2312" w:hAnsi="Arial"/>
          <w:sz w:val="30"/>
        </w:rPr>
      </w:r>
      <w:r/>
    </w:p>
    <w:p>
      <w:pPr>
        <w:pStyle w:val="949"/>
        <w:ind w:firstLine="480"/>
        <w:spacing w:line="360" w:lineRule="auto"/>
        <w:rPr>
          <w:rFonts w:ascii="宋体" w:hAnsi="宋体"/>
          <w:sz w:val="24"/>
        </w:rPr>
      </w:pPr>
      <w:r/>
      <w:bookmarkStart w:id="64" w:name="_Hlt26609389"/>
      <w:r/>
      <w:bookmarkEnd w:id="64"/>
      <w:r/>
      <w:bookmarkStart w:id="65" w:name="_Hlt26955066"/>
      <w:r/>
      <w:bookmarkEnd w:id="65"/>
      <w:r/>
      <w:bookmarkStart w:id="66" w:name="_Hlt26671374"/>
      <w:r/>
      <w:bookmarkEnd w:id="66"/>
      <w:r/>
      <w:bookmarkStart w:id="67" w:name="_Toc462564146"/>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hint="eastAsia" w:ascii="宋体" w:hAnsi="宋体"/>
          <w:sz w:val="24"/>
        </w:rPr>
        <w:t xml:space="preserve">.</w:t>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r/>
    </w:p>
    <w:p>
      <w:pPr>
        <w:pStyle w:val="949"/>
        <w:ind w:firstLine="480"/>
        <w:spacing w:line="360" w:lineRule="auto"/>
        <w:rPr>
          <w:rFonts w:ascii="宋体" w:hAnsi="宋体"/>
          <w:sz w:val="24"/>
        </w:rPr>
      </w:pPr>
      <w:r>
        <w:rPr>
          <w:rFonts w:ascii="宋体" w:hAnsi="宋体"/>
          <w:sz w:val="24"/>
        </w:rPr>
      </w:r>
      <w:bookmarkEnd w:id="67"/>
      <w:r/>
    </w:p>
    <w:p>
      <w:pPr>
        <w:spacing w:line="360" w:lineRule="auto"/>
        <w:rPr>
          <w:rFonts w:ascii="宋体" w:hAnsi="宋体"/>
          <w:b/>
          <w:sz w:val="28"/>
          <w:szCs w:val="28"/>
        </w:rPr>
      </w:pPr>
      <w:r/>
      <w:bookmarkStart w:id="68" w:name="_格式2__法定代表人授权书"/>
      <w:r/>
      <w:bookmarkEnd w:id="68"/>
      <w:r>
        <w:rPr>
          <w:rFonts w:ascii="宋体" w:hAnsi="宋体"/>
          <w:b/>
        </w:rPr>
        <w:br w:type="page" w:clear="all"/>
      </w:r>
      <w:r/>
    </w:p>
    <w:p>
      <w:pPr>
        <w:jc w:val="center"/>
        <w:spacing w:line="360" w:lineRule="auto"/>
        <w:widowControl/>
        <w:rPr>
          <w:rFonts w:ascii="宋体" w:hAnsi="宋体"/>
          <w:b/>
        </w:rPr>
      </w:pPr>
      <w:r>
        <w:rPr>
          <w:rFonts w:hint="eastAsia" w:ascii="宋体" w:hAnsi="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54"/>
        <w:tblW w:w="4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2"/>
      </w:tblGrid>
      <w:tr>
        <w:trPr>
          <w:jc w:val="center"/>
        </w:trPr>
        <w:tc>
          <w:tcPr>
            <w:tcW w:w="5000" w:type="pct"/>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r>
      <w:tr>
        <w:trPr>
          <w:jc w:val="center"/>
          <w:trHeight w:val="2037"/>
        </w:trPr>
        <w:tc>
          <w:tcPr>
            <w:tcW w:w="5000" w:type="pct"/>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rPr>
          <w:rFonts w:ascii="宋体" w:hAnsi="宋体"/>
        </w:rPr>
      </w:pPr>
      <w:r>
        <w:rPr>
          <w:rFonts w:ascii="宋体" w:hAnsi="宋体"/>
        </w:rPr>
      </w:r>
      <w:r/>
    </w:p>
    <w:sectPr>
      <w:headerReference w:type="default"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仿宋_GBK">
    <w:panose1 w:val="020B0503020202020204"/>
  </w:font>
  <w:font w:name="MS Mincho">
    <w:panose1 w:val="02020603050405090304"/>
  </w:font>
  <w:font w:name="Segoe UI Symbol">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仿宋_GB2312">
    <w:panose1 w:val="02010609060101010101"/>
  </w:font>
  <w:font w:name="华文中宋">
    <w:panose1 w:val="0201060004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17</w:t>
                    </w:r>
                    <w:r>
                      <w:fldChar w:fldCharType="end"/>
                    </w:r>
                    <w:r/>
                  </w:p>
                </w:txbxContent>
              </v:textbox>
            </v:shape>
          </w:pict>
        </mc:Fallback>
      </mc:AlternateContent>
    </w:r>
    <w:r/>
  </w:p>
  <w:p>
    <w:pPr>
      <w:pStyle w:val="767"/>
      <w:tabs>
        <w:tab w:val="clear" w:pos="7143"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rPr>
                        <w:lang w:val="zh-CN"/>
                      </w:rPr>
                      <w:fldChar w:fldCharType="end"/>
                    </w:r>
                    <w:r/>
                  </w:p>
                  <w:p>
                    <w:r/>
                    <w:r/>
                  </w:p>
                </w:txbxContent>
              </v:textbox>
            </v:shape>
          </w:pict>
        </mc:Fallback>
      </mc:AlternateContent>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szCs w:val="21"/>
      </w:rPr>
      <w:pBdr>
        <w:bottom w:val="single" w:color="auto" w:sz="4" w:space="0"/>
      </w:pBdr>
    </w:pPr>
    <w:r>
      <w:rPr>
        <w:rFonts w:hint="eastAsia" w:ascii="宋体" w:hAnsi="宋体"/>
        <w:b/>
        <w:bCs/>
        <w:szCs w:val="21"/>
      </w:rPr>
      <w:t xml:space="preserve">JSZC-320000-JJJC-G2026-0014                                   江苏嘉加诚工程投资咨询有限公司</w:t>
    </w:r>
    <w:r/>
  </w:p>
  <w:p>
    <w:pPr>
      <w:pStyle w:val="76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ottom w:val="single" w:color="auto" w:sz="4" w:space="0"/>
      </w:pBdr>
    </w:pPr>
    <w:r>
      <w:rPr>
        <w:rFonts w:hint="eastAsia" w:ascii="宋体" w:hAnsi="宋体"/>
        <w:b/>
        <w:bCs/>
        <w:szCs w:val="21"/>
      </w:rPr>
      <w:t xml:space="preserve">JSZC-320000-JJJC-G2026-0014                                   江苏嘉加诚工程投资咨询有限公司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szCs w:val="21"/>
      </w:rPr>
      <w:pBdr>
        <w:bottom w:val="single" w:color="auto" w:sz="4" w:space="0"/>
      </w:pBdr>
    </w:pPr>
    <w:r>
      <w:rPr>
        <w:rFonts w:hint="eastAsia" w:ascii="宋体" w:hAnsi="宋体"/>
        <w:b/>
        <w:bCs/>
        <w:szCs w:val="21"/>
      </w:rPr>
      <w:t xml:space="preserve">JSZC-320000-JJJC-G2026-0014                                   江苏嘉加诚工程投资咨询有限公司</w:t>
    </w:r>
    <w:r/>
  </w:p>
  <w:p>
    <w:pPr>
      <w:pStyle w:val="7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6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12"/>
  </w:num>
  <w:num w:numId="5">
    <w:abstractNumId w:val="7"/>
  </w:num>
  <w:num w:numId="6">
    <w:abstractNumId w:val="8"/>
  </w:num>
  <w:num w:numId="7">
    <w:abstractNumId w:val="9"/>
  </w:num>
  <w:num w:numId="8">
    <w:abstractNumId w:val="5"/>
  </w:num>
  <w:num w:numId="9">
    <w:abstractNumId w:val="10"/>
  </w:num>
  <w:num w:numId="10">
    <w:abstractNumId w:val="6"/>
  </w:num>
  <w:num w:numId="11">
    <w:abstractNumId w:val="4"/>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3"/>
    <w:link w:val="744"/>
    <w:uiPriority w:val="9"/>
    <w:rPr>
      <w:rFonts w:ascii="Arial" w:hAnsi="Arial" w:eastAsia="Arial" w:cs="Arial"/>
      <w:sz w:val="40"/>
      <w:szCs w:val="40"/>
    </w:rPr>
  </w:style>
  <w:style w:type="character" w:styleId="15">
    <w:name w:val="Heading 2 Char"/>
    <w:basedOn w:val="753"/>
    <w:link w:val="745"/>
    <w:uiPriority w:val="9"/>
    <w:rPr>
      <w:rFonts w:ascii="Arial" w:hAnsi="Arial" w:eastAsia="Arial" w:cs="Arial"/>
      <w:sz w:val="34"/>
    </w:rPr>
  </w:style>
  <w:style w:type="character" w:styleId="17">
    <w:name w:val="Heading 3 Char"/>
    <w:basedOn w:val="753"/>
    <w:link w:val="746"/>
    <w:uiPriority w:val="9"/>
    <w:rPr>
      <w:rFonts w:ascii="Arial" w:hAnsi="Arial" w:eastAsia="Arial" w:cs="Arial"/>
      <w:sz w:val="30"/>
      <w:szCs w:val="30"/>
    </w:rPr>
  </w:style>
  <w:style w:type="character" w:styleId="19">
    <w:name w:val="Heading 4 Char"/>
    <w:basedOn w:val="753"/>
    <w:link w:val="747"/>
    <w:uiPriority w:val="9"/>
    <w:rPr>
      <w:rFonts w:ascii="Arial" w:hAnsi="Arial" w:eastAsia="Arial" w:cs="Arial"/>
      <w:b/>
      <w:bCs/>
      <w:sz w:val="26"/>
      <w:szCs w:val="26"/>
    </w:rPr>
  </w:style>
  <w:style w:type="character" w:styleId="21">
    <w:name w:val="Heading 5 Char"/>
    <w:basedOn w:val="753"/>
    <w:link w:val="748"/>
    <w:uiPriority w:val="9"/>
    <w:rPr>
      <w:rFonts w:ascii="Arial" w:hAnsi="Arial" w:eastAsia="Arial" w:cs="Arial"/>
      <w:b/>
      <w:bCs/>
      <w:sz w:val="24"/>
      <w:szCs w:val="24"/>
    </w:rPr>
  </w:style>
  <w:style w:type="character" w:styleId="23">
    <w:name w:val="Heading 6 Char"/>
    <w:basedOn w:val="753"/>
    <w:link w:val="749"/>
    <w:uiPriority w:val="9"/>
    <w:rPr>
      <w:rFonts w:ascii="Arial" w:hAnsi="Arial" w:eastAsia="Arial" w:cs="Arial"/>
      <w:b/>
      <w:bCs/>
      <w:sz w:val="22"/>
      <w:szCs w:val="22"/>
    </w:rPr>
  </w:style>
  <w:style w:type="character" w:styleId="25">
    <w:name w:val="Heading 7 Char"/>
    <w:basedOn w:val="753"/>
    <w:link w:val="750"/>
    <w:uiPriority w:val="9"/>
    <w:rPr>
      <w:rFonts w:ascii="Arial" w:hAnsi="Arial" w:eastAsia="Arial" w:cs="Arial"/>
      <w:b/>
      <w:bCs/>
      <w:i/>
      <w:iCs/>
      <w:sz w:val="22"/>
      <w:szCs w:val="22"/>
    </w:rPr>
  </w:style>
  <w:style w:type="character" w:styleId="27">
    <w:name w:val="Heading 8 Char"/>
    <w:basedOn w:val="753"/>
    <w:link w:val="751"/>
    <w:uiPriority w:val="9"/>
    <w:rPr>
      <w:rFonts w:ascii="Arial" w:hAnsi="Arial" w:eastAsia="Arial" w:cs="Arial"/>
      <w:i/>
      <w:iCs/>
      <w:sz w:val="22"/>
      <w:szCs w:val="22"/>
    </w:rPr>
  </w:style>
  <w:style w:type="character" w:styleId="29">
    <w:name w:val="Heading 9 Char"/>
    <w:basedOn w:val="753"/>
    <w:link w:val="752"/>
    <w:uiPriority w:val="9"/>
    <w:rPr>
      <w:rFonts w:ascii="Arial" w:hAnsi="Arial" w:eastAsia="Arial" w:cs="Arial"/>
      <w:i/>
      <w:iCs/>
      <w:sz w:val="21"/>
      <w:szCs w:val="21"/>
    </w:rPr>
  </w:style>
  <w:style w:type="character" w:styleId="34">
    <w:name w:val="Title Char"/>
    <w:basedOn w:val="753"/>
    <w:link w:val="779"/>
    <w:uiPriority w:val="10"/>
    <w:rPr>
      <w:sz w:val="48"/>
      <w:szCs w:val="48"/>
    </w:rPr>
  </w:style>
  <w:style w:type="character" w:styleId="36">
    <w:name w:val="Subtitle Char"/>
    <w:basedOn w:val="753"/>
    <w:link w:val="771"/>
    <w:uiPriority w:val="11"/>
    <w:rPr>
      <w:sz w:val="24"/>
      <w:szCs w:val="24"/>
    </w:rPr>
  </w:style>
  <w:style w:type="character" w:styleId="38">
    <w:name w:val="Quote Char"/>
    <w:link w:val="812"/>
    <w:uiPriority w:val="29"/>
    <w:rPr>
      <w:i/>
    </w:rPr>
  </w:style>
  <w:style w:type="character" w:styleId="40">
    <w:name w:val="Intense Quote Char"/>
    <w:link w:val="814"/>
    <w:uiPriority w:val="30"/>
    <w:rPr>
      <w:i/>
    </w:rPr>
  </w:style>
  <w:style w:type="character" w:styleId="42">
    <w:name w:val="Header Char"/>
    <w:basedOn w:val="753"/>
    <w:link w:val="768"/>
    <w:uiPriority w:val="99"/>
  </w:style>
  <w:style w:type="character" w:styleId="46">
    <w:name w:val="Caption Char"/>
    <w:basedOn w:val="757"/>
    <w:link w:val="767"/>
    <w:uiPriority w:val="99"/>
  </w:style>
  <w:style w:type="table" w:styleId="49">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2"/>
    <w:uiPriority w:val="99"/>
    <w:rPr>
      <w:sz w:val="18"/>
    </w:rPr>
  </w:style>
  <w:style w:type="character" w:styleId="178">
    <w:name w:val="Endnote Text Char"/>
    <w:link w:val="766"/>
    <w:uiPriority w:val="99"/>
    <w:rPr>
      <w:sz w:val="20"/>
    </w:rPr>
  </w:style>
  <w:style w:type="paragraph" w:styleId="189">
    <w:name w:val="TOC Heading"/>
    <w:uiPriority w:val="39"/>
    <w:unhideWhenUsed/>
  </w:style>
  <w:style w:type="paragraph" w:styleId="74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44">
    <w:name w:val="Heading 1"/>
    <w:basedOn w:val="743"/>
    <w:next w:val="743"/>
    <w:link w:val="799"/>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55"/>
    <w:link w:val="800"/>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801"/>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802"/>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03"/>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804"/>
    <w:uiPriority w:val="9"/>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805"/>
    <w:uiPriority w:val="9"/>
    <w:unhideWhenUsed/>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806"/>
    <w:uiPriority w:val="9"/>
    <w:unhideWhenUsed/>
    <w:qFormat/>
    <w:pPr>
      <w:keepLines/>
      <w:keepNext/>
      <w:spacing w:before="320" w:after="200"/>
      <w:outlineLvl w:val="7"/>
    </w:pPr>
    <w:rPr>
      <w:rFonts w:ascii="Arial" w:hAnsi="Arial" w:eastAsia="Arial" w:cs="Arial"/>
      <w:i/>
      <w:iCs/>
      <w:sz w:val="22"/>
    </w:rPr>
  </w:style>
  <w:style w:type="paragraph" w:styleId="752">
    <w:name w:val="Heading 9"/>
    <w:basedOn w:val="743"/>
    <w:next w:val="743"/>
    <w:link w:val="807"/>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Normal Indent"/>
    <w:basedOn w:val="743"/>
    <w:uiPriority w:val="0"/>
    <w:qFormat/>
    <w:pPr>
      <w:ind w:firstLine="420"/>
    </w:pPr>
    <w:rPr>
      <w:szCs w:val="21"/>
    </w:rPr>
  </w:style>
  <w:style w:type="paragraph" w:styleId="756">
    <w:name w:val="toc 7"/>
    <w:basedOn w:val="743"/>
    <w:next w:val="743"/>
    <w:uiPriority w:val="39"/>
    <w:unhideWhenUsed/>
    <w:qFormat/>
    <w:pPr>
      <w:ind w:left="1701"/>
      <w:spacing w:after="57"/>
    </w:pPr>
  </w:style>
  <w:style w:type="paragraph" w:styleId="757">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3"/>
    <w:uiPriority w:val="99"/>
    <w:semiHidden/>
    <w:unhideWhenUsed/>
    <w:qFormat/>
    <w:pPr>
      <w:jc w:val="left"/>
    </w:pPr>
  </w:style>
  <w:style w:type="paragraph" w:styleId="759">
    <w:name w:val="Body Text"/>
    <w:basedOn w:val="743"/>
    <w:next w:val="743"/>
    <w:uiPriority w:val="0"/>
    <w:qFormat/>
    <w:rPr>
      <w:rFonts w:ascii="楷体_GB2312" w:hAnsi="Arial" w:eastAsia="楷体_GB2312"/>
      <w:sz w:val="28"/>
      <w:szCs w:val="28"/>
    </w:rPr>
  </w:style>
  <w:style w:type="paragraph" w:styleId="760">
    <w:name w:val="Body Text Indent"/>
    <w:basedOn w:val="743"/>
    <w:uiPriority w:val="0"/>
    <w:qFormat/>
    <w:pPr>
      <w:ind w:firstLine="645"/>
    </w:pPr>
    <w:rPr>
      <w:rFonts w:ascii="楷体_GB2312" w:eastAsia="楷体_GB2312"/>
      <w:sz w:val="32"/>
      <w:szCs w:val="32"/>
    </w:rPr>
  </w:style>
  <w:style w:type="paragraph" w:styleId="761">
    <w:name w:val="List Bullet 2"/>
    <w:basedOn w:val="743"/>
    <w:uiPriority w:val="99"/>
    <w:semiHidden/>
    <w:unhideWhenUsed/>
    <w:qFormat/>
    <w:pPr>
      <w:numPr>
        <w:ilvl w:val="0"/>
        <w:numId w:val="1"/>
      </w:numPr>
    </w:pPr>
  </w:style>
  <w:style w:type="paragraph" w:styleId="762">
    <w:name w:val="toc 5"/>
    <w:basedOn w:val="743"/>
    <w:next w:val="743"/>
    <w:uiPriority w:val="39"/>
    <w:unhideWhenUsed/>
    <w:qFormat/>
    <w:pPr>
      <w:ind w:left="1134"/>
      <w:spacing w:after="57"/>
    </w:pPr>
  </w:style>
  <w:style w:type="paragraph" w:styleId="763">
    <w:name w:val="toc 3"/>
    <w:basedOn w:val="743"/>
    <w:next w:val="743"/>
    <w:uiPriority w:val="39"/>
    <w:unhideWhenUsed/>
    <w:qFormat/>
    <w:pPr>
      <w:ind w:left="567"/>
      <w:spacing w:after="57"/>
    </w:pPr>
  </w:style>
  <w:style w:type="paragraph" w:styleId="764">
    <w:name w:val="Plain Text"/>
    <w:basedOn w:val="743"/>
    <w:uiPriority w:val="99"/>
    <w:qFormat/>
    <w:rPr>
      <w:rFonts w:ascii="宋体" w:hAnsi="Courier New"/>
      <w:sz w:val="20"/>
      <w:szCs w:val="21"/>
    </w:rPr>
  </w:style>
  <w:style w:type="paragraph" w:styleId="765">
    <w:name w:val="toc 8"/>
    <w:basedOn w:val="743"/>
    <w:next w:val="743"/>
    <w:uiPriority w:val="39"/>
    <w:unhideWhenUsed/>
    <w:qFormat/>
    <w:pPr>
      <w:ind w:left="1984"/>
      <w:spacing w:after="57"/>
    </w:pPr>
  </w:style>
  <w:style w:type="paragraph" w:styleId="766">
    <w:name w:val="endnote text"/>
    <w:basedOn w:val="743"/>
    <w:link w:val="945"/>
    <w:uiPriority w:val="99"/>
    <w:semiHidden/>
    <w:unhideWhenUsed/>
    <w:qFormat/>
    <w:rPr>
      <w:sz w:val="20"/>
    </w:rPr>
  </w:style>
  <w:style w:type="paragraph" w:styleId="767">
    <w:name w:val="Footer"/>
    <w:basedOn w:val="743"/>
    <w:link w:val="818"/>
    <w:uiPriority w:val="99"/>
    <w:unhideWhenUsed/>
    <w:qFormat/>
    <w:pPr>
      <w:tabs>
        <w:tab w:val="center" w:pos="7143" w:leader="none"/>
        <w:tab w:val="right" w:pos="14287" w:leader="none"/>
      </w:tabs>
    </w:pPr>
  </w:style>
  <w:style w:type="paragraph" w:styleId="768">
    <w:name w:val="Header"/>
    <w:basedOn w:val="743"/>
    <w:link w:val="816"/>
    <w:uiPriority w:val="99"/>
    <w:unhideWhenUsed/>
    <w:qFormat/>
    <w:pPr>
      <w:tabs>
        <w:tab w:val="center" w:pos="7143" w:leader="none"/>
        <w:tab w:val="right" w:pos="14287" w:leader="none"/>
      </w:tabs>
    </w:pPr>
  </w:style>
  <w:style w:type="paragraph" w:styleId="769">
    <w:name w:val="toc 1"/>
    <w:basedOn w:val="743"/>
    <w:next w:val="743"/>
    <w:uiPriority w:val="39"/>
    <w:unhideWhenUsed/>
    <w:qFormat/>
    <w:pPr>
      <w:spacing w:after="57"/>
    </w:pPr>
  </w:style>
  <w:style w:type="paragraph" w:styleId="770">
    <w:name w:val="toc 4"/>
    <w:basedOn w:val="743"/>
    <w:next w:val="743"/>
    <w:uiPriority w:val="39"/>
    <w:unhideWhenUsed/>
    <w:qFormat/>
    <w:pPr>
      <w:ind w:left="850"/>
      <w:spacing w:after="57"/>
    </w:pPr>
  </w:style>
  <w:style w:type="paragraph" w:styleId="771">
    <w:name w:val="Subtitle"/>
    <w:basedOn w:val="743"/>
    <w:next w:val="743"/>
    <w:link w:val="811"/>
    <w:uiPriority w:val="11"/>
    <w:qFormat/>
    <w:pPr>
      <w:spacing w:before="200" w:after="200"/>
    </w:pPr>
    <w:rPr>
      <w:sz w:val="24"/>
      <w:szCs w:val="24"/>
    </w:rPr>
  </w:style>
  <w:style w:type="paragraph" w:styleId="772">
    <w:name w:val="footnote text"/>
    <w:basedOn w:val="743"/>
    <w:link w:val="944"/>
    <w:uiPriority w:val="99"/>
    <w:semiHidden/>
    <w:unhideWhenUsed/>
    <w:qFormat/>
    <w:pPr>
      <w:spacing w:after="40"/>
    </w:pPr>
    <w:rPr>
      <w:sz w:val="18"/>
    </w:rPr>
  </w:style>
  <w:style w:type="paragraph" w:styleId="773">
    <w:name w:val="toc 6"/>
    <w:basedOn w:val="743"/>
    <w:next w:val="743"/>
    <w:uiPriority w:val="39"/>
    <w:unhideWhenUsed/>
    <w:qFormat/>
    <w:pPr>
      <w:ind w:left="1417"/>
      <w:spacing w:after="57"/>
    </w:pPr>
  </w:style>
  <w:style w:type="paragraph" w:styleId="774">
    <w:name w:val="table of figures"/>
    <w:basedOn w:val="743"/>
    <w:next w:val="743"/>
    <w:uiPriority w:val="99"/>
    <w:unhideWhenUsed/>
    <w:qFormat/>
  </w:style>
  <w:style w:type="paragraph" w:styleId="775">
    <w:name w:val="toc 2"/>
    <w:basedOn w:val="743"/>
    <w:next w:val="743"/>
    <w:uiPriority w:val="39"/>
    <w:unhideWhenUsed/>
    <w:qFormat/>
    <w:pPr>
      <w:ind w:left="283"/>
      <w:spacing w:after="57"/>
    </w:pPr>
  </w:style>
  <w:style w:type="paragraph" w:styleId="776">
    <w:name w:val="toc 9"/>
    <w:basedOn w:val="743"/>
    <w:next w:val="743"/>
    <w:uiPriority w:val="39"/>
    <w:unhideWhenUsed/>
    <w:qFormat/>
    <w:pPr>
      <w:ind w:left="2268"/>
      <w:spacing w:after="57"/>
    </w:pPr>
  </w:style>
  <w:style w:type="paragraph" w:styleId="777">
    <w:name w:val="Body Text 2"/>
    <w:basedOn w:val="743"/>
    <w:uiPriority w:val="0"/>
    <w:qFormat/>
    <w:pPr>
      <w:spacing w:after="120" w:line="480" w:lineRule="auto"/>
    </w:pPr>
  </w:style>
  <w:style w:type="paragraph" w:styleId="778">
    <w:name w:val="Normal (Web)"/>
    <w:basedOn w:val="743"/>
    <w:uiPriority w:val="99"/>
    <w:semiHidden/>
    <w:unhideWhenUsed/>
    <w:qFormat/>
    <w:pPr>
      <w:jc w:val="left"/>
      <w:spacing w:beforeAutospacing="1" w:afterAutospacing="1"/>
    </w:pPr>
    <w:rPr>
      <w:sz w:val="24"/>
    </w:rPr>
  </w:style>
  <w:style w:type="paragraph" w:styleId="779">
    <w:name w:val="Title"/>
    <w:basedOn w:val="743"/>
    <w:next w:val="743"/>
    <w:link w:val="810"/>
    <w:uiPriority w:val="10"/>
    <w:qFormat/>
    <w:pPr>
      <w:contextualSpacing/>
      <w:spacing w:before="300" w:after="200"/>
    </w:pPr>
    <w:rPr>
      <w:sz w:val="48"/>
      <w:szCs w:val="48"/>
    </w:rPr>
  </w:style>
  <w:style w:type="paragraph" w:styleId="780">
    <w:name w:val="Body Text First Indent 2"/>
    <w:basedOn w:val="760"/>
    <w:uiPriority w:val="99"/>
    <w:unhideWhenUsed/>
    <w:qFormat/>
    <w:pPr>
      <w:ind w:firstLine="420"/>
    </w:p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53"/>
    <w:uiPriority w:val="22"/>
    <w:qFormat/>
    <w:rPr>
      <w:b/>
    </w:r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正文（缩进）"/>
    <w:basedOn w:val="743"/>
    <w:next w:val="787"/>
    <w:uiPriority w:val="0"/>
    <w:qFormat/>
    <w:pPr>
      <w:ind w:firstLine="480"/>
      <w:spacing w:before="156" w:after="156"/>
    </w:pPr>
  </w:style>
  <w:style w:type="paragraph" w:styleId="787" w:customStyle="1">
    <w:name w:val="Char Char Char Char Char Char Char Char Char"/>
    <w:basedOn w:val="743"/>
    <w:next w:val="788"/>
    <w:uiPriority w:val="0"/>
    <w:qFormat/>
    <w:pPr>
      <w:ind w:left="360" w:firstLine="5784"/>
    </w:pPr>
  </w:style>
  <w:style w:type="paragraph" w:styleId="788" w:customStyle="1">
    <w:name w:val="正文文本 21"/>
    <w:basedOn w:val="743"/>
    <w:next w:val="789"/>
    <w:uiPriority w:val="0"/>
    <w:qFormat/>
    <w:pPr>
      <w:spacing w:after="120" w:line="480" w:lineRule="auto"/>
    </w:pPr>
  </w:style>
  <w:style w:type="paragraph" w:styleId="789" w:customStyle="1">
    <w:name w:val="默认段落字体 Para Char Char Char Char Char Char Char"/>
    <w:basedOn w:val="743"/>
    <w:next w:val="790"/>
    <w:uiPriority w:val="0"/>
    <w:qFormat/>
    <w:pPr>
      <w:ind w:firstLine="200"/>
    </w:pPr>
    <w:rPr>
      <w:rFonts w:cs="Arial"/>
    </w:rPr>
  </w:style>
  <w:style w:type="paragraph" w:styleId="790" w:customStyle="1">
    <w:name w:val="样式 首行缩进:  2 字符"/>
    <w:basedOn w:val="743"/>
    <w:next w:val="791"/>
    <w:uiPriority w:val="0"/>
    <w:qFormat/>
    <w:pPr>
      <w:ind w:left="480" w:firstLine="5856"/>
      <w:spacing w:line="360" w:lineRule="auto"/>
    </w:pPr>
  </w:style>
  <w:style w:type="paragraph" w:styleId="791" w:customStyle="1">
    <w:name w:val="样式 段后: 0.25 行"/>
    <w:basedOn w:val="743"/>
    <w:next w:val="792"/>
    <w:uiPriority w:val="0"/>
    <w:qFormat/>
    <w:pPr>
      <w:ind w:left="420" w:firstLine="5796"/>
      <w:spacing w:line="300" w:lineRule="auto"/>
      <w:widowControl/>
    </w:pPr>
  </w:style>
  <w:style w:type="paragraph" w:styleId="792" w:customStyle="1">
    <w:name w:val="正文 New New New New New New New New New New New New New New"/>
    <w:next w:val="776"/>
    <w:uiPriority w:val="0"/>
    <w:qFormat/>
    <w:pPr>
      <w:ind w:firstLine="2048"/>
      <w:jc w:val="both"/>
      <w:widowControl w:val="off"/>
    </w:pPr>
    <w:rPr>
      <w:rFonts w:ascii="Calibri" w:hAnsi="Calibri" w:eastAsia="宋体" w:cs="Times New Roman"/>
      <w:lang w:val="en-US" w:eastAsia="zh-CN" w:bidi="ar-SA"/>
    </w:rPr>
  </w:style>
  <w:style w:type="paragraph" w:styleId="793" w:customStyle="1">
    <w:name w:val="目录 91"/>
    <w:basedOn w:val="743"/>
    <w:next w:val="743"/>
    <w:uiPriority w:val="39"/>
    <w:unhideWhenUsed/>
    <w:qFormat/>
    <w:pPr>
      <w:ind w:left="2268"/>
      <w:spacing w:after="57"/>
    </w:pPr>
  </w:style>
  <w:style w:type="paragraph" w:styleId="794" w:customStyle="1">
    <w:name w:val="Default"/>
    <w:next w:val="743"/>
    <w:uiPriority w:val="0"/>
    <w:qFormat/>
    <w:pPr>
      <w:widowControl w:val="off"/>
    </w:pPr>
    <w:rPr>
      <w:rFonts w:ascii="宋体" w:hAnsi="Times New Roman" w:eastAsia="宋体" w:cs="宋体"/>
      <w:color w:val="000000"/>
      <w:sz w:val="24"/>
      <w:szCs w:val="24"/>
      <w:lang w:val="en-US" w:eastAsia="zh-CN" w:bidi="ar-SA"/>
    </w:rPr>
  </w:style>
  <w:style w:type="paragraph" w:styleId="795" w:customStyle="1">
    <w:name w:val="正文文本1"/>
    <w:basedOn w:val="796"/>
    <w:uiPriority w:val="0"/>
    <w:qFormat/>
    <w:pPr>
      <w:spacing w:after="120"/>
    </w:pPr>
    <w:rPr>
      <w:lang w:eastAsia="en-US"/>
    </w:rPr>
  </w:style>
  <w:style w:type="paragraph" w:styleId="796" w:customStyle="1">
    <w:name w:val="正文1"/>
    <w:basedOn w:val="743"/>
    <w:next w:val="795"/>
    <w:uiPriority w:val="0"/>
    <w:qFormat/>
    <w:pPr>
      <w:jc w:val="left"/>
      <w:spacing w:line="360" w:lineRule="atLeast"/>
    </w:pPr>
    <w:rPr>
      <w:rFonts w:ascii="宋体"/>
      <w:sz w:val="24"/>
      <w:szCs w:val="20"/>
    </w:rPr>
  </w:style>
  <w:style w:type="paragraph" w:styleId="797" w:customStyle="1">
    <w:name w:val="正文文本缩进11"/>
    <w:basedOn w:val="743"/>
    <w:next w:val="743"/>
    <w:uiPriority w:val="99"/>
    <w:unhideWhenUsed/>
    <w:qFormat/>
    <w:pPr>
      <w:ind w:firstLine="540"/>
      <w:spacing w:line="400" w:lineRule="exact"/>
    </w:pPr>
    <w:rPr>
      <w:sz w:val="24"/>
    </w:rPr>
  </w:style>
  <w:style w:type="paragraph" w:styleId="798" w:customStyle="1">
    <w:name w:val="标题 31"/>
    <w:basedOn w:val="743"/>
    <w:next w:val="743"/>
    <w:uiPriority w:val="0"/>
    <w:qFormat/>
    <w:pPr>
      <w:keepLines/>
      <w:keepNext/>
      <w:spacing w:before="260" w:after="260" w:line="416" w:lineRule="auto"/>
      <w:outlineLvl w:val="2"/>
    </w:pPr>
    <w:rPr>
      <w:b/>
      <w:bCs/>
      <w:sz w:val="32"/>
      <w:szCs w:val="32"/>
    </w:rPr>
  </w:style>
  <w:style w:type="character" w:styleId="799" w:customStyle="1">
    <w:name w:val="标题 1 字符"/>
    <w:link w:val="744"/>
    <w:uiPriority w:val="9"/>
    <w:qFormat/>
    <w:rPr>
      <w:rFonts w:ascii="Arial" w:hAnsi="Arial" w:eastAsia="Arial" w:cs="Arial"/>
      <w:sz w:val="40"/>
      <w:szCs w:val="40"/>
    </w:rPr>
  </w:style>
  <w:style w:type="character" w:styleId="800" w:customStyle="1">
    <w:name w:val="标题 2 字符"/>
    <w:link w:val="745"/>
    <w:uiPriority w:val="9"/>
    <w:qFormat/>
    <w:rPr>
      <w:rFonts w:ascii="Arial" w:hAnsi="Arial" w:eastAsia="Arial" w:cs="Arial"/>
      <w:sz w:val="34"/>
    </w:rPr>
  </w:style>
  <w:style w:type="character" w:styleId="801" w:customStyle="1">
    <w:name w:val="标题 3 字符"/>
    <w:link w:val="746"/>
    <w:uiPriority w:val="9"/>
    <w:qFormat/>
    <w:rPr>
      <w:rFonts w:ascii="Arial" w:hAnsi="Arial" w:eastAsia="Arial" w:cs="Arial"/>
      <w:sz w:val="30"/>
      <w:szCs w:val="30"/>
    </w:rPr>
  </w:style>
  <w:style w:type="character" w:styleId="802" w:customStyle="1">
    <w:name w:val="标题 4 字符"/>
    <w:link w:val="747"/>
    <w:uiPriority w:val="9"/>
    <w:qFormat/>
    <w:rPr>
      <w:rFonts w:ascii="Arial" w:hAnsi="Arial" w:eastAsia="Arial" w:cs="Arial"/>
      <w:b/>
      <w:bCs/>
      <w:sz w:val="26"/>
      <w:szCs w:val="26"/>
    </w:rPr>
  </w:style>
  <w:style w:type="character" w:styleId="803" w:customStyle="1">
    <w:name w:val="标题 5 字符"/>
    <w:link w:val="748"/>
    <w:uiPriority w:val="9"/>
    <w:qFormat/>
    <w:rPr>
      <w:rFonts w:ascii="Arial" w:hAnsi="Arial" w:eastAsia="Arial" w:cs="Arial"/>
      <w:b/>
      <w:bCs/>
      <w:sz w:val="24"/>
      <w:szCs w:val="24"/>
    </w:rPr>
  </w:style>
  <w:style w:type="character" w:styleId="804" w:customStyle="1">
    <w:name w:val="标题 6 字符"/>
    <w:link w:val="749"/>
    <w:uiPriority w:val="9"/>
    <w:qFormat/>
    <w:rPr>
      <w:rFonts w:ascii="Arial" w:hAnsi="Arial" w:eastAsia="Arial" w:cs="Arial"/>
      <w:b/>
      <w:bCs/>
      <w:sz w:val="22"/>
      <w:szCs w:val="22"/>
    </w:rPr>
  </w:style>
  <w:style w:type="character" w:styleId="805" w:customStyle="1">
    <w:name w:val="标题 7 字符"/>
    <w:link w:val="750"/>
    <w:uiPriority w:val="9"/>
    <w:qFormat/>
    <w:rPr>
      <w:rFonts w:ascii="Arial" w:hAnsi="Arial" w:eastAsia="Arial" w:cs="Arial"/>
      <w:b/>
      <w:bCs/>
      <w:i/>
      <w:iCs/>
      <w:sz w:val="22"/>
      <w:szCs w:val="22"/>
    </w:rPr>
  </w:style>
  <w:style w:type="character" w:styleId="806" w:customStyle="1">
    <w:name w:val="标题 8 字符"/>
    <w:link w:val="751"/>
    <w:uiPriority w:val="9"/>
    <w:qFormat/>
    <w:rPr>
      <w:rFonts w:ascii="Arial" w:hAnsi="Arial" w:eastAsia="Arial" w:cs="Arial"/>
      <w:i/>
      <w:iCs/>
      <w:sz w:val="22"/>
      <w:szCs w:val="22"/>
    </w:rPr>
  </w:style>
  <w:style w:type="character" w:styleId="807" w:customStyle="1">
    <w:name w:val="标题 9 字符"/>
    <w:link w:val="752"/>
    <w:uiPriority w:val="9"/>
    <w:qFormat/>
    <w:rPr>
      <w:rFonts w:ascii="Arial" w:hAnsi="Arial" w:eastAsia="Arial" w:cs="Arial"/>
      <w:i/>
      <w:iCs/>
      <w:sz w:val="21"/>
      <w:szCs w:val="21"/>
    </w:rPr>
  </w:style>
  <w:style w:type="paragraph" w:styleId="808">
    <w:name w:val="List Paragraph"/>
    <w:basedOn w:val="743"/>
    <w:uiPriority w:val="34"/>
    <w:qFormat/>
    <w:pPr>
      <w:contextualSpacing/>
      <w:ind w:left="720"/>
    </w:p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标题 字符"/>
    <w:link w:val="779"/>
    <w:uiPriority w:val="10"/>
    <w:qFormat/>
    <w:rPr>
      <w:sz w:val="48"/>
      <w:szCs w:val="48"/>
    </w:rPr>
  </w:style>
  <w:style w:type="character" w:styleId="811" w:customStyle="1">
    <w:name w:val="副标题 字符"/>
    <w:link w:val="771"/>
    <w:uiPriority w:val="11"/>
    <w:qFormat/>
    <w:rPr>
      <w:sz w:val="24"/>
      <w:szCs w:val="24"/>
    </w:rPr>
  </w:style>
  <w:style w:type="paragraph" w:styleId="812">
    <w:name w:val="Quote"/>
    <w:basedOn w:val="743"/>
    <w:next w:val="743"/>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43"/>
    <w:next w:val="743"/>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眉 字符"/>
    <w:link w:val="768"/>
    <w:uiPriority w:val="99"/>
    <w:qFormat/>
  </w:style>
  <w:style w:type="character" w:styleId="817" w:customStyle="1">
    <w:name w:val="Footer Char"/>
    <w:uiPriority w:val="99"/>
    <w:qFormat/>
  </w:style>
  <w:style w:type="character" w:styleId="818" w:customStyle="1">
    <w:name w:val="页脚 字符"/>
    <w:link w:val="767"/>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72"/>
    <w:uiPriority w:val="99"/>
    <w:qFormat/>
    <w:rPr>
      <w:sz w:val="18"/>
    </w:rPr>
  </w:style>
  <w:style w:type="character" w:styleId="945" w:customStyle="1">
    <w:name w:val="尾注文本 字符"/>
    <w:link w:val="766"/>
    <w:uiPriority w:val="99"/>
    <w:qFormat/>
    <w:rPr>
      <w:sz w:val="20"/>
    </w:rPr>
  </w:style>
  <w:style w:type="paragraph" w:styleId="946" w:customStyle="1">
    <w:name w:val="TOC 标题1"/>
    <w:uiPriority w:val="39"/>
    <w:unhideWhenUsed/>
    <w:qFormat/>
    <w:rPr>
      <w:rFonts w:ascii="Times New Roman" w:hAnsi="Times New Roman" w:eastAsia="宋体" w:cs="Times New Roman"/>
      <w:lang w:val="en-US" w:eastAsia="zh-CN" w:bidi="ar-SA"/>
    </w:rPr>
  </w:style>
  <w:style w:type="paragraph" w:styleId="947" w:customStyle="1">
    <w:name w:val="标题 11"/>
    <w:basedOn w:val="743"/>
    <w:next w:val="743"/>
    <w:uiPriority w:val="9"/>
    <w:qFormat/>
    <w:pPr>
      <w:keepLines/>
      <w:keepNext/>
      <w:spacing w:before="340" w:after="330" w:line="578" w:lineRule="auto"/>
      <w:outlineLvl w:val="0"/>
    </w:pPr>
    <w:rPr>
      <w:b/>
      <w:bCs/>
      <w:sz w:val="44"/>
      <w:szCs w:val="44"/>
    </w:rPr>
  </w:style>
  <w:style w:type="paragraph" w:styleId="948" w:customStyle="1">
    <w:name w:val="标题 211"/>
    <w:basedOn w:val="743"/>
    <w:next w:val="9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customStyle="1">
    <w:name w:val="正文缩进11"/>
    <w:basedOn w:val="743"/>
    <w:uiPriority w:val="0"/>
    <w:unhideWhenUsed/>
    <w:qFormat/>
    <w:pPr>
      <w:ind w:firstLine="420"/>
    </w:p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引文目录1"/>
    <w:basedOn w:val="743"/>
    <w:next w:val="743"/>
    <w:uiPriority w:val="0"/>
    <w:qFormat/>
    <w:pPr>
      <w:ind w:left="420"/>
    </w:pPr>
  </w:style>
  <w:style w:type="paragraph" w:styleId="953" w:customStyle="1">
    <w:name w:val="批注文字1"/>
    <w:basedOn w:val="743"/>
    <w:link w:val="954"/>
    <w:uiPriority w:val="0"/>
    <w:qFormat/>
    <w:pPr>
      <w:jc w:val="left"/>
    </w:pPr>
  </w:style>
  <w:style w:type="character" w:styleId="954" w:customStyle="1">
    <w:name w:val="批注文字 Char"/>
    <w:link w:val="953"/>
    <w:uiPriority w:val="0"/>
    <w:qFormat/>
    <w:rPr>
      <w:rFonts w:ascii="Calibri" w:hAnsi="Calibri"/>
      <w:sz w:val="21"/>
      <w:szCs w:val="22"/>
    </w:rPr>
  </w:style>
  <w:style w:type="paragraph" w:styleId="955" w:customStyle="1">
    <w:name w:val="正文文本111"/>
    <w:basedOn w:val="743"/>
    <w:next w:val="956"/>
    <w:uiPriority w:val="0"/>
    <w:qFormat/>
    <w:rPr>
      <w:rFonts w:ascii="楷体_GB2312" w:hAnsi="Arial" w:eastAsia="楷体_GB2312"/>
      <w:sz w:val="28"/>
      <w:szCs w:val="28"/>
    </w:rPr>
  </w:style>
  <w:style w:type="paragraph" w:styleId="956" w:customStyle="1">
    <w:name w:val="正文文本 211"/>
    <w:basedOn w:val="743"/>
    <w:uiPriority w:val="0"/>
    <w:qFormat/>
    <w:pPr>
      <w:spacing w:after="120" w:line="480" w:lineRule="auto"/>
    </w:pPr>
  </w:style>
  <w:style w:type="paragraph" w:styleId="957" w:customStyle="1">
    <w:name w:val="列表项目符号 21"/>
    <w:basedOn w:val="743"/>
    <w:uiPriority w:val="0"/>
    <w:qFormat/>
    <w:pPr>
      <w:numPr>
        <w:ilvl w:val="0"/>
        <w:numId w:val="2"/>
      </w:numPr>
    </w:pPr>
  </w:style>
  <w:style w:type="paragraph" w:styleId="958" w:customStyle="1">
    <w:name w:val="纯文本11"/>
    <w:basedOn w:val="743"/>
    <w:uiPriority w:val="99"/>
    <w:qFormat/>
    <w:rPr>
      <w:rFonts w:ascii="宋体" w:hAnsi="Courier New"/>
      <w:sz w:val="20"/>
      <w:szCs w:val="21"/>
    </w:rPr>
  </w:style>
  <w:style w:type="paragraph" w:styleId="959" w:customStyle="1">
    <w:name w:val="批注框文本1"/>
    <w:basedOn w:val="743"/>
    <w:link w:val="960"/>
    <w:uiPriority w:val="0"/>
    <w:qFormat/>
    <w:rPr>
      <w:sz w:val="18"/>
      <w:szCs w:val="18"/>
    </w:rPr>
  </w:style>
  <w:style w:type="character" w:styleId="960" w:customStyle="1">
    <w:name w:val="批注框文本 Char"/>
    <w:link w:val="959"/>
    <w:uiPriority w:val="0"/>
    <w:qFormat/>
    <w:rPr>
      <w:sz w:val="18"/>
      <w:szCs w:val="18"/>
    </w:rPr>
  </w:style>
  <w:style w:type="paragraph" w:styleId="961" w:customStyle="1">
    <w:name w:val="页脚1"/>
    <w:basedOn w:val="743"/>
    <w:uiPriority w:val="99"/>
    <w:unhideWhenUsed/>
    <w:qFormat/>
    <w:pPr>
      <w:jc w:val="left"/>
      <w:tabs>
        <w:tab w:val="center" w:pos="4153" w:leader="none"/>
        <w:tab w:val="right" w:pos="8306" w:leader="none"/>
      </w:tabs>
    </w:pPr>
    <w:rPr>
      <w:sz w:val="18"/>
      <w:szCs w:val="18"/>
    </w:rPr>
  </w:style>
  <w:style w:type="paragraph" w:styleId="962" w:customStyle="1">
    <w:name w:val="寄信人地址1"/>
    <w:basedOn w:val="743"/>
    <w:uiPriority w:val="99"/>
    <w:unhideWhenUsed/>
    <w:qFormat/>
    <w:rPr>
      <w:rFonts w:ascii="Arial" w:hAnsi="Arial"/>
    </w:rPr>
  </w:style>
  <w:style w:type="paragraph" w:styleId="963" w:customStyle="1">
    <w:name w:val="页眉1"/>
    <w:basedOn w:val="7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4" w:customStyle="1">
    <w:name w:val="目录 11"/>
    <w:basedOn w:val="743"/>
    <w:next w:val="743"/>
    <w:uiPriority w:val="39"/>
    <w:unhideWhenUsed/>
    <w:qFormat/>
  </w:style>
  <w:style w:type="paragraph" w:styleId="965" w:customStyle="1">
    <w:name w:val="信息标题1"/>
    <w:basedOn w:val="74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6" w:customStyle="1">
    <w:name w:val="普通(网站)1"/>
    <w:basedOn w:val="743"/>
    <w:uiPriority w:val="0"/>
    <w:qFormat/>
    <w:rPr>
      <w:rFonts w:ascii="Times New Roman" w:hAnsi="Times New Roman"/>
      <w:sz w:val="24"/>
    </w:rPr>
  </w:style>
  <w:style w:type="paragraph" w:styleId="967" w:customStyle="1">
    <w:name w:val="批注主题1"/>
    <w:basedOn w:val="953"/>
    <w:next w:val="953"/>
    <w:link w:val="968"/>
    <w:uiPriority w:val="0"/>
    <w:qFormat/>
    <w:rPr>
      <w:b/>
      <w:bCs/>
    </w:rPr>
  </w:style>
  <w:style w:type="character" w:styleId="968" w:customStyle="1">
    <w:name w:val="批注主题 Char"/>
    <w:link w:val="967"/>
    <w:uiPriority w:val="0"/>
    <w:qFormat/>
    <w:rPr>
      <w:rFonts w:ascii="Calibri" w:hAnsi="Calibri"/>
      <w:b/>
      <w:bCs/>
      <w:sz w:val="21"/>
      <w:szCs w:val="22"/>
    </w:rPr>
  </w:style>
  <w:style w:type="paragraph" w:styleId="969" w:customStyle="1">
    <w:name w:val="正文首行缩进 211"/>
    <w:basedOn w:val="797"/>
    <w:next w:val="743"/>
    <w:uiPriority w:val="0"/>
    <w:qFormat/>
    <w:pPr>
      <w:ind w:firstLine="420"/>
      <w:spacing w:before="100" w:beforeAutospacing="1"/>
    </w:pPr>
    <w:rPr>
      <w:rFonts w:ascii="Times New Roman" w:hAnsi="Times New Roman"/>
      <w:sz w:val="20"/>
      <w:szCs w:val="21"/>
    </w:rPr>
  </w:style>
  <w:style w:type="table" w:styleId="970" w:customStyle="1">
    <w:name w:val="网格型1"/>
    <w:basedOn w:val="951"/>
    <w:uiPriority w:val="59"/>
    <w:qFormat/>
    <w:tblPr/>
  </w:style>
  <w:style w:type="character" w:styleId="971" w:customStyle="1">
    <w:name w:val="要点1"/>
    <w:uiPriority w:val="0"/>
    <w:qFormat/>
    <w:rPr>
      <w:b/>
    </w:rPr>
  </w:style>
  <w:style w:type="character" w:styleId="972" w:customStyle="1">
    <w:name w:val="超链接1"/>
    <w:uiPriority w:val="0"/>
    <w:qFormat/>
    <w:rPr>
      <w:color w:val="0000ff"/>
      <w:u w:val="single"/>
    </w:rPr>
  </w:style>
  <w:style w:type="character" w:styleId="973" w:customStyle="1">
    <w:name w:val="批注引用1"/>
    <w:uiPriority w:val="0"/>
    <w:qFormat/>
    <w:rPr>
      <w:sz w:val="21"/>
      <w:szCs w:val="21"/>
    </w:rPr>
  </w:style>
  <w:style w:type="paragraph" w:styleId="974" w:customStyle="1">
    <w:name w:val="一级条标题"/>
    <w:basedOn w:val="975"/>
    <w:next w:val="9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customStyle="1">
    <w:name w:val="章标题"/>
    <w:next w:val="9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6" w:customStyle="1">
    <w:name w:val="正文11"/>
    <w:next w:val="977"/>
    <w:uiPriority w:val="0"/>
    <w:qFormat/>
    <w:pPr>
      <w:jc w:val="both"/>
      <w:widowControl w:val="off"/>
    </w:pPr>
    <w:rPr>
      <w:rFonts w:ascii="Times New Roman" w:hAnsi="Times New Roman" w:eastAsia="宋体" w:cs="Times New Roman"/>
      <w:sz w:val="21"/>
      <w:szCs w:val="22"/>
      <w:lang w:val="en-US" w:eastAsia="zh-CN" w:bidi="ar-SA"/>
    </w:rPr>
  </w:style>
  <w:style w:type="paragraph" w:styleId="977" w:customStyle="1">
    <w:name w:val="正文首行缩进 21"/>
    <w:basedOn w:val="978"/>
    <w:next w:val="743"/>
    <w:uiPriority w:val="0"/>
    <w:qFormat/>
    <w:pPr>
      <w:ind w:firstLine="420"/>
    </w:pPr>
  </w:style>
  <w:style w:type="paragraph" w:styleId="978" w:customStyle="1">
    <w:name w:val="正文文本缩进1"/>
    <w:basedOn w:val="976"/>
    <w:next w:val="743"/>
    <w:uiPriority w:val="0"/>
    <w:qFormat/>
    <w:pPr>
      <w:ind w:firstLine="540"/>
      <w:spacing w:line="400" w:lineRule="exact"/>
    </w:pPr>
    <w:rPr>
      <w:sz w:val="24"/>
    </w:rPr>
  </w:style>
  <w:style w:type="paragraph" w:styleId="979" w:customStyle="1">
    <w:name w:val="段"/>
    <w:basedOn w:val="796"/>
    <w:next w:val="743"/>
    <w:uiPriority w:val="0"/>
    <w:qFormat/>
    <w:pPr>
      <w:ind w:firstLine="200"/>
      <w:widowControl/>
    </w:pPr>
    <w:rPr>
      <w:sz w:val="20"/>
    </w:rPr>
  </w:style>
  <w:style w:type="paragraph" w:styleId="980"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981" w:customStyle="1">
    <w:name w:val="Char"/>
    <w:basedOn w:val="743"/>
    <w:uiPriority w:val="0"/>
    <w:qFormat/>
    <w:pPr>
      <w:ind w:firstLine="200"/>
      <w:tabs>
        <w:tab w:val="left" w:pos="360" w:leader="none"/>
      </w:tabs>
    </w:pPr>
    <w:rPr>
      <w:rFonts w:ascii="Times New Roman" w:hAnsi="Times New Roman"/>
      <w:sz w:val="28"/>
      <w:szCs w:val="30"/>
    </w:rPr>
  </w:style>
  <w:style w:type="paragraph" w:styleId="982" w:customStyle="1">
    <w:name w:val="正文空2格  1."/>
    <w:basedOn w:val="743"/>
    <w:uiPriority w:val="0"/>
    <w:qFormat/>
    <w:pPr>
      <w:ind w:firstLine="480"/>
    </w:pPr>
    <w:rPr>
      <w:rFonts w:cs="宋体"/>
      <w:sz w:val="28"/>
      <w:szCs w:val="20"/>
    </w:rPr>
  </w:style>
  <w:style w:type="paragraph" w:styleId="983" w:customStyle="1">
    <w:name w:val="标题 21"/>
    <w:basedOn w:val="743"/>
    <w:next w:val="984"/>
    <w:uiPriority w:val="9"/>
    <w:qFormat/>
    <w:pPr>
      <w:keepLines/>
      <w:keepNext/>
      <w:spacing w:before="260" w:after="260" w:line="416" w:lineRule="auto"/>
      <w:outlineLvl w:val="1"/>
    </w:pPr>
    <w:rPr>
      <w:rFonts w:ascii="Cambria" w:hAnsi="Cambria"/>
      <w:b/>
      <w:bCs/>
      <w:sz w:val="32"/>
      <w:szCs w:val="32"/>
    </w:rPr>
  </w:style>
  <w:style w:type="paragraph" w:styleId="984" w:customStyle="1">
    <w:name w:val="正文首行缩进1"/>
    <w:basedOn w:val="985"/>
    <w:uiPriority w:val="0"/>
    <w:qFormat/>
    <w:pPr>
      <w:ind w:firstLine="425"/>
      <w:spacing w:before="100" w:after="100" w:line="360" w:lineRule="atLeast"/>
    </w:pPr>
    <w:rPr>
      <w:rFonts w:ascii="Times New Roman" w:hAnsi="Times New Roman" w:eastAsia="宋体"/>
    </w:rPr>
  </w:style>
  <w:style w:type="paragraph" w:styleId="985" w:customStyle="1">
    <w:name w:val="正文文本11"/>
    <w:basedOn w:val="743"/>
    <w:next w:val="788"/>
    <w:uiPriority w:val="0"/>
    <w:qFormat/>
    <w:rPr>
      <w:rFonts w:ascii="楷体_GB2312" w:hAnsi="Arial" w:eastAsia="楷体_GB2312"/>
      <w:sz w:val="28"/>
      <w:szCs w:val="28"/>
    </w:rPr>
  </w:style>
  <w:style w:type="paragraph" w:styleId="986" w:customStyle="1">
    <w:name w:val="正文缩进1"/>
    <w:basedOn w:val="743"/>
    <w:uiPriority w:val="0"/>
    <w:unhideWhenUsed/>
    <w:qFormat/>
    <w:pPr>
      <w:ind w:firstLine="420"/>
    </w:pPr>
  </w:style>
  <w:style w:type="paragraph" w:styleId="987" w:customStyle="1">
    <w:name w:val="纯文本1"/>
    <w:basedOn w:val="976"/>
    <w:uiPriority w:val="0"/>
    <w:qFormat/>
    <w:rPr>
      <w:rFonts w:ascii="宋体" w:hAnsi="Courier New"/>
      <w:sz w:val="20"/>
      <w:szCs w:val="20"/>
    </w:rPr>
  </w:style>
  <w:style w:type="paragraph" w:styleId="988" w:customStyle="1">
    <w:name w:val="Body Text First Indent 21"/>
    <w:basedOn w:val="989"/>
    <w:uiPriority w:val="0"/>
    <w:qFormat/>
    <w:pPr>
      <w:ind w:firstLine="420"/>
    </w:pPr>
  </w:style>
  <w:style w:type="paragraph" w:styleId="989" w:customStyle="1">
    <w:name w:val="Body Text Indent1"/>
    <w:basedOn w:val="743"/>
    <w:uiPriority w:val="0"/>
    <w:qFormat/>
    <w:pPr>
      <w:ind w:left="420"/>
    </w:pPr>
  </w:style>
  <w:style w:type="paragraph" w:styleId="990" w:customStyle="1">
    <w:name w:val="Table Paragraph"/>
    <w:basedOn w:val="743"/>
    <w:uiPriority w:val="1"/>
    <w:qFormat/>
    <w:rPr>
      <w:rFonts w:ascii="宋体" w:hAnsi="宋体" w:cs="宋体"/>
      <w:lang w:val="zh-CN" w:bidi="zh-CN"/>
    </w:rPr>
  </w:style>
  <w:style w:type="paragraph" w:styleId="991" w:customStyle="1">
    <w:name w:val="ListBullet21"/>
    <w:basedOn w:val="743"/>
    <w:uiPriority w:val="0"/>
    <w:qFormat/>
    <w:pPr>
      <w:numPr>
        <w:ilvl w:val="0"/>
        <w:numId w:val="3"/>
      </w:numPr>
      <w:tabs>
        <w:tab w:val="decimal" w:pos="780" w:leader="none"/>
      </w:tabs>
    </w:pPr>
  </w:style>
  <w:style w:type="paragraph" w:styleId="992" w:customStyle="1">
    <w:name w:val="标题 51"/>
    <w:basedOn w:val="743"/>
    <w:next w:val="986"/>
    <w:uiPriority w:val="0"/>
    <w:qFormat/>
    <w:pPr>
      <w:keepNext/>
      <w:outlineLvl w:val="4"/>
    </w:pPr>
    <w:rPr>
      <w:rFonts w:ascii="宋体"/>
      <w:color w:val="000000"/>
      <w:sz w:val="28"/>
      <w:szCs w:val="28"/>
    </w:rPr>
  </w:style>
  <w:style w:type="paragraph" w:styleId="993" w:customStyle="1">
    <w:name w:val="Table Text"/>
    <w:basedOn w:val="743"/>
    <w:uiPriority w:val="0"/>
    <w:semiHidden/>
    <w:qFormat/>
    <w:rPr>
      <w:rFonts w:ascii="Arial" w:hAnsi="Arial" w:eastAsia="Arial" w:cs="Arial"/>
      <w:szCs w:val="21"/>
      <w:lang w:eastAsia="en-US"/>
    </w:rPr>
  </w:style>
  <w:style w:type="table" w:styleId="994"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9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4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高中翠</cp:lastModifiedBy>
  <cp:revision>16</cp:revision>
  <dcterms:created xsi:type="dcterms:W3CDTF">2023-07-07T02:21:00Z</dcterms:created>
  <dcterms:modified xsi:type="dcterms:W3CDTF">2026-06-25T02:26:51Z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02F73878181F452AB3D48D48382F21A1_13</vt:lpwstr>
  </property>
  <property fmtid="{D5CDD505-2E9C-101B-9397-08002B2CF9AE}" pid="4" name="KSOTemplateDocerSaveRecord">
    <vt:lpwstr>eyJoZGlkIjoiMDU2Nzg2MjFlYTg4YWM4NDc3MWYxYjMwMmMxOGQ0MjYiLCJ1c2VySWQiOiIxNDU4ODA2MzcyIn0=</vt:lpwstr>
  </property>
</Properties>
</file>