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jc w:val="center"/>
        <w:spacing w:line="240" w:lineRule="auto"/>
        <w:rPr>
          <w:rFonts w:hint="eastAsia" w:ascii="宋体" w:hAnsi="宋体" w:eastAsia="宋体" w:cs="宋体"/>
          <w:color w:val="000000"/>
          <w:sz w:val="72"/>
          <w:szCs w:val="72"/>
          <w:highlight w:val="none"/>
        </w:rPr>
      </w:pPr>
      <w:r/>
      <w:bookmarkStart w:id="0" w:name="OLE_LINK1"/>
      <w:r>
        <w:rPr>
          <w:rFonts w:hint="eastAsia" w:ascii="宋体" w:hAnsi="宋体" w:eastAsia="宋体" w:cs="宋体"/>
          <w:color w:val="000000"/>
          <w:sz w:val="60"/>
          <w:szCs w:val="21"/>
          <w:highlight w:val="none"/>
        </w:rPr>
        <w:t xml:space="preserve">江苏省计量科学研究院（江苏省能源计量数据中心）</w:t>
      </w:r>
      <w:r>
        <w:rPr>
          <w:rFonts w:hint="eastAsia" w:ascii="宋体" w:hAnsi="宋体" w:eastAsia="宋体" w:cs="宋体"/>
          <w:color w:val="000000"/>
          <w:sz w:val="72"/>
          <w:szCs w:val="72"/>
          <w:highlight w:val="none"/>
        </w:rPr>
      </w:r>
      <w:r/>
    </w:p>
    <w:p>
      <w:pPr>
        <w:pStyle w:val="825"/>
        <w:rPr>
          <w:rFonts w:hint="eastAsia" w:ascii="宋体" w:hAnsi="宋体" w:eastAsia="宋体" w:cs="宋体"/>
          <w:color w:val="000000"/>
          <w:sz w:val="24"/>
          <w:szCs w:val="24"/>
          <w:highlight w:val="none"/>
        </w:rPr>
      </w:pPr>
      <w:r/>
      <w:bookmarkEnd w:id="0"/>
      <w:r>
        <w:rPr>
          <w:rFonts w:hint="eastAsia" w:ascii="宋体" w:hAnsi="宋体" w:eastAsia="宋体" w:cs="宋体"/>
          <w:color w:val="000000"/>
          <w:sz w:val="24"/>
          <w:szCs w:val="24"/>
          <w:highlight w:val="none"/>
        </w:rPr>
      </w:r>
      <w:r/>
    </w:p>
    <w:p>
      <w:pPr>
        <w:pStyle w:val="825"/>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825"/>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招标文件</w:t>
      </w:r>
      <w:r>
        <w:rPr>
          <w:rFonts w:hint="eastAsia" w:ascii="宋体" w:hAnsi="宋体" w:eastAsia="宋体" w:cs="宋体"/>
          <w:color w:val="000000"/>
          <w:sz w:val="72"/>
          <w:szCs w:val="72"/>
          <w:highlight w:val="none"/>
        </w:rPr>
      </w:r>
      <w:r/>
    </w:p>
    <w:p>
      <w:pPr>
        <w:pStyle w:val="825"/>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5"/>
        <w:ind w:left="647" w:hanging="17"/>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eastAsia="zh-CN"/>
        </w:rPr>
        <w:t xml:space="preserve">JSZC-320000-HWZX-G2026-0320</w:t>
      </w:r>
      <w:r>
        <w:rPr>
          <w:rFonts w:hint="eastAsia" w:ascii="宋体" w:hAnsi="宋体" w:eastAsia="宋体" w:cs="宋体"/>
          <w:color w:val="000000"/>
          <w:sz w:val="32"/>
          <w:szCs w:val="32"/>
          <w:highlight w:val="none"/>
          <w:lang w:eastAsia="zh-CN"/>
        </w:rPr>
      </w:r>
      <w:r/>
    </w:p>
    <w:p>
      <w:pPr>
        <w:pStyle w:val="825"/>
        <w:ind w:left="647" w:hanging="17"/>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代理机构内部编号：</w:t>
      </w:r>
      <w:r>
        <w:rPr>
          <w:rFonts w:hint="eastAsia" w:ascii="宋体" w:hAnsi="宋体" w:eastAsia="宋体" w:cs="宋体"/>
          <w:color w:val="000000"/>
          <w:sz w:val="32"/>
          <w:szCs w:val="32"/>
          <w:highlight w:val="none"/>
          <w:lang w:eastAsia="zh-CN"/>
        </w:rPr>
        <w:t xml:space="preserve">0675-266JOC004415</w:t>
      </w:r>
      <w:r>
        <w:rPr>
          <w:rFonts w:hint="eastAsia" w:ascii="宋体" w:hAnsi="宋体" w:eastAsia="宋体" w:cs="宋体"/>
          <w:color w:val="000000"/>
          <w:sz w:val="32"/>
          <w:szCs w:val="32"/>
          <w:highlight w:val="none"/>
          <w:lang w:eastAsia="zh-CN"/>
        </w:rPr>
      </w:r>
      <w:r/>
    </w:p>
    <w:p>
      <w:pPr>
        <w:pStyle w:val="825"/>
        <w:ind w:left="1481" w:hanging="851"/>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项目名称：</w:t>
      </w:r>
      <w:r>
        <w:rPr>
          <w:rFonts w:hint="eastAsia" w:ascii="宋体" w:hAnsi="宋体" w:eastAsia="宋体" w:cs="宋体"/>
          <w:color w:val="000000"/>
          <w:sz w:val="32"/>
          <w:szCs w:val="32"/>
          <w:highlight w:val="none"/>
          <w:lang w:eastAsia="zh-CN"/>
        </w:rPr>
        <w:t xml:space="preserve">江苏省计量检测基地(二期)实验室家具采购</w:t>
      </w:r>
      <w:r>
        <w:rPr>
          <w:rFonts w:hint="eastAsia" w:ascii="宋体" w:hAnsi="宋体" w:eastAsia="宋体" w:cs="宋体"/>
          <w:color w:val="000000"/>
          <w:sz w:val="32"/>
          <w:szCs w:val="32"/>
          <w:highlight w:val="none"/>
          <w:lang w:eastAsia="zh-CN"/>
        </w:rPr>
      </w:r>
      <w:r/>
    </w:p>
    <w:p>
      <w:pPr>
        <w:pStyle w:val="825"/>
        <w:ind w:left="1481" w:hanging="85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 购 人：江苏省计量科学研究院（江苏省能源计量数据中心）</w:t>
      </w:r>
      <w:r>
        <w:rPr>
          <w:rFonts w:hint="eastAsia" w:ascii="宋体" w:hAnsi="宋体" w:eastAsia="宋体" w:cs="宋体"/>
          <w:color w:val="000000"/>
          <w:sz w:val="32"/>
          <w:szCs w:val="32"/>
          <w:highlight w:val="none"/>
        </w:rPr>
      </w:r>
      <w:r/>
    </w:p>
    <w:p>
      <w:pPr>
        <w:pStyle w:val="825"/>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5"/>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2472055</wp:posOffset>
                </wp:positionH>
                <wp:positionV relativeFrom="paragraph">
                  <wp:posOffset>389255</wp:posOffset>
                </wp:positionV>
                <wp:extent cx="1236345" cy="49022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36345" cy="490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94.6pt;mso-position-horizontal:absolute;mso-position-vertical-relative:text;margin-top:30.6pt;mso-position-vertical:absolute;width:97.3pt;height:38.6pt;mso-wrap-distance-left:9.0pt;mso-wrap-distance-top:0.0pt;mso-wrap-distance-right:9.0pt;mso-wrap-distance-bottom:0.0pt;" stroked="f">
                <v:path textboxrect="0,0,0,0"/>
                <w10:wrap type="square"/>
                <v:imagedata r:id="rId16" o:title=""/>
              </v:shape>
            </w:pict>
          </mc:Fallback>
        </mc:AlternateContent>
      </w:r>
      <w:r>
        <w:rPr>
          <w:rFonts w:hint="eastAsia" w:ascii="宋体" w:hAnsi="宋体" w:eastAsia="宋体" w:cs="宋体"/>
          <w:color w:val="000000"/>
          <w:sz w:val="36"/>
          <w:szCs w:val="36"/>
          <w:highlight w:val="none"/>
        </w:rPr>
      </w:r>
      <w:r/>
    </w:p>
    <w:p>
      <w:pPr>
        <w:pStyle w:val="825"/>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5"/>
        <w:ind w:left="1691" w:hanging="85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代理机构：江苏海外集团国际工程咨询有限公司</w:t>
      </w:r>
      <w:r>
        <w:rPr>
          <w:rFonts w:hint="eastAsia" w:ascii="宋体" w:hAnsi="宋体" w:eastAsia="宋体" w:cs="宋体"/>
          <w:color w:val="000000"/>
          <w:sz w:val="32"/>
          <w:szCs w:val="32"/>
          <w:highlight w:val="none"/>
        </w:rPr>
      </w:r>
      <w:r/>
    </w:p>
    <w:p>
      <w:pPr>
        <w:pStyle w:val="882"/>
        <w:jc w:val="center"/>
        <w:tabs>
          <w:tab w:val="right" w:pos="8306" w:leader="dot"/>
        </w:tabs>
        <w:rPr>
          <w:rFonts w:hint="eastAsia" w:ascii="宋体" w:hAnsi="宋体" w:cs="宋体"/>
          <w:color w:val="000000"/>
          <w:spacing w:val="30"/>
          <w:sz w:val="32"/>
          <w:szCs w:val="32"/>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color w:val="000000"/>
          <w:spacing w:val="30"/>
          <w:sz w:val="32"/>
          <w:szCs w:val="32"/>
          <w:highlight w:val="none"/>
        </w:rPr>
        <w:t xml:space="preserve">二〇二六年</w:t>
      </w:r>
      <w:r>
        <w:rPr>
          <w:rFonts w:hint="eastAsia" w:ascii="宋体" w:hAnsi="宋体" w:cs="宋体"/>
          <w:color w:val="000000"/>
          <w:spacing w:val="30"/>
          <w:sz w:val="32"/>
          <w:szCs w:val="32"/>
          <w:highlight w:val="none"/>
          <w:lang w:val="en-US" w:eastAsia="zh-CN"/>
        </w:rPr>
        <w:t xml:space="preserve">六</w:t>
      </w:r>
      <w:r>
        <w:rPr>
          <w:rFonts w:hint="eastAsia" w:ascii="宋体" w:hAnsi="宋体" w:cs="宋体"/>
          <w:color w:val="000000"/>
          <w:spacing w:val="30"/>
          <w:sz w:val="32"/>
          <w:szCs w:val="32"/>
          <w:highlight w:val="none"/>
        </w:rPr>
        <w:t xml:space="preserve">月</w:t>
      </w:r>
      <w:r>
        <w:rPr>
          <w:rFonts w:hint="eastAsia" w:ascii="宋体" w:hAnsi="宋体" w:cs="宋体"/>
          <w:color w:val="000000"/>
          <w:spacing w:val="30"/>
          <w:sz w:val="32"/>
          <w:szCs w:val="32"/>
          <w:highlight w:val="none"/>
        </w:rPr>
      </w:r>
      <w:r/>
    </w:p>
    <w:p>
      <w:pPr>
        <w:pStyle w:val="882"/>
        <w:jc w:val="center"/>
        <w:tabs>
          <w:tab w:val="right" w:pos="8306" w:leader="dot"/>
        </w:tabs>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目 录</w:t>
      </w:r>
      <w:r>
        <w:rPr>
          <w:rFonts w:hint="eastAsia" w:ascii="宋体" w:hAnsi="宋体" w:cs="宋体"/>
          <w:color w:val="000000"/>
          <w:sz w:val="44"/>
          <w:szCs w:val="44"/>
          <w:highlight w:val="none"/>
        </w:rPr>
      </w:r>
      <w:r/>
    </w:p>
    <w:p>
      <w:pPr>
        <w:pStyle w:val="882"/>
        <w:tabs>
          <w:tab w:val="right" w:pos="9746" w:leader="dot"/>
        </w:tabs>
        <w:rPr>
          <w:color w:val="000000"/>
          <w:highlight w:val="none"/>
        </w:rPr>
      </w:pPr>
      <w:r/>
      <w:bookmarkStart w:id="1" w:name="_Toc32113"/>
      <w:r/>
      <w:bookmarkStart w:id="2" w:name="_Toc6351"/>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TOC \o "1-3" \h \u </w:instrText>
      </w:r>
      <w:r>
        <w:rPr>
          <w:rFonts w:hint="eastAsia" w:ascii="宋体" w:hAnsi="宋体" w:cs="宋体"/>
          <w:color w:val="000000"/>
          <w:sz w:val="22"/>
          <w:szCs w:val="22"/>
          <w:highlight w:val="none"/>
        </w:rPr>
        <w:fldChar w:fldCharType="separate"/>
      </w: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_Toc12396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_Toc12396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_Toc19764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_Toc19764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_Toc11586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二、申请人的资质要求</w:t>
      </w:r>
      <w:r>
        <w:rPr>
          <w:color w:val="000000"/>
          <w:highlight w:val="none"/>
        </w:rPr>
        <w:tab/>
      </w:r>
      <w:r>
        <w:rPr>
          <w:color w:val="000000"/>
          <w:highlight w:val="none"/>
        </w:rPr>
        <w:fldChar w:fldCharType="begin"/>
      </w:r>
      <w:r>
        <w:rPr>
          <w:color w:val="000000"/>
          <w:highlight w:val="none"/>
        </w:rPr>
        <w:instrText xml:space="preserve"> PAGEREF _Toc11586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_Toc3858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三、招标文件发售信息</w:t>
      </w:r>
      <w:r>
        <w:rPr>
          <w:color w:val="000000"/>
          <w:highlight w:val="none"/>
        </w:rPr>
        <w:tab/>
      </w:r>
      <w:r>
        <w:rPr>
          <w:color w:val="000000"/>
          <w:highlight w:val="none"/>
        </w:rPr>
        <w:fldChar w:fldCharType="begin"/>
      </w:r>
      <w:r>
        <w:rPr>
          <w:color w:val="000000"/>
          <w:highlight w:val="none"/>
        </w:rPr>
        <w:instrText xml:space="preserve"> PAGEREF _Toc3858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_Toc13352 </w:instrText>
      </w:r>
      <w:r>
        <w:rPr>
          <w:rFonts w:hint="eastAsia" w:ascii="宋体" w:hAnsi="宋体" w:cs="宋体"/>
          <w:color w:val="000000"/>
          <w:szCs w:val="22"/>
          <w:highlight w:val="none"/>
        </w:rPr>
        <w:fldChar w:fldCharType="separate"/>
      </w:r>
      <w:r>
        <w:rPr>
          <w:rFonts w:hint="eastAsia" w:ascii="宋体" w:hAnsi="宋体" w:cs="宋体"/>
          <w:color w:val="000000"/>
          <w:szCs w:val="24"/>
          <w:highlight w:val="none"/>
        </w:rPr>
        <w:t xml:space="preserve">四、</w:t>
      </w:r>
      <w:r>
        <w:rPr>
          <w:rFonts w:hint="eastAsia" w:ascii="宋体" w:hAnsi="宋体" w:cs="宋体"/>
          <w:bCs/>
          <w:color w:val="000000"/>
          <w:szCs w:val="24"/>
          <w:highlight w:val="none"/>
        </w:rPr>
        <w:t xml:space="preserve">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_Toc13352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_Toc13320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_Toc13320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_Toc15083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_Toc15083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_Toc22250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_Toc22250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_Toc25706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_Toc25706 \h </w:instrText>
      </w:r>
      <w:r>
        <w:rPr>
          <w:color w:val="000000"/>
          <w:highlight w:val="none"/>
        </w:rPr>
        <w:fldChar w:fldCharType="separate"/>
      </w:r>
      <w:r>
        <w:rPr>
          <w:color w:val="000000"/>
          <w:highlight w:val="none"/>
        </w:rPr>
        <w:t xml:space="preserve">- 8 -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_Toc32032 </w:instrText>
      </w:r>
      <w:r>
        <w:rPr>
          <w:rFonts w:hint="eastAsia" w:ascii="宋体" w:hAnsi="宋体" w:cs="宋体"/>
          <w:color w:val="000000"/>
          <w:szCs w:val="22"/>
          <w:highlight w:val="none"/>
        </w:rPr>
        <w:fldChar w:fldCharType="separate"/>
      </w:r>
      <w:r>
        <w:rPr>
          <w:rFonts w:hint="eastAsia" w:cs="宋体"/>
          <w:color w:val="000000"/>
          <w:highlight w:val="none"/>
        </w:rPr>
        <w:t xml:space="preserve">投标人须知前附表</w:t>
      </w:r>
      <w:r>
        <w:rPr>
          <w:color w:val="000000"/>
          <w:highlight w:val="none"/>
        </w:rPr>
        <w:tab/>
      </w:r>
      <w:r>
        <w:rPr>
          <w:color w:val="000000"/>
          <w:highlight w:val="none"/>
        </w:rPr>
        <w:fldChar w:fldCharType="begin"/>
      </w:r>
      <w:r>
        <w:rPr>
          <w:color w:val="000000"/>
          <w:highlight w:val="none"/>
        </w:rPr>
        <w:instrText xml:space="preserve"> PAGEREF _Toc32032 \h </w:instrText>
      </w:r>
      <w:r>
        <w:rPr>
          <w:color w:val="000000"/>
          <w:highlight w:val="none"/>
        </w:rPr>
        <w:fldChar w:fldCharType="separate"/>
      </w:r>
      <w:r>
        <w:rPr>
          <w:color w:val="000000"/>
          <w:highlight w:val="none"/>
        </w:rPr>
        <w:t xml:space="preserve">- 8 -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_Toc32331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一、总则</w:t>
      </w:r>
      <w:r>
        <w:rPr>
          <w:color w:val="000000"/>
          <w:highlight w:val="none"/>
        </w:rPr>
        <w:tab/>
      </w:r>
      <w:r>
        <w:rPr>
          <w:color w:val="000000"/>
          <w:highlight w:val="none"/>
        </w:rPr>
        <w:fldChar w:fldCharType="begin"/>
      </w:r>
      <w:r>
        <w:rPr>
          <w:color w:val="000000"/>
          <w:highlight w:val="none"/>
        </w:rPr>
        <w:instrText xml:space="preserve"> PAGEREF _Toc32331 \h </w:instrText>
      </w:r>
      <w:r>
        <w:rPr>
          <w:color w:val="000000"/>
          <w:highlight w:val="none"/>
        </w:rPr>
        <w:fldChar w:fldCharType="separate"/>
      </w:r>
      <w:r>
        <w:rPr>
          <w:color w:val="000000"/>
          <w:highlight w:val="none"/>
        </w:rPr>
        <w:t xml:space="preserve">- 10 -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_Toc11289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二、招标文件</w:t>
      </w:r>
      <w:r>
        <w:rPr>
          <w:color w:val="000000"/>
          <w:highlight w:val="none"/>
        </w:rPr>
        <w:tab/>
      </w:r>
      <w:r>
        <w:rPr>
          <w:color w:val="000000"/>
          <w:highlight w:val="none"/>
        </w:rPr>
        <w:fldChar w:fldCharType="begin"/>
      </w:r>
      <w:r>
        <w:rPr>
          <w:color w:val="000000"/>
          <w:highlight w:val="none"/>
        </w:rPr>
        <w:instrText xml:space="preserve"> PAGEREF _Toc11289 \h </w:instrText>
      </w:r>
      <w:r>
        <w:rPr>
          <w:color w:val="000000"/>
          <w:highlight w:val="none"/>
        </w:rPr>
        <w:fldChar w:fldCharType="separate"/>
      </w:r>
      <w:r>
        <w:rPr>
          <w:color w:val="000000"/>
          <w:highlight w:val="none"/>
        </w:rPr>
        <w:t xml:space="preserve">- 12 -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_Toc5426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三、投标文件的编制</w:t>
      </w:r>
      <w:r>
        <w:rPr>
          <w:color w:val="000000"/>
          <w:highlight w:val="none"/>
        </w:rPr>
        <w:tab/>
      </w:r>
      <w:r>
        <w:rPr>
          <w:color w:val="000000"/>
          <w:highlight w:val="none"/>
        </w:rPr>
        <w:fldChar w:fldCharType="begin"/>
      </w:r>
      <w:r>
        <w:rPr>
          <w:color w:val="000000"/>
          <w:highlight w:val="none"/>
        </w:rPr>
        <w:instrText xml:space="preserve"> PAGEREF _Toc5426 \h </w:instrText>
      </w:r>
      <w:r>
        <w:rPr>
          <w:color w:val="000000"/>
          <w:highlight w:val="none"/>
        </w:rPr>
        <w:fldChar w:fldCharType="separate"/>
      </w:r>
      <w:r>
        <w:rPr>
          <w:color w:val="000000"/>
          <w:highlight w:val="none"/>
        </w:rPr>
        <w:t xml:space="preserve">- 13 -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_Toc12044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四、投标文件的递交</w:t>
      </w:r>
      <w:r>
        <w:rPr>
          <w:color w:val="000000"/>
          <w:highlight w:val="none"/>
        </w:rPr>
        <w:tab/>
      </w:r>
      <w:r>
        <w:rPr>
          <w:color w:val="000000"/>
          <w:highlight w:val="none"/>
        </w:rPr>
        <w:fldChar w:fldCharType="begin"/>
      </w:r>
      <w:r>
        <w:rPr>
          <w:color w:val="000000"/>
          <w:highlight w:val="none"/>
        </w:rPr>
        <w:instrText xml:space="preserve"> PAGEREF _Toc12044 \h </w:instrText>
      </w:r>
      <w:r>
        <w:rPr>
          <w:color w:val="000000"/>
          <w:highlight w:val="none"/>
        </w:rPr>
        <w:fldChar w:fldCharType="separate"/>
      </w:r>
      <w:r>
        <w:rPr>
          <w:color w:val="000000"/>
          <w:highlight w:val="none"/>
        </w:rPr>
        <w:t xml:space="preserve">- 16 -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_Toc7165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五、开标与评标</w:t>
      </w:r>
      <w:r>
        <w:rPr>
          <w:color w:val="000000"/>
          <w:highlight w:val="none"/>
        </w:rPr>
        <w:tab/>
      </w:r>
      <w:r>
        <w:rPr>
          <w:color w:val="000000"/>
          <w:highlight w:val="none"/>
        </w:rPr>
        <w:fldChar w:fldCharType="begin"/>
      </w:r>
      <w:r>
        <w:rPr>
          <w:color w:val="000000"/>
          <w:highlight w:val="none"/>
        </w:rPr>
        <w:instrText xml:space="preserve"> PAGEREF _Toc7165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_Toc14303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六、授标</w:t>
      </w:r>
      <w:r>
        <w:rPr>
          <w:color w:val="000000"/>
          <w:highlight w:val="none"/>
        </w:rPr>
        <w:tab/>
      </w:r>
      <w:r>
        <w:rPr>
          <w:color w:val="000000"/>
          <w:highlight w:val="none"/>
        </w:rPr>
        <w:fldChar w:fldCharType="begin"/>
      </w:r>
      <w:r>
        <w:rPr>
          <w:color w:val="000000"/>
          <w:highlight w:val="none"/>
        </w:rPr>
        <w:instrText xml:space="preserve"> PAGEREF _Toc14303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_Toc17806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七、质疑</w:t>
      </w:r>
      <w:r>
        <w:rPr>
          <w:color w:val="000000"/>
          <w:highlight w:val="none"/>
        </w:rPr>
        <w:tab/>
      </w:r>
      <w:r>
        <w:rPr>
          <w:color w:val="000000"/>
          <w:highlight w:val="none"/>
        </w:rPr>
        <w:fldChar w:fldCharType="begin"/>
      </w:r>
      <w:r>
        <w:rPr>
          <w:color w:val="000000"/>
          <w:highlight w:val="none"/>
        </w:rPr>
        <w:instrText xml:space="preserve"> PAGEREF _Toc17806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_Toc7217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第三章 评分标准</w:t>
      </w:r>
      <w:r>
        <w:rPr>
          <w:color w:val="000000"/>
          <w:highlight w:val="none"/>
        </w:rPr>
        <w:tab/>
      </w:r>
      <w:r>
        <w:rPr>
          <w:color w:val="000000"/>
          <w:highlight w:val="none"/>
        </w:rPr>
        <w:fldChar w:fldCharType="begin"/>
      </w:r>
      <w:r>
        <w:rPr>
          <w:color w:val="000000"/>
          <w:highlight w:val="none"/>
        </w:rPr>
        <w:instrText xml:space="preserve"> PAGEREF _Toc7217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_Toc28196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一、资格性审查</w:t>
      </w:r>
      <w:r>
        <w:rPr>
          <w:color w:val="000000"/>
          <w:highlight w:val="none"/>
        </w:rPr>
        <w:tab/>
      </w:r>
      <w:r>
        <w:rPr>
          <w:color w:val="000000"/>
          <w:highlight w:val="none"/>
        </w:rPr>
        <w:fldChar w:fldCharType="begin"/>
      </w:r>
      <w:r>
        <w:rPr>
          <w:color w:val="000000"/>
          <w:highlight w:val="none"/>
        </w:rPr>
        <w:instrText xml:space="preserve"> PAGEREF _Toc28196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_Toc14304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二、符合性审查</w:t>
      </w:r>
      <w:r>
        <w:rPr>
          <w:color w:val="000000"/>
          <w:highlight w:val="none"/>
        </w:rPr>
        <w:tab/>
      </w:r>
      <w:r>
        <w:rPr>
          <w:color w:val="000000"/>
          <w:highlight w:val="none"/>
        </w:rPr>
        <w:fldChar w:fldCharType="begin"/>
      </w:r>
      <w:r>
        <w:rPr>
          <w:color w:val="000000"/>
          <w:highlight w:val="none"/>
        </w:rPr>
        <w:instrText xml:space="preserve"> PAGEREF _Toc14304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_Toc6239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三、异常低价投标（响应）审查</w:t>
      </w:r>
      <w:r>
        <w:rPr>
          <w:color w:val="000000"/>
          <w:highlight w:val="none"/>
        </w:rPr>
        <w:tab/>
      </w:r>
      <w:r>
        <w:rPr>
          <w:color w:val="000000"/>
          <w:highlight w:val="none"/>
        </w:rPr>
        <w:fldChar w:fldCharType="begin"/>
      </w:r>
      <w:r>
        <w:rPr>
          <w:color w:val="000000"/>
          <w:highlight w:val="none"/>
        </w:rPr>
        <w:instrText xml:space="preserve"> PAGEREF _Toc6239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_Toc25427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四、 评分表（综合评分法）</w:t>
      </w:r>
      <w:r>
        <w:rPr>
          <w:color w:val="000000"/>
          <w:highlight w:val="none"/>
        </w:rPr>
        <w:tab/>
      </w:r>
      <w:r>
        <w:rPr>
          <w:color w:val="000000"/>
          <w:highlight w:val="none"/>
        </w:rPr>
        <w:fldChar w:fldCharType="begin"/>
      </w:r>
      <w:r>
        <w:rPr>
          <w:color w:val="000000"/>
          <w:highlight w:val="none"/>
        </w:rPr>
        <w:instrText xml:space="preserve"> PAGEREF _Toc25427 \h </w:instrText>
      </w:r>
      <w:r>
        <w:rPr>
          <w:color w:val="000000"/>
          <w:highlight w:val="none"/>
        </w:rPr>
        <w:fldChar w:fldCharType="separate"/>
      </w:r>
      <w:r>
        <w:rPr>
          <w:color w:val="000000"/>
          <w:highlight w:val="none"/>
        </w:rPr>
        <w:t xml:space="preserve">- 28 -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_Toc29051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五、评分因素及分值说明</w:t>
      </w:r>
      <w:r>
        <w:rPr>
          <w:color w:val="000000"/>
          <w:highlight w:val="none"/>
        </w:rPr>
        <w:tab/>
      </w:r>
      <w:r>
        <w:rPr>
          <w:color w:val="000000"/>
          <w:highlight w:val="none"/>
        </w:rPr>
        <w:fldChar w:fldCharType="begin"/>
      </w:r>
      <w:r>
        <w:rPr>
          <w:color w:val="000000"/>
          <w:highlight w:val="none"/>
        </w:rPr>
        <w:instrText xml:space="preserve"> PAGEREF _Toc29051 \h </w:instrText>
      </w:r>
      <w:r>
        <w:rPr>
          <w:color w:val="000000"/>
          <w:highlight w:val="none"/>
        </w:rPr>
        <w:fldChar w:fldCharType="separate"/>
      </w:r>
      <w:r>
        <w:rPr>
          <w:color w:val="000000"/>
          <w:highlight w:val="none"/>
        </w:rPr>
        <w:t xml:space="preserve">- 31 -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_Toc19039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_Toc19039 \h </w:instrText>
      </w:r>
      <w:r>
        <w:rPr>
          <w:color w:val="000000"/>
          <w:highlight w:val="none"/>
        </w:rPr>
        <w:fldChar w:fldCharType="separate"/>
      </w:r>
      <w:r>
        <w:rPr>
          <w:color w:val="000000"/>
          <w:highlight w:val="none"/>
        </w:rPr>
        <w:t xml:space="preserve">- 34 -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_Toc22347 </w:instrText>
      </w:r>
      <w:r>
        <w:rPr>
          <w:rFonts w:hint="eastAsia" w:ascii="宋体" w:hAnsi="宋体" w:cs="宋体"/>
          <w:color w:val="000000"/>
          <w:szCs w:val="22"/>
          <w:highlight w:val="none"/>
        </w:rPr>
        <w:fldChar w:fldCharType="separate"/>
      </w:r>
      <w:r>
        <w:rPr>
          <w:rFonts w:hint="eastAsia" w:ascii="宋体" w:hAnsi="宋体" w:cs="宋体"/>
          <w:color w:val="000000"/>
          <w:szCs w:val="28"/>
          <w:highlight w:val="none"/>
        </w:rPr>
        <w:t xml:space="preserve">一、 项目概况：</w:t>
      </w:r>
      <w:r>
        <w:rPr>
          <w:color w:val="000000"/>
          <w:highlight w:val="none"/>
        </w:rPr>
        <w:tab/>
      </w:r>
      <w:r>
        <w:rPr>
          <w:color w:val="000000"/>
          <w:highlight w:val="none"/>
        </w:rPr>
        <w:fldChar w:fldCharType="begin"/>
      </w:r>
      <w:r>
        <w:rPr>
          <w:color w:val="000000"/>
          <w:highlight w:val="none"/>
        </w:rPr>
        <w:instrText xml:space="preserve"> PAGEREF _Toc22347 \h </w:instrText>
      </w:r>
      <w:r>
        <w:rPr>
          <w:color w:val="000000"/>
          <w:highlight w:val="none"/>
        </w:rPr>
        <w:fldChar w:fldCharType="separate"/>
      </w:r>
      <w:r>
        <w:rPr>
          <w:color w:val="000000"/>
          <w:highlight w:val="none"/>
        </w:rPr>
        <w:t xml:space="preserve">- 34 -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_Toc17578 </w:instrText>
      </w:r>
      <w:r>
        <w:rPr>
          <w:rFonts w:hint="eastAsia" w:ascii="宋体" w:hAnsi="宋体" w:cs="宋体"/>
          <w:color w:val="000000"/>
          <w:szCs w:val="22"/>
          <w:highlight w:val="none"/>
        </w:rPr>
        <w:fldChar w:fldCharType="separate"/>
      </w:r>
      <w:r>
        <w:rPr>
          <w:rFonts w:hint="eastAsia" w:ascii="宋体" w:hAnsi="宋体" w:cs="宋体"/>
          <w:color w:val="000000"/>
          <w:szCs w:val="28"/>
          <w:highlight w:val="none"/>
        </w:rPr>
        <w:t xml:space="preserve">二、 技术要求：</w:t>
      </w:r>
      <w:r>
        <w:rPr>
          <w:color w:val="000000"/>
          <w:highlight w:val="none"/>
        </w:rPr>
        <w:tab/>
      </w:r>
      <w:r>
        <w:rPr>
          <w:color w:val="000000"/>
          <w:highlight w:val="none"/>
        </w:rPr>
        <w:fldChar w:fldCharType="begin"/>
      </w:r>
      <w:r>
        <w:rPr>
          <w:color w:val="000000"/>
          <w:highlight w:val="none"/>
        </w:rPr>
        <w:instrText xml:space="preserve"> PAGEREF _Toc17578 \h </w:instrText>
      </w:r>
      <w:r>
        <w:rPr>
          <w:color w:val="000000"/>
          <w:highlight w:val="none"/>
        </w:rPr>
        <w:fldChar w:fldCharType="separate"/>
      </w:r>
      <w:r>
        <w:rPr>
          <w:color w:val="000000"/>
          <w:highlight w:val="none"/>
        </w:rPr>
        <w:t xml:space="preserve">- 34 -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_Toc28503 </w:instrText>
      </w:r>
      <w:r>
        <w:rPr>
          <w:rFonts w:hint="eastAsia" w:ascii="宋体" w:hAnsi="宋体" w:cs="宋体"/>
          <w:color w:val="000000"/>
          <w:szCs w:val="22"/>
          <w:highlight w:val="none"/>
        </w:rPr>
        <w:fldChar w:fldCharType="separate"/>
      </w:r>
      <w:r>
        <w:rPr>
          <w:rFonts w:hint="eastAsia" w:ascii="宋体" w:hAnsi="宋体" w:cs="宋体"/>
          <w:color w:val="000000"/>
          <w:szCs w:val="24"/>
          <w:highlight w:val="none"/>
        </w:rPr>
        <w:t xml:space="preserve">三、 商务要求：</w:t>
      </w:r>
      <w:r>
        <w:rPr>
          <w:color w:val="000000"/>
          <w:highlight w:val="none"/>
        </w:rPr>
        <w:tab/>
      </w:r>
      <w:r>
        <w:rPr>
          <w:color w:val="000000"/>
          <w:highlight w:val="none"/>
        </w:rPr>
        <w:fldChar w:fldCharType="begin"/>
      </w:r>
      <w:r>
        <w:rPr>
          <w:color w:val="000000"/>
          <w:highlight w:val="none"/>
        </w:rPr>
        <w:instrText xml:space="preserve"> PAGEREF _Toc28503 \h </w:instrText>
      </w:r>
      <w:r>
        <w:rPr>
          <w:color w:val="000000"/>
          <w:highlight w:val="none"/>
        </w:rPr>
        <w:fldChar w:fldCharType="separate"/>
      </w:r>
      <w:r>
        <w:rPr>
          <w:color w:val="000000"/>
          <w:highlight w:val="none"/>
        </w:rPr>
        <w:t xml:space="preserve">- 36 -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_Toc18787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_Toc18787 \h </w:instrText>
      </w:r>
      <w:r>
        <w:rPr>
          <w:color w:val="000000"/>
          <w:highlight w:val="none"/>
        </w:rPr>
        <w:fldChar w:fldCharType="separate"/>
      </w:r>
      <w:r>
        <w:rPr>
          <w:color w:val="000000"/>
          <w:highlight w:val="none"/>
        </w:rPr>
        <w:t xml:space="preserve">- 40 -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_Toc21943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_Toc21943 \h </w:instrText>
      </w:r>
      <w:r>
        <w:rPr>
          <w:color w:val="000000"/>
          <w:highlight w:val="none"/>
        </w:rPr>
        <w:fldChar w:fldCharType="separate"/>
      </w:r>
      <w:r>
        <w:rPr>
          <w:color w:val="000000"/>
          <w:highlight w:val="none"/>
        </w:rPr>
        <w:t xml:space="preserve">- 47 -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szCs w:val="22"/>
          <w:highlight w:val="none"/>
        </w:rPr>
        <w:fldChar w:fldCharType="end"/>
      </w:r>
      <w:r>
        <w:rPr>
          <w:rFonts w:hint="eastAsia" w:ascii="宋体" w:hAnsi="宋体" w:eastAsia="宋体" w:cs="宋体"/>
          <w:color w:val="000000"/>
          <w:highlight w:val="none"/>
        </w:rPr>
      </w:r>
      <w:r/>
    </w:p>
    <w:p>
      <w:pPr>
        <w:pStyle w:val="826"/>
        <w:ind w:firstLine="0"/>
        <w:spacing w:before="480"/>
        <w:tabs>
          <w:tab w:val="left" w:pos="1440" w:leader="none"/>
          <w:tab w:val="left" w:pos="5670" w:leader="none"/>
        </w:tabs>
        <w:rPr>
          <w:rStyle w:val="920"/>
          <w:rFonts w:hint="eastAsia" w:ascii="宋体" w:hAnsi="宋体" w:cs="宋体"/>
          <w:color w:val="000000"/>
          <w:szCs w:val="20"/>
          <w:highlight w:val="none"/>
        </w:rPr>
      </w:pPr>
      <w:r/>
      <w:bookmarkStart w:id="3" w:name="_Toc12396"/>
      <w:r>
        <w:rPr>
          <w:rFonts w:hint="eastAsia" w:ascii="宋体" w:hAnsi="宋体" w:eastAsia="宋体" w:cs="宋体"/>
          <w:color w:val="000000"/>
          <w:highlight w:val="none"/>
        </w:rPr>
        <w:t xml:space="preserve">第一章 招标公告</w:t>
      </w:r>
      <w:bookmarkEnd w:id="1"/>
      <w:r/>
      <w:bookmarkEnd w:id="2"/>
      <w:r/>
      <w:bookmarkEnd w:id="3"/>
      <w:r>
        <w:rPr>
          <w:rStyle w:val="920"/>
          <w:rFonts w:hint="eastAsia" w:ascii="宋体" w:hAnsi="宋体" w:cs="宋体"/>
          <w:color w:val="000000"/>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825"/>
              <w:jc w:val="left"/>
              <w:spacing w:after="0"/>
              <w:rPr>
                <w:rFonts w:hint="eastAsia" w:ascii="宋体" w:hAnsi="宋体" w:eastAsia="宋体" w:cs="宋体"/>
                <w:b/>
                <w:bCs/>
                <w:color w:val="000000"/>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825"/>
              <w:ind w:firstLine="440"/>
              <w:spacing w:before="0" w:after="0"/>
              <w:rPr>
                <w:rFonts w:hint="eastAsia" w:ascii="宋体" w:hAnsi="宋体" w:eastAsia="宋体" w:cs="宋体"/>
                <w:color w:val="000000"/>
                <w:highlight w:val="none"/>
              </w:rPr>
            </w:pPr>
            <w:r>
              <w:rPr>
                <w:rFonts w:hint="eastAsia" w:ascii="宋体" w:hAnsi="宋体" w:eastAsia="宋体" w:cs="宋体"/>
                <w:color w:val="000000"/>
                <w:sz w:val="22"/>
                <w:highlight w:val="none"/>
                <w:lang w:eastAsia="zh-CN"/>
              </w:rPr>
              <w:t xml:space="preserve">江苏省计量检测基地(二期)实验室家具采购</w:t>
            </w:r>
            <w:r>
              <w:rPr>
                <w:rFonts w:hint="eastAsia" w:ascii="宋体" w:hAnsi="宋体" w:eastAsia="宋体" w:cs="宋体"/>
                <w:color w:val="000000"/>
                <w:sz w:val="22"/>
                <w:highlight w:val="none"/>
                <w:u w:val="single"/>
              </w:rPr>
              <w:t xml:space="preserve">（项目编号：</w:t>
            </w:r>
            <w:r>
              <w:rPr>
                <w:rFonts w:hint="eastAsia" w:ascii="宋体" w:hAnsi="宋体" w:eastAsia="宋体" w:cs="宋体"/>
                <w:color w:val="000000"/>
                <w:sz w:val="22"/>
                <w:highlight w:val="none"/>
                <w:u w:val="single"/>
                <w:lang w:eastAsia="zh-CN"/>
              </w:rPr>
              <w:t xml:space="preserve">JSZC-320000-HWZX-G2026-0320</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招标项目的潜在投标人应在</w:t>
            </w:r>
            <w:r>
              <w:rPr>
                <w:rFonts w:hint="eastAsia" w:ascii="宋体" w:hAnsi="宋体" w:eastAsia="宋体" w:cs="宋体"/>
                <w:color w:val="000000"/>
                <w:sz w:val="22"/>
                <w:highlight w:val="none"/>
                <w:u w:val="single"/>
              </w:rPr>
              <w:t xml:space="preserve">“江苏政府采购网”自行免费下载</w:t>
            </w:r>
            <w:r>
              <w:rPr>
                <w:rFonts w:hint="eastAsia" w:ascii="宋体" w:hAnsi="宋体" w:eastAsia="宋体" w:cs="宋体"/>
                <w:color w:val="000000"/>
                <w:sz w:val="22"/>
                <w:highlight w:val="none"/>
              </w:rPr>
              <w:t xml:space="preserve">获取招标文件，并于</w:t>
            </w:r>
            <w:r>
              <w:rPr>
                <w:rFonts w:hint="eastAsia" w:ascii="宋体" w:hAnsi="宋体" w:eastAsia="宋体" w:cs="宋体"/>
                <w:color w:val="000000"/>
                <w:sz w:val="22"/>
                <w:highlight w:val="none"/>
                <w:u w:val="single"/>
                <w:lang w:eastAsia="zh-CN"/>
              </w:rPr>
              <w:t xml:space="preserve">2026年7月</w:t>
            </w:r>
            <w:r>
              <w:rPr>
                <w:rFonts w:hint="eastAsia" w:ascii="宋体" w:hAnsi="宋体" w:eastAsia="宋体" w:cs="宋体"/>
                <w:color w:val="000000"/>
                <w:sz w:val="22"/>
                <w:highlight w:val="none"/>
                <w:u w:val="single"/>
                <w:lang w:val="en-US" w:eastAsia="zh-CN"/>
              </w:rPr>
              <w:t xml:space="preserve">31</w:t>
            </w:r>
            <w:r>
              <w:rPr>
                <w:rFonts w:hint="eastAsia" w:ascii="宋体" w:hAnsi="宋体" w:eastAsia="宋体" w:cs="宋体"/>
                <w:color w:val="000000"/>
                <w:sz w:val="22"/>
                <w:highlight w:val="none"/>
                <w:u w:val="single"/>
                <w:lang w:eastAsia="zh-CN"/>
              </w:rPr>
              <w:t xml:space="preserve">日 </w:t>
            </w:r>
            <w:r>
              <w:rPr>
                <w:rFonts w:hint="eastAsia" w:ascii="宋体" w:hAnsi="宋体" w:eastAsia="宋体" w:cs="宋体"/>
                <w:color w:val="000000"/>
                <w:sz w:val="22"/>
                <w:highlight w:val="none"/>
                <w:u w:val="single"/>
                <w:lang w:val="en-US" w:eastAsia="zh-CN"/>
              </w:rPr>
              <w:t xml:space="preserve">9</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lang w:val="en-US" w:eastAsia="zh-CN"/>
              </w:rPr>
              <w:t xml:space="preserve">3</w:t>
            </w:r>
            <w:r>
              <w:rPr>
                <w:rFonts w:hint="eastAsia" w:ascii="宋体" w:hAnsi="宋体" w:eastAsia="宋体" w:cs="宋体"/>
                <w:color w:val="000000"/>
                <w:sz w:val="22"/>
                <w:highlight w:val="none"/>
                <w:u w:val="single"/>
                <w:lang w:eastAsia="zh-CN"/>
              </w:rPr>
              <w:t xml:space="preserve">0</w:t>
            </w:r>
            <w:r>
              <w:rPr>
                <w:rFonts w:hint="eastAsia" w:ascii="宋体" w:hAnsi="宋体" w:eastAsia="宋体" w:cs="宋体"/>
                <w:color w:val="000000"/>
                <w:sz w:val="22"/>
                <w:highlight w:val="none"/>
                <w:u w:val="single"/>
              </w:rPr>
              <w:t xml:space="preserve">（北京时间）</w:t>
            </w:r>
            <w:r>
              <w:rPr>
                <w:rFonts w:hint="eastAsia" w:ascii="宋体" w:hAnsi="宋体" w:eastAsia="宋体" w:cs="宋体"/>
                <w:color w:val="000000"/>
                <w:sz w:val="22"/>
                <w:highlight w:val="none"/>
              </w:rPr>
              <w:t xml:space="preserve">前递交投标文件。</w:t>
            </w:r>
            <w:r>
              <w:rPr>
                <w:rFonts w:hint="eastAsia" w:ascii="宋体" w:hAnsi="宋体" w:eastAsia="宋体" w:cs="宋体"/>
                <w:color w:val="000000"/>
                <w:highlight w:val="none"/>
              </w:rPr>
            </w:r>
            <w:r/>
          </w:p>
        </w:tc>
      </w:tr>
    </w:tbl>
    <w:p>
      <w:pPr>
        <w:pStyle w:val="825"/>
        <w:spacing w:before="0" w:after="0"/>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825"/>
        <w:spacing w:before="0" w:after="0"/>
        <w:rPr>
          <w:rFonts w:hint="eastAsia" w:ascii="宋体" w:hAnsi="宋体" w:eastAsia="宋体" w:cs="宋体"/>
          <w:color w:val="000000"/>
          <w:sz w:val="24"/>
          <w:szCs w:val="24"/>
          <w:highlight w:val="none"/>
        </w:rPr>
        <w:outlineLvl w:val="1"/>
      </w:pPr>
      <w:r/>
      <w:bookmarkStart w:id="4" w:name="_Toc19764"/>
      <w:r>
        <w:rPr>
          <w:rFonts w:hint="eastAsia" w:ascii="宋体" w:hAnsi="宋体" w:eastAsia="宋体" w:cs="宋体"/>
          <w:b/>
          <w:bCs/>
          <w:color w:val="000000"/>
          <w:sz w:val="24"/>
          <w:szCs w:val="24"/>
          <w:highlight w:val="none"/>
        </w:rPr>
        <w:t xml:space="preserve">一、项目基本情况</w:t>
      </w:r>
      <w:bookmarkEnd w:id="4"/>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JSZC-320000-HWZX-G2026-0320</w:t>
      </w:r>
      <w:r>
        <w:rPr>
          <w:rFonts w:hint="eastAsia" w:ascii="宋体" w:hAnsi="宋体" w:eastAsia="宋体" w:cs="宋体"/>
          <w:color w:val="000000"/>
          <w:sz w:val="24"/>
          <w:szCs w:val="24"/>
          <w:highlight w:val="none"/>
          <w:lang w:eastAsia="zh-CN"/>
        </w:rPr>
      </w:r>
      <w:r/>
    </w:p>
    <w:p>
      <w:pPr>
        <w:pStyle w:val="825"/>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江苏省计量检测基地(二期)实验室家具采购</w:t>
      </w:r>
      <w:r>
        <w:rPr>
          <w:rFonts w:hint="eastAsia" w:ascii="宋体" w:hAnsi="宋体" w:eastAsia="宋体" w:cs="宋体"/>
          <w:color w:val="000000"/>
          <w:sz w:val="24"/>
          <w:szCs w:val="24"/>
          <w:highlight w:val="none"/>
          <w:lang w:eastAsia="zh-CN"/>
        </w:rPr>
      </w:r>
      <w:r/>
    </w:p>
    <w:p>
      <w:pPr>
        <w:pStyle w:val="825"/>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3.项目预算：人民币</w:t>
      </w:r>
      <w:r>
        <w:rPr>
          <w:rFonts w:hint="eastAsia" w:ascii="宋体" w:hAnsi="宋体" w:eastAsia="宋体" w:cs="宋体"/>
          <w:color w:val="000000"/>
          <w:sz w:val="24"/>
          <w:szCs w:val="24"/>
          <w:highlight w:val="none"/>
          <w:lang w:eastAsia="zh-CN"/>
        </w:rPr>
        <w:t xml:space="preserve">640万元</w:t>
      </w:r>
      <w:r>
        <w:rPr>
          <w:rFonts w:hint="eastAsia" w:ascii="宋体" w:hAnsi="宋体" w:eastAsia="宋体" w:cs="宋体"/>
          <w:color w:val="000000"/>
          <w:sz w:val="24"/>
          <w:szCs w:val="24"/>
          <w:highlight w:val="none"/>
          <w:lang w:eastAsia="zh-CN"/>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4.最高限价：人民币</w:t>
      </w:r>
      <w:r>
        <w:rPr>
          <w:rFonts w:hint="eastAsia" w:ascii="宋体" w:hAnsi="宋体" w:eastAsia="宋体" w:cs="宋体"/>
          <w:color w:val="000000"/>
          <w:sz w:val="24"/>
          <w:szCs w:val="24"/>
          <w:highlight w:val="none"/>
          <w:lang w:eastAsia="zh-CN"/>
        </w:rPr>
        <w:t xml:space="preserve">640万元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其中采购包1：</w:t>
      </w:r>
      <w:r>
        <w:rPr>
          <w:rFonts w:hint="eastAsia" w:ascii="宋体" w:hAnsi="宋体" w:eastAsia="宋体" w:cs="宋体"/>
          <w:color w:val="000000"/>
          <w:sz w:val="24"/>
          <w:szCs w:val="24"/>
          <w:highlight w:val="none"/>
          <w:lang w:val="en-US" w:eastAsia="zh-CN"/>
        </w:rPr>
        <w:t xml:space="preserve">320万元,</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en-US" w:eastAsia="zh-CN"/>
        </w:rPr>
        <w:t xml:space="preserve">包2：320万元。</w:t>
      </w:r>
      <w:r>
        <w:rPr>
          <w:rFonts w:hint="eastAsia" w:ascii="宋体" w:hAnsi="宋体" w:eastAsia="宋体" w:cs="宋体"/>
          <w:color w:val="000000"/>
          <w:sz w:val="24"/>
          <w:szCs w:val="24"/>
          <w:highlight w:val="none"/>
        </w:rPr>
        <w:t xml:space="preserve">具体报价格式参照招标文件附件中“报价一览表格式”。</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5.采购方式：公开招标。</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6.采购需求：本项目</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个分包（标段），</w:t>
      </w:r>
      <w:r>
        <w:rPr>
          <w:rFonts w:hint="eastAsia" w:ascii="宋体" w:hAnsi="宋体" w:eastAsia="宋体" w:cs="宋体"/>
          <w:color w:val="000000"/>
          <w:sz w:val="24"/>
          <w:szCs w:val="24"/>
          <w:highlight w:val="none"/>
          <w:lang w:eastAsia="zh-CN"/>
        </w:rPr>
        <w:t xml:space="preserve">采购包1与采购包2兼投不兼中，评审时投标人在前一包号中被推荐为第一中标候选人后，仍可参加后续分包的评审，但在后续的包号评审中不再被推荐为第一中标候选人，</w:t>
      </w:r>
      <w:r>
        <w:rPr>
          <w:rFonts w:hint="eastAsia" w:ascii="宋体" w:hAnsi="宋体" w:eastAsia="宋体" w:cs="宋体"/>
          <w:color w:val="000000"/>
          <w:sz w:val="24"/>
          <w:szCs w:val="24"/>
          <w:highlight w:val="none"/>
        </w:rPr>
        <w:t xml:space="preserve">技术要求详见招标文件“第四章采购需求”。</w:t>
      </w:r>
      <w:r>
        <w:rPr>
          <w:rFonts w:hint="eastAsia" w:ascii="宋体" w:hAnsi="宋体" w:eastAsia="宋体" w:cs="宋体"/>
          <w:color w:val="000000"/>
          <w:sz w:val="24"/>
          <w:szCs w:val="24"/>
          <w:highlight w:val="none"/>
        </w:rPr>
      </w:r>
      <w:r/>
    </w:p>
    <w:tbl>
      <w:tblPr>
        <w:tblW w:w="491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937"/>
        <w:gridCol w:w="928"/>
        <w:gridCol w:w="903"/>
        <w:gridCol w:w="1799"/>
        <w:gridCol w:w="1482"/>
        <w:gridCol w:w="848"/>
      </w:tblGrid>
      <w:tr>
        <w:trPr>
          <w:trHeight w:val="621"/>
        </w:trPr>
        <w:tc>
          <w:tcPr>
            <w:tcW w:w="457" w:type="dxa"/>
            <w:vAlign w:val="center"/>
            <w:textDirection w:val="lrTb"/>
            <w:noWrap/>
          </w:tcPr>
          <w:p>
            <w:pPr>
              <w:pStyle w:val="825"/>
              <w:jc w:val="center"/>
              <w:spacing w:before="0" w:after="0" w:line="240" w:lineRule="auto"/>
              <w:widowControl/>
              <w:rPr>
                <w:rFonts w:hint="eastAsia" w:ascii="宋体" w:hAnsi="宋体" w:eastAsia="宋体" w:cs="宋体"/>
                <w:b/>
                <w:bCs/>
                <w:color w:val="000000"/>
                <w:szCs w:val="21"/>
                <w:highlight w:val="none"/>
                <w:lang w:eastAsia="zh-CN" w:bidi="ar"/>
              </w:rPr>
            </w:pPr>
            <w:r>
              <w:rPr>
                <w:rFonts w:hint="eastAsia" w:ascii="宋体" w:hAnsi="宋体" w:eastAsia="宋体" w:cs="宋体"/>
                <w:b/>
                <w:bCs/>
                <w:color w:val="000000"/>
                <w:szCs w:val="21"/>
                <w:highlight w:val="none"/>
                <w:lang w:val="en-US" w:eastAsia="zh-CN" w:bidi="ar"/>
              </w:rPr>
              <w:t xml:space="preserve">分包</w:t>
            </w:r>
            <w:r>
              <w:rPr>
                <w:rFonts w:hint="eastAsia" w:ascii="宋体" w:hAnsi="宋体" w:eastAsia="宋体" w:cs="宋体"/>
                <w:b/>
                <w:bCs/>
                <w:color w:val="000000"/>
                <w:szCs w:val="21"/>
                <w:highlight w:val="none"/>
                <w:lang w:eastAsia="zh-CN" w:bidi="ar"/>
              </w:rPr>
            </w:r>
            <w:r/>
          </w:p>
        </w:tc>
        <w:tc>
          <w:tcPr>
            <w:tcW w:w="1499" w:type="dxa"/>
            <w:vAlign w:val="center"/>
            <w:textDirection w:val="lrTb"/>
            <w:noWrap/>
          </w:tcPr>
          <w:p>
            <w:pPr>
              <w:pStyle w:val="825"/>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设备名称</w:t>
            </w:r>
            <w:r>
              <w:rPr>
                <w:rFonts w:hint="eastAsia" w:ascii="宋体" w:hAnsi="宋体" w:eastAsia="宋体" w:cs="宋体"/>
                <w:b/>
                <w:bCs/>
                <w:color w:val="000000"/>
                <w:szCs w:val="21"/>
                <w:highlight w:val="none"/>
                <w:lang w:bidi="ar"/>
              </w:rPr>
            </w:r>
            <w:r/>
          </w:p>
        </w:tc>
        <w:tc>
          <w:tcPr>
            <w:tcW w:w="473" w:type="dxa"/>
            <w:vAlign w:val="center"/>
            <w:textDirection w:val="lrTb"/>
            <w:noWrap/>
          </w:tcPr>
          <w:p>
            <w:pPr>
              <w:pStyle w:val="825"/>
              <w:jc w:val="center"/>
              <w:spacing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单位</w:t>
            </w:r>
            <w:r>
              <w:rPr>
                <w:rFonts w:hint="eastAsia" w:ascii="宋体" w:hAnsi="宋体" w:eastAsia="宋体" w:cs="宋体"/>
                <w:b/>
                <w:bCs/>
                <w:color w:val="000000"/>
                <w:szCs w:val="21"/>
                <w:highlight w:val="none"/>
                <w:lang w:bidi="ar"/>
              </w:rPr>
            </w:r>
            <w:r/>
          </w:p>
        </w:tc>
        <w:tc>
          <w:tcPr>
            <w:tcW w:w="461" w:type="dxa"/>
            <w:vAlign w:val="center"/>
            <w:textDirection w:val="lrTb"/>
            <w:noWrap/>
          </w:tcPr>
          <w:p>
            <w:pPr>
              <w:pStyle w:val="825"/>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数量</w:t>
            </w:r>
            <w:r>
              <w:rPr>
                <w:rFonts w:hint="eastAsia" w:ascii="宋体" w:hAnsi="宋体" w:eastAsia="宋体" w:cs="宋体"/>
                <w:b/>
                <w:bCs/>
                <w:color w:val="000000"/>
                <w:szCs w:val="21"/>
                <w:highlight w:val="none"/>
                <w:lang w:bidi="ar"/>
              </w:rPr>
            </w:r>
            <w:r/>
          </w:p>
        </w:tc>
        <w:tc>
          <w:tcPr>
            <w:tcW w:w="918" w:type="dxa"/>
            <w:vAlign w:val="center"/>
            <w:textDirection w:val="lrTb"/>
            <w:noWrap/>
          </w:tcPr>
          <w:p>
            <w:pPr>
              <w:pStyle w:val="825"/>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用途</w:t>
            </w:r>
            <w:r>
              <w:rPr>
                <w:rFonts w:hint="eastAsia" w:ascii="宋体" w:hAnsi="宋体" w:eastAsia="宋体" w:cs="宋体"/>
                <w:b/>
                <w:bCs/>
                <w:color w:val="000000"/>
                <w:szCs w:val="21"/>
                <w:highlight w:val="none"/>
                <w:lang w:bidi="ar"/>
              </w:rPr>
            </w:r>
            <w:r/>
          </w:p>
        </w:tc>
        <w:tc>
          <w:tcPr>
            <w:tcW w:w="756" w:type="dxa"/>
            <w:vAlign w:val="center"/>
            <w:textDirection w:val="lrTb"/>
            <w:noWrap/>
          </w:tcPr>
          <w:p>
            <w:pPr>
              <w:pStyle w:val="825"/>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是否接受进口设备投标</w:t>
            </w:r>
            <w:r>
              <w:rPr>
                <w:rFonts w:hint="eastAsia" w:ascii="宋体" w:hAnsi="宋体" w:eastAsia="宋体" w:cs="宋体"/>
                <w:b/>
                <w:bCs/>
                <w:color w:val="000000"/>
                <w:szCs w:val="21"/>
                <w:highlight w:val="none"/>
                <w:lang w:bidi="ar"/>
              </w:rPr>
            </w:r>
            <w:r/>
          </w:p>
        </w:tc>
        <w:tc>
          <w:tcPr>
            <w:tcW w:w="432" w:type="dxa"/>
            <w:vAlign w:val="center"/>
            <w:textDirection w:val="lrTb"/>
            <w:noWrap/>
          </w:tcPr>
          <w:p>
            <w:pPr>
              <w:pStyle w:val="825"/>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备注</w:t>
            </w:r>
            <w:r>
              <w:rPr>
                <w:rFonts w:hint="eastAsia" w:ascii="宋体" w:hAnsi="宋体" w:eastAsia="宋体" w:cs="宋体"/>
                <w:b/>
                <w:bCs/>
                <w:color w:val="000000"/>
                <w:szCs w:val="21"/>
                <w:highlight w:val="none"/>
                <w:lang w:bidi="ar"/>
              </w:rPr>
            </w:r>
            <w:r/>
          </w:p>
        </w:tc>
      </w:tr>
      <w:tr>
        <w:trPr>
          <w:trHeight w:val="759"/>
        </w:trPr>
        <w:tc>
          <w:tcPr>
            <w:tcW w:w="457" w:type="dxa"/>
            <w:vAlign w:val="center"/>
            <w:textDirection w:val="lrTb"/>
            <w:noWrap/>
          </w:tcPr>
          <w:p>
            <w:pPr>
              <w:pStyle w:val="825"/>
              <w:jc w:val="center"/>
              <w:spacing w:before="0" w:after="0" w:line="240" w:lineRule="auto"/>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分包1</w:t>
            </w:r>
            <w:r>
              <w:rPr>
                <w:rFonts w:ascii="宋体" w:hAnsi="宋体" w:eastAsia="宋体" w:cs="宋体"/>
                <w:color w:val="000000"/>
                <w:sz w:val="22"/>
                <w:szCs w:val="22"/>
                <w:highlight w:val="none"/>
                <w:lang w:val="en-US" w:eastAsia="zh-CN"/>
              </w:rPr>
            </w:r>
            <w:r/>
          </w:p>
        </w:tc>
        <w:tc>
          <w:tcPr>
            <w:tcW w:w="1499"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普通实验边台及货架</w:t>
            </w:r>
            <w:r>
              <w:rPr>
                <w:rFonts w:hint="eastAsia" w:ascii="宋体" w:hAnsi="宋体" w:eastAsia="宋体" w:cs="宋体"/>
                <w:color w:val="000000"/>
                <w:sz w:val="22"/>
                <w:szCs w:val="22"/>
                <w:highlight w:val="none"/>
                <w:lang w:eastAsia="zh-CN"/>
              </w:rPr>
            </w:r>
            <w:r/>
          </w:p>
        </w:tc>
        <w:tc>
          <w:tcPr>
            <w:shd w:val="clear" w:color="auto" w:fill="ffffff"/>
            <w:tcW w:w="473"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批</w:t>
            </w:r>
            <w:r>
              <w:rPr>
                <w:rFonts w:hint="eastAsia" w:ascii="宋体" w:hAnsi="宋体" w:eastAsia="宋体" w:cs="宋体"/>
                <w:color w:val="000000"/>
                <w:sz w:val="22"/>
                <w:szCs w:val="22"/>
                <w:highlight w:val="none"/>
                <w:lang w:eastAsia="zh-CN"/>
              </w:rPr>
            </w:r>
            <w:r/>
          </w:p>
        </w:tc>
        <w:tc>
          <w:tcPr>
            <w:shd w:val="clear" w:color="auto" w:fill="ffffff"/>
            <w:tcW w:w="461"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auto" w:fill="ffffff"/>
            <w:tcW w:w="918" w:type="dxa"/>
            <w:vAlign w:val="center"/>
            <w:textDirection w:val="lrTb"/>
            <w:noWrap/>
          </w:tcPr>
          <w:p>
            <w:pPr>
              <w:pStyle w:val="825"/>
              <w:jc w:val="center"/>
              <w:spacing w:before="0" w:after="0" w:line="240" w:lineRule="auto"/>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保障实验室检测业务正常开展</w:t>
            </w:r>
            <w:r>
              <w:rPr>
                <w:rFonts w:ascii="宋体" w:hAnsi="宋体" w:eastAsia="宋体" w:cs="宋体"/>
                <w:color w:val="000000"/>
                <w:sz w:val="22"/>
                <w:szCs w:val="22"/>
                <w:highlight w:val="none"/>
                <w:lang w:val="en-US" w:eastAsia="zh-CN"/>
              </w:rPr>
            </w:r>
            <w:r/>
          </w:p>
        </w:tc>
        <w:tc>
          <w:tcPr>
            <w:shd w:val="clear" w:color="auto" w:fill="ffffff"/>
            <w:tcW w:w="756"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否</w:t>
            </w:r>
            <w:r>
              <w:rPr>
                <w:rFonts w:hint="eastAsia" w:ascii="宋体" w:hAnsi="宋体" w:eastAsia="宋体" w:cs="宋体"/>
                <w:color w:val="000000"/>
                <w:sz w:val="22"/>
                <w:szCs w:val="22"/>
                <w:highlight w:val="none"/>
              </w:rPr>
            </w:r>
            <w:r/>
          </w:p>
        </w:tc>
        <w:tc>
          <w:tcPr>
            <w:tcW w:w="432" w:type="dxa"/>
            <w:vAlign w:val="center"/>
            <w:textDirection w:val="lrTb"/>
            <w:noWrap/>
          </w:tcPr>
          <w:p>
            <w:pPr>
              <w:pStyle w:val="825"/>
              <w:jc w:val="center"/>
              <w:spacing w:before="0" w:after="0" w:line="240" w:lineRule="auto"/>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r>
      <w:tr>
        <w:trPr>
          <w:trHeight w:val="759"/>
        </w:trPr>
        <w:tc>
          <w:tcPr>
            <w:tcW w:w="457"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分包2</w:t>
            </w:r>
            <w:r>
              <w:rPr>
                <w:rFonts w:hint="eastAsia" w:ascii="宋体" w:hAnsi="宋体" w:eastAsia="宋体" w:cs="宋体"/>
                <w:color w:val="000000"/>
                <w:sz w:val="22"/>
                <w:szCs w:val="22"/>
                <w:highlight w:val="none"/>
                <w:lang w:val="en-US" w:eastAsia="zh-CN"/>
              </w:rPr>
            </w:r>
            <w:r/>
          </w:p>
        </w:tc>
        <w:tc>
          <w:tcPr>
            <w:tcW w:w="1499"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专用实验台、通风柜及配套设施</w:t>
            </w:r>
            <w:r>
              <w:rPr>
                <w:rFonts w:hint="eastAsia" w:ascii="宋体" w:hAnsi="宋体" w:eastAsia="宋体" w:cs="宋体"/>
                <w:color w:val="000000"/>
                <w:sz w:val="22"/>
                <w:szCs w:val="22"/>
                <w:highlight w:val="none"/>
                <w:lang w:eastAsia="zh-CN"/>
              </w:rPr>
            </w:r>
            <w:r/>
          </w:p>
        </w:tc>
        <w:tc>
          <w:tcPr>
            <w:shd w:val="clear" w:color="auto" w:fill="ffffff"/>
            <w:tcW w:w="473"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批</w:t>
            </w:r>
            <w:r>
              <w:rPr>
                <w:rFonts w:hint="eastAsia" w:ascii="宋体" w:hAnsi="宋体" w:eastAsia="宋体" w:cs="宋体"/>
                <w:color w:val="000000"/>
                <w:sz w:val="22"/>
                <w:szCs w:val="22"/>
                <w:highlight w:val="none"/>
                <w:lang w:val="en-US" w:eastAsia="zh-CN" w:bidi="ar-SA"/>
              </w:rPr>
            </w:r>
            <w:r/>
          </w:p>
        </w:tc>
        <w:tc>
          <w:tcPr>
            <w:shd w:val="clear" w:color="auto" w:fill="ffffff"/>
            <w:tcW w:w="461"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bidi="ar-SA"/>
              </w:rPr>
            </w:r>
            <w:r/>
          </w:p>
        </w:tc>
        <w:tc>
          <w:tcPr>
            <w:shd w:val="clear" w:color="auto" w:fill="ffffff"/>
            <w:tcW w:w="918"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保障实验室检测业务正常开展</w:t>
            </w:r>
            <w:r>
              <w:rPr>
                <w:rFonts w:hint="eastAsia" w:ascii="宋体" w:hAnsi="宋体" w:eastAsia="宋体" w:cs="宋体"/>
                <w:color w:val="000000"/>
                <w:sz w:val="22"/>
                <w:szCs w:val="22"/>
                <w:highlight w:val="none"/>
                <w:lang w:val="en-US" w:eastAsia="zh-CN" w:bidi="ar-SA"/>
              </w:rPr>
            </w:r>
            <w:r/>
          </w:p>
        </w:tc>
        <w:tc>
          <w:tcPr>
            <w:shd w:val="clear" w:color="auto" w:fill="ffffff"/>
            <w:tcW w:w="756"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否</w:t>
            </w:r>
            <w:r>
              <w:rPr>
                <w:rFonts w:hint="eastAsia" w:ascii="宋体" w:hAnsi="宋体" w:eastAsia="宋体" w:cs="宋体"/>
                <w:color w:val="000000"/>
                <w:sz w:val="22"/>
                <w:szCs w:val="22"/>
                <w:highlight w:val="none"/>
                <w:lang w:val="en-US" w:eastAsia="zh-CN" w:bidi="ar-SA"/>
              </w:rPr>
            </w:r>
            <w:r/>
          </w:p>
        </w:tc>
        <w:tc>
          <w:tcPr>
            <w:tcW w:w="432" w:type="dxa"/>
            <w:vAlign w:val="center"/>
            <w:textDirection w:val="lrTb"/>
            <w:noWrap/>
          </w:tcPr>
          <w:p>
            <w:pPr>
              <w:pStyle w:val="825"/>
              <w:jc w:val="center"/>
              <w:spacing w:before="0" w:after="0" w:line="240" w:lineRule="auto"/>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r>
    </w:tbl>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7.合同履行期限（交货期）：</w:t>
      </w:r>
      <w:r>
        <w:rPr>
          <w:rFonts w:hint="eastAsia" w:ascii="宋体" w:hAnsi="宋体" w:eastAsia="宋体" w:cs="宋体"/>
          <w:color w:val="000000"/>
          <w:sz w:val="24"/>
          <w:szCs w:val="24"/>
          <w:highlight w:val="none"/>
          <w:lang w:eastAsia="zh-CN"/>
        </w:rPr>
        <w:t xml:space="preserve">合同签订后2个月内供齐所有货物</w:t>
      </w:r>
      <w:r>
        <w:rPr>
          <w:rFonts w:hint="eastAsia" w:ascii="宋体" w:hAnsi="宋体" w:eastAsia="宋体" w:cs="宋体"/>
          <w:color w:val="000000"/>
          <w:sz w:val="24"/>
          <w:szCs w:val="24"/>
          <w:highlight w:val="none"/>
        </w:rPr>
        <w:t xml:space="preserve">，并完成安装、调试、服务及初步验收。</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8.本项目（是/否）接受联合体投标：</w:t>
      </w:r>
      <w:r>
        <w:rPr>
          <w:rFonts w:hint="eastAsia" w:ascii="宋体" w:hAnsi="宋体" w:eastAsia="宋体" w:cs="宋体"/>
          <w:b/>
          <w:bCs/>
          <w:color w:val="000000"/>
          <w:sz w:val="24"/>
          <w:szCs w:val="24"/>
          <w:highlight w:val="none"/>
        </w:rPr>
        <w:t xml:space="preserve">不接受联合体</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b/>
          <w:bCs/>
          <w:color w:val="000000"/>
          <w:sz w:val="24"/>
          <w:szCs w:val="24"/>
          <w:highlight w:val="none"/>
        </w:rPr>
        <w:outlineLvl w:val="1"/>
      </w:pPr>
      <w:r/>
      <w:bookmarkStart w:id="5" w:name="_Toc11586"/>
      <w:r>
        <w:rPr>
          <w:rFonts w:hint="eastAsia" w:ascii="宋体" w:hAnsi="宋体" w:eastAsia="宋体" w:cs="宋体"/>
          <w:b/>
          <w:bCs/>
          <w:color w:val="000000"/>
          <w:sz w:val="24"/>
          <w:szCs w:val="24"/>
          <w:highlight w:val="none"/>
        </w:rPr>
        <w:t xml:space="preserve">二、申请人的资质要求</w:t>
      </w:r>
      <w:bookmarkEnd w:id="5"/>
      <w:r>
        <w:rPr>
          <w:rFonts w:hint="eastAsia" w:ascii="宋体" w:hAnsi="宋体" w:eastAsia="宋体" w:cs="宋体"/>
          <w:b/>
          <w:bCs/>
          <w:color w:val="000000"/>
          <w:sz w:val="24"/>
          <w:szCs w:val="24"/>
          <w:highlight w:val="none"/>
        </w:rPr>
      </w:r>
      <w:r/>
    </w:p>
    <w:p>
      <w:pPr>
        <w:pStyle w:val="825"/>
        <w:ind w:firstLine="442"/>
        <w:jc w:val="left"/>
        <w:spacing w:before="0" w:after="0"/>
        <w:tabs>
          <w:tab w:val="left" w:pos="0" w:leader="none"/>
        </w:tabs>
        <w:rPr>
          <w:rFonts w:hint="eastAsia" w:ascii="宋体" w:hAnsi="宋体" w:eastAsia="宋体" w:cs="宋体"/>
          <w:b/>
          <w:bCs/>
          <w:color w:val="000000"/>
          <w:sz w:val="22"/>
          <w:szCs w:val="22"/>
          <w:highlight w:val="none"/>
        </w:rPr>
      </w:pPr>
      <w:r/>
      <w:bookmarkStart w:id="6" w:name="OLE_LINK10"/>
      <w:r>
        <w:rPr>
          <w:rFonts w:hint="eastAsia" w:ascii="宋体" w:hAnsi="宋体" w:eastAsia="宋体" w:cs="宋体"/>
          <w:b/>
          <w:bCs/>
          <w:color w:val="000000"/>
          <w:sz w:val="22"/>
          <w:szCs w:val="22"/>
          <w:highlight w:val="none"/>
        </w:rPr>
        <w:t xml:space="preserve">（一）满足《中华人民共和国政府采购法》第二十二条规定：</w:t>
      </w:r>
      <w:r>
        <w:rPr>
          <w:rFonts w:hint="eastAsia" w:ascii="宋体" w:hAnsi="宋体" w:eastAsia="宋体" w:cs="宋体"/>
          <w:b/>
          <w:bCs/>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bookmarkEnd w:id="6"/>
      <w:r>
        <w:rPr>
          <w:rFonts w:hint="eastAsia" w:ascii="宋体" w:hAnsi="宋体" w:eastAsia="宋体" w:cs="宋体"/>
          <w:color w:val="000000"/>
          <w:sz w:val="22"/>
          <w:szCs w:val="22"/>
          <w:highlight w:val="none"/>
        </w:rPr>
        <w:t xml:space="preserve">1.具有独立承担民事责任的能力（提供法人或者其他组织的营业执照；供应商为自然人的，提供其身份证）； </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rFonts w:hint="eastAsia" w:ascii="宋体" w:hAnsi="宋体" w:eastAsia="宋体" w:cs="宋体"/>
          <w:color w:val="000000"/>
          <w:sz w:val="22"/>
          <w:szCs w:val="22"/>
          <w:highlight w:val="none"/>
          <w:lang w:eastAsia="zh-CN"/>
        </w:rPr>
        <w:t xml:space="preserve">2025年度经审计的财务报告</w:t>
      </w:r>
      <w:r>
        <w:rPr>
          <w:rFonts w:hint="eastAsia" w:ascii="宋体" w:hAnsi="宋体" w:eastAsia="宋体" w:cs="宋体"/>
          <w:color w:val="000000"/>
          <w:sz w:val="22"/>
          <w:szCs w:val="22"/>
          <w:highlight w:val="none"/>
        </w:rPr>
        <w:t xml:space="preserve">复印件加盖公章装订在投标文件中，否则视为未提供）；</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有依法缴纳税收和社会保障资金的良好记录（提供距开标时间六个月内任一月份的缴纳税收凭据复印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6.法律、行政法规规定的其他条件：无。</w:t>
      </w:r>
      <w:r>
        <w:rPr>
          <w:rFonts w:hint="eastAsia" w:ascii="宋体" w:hAnsi="宋体" w:eastAsia="宋体" w:cs="宋体"/>
          <w:color w:val="000000"/>
          <w:sz w:val="22"/>
          <w:szCs w:val="22"/>
          <w:highlight w:val="none"/>
        </w:rPr>
      </w:r>
      <w:r/>
    </w:p>
    <w:p>
      <w:pPr>
        <w:pStyle w:val="825"/>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（二）落实政府采购政策满足的资格要求：</w:t>
      </w:r>
      <w:r>
        <w:rPr>
          <w:rFonts w:hint="eastAsia" w:ascii="宋体" w:hAnsi="宋体" w:eastAsia="宋体" w:cs="宋体"/>
          <w:b/>
          <w:bCs/>
          <w:color w:val="000000"/>
          <w:szCs w:val="21"/>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1.中小企业扶持相关要求</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（1）是否专门面向中小微企业：</w:t>
      </w:r>
      <w:r>
        <w:rPr>
          <w:rFonts w:hint="eastAsia" w:ascii="宋体" w:hAnsi="宋体" w:eastAsia="宋体" w:cs="宋体"/>
          <w:color w:val="000000"/>
          <w:sz w:val="22"/>
          <w:szCs w:val="22"/>
          <w:highlight w:val="none"/>
          <w:u w:val="single"/>
        </w:rPr>
        <w:t xml:space="preserve">本项目</w:t>
      </w:r>
      <w:r>
        <w:rPr>
          <w:rFonts w:hint="eastAsia" w:ascii="宋体" w:hAnsi="宋体" w:eastAsia="宋体" w:cs="宋体"/>
          <w:b/>
          <w:bCs/>
          <w:color w:val="000000"/>
          <w:sz w:val="22"/>
          <w:szCs w:val="22"/>
          <w:highlight w:val="none"/>
          <w:u w:val="single"/>
        </w:rPr>
        <w:t xml:space="preserve">非专门面向中小微企业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color w:val="000000"/>
          <w:sz w:val="22"/>
          <w:szCs w:val="22"/>
          <w:highlight w:val="none"/>
          <w:u w:val="single"/>
        </w:rPr>
        <w:t xml:space="preserve">工业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2.本国产品扶持相关要求</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（1）本项目对采购本国产品给予政策支持，具体内容见招标文件“第三章 评分标准”。</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（4）供应商须对所提供的本国产品出具《关于符合本国产品标准的声明函》（格式详见附件），并作为投标文件必备组成部分按要求提交。</w:t>
      </w:r>
      <w:r>
        <w:rPr>
          <w:rFonts w:hint="eastAsia" w:ascii="宋体" w:hAnsi="宋体" w:eastAsia="宋体" w:cs="宋体"/>
          <w:color w:val="000000"/>
          <w:sz w:val="22"/>
          <w:szCs w:val="22"/>
          <w:highlight w:val="none"/>
        </w:rPr>
      </w:r>
      <w:r/>
    </w:p>
    <w:p>
      <w:pPr>
        <w:pStyle w:val="825"/>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（三）本项目的特定资格要求：</w:t>
      </w:r>
      <w:r>
        <w:rPr>
          <w:rFonts w:hint="eastAsia" w:ascii="宋体" w:hAnsi="宋体" w:eastAsia="宋体" w:cs="宋体"/>
          <w:b/>
          <w:bCs/>
          <w:color w:val="000000"/>
          <w:szCs w:val="21"/>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不接受进口产品投标（注：本文件所称进口产品是指通过中国海关报关验放进入中国境内且产自关境外的产品）。供应商必须是所投产品的制造商或代理商，代理商投标时须提供制造商的专项授权（如所投产品为进口产品）。</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2.联合体投标说明：本项目不接受联合体投标。</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3.其他要求：</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（1）供应商在参加政府采购活动前3年内因违法经营被禁止在一定期限内参加政府采购活动，期限届满的，可以参加政府采购活动。</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（2）单位负责人为同一人或者存在直接控股、管理关系的不同供应商，不得参加同一合同项下的政府采购活动。</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（3）为采购项目提供整体设计、规范编制或者项目管理、监理、检测等服务的供应商，不得再参加该采购项目的其他采购活动。</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color w:val="000000"/>
          <w:sz w:val="22"/>
          <w:szCs w:val="22"/>
          <w:highlight w:val="none"/>
        </w:rPr>
        <w:t xml:space="preserve">（4）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b/>
          <w:bCs/>
          <w:color w:val="000000"/>
          <w:szCs w:val="21"/>
          <w:highlight w:val="none"/>
        </w:rPr>
      </w:r>
      <w:r/>
    </w:p>
    <w:p>
      <w:pPr>
        <w:pStyle w:val="825"/>
        <w:jc w:val="left"/>
        <w:spacing w:before="0" w:after="0"/>
        <w:tabs>
          <w:tab w:val="left" w:pos="0" w:leader="none"/>
        </w:tabs>
        <w:rPr>
          <w:rFonts w:hint="eastAsia" w:ascii="宋体" w:hAnsi="宋体" w:eastAsia="宋体" w:cs="宋体"/>
          <w:color w:val="000000"/>
          <w:sz w:val="24"/>
          <w:szCs w:val="24"/>
          <w:highlight w:val="none"/>
        </w:rPr>
        <w:outlineLvl w:val="1"/>
      </w:pPr>
      <w:r/>
      <w:bookmarkStart w:id="7" w:name="_Toc3858"/>
      <w:r>
        <w:rPr>
          <w:rFonts w:hint="eastAsia" w:ascii="宋体" w:hAnsi="宋体" w:eastAsia="宋体" w:cs="宋体"/>
          <w:b/>
          <w:bCs/>
          <w:color w:val="000000"/>
          <w:sz w:val="24"/>
          <w:szCs w:val="24"/>
          <w:highlight w:val="none"/>
        </w:rPr>
        <w:t xml:space="preserve">三、招标文件发售信息</w:t>
      </w:r>
      <w:bookmarkEnd w:id="7"/>
      <w:r>
        <w:rPr>
          <w:rFonts w:hint="eastAsia" w:ascii="宋体" w:hAnsi="宋体" w:eastAsia="宋体" w:cs="宋体"/>
          <w:color w:val="000000"/>
          <w:sz w:val="24"/>
          <w:szCs w:val="24"/>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1.时间：自招标文件公告发布之日起5个工作日。</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bookmarkStart w:id="8" w:name="OLE_LINK20"/>
      <w:r>
        <w:rPr>
          <w:rFonts w:hint="eastAsia" w:ascii="宋体" w:hAnsi="宋体" w:eastAsia="宋体" w:cs="宋体"/>
          <w:color w:val="000000"/>
          <w:sz w:val="22"/>
          <w:szCs w:val="22"/>
          <w:highlight w:val="none"/>
        </w:rPr>
        <w:t xml:space="preserve">2.地址：在“江苏政府采购网”自行免费下载招标文件。</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3.方式：本项目采用网上注册登记方式，供应商在“江苏政府采购网”自行免费下载招标文件。</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bookmarkEnd w:id="8"/>
      <w:r>
        <w:rPr>
          <w:rFonts w:hint="eastAsia" w:ascii="宋体" w:hAnsi="宋体" w:eastAsia="宋体" w:cs="宋体"/>
          <w:color w:val="000000"/>
          <w:sz w:val="22"/>
          <w:szCs w:val="22"/>
          <w:highlight w:val="none"/>
        </w:rPr>
        <w:t xml:space="preserve">4.售价：0元，售出不退。</w:t>
      </w:r>
      <w:r>
        <w:rPr>
          <w:rFonts w:hint="eastAsia" w:ascii="宋体" w:hAnsi="宋体" w:eastAsia="宋体" w:cs="宋体"/>
          <w:color w:val="000000"/>
          <w:sz w:val="22"/>
          <w:szCs w:val="22"/>
          <w:highlight w:val="none"/>
        </w:rPr>
      </w:r>
      <w:r/>
    </w:p>
    <w:p>
      <w:pPr>
        <w:pStyle w:val="825"/>
        <w:spacing w:before="0" w:after="0"/>
        <w:rPr>
          <w:rFonts w:hint="eastAsia" w:ascii="宋体" w:hAnsi="宋体" w:eastAsia="宋体" w:cs="宋体"/>
          <w:b/>
          <w:bCs/>
          <w:color w:val="000000"/>
          <w:sz w:val="22"/>
          <w:szCs w:val="22"/>
          <w:highlight w:val="none"/>
        </w:rPr>
        <w:outlineLvl w:val="1"/>
      </w:pPr>
      <w:r/>
      <w:bookmarkStart w:id="9" w:name="_Toc13352"/>
      <w:r>
        <w:rPr>
          <w:rFonts w:hint="eastAsia" w:ascii="宋体" w:hAnsi="宋体" w:eastAsia="宋体" w:cs="宋体"/>
          <w:b/>
          <w:color w:val="000000"/>
          <w:sz w:val="24"/>
          <w:szCs w:val="24"/>
          <w:highlight w:val="none"/>
        </w:rPr>
        <w:t xml:space="preserve">四、</w:t>
      </w:r>
      <w:bookmarkStart w:id="10" w:name="OLE_LINK16"/>
      <w:r>
        <w:rPr>
          <w:rFonts w:hint="eastAsia" w:ascii="宋体" w:hAnsi="宋体" w:eastAsia="宋体" w:cs="宋体"/>
          <w:b/>
          <w:bCs/>
          <w:color w:val="000000"/>
          <w:sz w:val="24"/>
          <w:szCs w:val="24"/>
          <w:highlight w:val="none"/>
        </w:rPr>
        <w:t xml:space="preserve">提交投标文件截止时间</w:t>
      </w:r>
      <w:bookmarkEnd w:id="10"/>
      <w:r>
        <w:rPr>
          <w:rFonts w:hint="eastAsia" w:ascii="宋体" w:hAnsi="宋体" w:eastAsia="宋体" w:cs="宋体"/>
          <w:b/>
          <w:bCs/>
          <w:color w:val="000000"/>
          <w:sz w:val="24"/>
          <w:szCs w:val="24"/>
          <w:highlight w:val="none"/>
        </w:rPr>
        <w:t xml:space="preserve">、开标时间和地点</w:t>
      </w:r>
      <w:bookmarkEnd w:id="9"/>
      <w:r>
        <w:rPr>
          <w:rFonts w:hint="eastAsia" w:ascii="宋体" w:hAnsi="宋体" w:eastAsia="宋体" w:cs="宋体"/>
          <w:b/>
          <w:bCs/>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bookmarkStart w:id="11" w:name="OLE_LINK17"/>
      <w:r>
        <w:rPr>
          <w:rFonts w:hint="eastAsia" w:ascii="宋体" w:hAnsi="宋体" w:eastAsia="宋体" w:cs="宋体"/>
          <w:color w:val="000000"/>
          <w:sz w:val="22"/>
          <w:szCs w:val="22"/>
          <w:highlight w:val="none"/>
        </w:rPr>
        <w:t xml:space="preserve">1.提交投标文件截止时间：</w:t>
      </w:r>
      <w:r>
        <w:rPr>
          <w:rFonts w:hint="eastAsia" w:ascii="宋体" w:hAnsi="宋体" w:eastAsia="宋体" w:cs="宋体"/>
          <w:color w:val="000000"/>
          <w:sz w:val="22"/>
          <w:szCs w:val="22"/>
          <w:highlight w:val="none"/>
          <w:lang w:eastAsia="zh-CN"/>
        </w:rPr>
        <w:t xml:space="preserve">2026年7月31日 9：30</w:t>
      </w:r>
      <w:r>
        <w:rPr>
          <w:rFonts w:hint="eastAsia" w:ascii="宋体" w:hAnsi="宋体" w:eastAsia="宋体" w:cs="宋体"/>
          <w:color w:val="000000"/>
          <w:sz w:val="22"/>
          <w:szCs w:val="22"/>
          <w:highlight w:val="none"/>
        </w:rPr>
        <w:t xml:space="preserve">（北京时间）</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2.开标时间：</w:t>
      </w:r>
      <w:r>
        <w:rPr>
          <w:rFonts w:hint="eastAsia" w:ascii="宋体" w:hAnsi="宋体" w:eastAsia="宋体" w:cs="宋体"/>
          <w:color w:val="000000"/>
          <w:sz w:val="22"/>
          <w:szCs w:val="22"/>
          <w:highlight w:val="none"/>
          <w:lang w:eastAsia="zh-CN"/>
        </w:rPr>
        <w:t xml:space="preserve">2026年7月31日 9：30</w:t>
      </w:r>
      <w:r>
        <w:rPr>
          <w:rFonts w:hint="eastAsia" w:ascii="宋体" w:hAnsi="宋体" w:eastAsia="宋体" w:cs="宋体"/>
          <w:color w:val="000000"/>
          <w:sz w:val="22"/>
          <w:szCs w:val="22"/>
          <w:highlight w:val="none"/>
        </w:rPr>
        <w:t xml:space="preserve">（北京时间）</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3.地址：“苏采云”政府采购交易系统网上开标大厅。</w:t>
      </w:r>
      <w:r>
        <w:rPr>
          <w:rFonts w:hint="eastAsia" w:ascii="宋体" w:hAnsi="宋体" w:eastAsia="宋体" w:cs="宋体"/>
          <w:color w:val="000000"/>
          <w:sz w:val="22"/>
          <w:szCs w:val="22"/>
          <w:highlight w:val="none"/>
        </w:rPr>
      </w:r>
      <w:r/>
    </w:p>
    <w:p>
      <w:pPr>
        <w:pStyle w:val="825"/>
        <w:spacing w:before="0" w:after="0"/>
        <w:rPr>
          <w:rFonts w:hint="eastAsia" w:ascii="宋体" w:hAnsi="宋体" w:eastAsia="宋体" w:cs="宋体"/>
          <w:b/>
          <w:bCs/>
          <w:color w:val="000000"/>
          <w:sz w:val="24"/>
          <w:szCs w:val="24"/>
          <w:highlight w:val="none"/>
        </w:rPr>
        <w:outlineLvl w:val="1"/>
      </w:pPr>
      <w:r/>
      <w:bookmarkStart w:id="12" w:name="_Toc13320"/>
      <w:r>
        <w:rPr>
          <w:rFonts w:hint="eastAsia" w:ascii="宋体" w:hAnsi="宋体" w:eastAsia="宋体" w:cs="宋体"/>
          <w:b/>
          <w:bCs/>
          <w:color w:val="000000"/>
          <w:sz w:val="24"/>
          <w:szCs w:val="24"/>
          <w:highlight w:val="none"/>
        </w:rPr>
        <w:t xml:space="preserve">五、公告期限</w:t>
      </w:r>
      <w:bookmarkEnd w:id="12"/>
      <w:r>
        <w:rPr>
          <w:rFonts w:hint="eastAsia" w:ascii="宋体" w:hAnsi="宋体" w:eastAsia="宋体" w:cs="宋体"/>
          <w:b/>
          <w:bCs/>
          <w:color w:val="000000"/>
          <w:sz w:val="24"/>
          <w:szCs w:val="24"/>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招标公告及招标文件公告期限为自本公告发布之日起5个工作日。</w:t>
      </w:r>
      <w:r>
        <w:rPr>
          <w:rFonts w:hint="eastAsia" w:ascii="宋体" w:hAnsi="宋体" w:eastAsia="宋体" w:cs="宋体"/>
          <w:color w:val="000000"/>
          <w:sz w:val="22"/>
          <w:szCs w:val="22"/>
          <w:highlight w:val="none"/>
        </w:rPr>
      </w:r>
      <w:r/>
    </w:p>
    <w:p>
      <w:pPr>
        <w:pStyle w:val="825"/>
        <w:spacing w:before="0" w:after="0"/>
        <w:rPr>
          <w:rFonts w:hint="eastAsia" w:ascii="宋体" w:hAnsi="宋体" w:eastAsia="宋体" w:cs="宋体"/>
          <w:b/>
          <w:bCs/>
          <w:color w:val="000000"/>
          <w:sz w:val="24"/>
          <w:szCs w:val="24"/>
          <w:highlight w:val="none"/>
        </w:rPr>
        <w:outlineLvl w:val="1"/>
      </w:pPr>
      <w:r/>
      <w:bookmarkStart w:id="13" w:name="_Toc15083"/>
      <w:r>
        <w:rPr>
          <w:rFonts w:hint="eastAsia" w:ascii="宋体" w:hAnsi="宋体" w:eastAsia="宋体" w:cs="宋体"/>
          <w:b/>
          <w:bCs/>
          <w:color w:val="000000"/>
          <w:sz w:val="24"/>
          <w:szCs w:val="24"/>
          <w:highlight w:val="none"/>
        </w:rPr>
        <w:t xml:space="preserve">六、其他补充事宜</w:t>
      </w:r>
      <w:bookmarkEnd w:id="13"/>
      <w:r>
        <w:rPr>
          <w:rFonts w:hint="eastAsia" w:ascii="宋体" w:hAnsi="宋体" w:eastAsia="宋体" w:cs="宋体"/>
          <w:b/>
          <w:bCs/>
          <w:color w:val="000000"/>
          <w:sz w:val="24"/>
          <w:szCs w:val="24"/>
          <w:highlight w:val="none"/>
        </w:rPr>
      </w:r>
      <w:r/>
    </w:p>
    <w:p>
      <w:pPr>
        <w:pStyle w:val="825"/>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//www.ccgp-jiangsu.gov.cn/jiangsu/zlxz/ee/ee3a4bc5a3454aa2b0d9312230633ce9.html。</w:t>
      </w:r>
      <w:r>
        <w:rPr>
          <w:rFonts w:hint="eastAsia" w:ascii="宋体" w:hAnsi="宋体" w:eastAsia="宋体" w:cs="宋体"/>
          <w:color w:val="000000"/>
          <w:sz w:val="22"/>
          <w:szCs w:val="22"/>
          <w:highlight w:val="none"/>
        </w:rPr>
      </w:r>
      <w:r/>
    </w:p>
    <w:p>
      <w:pPr>
        <w:pStyle w:val="825"/>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领取CA和办理电子签章（请至南京汉中门大街145号江苏省政务服务中心二期三楼大厅CA办理窗口办理，具体联系方式见《苏采云系统供应商操作手册》（以下简称《操作手册》）</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color w:val="000000"/>
          <w:sz w:val="22"/>
          <w:szCs w:val="22"/>
          <w:highlight w:val="none"/>
        </w:rPr>
      </w:r>
      <w:r/>
    </w:p>
    <w:p>
      <w:pPr>
        <w:pStyle w:val="825"/>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color w:val="000000"/>
          <w:sz w:val="22"/>
          <w:szCs w:val="22"/>
          <w:highlight w:val="none"/>
        </w:rPr>
      </w:r>
      <w:r/>
    </w:p>
    <w:p>
      <w:pPr>
        <w:pStyle w:val="825"/>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请供应商在开标前登录谷歌浏览器进入不见面大厅，并准备好耳麦和摄像设备。因供应商网络与电源不稳定、未按要求配置上述设备、上述设备发生故障等自身原因，导致的后果，供应商自行承担其后果。</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本次招标请按“包”下载招标文件，编制、密封、提交投标文件，并按“包”开标、评标。</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2"/>
          <w:szCs w:val="22"/>
          <w:highlight w:val="none"/>
        </w:rPr>
        <w:t xml:space="preserve">公告媒体：本招</w:t>
      </w:r>
      <w:bookmarkStart w:id="14" w:name="OLE_LINK13"/>
      <w:r>
        <w:rPr>
          <w:rFonts w:hint="eastAsia" w:ascii="宋体" w:hAnsi="宋体" w:eastAsia="宋体" w:cs="宋体"/>
          <w:color w:val="000000"/>
          <w:sz w:val="22"/>
          <w:szCs w:val="22"/>
          <w:highlight w:val="none"/>
        </w:rPr>
        <w:t xml:space="preserve">标公告在江苏政府采购网（http</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4.投标保证金数额及缴纳办法：本次招标不收取投标保证金。</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lang w:eastAsia="zh-CN"/>
        </w:rPr>
      </w:pPr>
      <w:r/>
      <w:bookmarkEnd w:id="14"/>
      <w:r/>
      <w:bookmarkStart w:id="15" w:name="OLE_LINK21"/>
      <w:r>
        <w:rPr>
          <w:rFonts w:hint="eastAsia" w:ascii="宋体" w:hAnsi="宋体" w:eastAsia="宋体" w:cs="宋体"/>
          <w:color w:val="000000"/>
          <w:sz w:val="22"/>
          <w:szCs w:val="22"/>
          <w:highlight w:val="none"/>
        </w:rPr>
        <w:t xml:space="preserve">5.本项目代理机构内部编号：</w:t>
      </w:r>
      <w:r>
        <w:rPr>
          <w:rFonts w:hint="eastAsia" w:ascii="宋体" w:hAnsi="宋体" w:eastAsia="宋体" w:cs="宋体"/>
          <w:color w:val="000000"/>
          <w:sz w:val="22"/>
          <w:szCs w:val="22"/>
          <w:highlight w:val="none"/>
          <w:lang w:eastAsia="zh-CN"/>
        </w:rPr>
        <w:t xml:space="preserve">0675-266JOC004415</w:t>
      </w:r>
      <w:r>
        <w:rPr>
          <w:rFonts w:hint="eastAsia" w:ascii="宋体" w:hAnsi="宋体" w:eastAsia="宋体" w:cs="宋体"/>
          <w:color w:val="000000"/>
          <w:sz w:val="22"/>
          <w:szCs w:val="22"/>
          <w:highlight w:val="none"/>
          <w:lang w:eastAsia="zh-CN"/>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bookmarkEnd w:id="11"/>
      <w:r/>
      <w:bookmarkEnd w:id="15"/>
      <w:r>
        <w:rPr>
          <w:rFonts w:hint="eastAsia" w:ascii="宋体" w:hAnsi="宋体" w:eastAsia="宋体" w:cs="宋体"/>
          <w:color w:val="000000"/>
          <w:sz w:val="22"/>
          <w:szCs w:val="22"/>
          <w:highlight w:val="none"/>
        </w:rPr>
        <w:t xml:space="preserve">获取招标文件咨询联系方式：</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电话：025-84795433/5991</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邮箱：wh@jocite.com</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w:t>
      </w:r>
      <w:r>
        <w:rPr>
          <w:rFonts w:hint="eastAsia" w:ascii="宋体" w:hAnsi="宋体" w:eastAsia="宋体" w:cs="宋体"/>
          <w:color w:val="000000"/>
          <w:sz w:val="22"/>
          <w:szCs w:val="22"/>
          <w:highlight w:val="none"/>
          <w:lang w:eastAsia="zh-CN"/>
        </w:rPr>
        <w:t xml:space="preserve">58号大唐科技大厦</w:t>
      </w:r>
      <w:r>
        <w:rPr>
          <w:rFonts w:hint="eastAsia" w:ascii="宋体" w:hAnsi="宋体" w:eastAsia="宋体" w:cs="宋体"/>
          <w:color w:val="000000"/>
          <w:sz w:val="22"/>
          <w:szCs w:val="22"/>
          <w:highlight w:val="none"/>
        </w:rPr>
        <w:t xml:space="preserve">A座高区15楼</w:t>
      </w:r>
      <w:r>
        <w:rPr>
          <w:rFonts w:hint="eastAsia" w:ascii="宋体" w:hAnsi="宋体" w:eastAsia="宋体" w:cs="宋体"/>
          <w:color w:val="000000"/>
          <w:sz w:val="22"/>
          <w:szCs w:val="22"/>
          <w:highlight w:val="none"/>
        </w:rPr>
      </w:r>
      <w:r/>
    </w:p>
    <w:p>
      <w:pPr>
        <w:pStyle w:val="825"/>
        <w:spacing w:before="0" w:after="0"/>
        <w:rPr>
          <w:rFonts w:hint="eastAsia" w:ascii="宋体" w:hAnsi="宋体" w:eastAsia="宋体" w:cs="宋体"/>
          <w:b/>
          <w:bCs/>
          <w:color w:val="000000"/>
          <w:sz w:val="24"/>
          <w:szCs w:val="24"/>
          <w:highlight w:val="none"/>
        </w:rPr>
        <w:outlineLvl w:val="1"/>
      </w:pPr>
      <w:r/>
      <w:bookmarkStart w:id="16" w:name="_Toc22250"/>
      <w:r>
        <w:rPr>
          <w:rFonts w:hint="eastAsia" w:ascii="宋体" w:hAnsi="宋体" w:eastAsia="宋体" w:cs="宋体"/>
          <w:b/>
          <w:bCs/>
          <w:color w:val="000000"/>
          <w:sz w:val="24"/>
          <w:szCs w:val="24"/>
          <w:highlight w:val="none"/>
        </w:rPr>
        <w:t xml:space="preserve">七、对本次招标提出询问，请按以下方式联系</w:t>
      </w:r>
      <w:bookmarkEnd w:id="16"/>
      <w:r>
        <w:rPr>
          <w:rFonts w:hint="eastAsia" w:ascii="宋体" w:hAnsi="宋体" w:eastAsia="宋体" w:cs="宋体"/>
          <w:b/>
          <w:bCs/>
          <w:color w:val="000000"/>
          <w:sz w:val="24"/>
          <w:szCs w:val="24"/>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1.采购人信息</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名称：江苏省计量科学研究院（江苏省能源计量数据中心）</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地址：南京市栖霞区文澜路95号</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w:t>
      </w:r>
      <w:r>
        <w:rPr>
          <w:rFonts w:hint="eastAsia" w:ascii="宋体" w:hAnsi="宋体" w:eastAsia="宋体" w:cs="宋体"/>
          <w:color w:val="000000"/>
          <w:sz w:val="22"/>
          <w:szCs w:val="22"/>
          <w:highlight w:val="none"/>
          <w:lang w:val="en-US" w:eastAsia="zh-CN"/>
        </w:rPr>
        <w:t xml:space="preserve">安</w:t>
      </w:r>
      <w:r>
        <w:rPr>
          <w:rFonts w:hint="eastAsia" w:ascii="宋体" w:hAnsi="宋体" w:eastAsia="宋体" w:cs="宋体"/>
          <w:color w:val="000000"/>
          <w:sz w:val="22"/>
          <w:szCs w:val="22"/>
          <w:highlight w:val="none"/>
        </w:rPr>
        <w:t xml:space="preserve">老师 </w:t>
      </w:r>
      <w:r>
        <w:rPr>
          <w:rFonts w:hint="eastAsia" w:ascii="宋体" w:hAnsi="宋体" w:eastAsia="宋体" w:cs="宋体"/>
          <w:color w:val="000000"/>
          <w:sz w:val="22"/>
          <w:szCs w:val="22"/>
          <w:highlight w:val="none"/>
        </w:rPr>
      </w:r>
      <w:r/>
    </w:p>
    <w:p>
      <w:pPr>
        <w:pStyle w:val="825"/>
        <w:ind w:firstLine="440"/>
        <w:spacing w:before="0" w:after="0"/>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联系电话：025-864355</w:t>
      </w:r>
      <w:r>
        <w:rPr>
          <w:rFonts w:hint="eastAsia" w:ascii="宋体" w:hAnsi="宋体" w:eastAsia="宋体" w:cs="宋体"/>
          <w:color w:val="000000"/>
          <w:sz w:val="22"/>
          <w:szCs w:val="22"/>
          <w:highlight w:val="none"/>
          <w:lang w:val="en-US" w:eastAsia="zh-CN"/>
        </w:rPr>
        <w:t xml:space="preserve">71</w:t>
      </w:r>
      <w:r>
        <w:rPr>
          <w:rFonts w:ascii="宋体" w:hAnsi="宋体" w:eastAsia="宋体" w:cs="宋体"/>
          <w:color w:val="000000"/>
          <w:sz w:val="22"/>
          <w:szCs w:val="22"/>
          <w:highlight w:val="none"/>
          <w:lang w:val="en-US" w:eastAsia="zh-CN"/>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2.采购代理机构信息</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名称：江苏海外集团国际工程咨询有限公司</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w:t>
      </w:r>
      <w:r>
        <w:rPr>
          <w:rFonts w:hint="eastAsia" w:ascii="宋体" w:hAnsi="宋体" w:eastAsia="宋体" w:cs="宋体"/>
          <w:color w:val="000000"/>
          <w:sz w:val="22"/>
          <w:szCs w:val="22"/>
          <w:highlight w:val="none"/>
          <w:lang w:eastAsia="zh-CN"/>
        </w:rPr>
        <w:t xml:space="preserve">58号大唐科技大厦</w:t>
      </w:r>
      <w:r>
        <w:rPr>
          <w:rFonts w:hint="eastAsia" w:ascii="宋体" w:hAnsi="宋体" w:eastAsia="宋体" w:cs="宋体"/>
          <w:color w:val="000000"/>
          <w:sz w:val="22"/>
          <w:szCs w:val="22"/>
          <w:highlight w:val="none"/>
        </w:rPr>
        <w:t xml:space="preserve">A座高区14-15楼</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联系人：吴昊、孙夏卉、方东、郭秀华</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2"/>
          <w:szCs w:val="22"/>
          <w:highlight w:val="none"/>
        </w:rPr>
        <w:t xml:space="preserve">联系电话：025-84795433/5991</w:t>
      </w:r>
      <w:bookmarkStart w:id="17" w:name="_Toc24439"/>
      <w:r/>
      <w:bookmarkStart w:id="18" w:name="_Toc17198"/>
      <w:r>
        <w:rPr>
          <w:rFonts w:hint="eastAsia" w:ascii="宋体" w:hAnsi="宋体" w:eastAsia="宋体" w:cs="宋体"/>
          <w:color w:val="000000"/>
          <w:sz w:val="22"/>
          <w:szCs w:val="22"/>
          <w:highlight w:val="none"/>
        </w:rPr>
      </w:r>
      <w:r/>
    </w:p>
    <w:p>
      <w:pPr>
        <w:pStyle w:val="825"/>
        <w:ind w:firstLine="643"/>
        <w:jc w:val="center"/>
        <w:spacing w:before="0" w:after="0"/>
        <w:rPr>
          <w:rFonts w:hint="eastAsia" w:ascii="宋体" w:hAnsi="宋体" w:eastAsia="宋体" w:cs="宋体"/>
          <w:color w:val="000000"/>
          <w:highlight w:val="none"/>
        </w:rPr>
      </w:pPr>
      <w:r/>
      <w:bookmarkStart w:id="19" w:name="_Toc25706"/>
      <w:r>
        <w:rPr>
          <w:rStyle w:val="837"/>
          <w:rFonts w:hint="eastAsia" w:ascii="宋体" w:hAnsi="宋体" w:eastAsia="宋体" w:cs="宋体"/>
          <w:color w:val="000000"/>
          <w:highlight w:val="none"/>
        </w:rPr>
        <w:t xml:space="preserve">第二章 投标人须知</w:t>
      </w:r>
      <w:bookmarkEnd w:id="17"/>
      <w:r/>
      <w:bookmarkEnd w:id="18"/>
      <w:r/>
      <w:bookmarkEnd w:id="19"/>
      <w:r>
        <w:rPr>
          <w:rFonts w:hint="eastAsia" w:ascii="宋体" w:hAnsi="宋体" w:eastAsia="宋体" w:cs="宋体"/>
          <w:color w:val="000000"/>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江苏海外集团国际工程咨询有限公司（以下简称“采购代理机构”）受江苏省计量科学研究院（江苏省能源计量数据中心）（采购单位名称，以下简称“采购人”）委托，就</w:t>
      </w:r>
      <w:r>
        <w:rPr>
          <w:rFonts w:hint="eastAsia" w:ascii="宋体" w:hAnsi="宋体" w:eastAsia="宋体" w:cs="宋体"/>
          <w:color w:val="000000"/>
          <w:sz w:val="22"/>
          <w:szCs w:val="22"/>
          <w:highlight w:val="none"/>
          <w:lang w:eastAsia="zh-CN"/>
        </w:rPr>
        <w:t xml:space="preserve">江苏省计量检测基地(二期)实验室家具采购</w:t>
      </w:r>
      <w:r>
        <w:rPr>
          <w:rFonts w:hint="eastAsia" w:ascii="宋体" w:hAnsi="宋体" w:eastAsia="宋体" w:cs="宋体"/>
          <w:color w:val="000000"/>
          <w:sz w:val="22"/>
          <w:szCs w:val="22"/>
          <w:highlight w:val="none"/>
        </w:rPr>
        <w:t xml:space="preserve">采用公开招标方式采购，兹邀请符合资格条件的投标人提交投标文件和相关材料。</w:t>
      </w:r>
      <w:r>
        <w:rPr>
          <w:rFonts w:hint="eastAsia" w:ascii="宋体" w:hAnsi="宋体" w:eastAsia="宋体" w:cs="宋体"/>
          <w:color w:val="000000"/>
          <w:sz w:val="22"/>
          <w:szCs w:val="22"/>
          <w:highlight w:val="none"/>
        </w:rPr>
      </w:r>
      <w:r/>
    </w:p>
    <w:p>
      <w:pPr>
        <w:pStyle w:val="827"/>
        <w:jc w:val="center"/>
        <w:rPr>
          <w:rFonts w:hint="eastAsia" w:eastAsia="宋体" w:cs="宋体"/>
          <w:color w:val="000000"/>
          <w:sz w:val="24"/>
          <w:highlight w:val="none"/>
        </w:rPr>
      </w:pPr>
      <w:r/>
      <w:bookmarkStart w:id="20" w:name="_Toc32032"/>
      <w:r>
        <w:rPr>
          <w:rFonts w:hint="eastAsia" w:eastAsia="宋体" w:cs="宋体"/>
          <w:color w:val="000000"/>
          <w:sz w:val="24"/>
          <w:highlight w:val="none"/>
        </w:rPr>
        <w:t xml:space="preserve">投标人须知前附表：</w:t>
      </w:r>
      <w:bookmarkEnd w:id="20"/>
      <w:r>
        <w:rPr>
          <w:rFonts w:hint="eastAsia"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rHeight w:val="567"/>
          <w:tblHeader/>
        </w:trPr>
        <w:tc>
          <w:tcPr>
            <w:tcW w:w="809" w:type="dxa"/>
            <w:vAlign w:val="center"/>
            <w:textDirection w:val="lrTb"/>
            <w:noWrap w:val="false"/>
          </w:tcPr>
          <w:p>
            <w:pPr>
              <w:pStyle w:val="825"/>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序号</w:t>
            </w:r>
            <w:r>
              <w:rPr>
                <w:rFonts w:hint="eastAsia" w:ascii="宋体" w:hAnsi="宋体" w:eastAsia="宋体" w:cs="宋体"/>
                <w:b/>
                <w:bCs/>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项目</w:t>
            </w:r>
            <w:r>
              <w:rPr>
                <w:rFonts w:hint="eastAsia" w:ascii="宋体" w:hAnsi="宋体" w:eastAsia="宋体" w:cs="宋体"/>
                <w:b/>
                <w:bCs/>
                <w:color w:val="000000"/>
                <w:sz w:val="22"/>
                <w:highlight w:val="none"/>
              </w:rPr>
            </w:r>
            <w:r/>
          </w:p>
        </w:tc>
        <w:tc>
          <w:tcPr>
            <w:tcW w:w="6361" w:type="dxa"/>
            <w:vAlign w:val="center"/>
            <w:textDirection w:val="lrTb"/>
            <w:noWrap w:val="false"/>
          </w:tcPr>
          <w:p>
            <w:pPr>
              <w:pStyle w:val="825"/>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具体内容</w:t>
            </w:r>
            <w:r>
              <w:rPr>
                <w:rFonts w:hint="eastAsia" w:ascii="宋体" w:hAnsi="宋体" w:eastAsia="宋体" w:cs="宋体"/>
                <w:b/>
                <w:bCs/>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项目名称</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江苏省计量检测基地(二期)实验室家具采购</w:t>
            </w:r>
            <w:r>
              <w:rPr>
                <w:rFonts w:hint="eastAsia" w:ascii="宋体" w:hAnsi="宋体" w:eastAsia="宋体" w:cs="宋体"/>
                <w:color w:val="000000"/>
                <w:sz w:val="22"/>
                <w:highlight w:val="none"/>
                <w:lang w:eastAsia="zh-CN"/>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采购方式</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公开招标</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lang w:eastAsia="zh-CN"/>
              </w:rPr>
              <w:t xml:space="preserve">JSZC-320000-HWZX-G2026-0320</w:t>
            </w:r>
            <w:r>
              <w:rPr>
                <w:rFonts w:hint="eastAsia" w:ascii="宋体" w:hAnsi="宋体" w:eastAsia="宋体" w:cs="宋体"/>
                <w:color w:val="000000"/>
                <w:sz w:val="22"/>
                <w:highlight w:val="none"/>
                <w:lang w:eastAsia="zh-CN"/>
              </w:rPr>
            </w:r>
            <w:r/>
          </w:p>
          <w:p>
            <w:pPr>
              <w:pStyle w:val="825"/>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代理机构内部编号：</w:t>
            </w:r>
            <w:r>
              <w:rPr>
                <w:rFonts w:hint="eastAsia" w:ascii="宋体" w:hAnsi="宋体" w:eastAsia="宋体" w:cs="宋体"/>
                <w:color w:val="000000"/>
                <w:sz w:val="22"/>
                <w:highlight w:val="none"/>
                <w:lang w:eastAsia="zh-CN"/>
              </w:rPr>
              <w:t xml:space="preserve">0675-266JOC004415</w:t>
            </w:r>
            <w:r>
              <w:rPr>
                <w:rFonts w:hint="eastAsia" w:ascii="宋体" w:hAnsi="宋体" w:eastAsia="宋体" w:cs="宋体"/>
                <w:color w:val="000000"/>
                <w:sz w:val="22"/>
                <w:highlight w:val="none"/>
                <w:lang w:eastAsia="zh-CN"/>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采购</w:t>
            </w:r>
            <w:r>
              <w:rPr>
                <w:rFonts w:hint="eastAsia" w:ascii="宋体" w:hAnsi="宋体" w:eastAsia="宋体" w:cs="宋体"/>
                <w:color w:val="000000"/>
                <w:sz w:val="22"/>
                <w:highlight w:val="none"/>
              </w:rPr>
              <w:t xml:space="preserve">分包</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lang w:val="en-US" w:eastAsia="zh-CN"/>
              </w:rPr>
              <w:t xml:space="preserve">/2</w:t>
            </w:r>
            <w:r>
              <w:rPr>
                <w:rFonts w:ascii="宋体" w:hAnsi="宋体" w:eastAsia="宋体" w:cs="宋体"/>
                <w:color w:val="000000"/>
                <w:sz w:val="22"/>
                <w:highlight w:val="none"/>
                <w:lang w:val="en-US" w:eastAsia="zh-CN"/>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采购代理</w:t>
            </w:r>
            <w:r>
              <w:rPr>
                <w:rFonts w:hint="eastAsia" w:ascii="宋体" w:hAnsi="宋体" w:eastAsia="宋体" w:cs="宋体"/>
                <w:color w:val="000000"/>
                <w:sz w:val="22"/>
                <w:highlight w:val="none"/>
              </w:rPr>
            </w:r>
            <w:r/>
          </w:p>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机构</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江苏海外集团国际工程咨询有限公司</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项目负责人：方东</w:t>
            </w:r>
            <w:r>
              <w:rPr>
                <w:rFonts w:hint="eastAsia" w:ascii="宋体" w:hAnsi="宋体" w:eastAsia="宋体" w:cs="宋体"/>
                <w:color w:val="000000"/>
                <w:sz w:val="22"/>
                <w:highlight w:val="none"/>
              </w:rPr>
            </w:r>
            <w:r/>
          </w:p>
          <w:p>
            <w:pPr>
              <w:pStyle w:val="825"/>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电话：025-84795433/15195998576</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采购人</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江苏省计量科学研究院（江苏省能源计量数据中心）</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联系人：曹老师       </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电话：025-</w:t>
            </w:r>
            <w:r>
              <w:rPr>
                <w:rFonts w:ascii="宋体" w:hAnsi="宋体" w:eastAsia="宋体" w:cs="宋体"/>
                <w:color w:val="000000"/>
                <w:sz w:val="22"/>
                <w:highlight w:val="none"/>
              </w:rPr>
              <w:t xml:space="preserve">86435533</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预算金额</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人民币</w:t>
            </w:r>
            <w:r>
              <w:rPr>
                <w:rFonts w:hint="eastAsia" w:ascii="宋体" w:hAnsi="宋体" w:eastAsia="宋体" w:cs="宋体"/>
                <w:color w:val="000000"/>
                <w:sz w:val="22"/>
                <w:highlight w:val="none"/>
                <w:lang w:eastAsia="zh-CN"/>
              </w:rPr>
              <w:t xml:space="preserve">640万元</w:t>
            </w:r>
            <w:r>
              <w:rPr>
                <w:rFonts w:hint="eastAsia" w:ascii="宋体" w:hAnsi="宋体" w:eastAsia="宋体" w:cs="宋体"/>
                <w:color w:val="000000"/>
                <w:sz w:val="22"/>
                <w:highlight w:val="none"/>
                <w:lang w:eastAsia="zh-CN"/>
              </w:rPr>
            </w:r>
            <w:r/>
          </w:p>
        </w:tc>
      </w:tr>
      <w:tr>
        <w:trPr>
          <w:cantSplit/>
          <w:trHeight w:val="869"/>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最高限价</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w:t>
            </w:r>
            <w:r>
              <w:rPr>
                <w:rFonts w:hint="eastAsia" w:ascii="宋体" w:hAnsi="宋体" w:eastAsia="宋体" w:cs="宋体"/>
                <w:color w:val="000000"/>
                <w:sz w:val="22"/>
                <w:highlight w:val="none"/>
                <w:lang w:eastAsia="zh-CN"/>
              </w:rPr>
              <w:t xml:space="preserve">640万元</w:t>
            </w:r>
            <w:r>
              <w:rPr>
                <w:rFonts w:hint="eastAsia" w:ascii="宋体" w:hAnsi="宋体" w:eastAsia="宋体" w:cs="宋体"/>
                <w:color w:val="000000"/>
                <w:sz w:val="22"/>
                <w:highlight w:val="none"/>
              </w:rPr>
              <w:t xml:space="preserve">，其中</w:t>
            </w:r>
            <w:r>
              <w:rPr>
                <w:rFonts w:hint="eastAsia" w:ascii="宋体" w:hAnsi="宋体" w:eastAsia="宋体" w:cs="宋体"/>
                <w:color w:val="000000"/>
                <w:sz w:val="22"/>
                <w:highlight w:val="none"/>
                <w:lang w:val="en-US" w:eastAsia="zh-CN"/>
              </w:rPr>
              <w:t xml:space="preserve">采购</w:t>
            </w:r>
            <w:r>
              <w:rPr>
                <w:rFonts w:hint="eastAsia" w:ascii="宋体" w:hAnsi="宋体" w:eastAsia="宋体" w:cs="宋体"/>
                <w:color w:val="000000"/>
                <w:sz w:val="22"/>
                <w:highlight w:val="none"/>
              </w:rPr>
              <w:t xml:space="preserve">分包1：</w:t>
            </w:r>
            <w:r>
              <w:rPr>
                <w:rFonts w:hint="eastAsia" w:ascii="宋体" w:hAnsi="宋体" w:eastAsia="宋体" w:cs="宋体"/>
                <w:color w:val="000000"/>
                <w:sz w:val="22"/>
                <w:highlight w:val="none"/>
                <w:lang w:eastAsia="zh-CN"/>
              </w:rPr>
              <w:t xml:space="preserve">320万</w:t>
            </w:r>
            <w:r>
              <w:rPr>
                <w:rFonts w:hint="eastAsia" w:ascii="宋体" w:hAnsi="宋体" w:eastAsia="宋体" w:cs="宋体"/>
                <w:color w:val="000000"/>
                <w:sz w:val="22"/>
                <w:highlight w:val="none"/>
              </w:rPr>
              <w:t xml:space="preserve">元,</w:t>
            </w:r>
            <w:r>
              <w:rPr>
                <w:rFonts w:hint="eastAsia" w:ascii="宋体" w:hAnsi="宋体" w:eastAsia="宋体" w:cs="宋体"/>
                <w:color w:val="000000"/>
                <w:sz w:val="22"/>
                <w:highlight w:val="none"/>
                <w:lang w:val="en-US" w:eastAsia="zh-CN"/>
              </w:rPr>
              <w:t xml:space="preserve">采购</w:t>
            </w:r>
            <w:r>
              <w:rPr>
                <w:rFonts w:hint="eastAsia" w:ascii="宋体" w:hAnsi="宋体" w:eastAsia="宋体" w:cs="宋体"/>
                <w:color w:val="000000"/>
                <w:sz w:val="22"/>
                <w:highlight w:val="none"/>
              </w:rPr>
              <w:t xml:space="preserve">分包2：</w:t>
            </w:r>
            <w:r>
              <w:rPr>
                <w:rFonts w:hint="eastAsia" w:ascii="宋体" w:hAnsi="宋体" w:eastAsia="宋体" w:cs="宋体"/>
                <w:color w:val="000000"/>
                <w:sz w:val="22"/>
                <w:highlight w:val="none"/>
                <w:lang w:eastAsia="zh-CN"/>
              </w:rPr>
              <w:t xml:space="preserve">320万</w:t>
            </w:r>
            <w:r>
              <w:rPr>
                <w:rFonts w:hint="eastAsia" w:ascii="宋体" w:hAnsi="宋体" w:eastAsia="宋体" w:cs="宋体"/>
                <w:color w:val="000000"/>
                <w:sz w:val="22"/>
                <w:highlight w:val="none"/>
              </w:rPr>
              <w:t xml:space="preserve">元。超出最高限价的投标文件作无效响应处理。具体报价格式参照招标文件附件中“报价一览表格式”。</w:t>
            </w:r>
            <w:r>
              <w:rPr>
                <w:rFonts w:hint="eastAsia" w:ascii="宋体" w:hAnsi="宋体" w:eastAsia="宋体" w:cs="宋体"/>
                <w:color w:val="000000"/>
                <w:sz w:val="22"/>
                <w:highlight w:val="none"/>
              </w:rPr>
            </w:r>
            <w:r/>
          </w:p>
        </w:tc>
      </w:tr>
      <w:tr>
        <w:trPr>
          <w:cantSplit/>
          <w:trHeight w:val="1740"/>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9</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报价方式</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所有投标报价均以人民币报价。投标人的投标报价应遵守《中华人民共和国价格法》。该报价为到采购人现场的全部费用（含相关税费、运输费、保险费、安装费及相关服务费等一切可能发生的费用）。具体报价格式参照招标文件附件“报价一览表格式”。</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投标保证金</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招标文件获取</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240" w:lineRule="auto"/>
              <w:tabs>
                <w:tab w:val="left" w:pos="5250" w:leader="none"/>
              </w:tabs>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答疑</w:t>
            </w:r>
            <w:r>
              <w:rPr>
                <w:rFonts w:hint="eastAsia" w:ascii="宋体" w:hAnsi="宋体" w:eastAsia="宋体" w:cs="宋体"/>
                <w:color w:val="000000"/>
                <w:sz w:val="22"/>
                <w:highlight w:val="none"/>
              </w:rPr>
            </w:r>
            <w:r/>
          </w:p>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（勘查现场）</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 xml:space="preserve">采购人不集中组织，投标人可自行联系采购项目负责人答疑。未考察现场或考察工作不详细的投标人，中标后不得以不完全了解现场情况为理由向采购人提出任何索赔或其他要求，对此采购人不承担任何责任，且将不作任何答复。</w:t>
            </w:r>
            <w:r>
              <w:rPr>
                <w:rFonts w:hint="eastAsia" w:ascii="宋体" w:hAnsi="宋体" w:eastAsia="宋体" w:cs="宋体"/>
                <w:b/>
                <w:bCs/>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投标文件接收截止时间及地点</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截止时间（同开标时间）：详见招标公告</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接收地点：“苏采云”政府采购交易系统网上开标大厅</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形式</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评标时间</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24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2026年7月31日 9：30</w:t>
            </w:r>
            <w:r>
              <w:rPr>
                <w:rFonts w:hint="eastAsia" w:ascii="宋体" w:hAnsi="宋体" w:eastAsia="宋体" w:cs="宋体"/>
                <w:color w:val="000000"/>
                <w:sz w:val="22"/>
                <w:highlight w:val="none"/>
              </w:rPr>
              <w:t xml:space="preserve">后（北京时间）</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完整性</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17</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投标文件有效期</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投标人提交投标文件截止之日起90天</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18</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关于联合体投标</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本项目不接受联合体投标</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19</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中标候选人及中标人数量</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中标候选人：3名/包；中标人：1名/包</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20</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投标费用</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本项目采购代理服务费由中标人承担，交纳给招标代理机构。交纳时间：获取中标通知书当日。投标人自行承担所有与准备和参加投标有关的全部费用，不论投标结果如何，采购人均无义务和责任承担这些费用。</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21</w:t>
            </w:r>
            <w:r>
              <w:rPr>
                <w:rFonts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其他要求</w:t>
            </w:r>
            <w:r>
              <w:rPr>
                <w:rFonts w:hint="eastAsia" w:ascii="宋体" w:hAnsi="宋体" w:eastAsia="宋体" w:cs="宋体"/>
                <w:color w:val="000000"/>
                <w:sz w:val="22"/>
                <w:highlight w:val="none"/>
              </w:rPr>
            </w:r>
            <w:r/>
          </w:p>
        </w:tc>
        <w:tc>
          <w:tcPr>
            <w:tcW w:w="6361" w:type="dxa"/>
            <w:vAlign w:val="center"/>
            <w:textDirection w:val="lrTb"/>
            <w:noWrap w:val="false"/>
          </w:tcPr>
          <w:p>
            <w:pPr>
              <w:pStyle w:val="825"/>
              <w:jc w:val="left"/>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中标供应商须在中标公示期结束后将与“苏采云”政府采购交易系统中一致的纸质版投标文件（文件份数：1份）邮寄至下列地址：南京市建邺区云龙山路</w:t>
            </w:r>
            <w:r>
              <w:rPr>
                <w:rFonts w:hint="eastAsia" w:ascii="宋体" w:hAnsi="宋体" w:eastAsia="宋体" w:cs="宋体"/>
                <w:color w:val="000000"/>
                <w:sz w:val="22"/>
                <w:highlight w:val="none"/>
                <w:lang w:eastAsia="zh-CN"/>
              </w:rPr>
              <w:t xml:space="preserve">58号大唐科技大厦</w:t>
            </w:r>
            <w:r>
              <w:rPr>
                <w:rFonts w:hint="eastAsia" w:ascii="宋体" w:hAnsi="宋体" w:eastAsia="宋体" w:cs="宋体"/>
                <w:color w:val="000000"/>
                <w:sz w:val="22"/>
                <w:highlight w:val="none"/>
              </w:rPr>
              <w:t xml:space="preserve">A座高区15楼，方东</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15195998576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lang w:eastAsia="zh-CN"/>
              </w:rPr>
            </w:r>
            <w:r/>
          </w:p>
          <w:p>
            <w:pPr>
              <w:pStyle w:val="825"/>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请投标人务必认真阅读本招标文件，严格遵照上述要求应标。</w:t>
            </w:r>
            <w:r>
              <w:rPr>
                <w:rFonts w:hint="eastAsia" w:ascii="宋体" w:hAnsi="宋体" w:eastAsia="宋体" w:cs="宋体"/>
                <w:color w:val="000000"/>
                <w:sz w:val="22"/>
                <w:highlight w:val="none"/>
              </w:rPr>
            </w:r>
            <w:r/>
          </w:p>
        </w:tc>
      </w:tr>
    </w:tbl>
    <w:p>
      <w:pPr>
        <w:pStyle w:val="825"/>
        <w:numPr>
          <w:ilvl w:val="0"/>
          <w:numId w:val="5"/>
        </w:numPr>
        <w:rPr>
          <w:rFonts w:hint="eastAsia" w:ascii="宋体" w:hAnsi="宋体" w:eastAsia="宋体" w:cs="宋体"/>
          <w:b/>
          <w:bCs/>
          <w:color w:val="000000"/>
          <w:szCs w:val="21"/>
          <w:highlight w:val="none"/>
        </w:rPr>
        <w:outlineLvl w:val="1"/>
      </w:pPr>
      <w:r/>
      <w:bookmarkStart w:id="21" w:name="_Toc27197"/>
      <w:r>
        <w:rPr>
          <w:rFonts w:hint="eastAsia" w:ascii="宋体" w:hAnsi="宋体" w:cs="宋体"/>
          <w:color w:val="000000"/>
          <w:highlight w:val="none"/>
        </w:rPr>
        <w:br w:type="page" w:clear="all"/>
      </w:r>
      <w:bookmarkEnd w:id="21"/>
      <w:r/>
      <w:bookmarkStart w:id="22" w:name="_Toc209510674"/>
      <w:r/>
      <w:bookmarkStart w:id="23" w:name="_Toc209510615"/>
      <w:r/>
      <w:bookmarkStart w:id="24" w:name="_Toc20838"/>
      <w:r/>
      <w:bookmarkStart w:id="25" w:name="_Toc28411"/>
      <w:r/>
      <w:bookmarkStart w:id="26" w:name="_Toc17556"/>
      <w:r/>
      <w:bookmarkStart w:id="27" w:name="_Toc21658"/>
      <w:r/>
      <w:bookmarkStart w:id="28" w:name="_Toc1344"/>
      <w:r>
        <w:rPr>
          <w:rFonts w:hint="eastAsia" w:ascii="宋体" w:hAnsi="宋体" w:eastAsia="宋体" w:cs="宋体"/>
          <w:b/>
          <w:bCs/>
          <w:color w:val="000000"/>
          <w:szCs w:val="21"/>
          <w:highlight w:val="none"/>
          <w:lang w:val="zh-CN"/>
        </w:rPr>
        <w:t xml:space="preserve">总则</w:t>
      </w:r>
      <w:bookmarkEnd w:id="22"/>
      <w:r/>
      <w:bookmarkEnd w:id="23"/>
      <w:r/>
      <w:bookmarkEnd w:id="24"/>
      <w:r/>
      <w:bookmarkEnd w:id="25"/>
      <w:r/>
      <w:bookmarkEnd w:id="26"/>
      <w:r>
        <w:rPr>
          <w:rFonts w:hint="eastAsia" w:ascii="宋体" w:hAnsi="宋体" w:eastAsia="宋体" w:cs="宋体"/>
          <w:b/>
          <w:bCs/>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outlineLvl w:val="2"/>
      </w:pPr>
      <w:r/>
      <w:bookmarkStart w:id="29" w:name="_Toc209510675"/>
      <w:r>
        <w:rPr>
          <w:rFonts w:hint="eastAsia" w:ascii="宋体" w:hAnsi="宋体" w:eastAsia="宋体" w:cs="宋体"/>
          <w:b/>
          <w:bCs/>
          <w:color w:val="000000"/>
          <w:szCs w:val="21"/>
          <w:highlight w:val="none"/>
        </w:rPr>
        <w:t xml:space="preserve">适用法律</w:t>
      </w:r>
      <w:bookmarkEnd w:id="29"/>
      <w:r>
        <w:rPr>
          <w:rFonts w:hint="eastAsia" w:ascii="宋体" w:hAnsi="宋体" w:eastAsia="宋体" w:cs="宋体"/>
          <w:b/>
          <w:bCs/>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本次招标适用《中华人民共和国政府采购法》（以下简称“政府采购法”</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《中华人民共和国政府采购法实施条例》（以下简称“政府采购法实施条例”</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《政府采购货物和服务招标投标管理办法》等法律、行政法规、部门规章和规范性文件。</w:t>
      </w:r>
      <w:r>
        <w:rPr>
          <w:rFonts w:hint="eastAsia" w:ascii="宋体" w:hAnsi="宋体" w:eastAsia="宋体" w:cs="宋体"/>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outlineLvl w:val="2"/>
      </w:pPr>
      <w:r/>
      <w:bookmarkStart w:id="30" w:name="_Toc209510676"/>
      <w:r>
        <w:rPr>
          <w:rFonts w:hint="eastAsia" w:ascii="宋体" w:hAnsi="宋体" w:eastAsia="宋体" w:cs="宋体"/>
          <w:b/>
          <w:bCs/>
          <w:color w:val="000000"/>
          <w:szCs w:val="21"/>
          <w:highlight w:val="none"/>
        </w:rPr>
        <w:t xml:space="preserve">定义</w:t>
      </w:r>
      <w:bookmarkEnd w:id="30"/>
      <w:r>
        <w:rPr>
          <w:rFonts w:hint="eastAsia" w:ascii="宋体" w:hAnsi="宋体" w:eastAsia="宋体" w:cs="宋体"/>
          <w:b/>
          <w:bCs/>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“采购人”是指依法进行政府采购的国家机关、事业单位、团体组织。</w:t>
      </w:r>
      <w:r>
        <w:rPr>
          <w:rFonts w:hint="eastAsia" w:ascii="宋体" w:hAnsi="宋体" w:eastAsia="宋体" w:cs="宋体"/>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“投标人（供应商）”是指参加投标竞争，并符合招标文件规定资格条件的法人、其他组织或者自然人。</w:t>
      </w:r>
      <w:r>
        <w:rPr>
          <w:rFonts w:hint="eastAsia" w:ascii="宋体" w:hAnsi="宋体" w:eastAsia="宋体" w:cs="宋体"/>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“货物和服务”指本招标文件中所述产品及相关服务。</w:t>
      </w:r>
      <w:r>
        <w:rPr>
          <w:rFonts w:hint="eastAsia" w:ascii="宋体" w:hAnsi="宋体" w:eastAsia="宋体" w:cs="宋体"/>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“用户或使用单位”是指使用货物，接受服务的单位。</w:t>
      </w:r>
      <w:r>
        <w:rPr>
          <w:rFonts w:hint="eastAsia" w:ascii="宋体" w:hAnsi="宋体" w:eastAsia="宋体" w:cs="宋体"/>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outlineLvl w:val="2"/>
      </w:pPr>
      <w:r/>
      <w:bookmarkStart w:id="31" w:name="_Toc209510677"/>
      <w:r>
        <w:rPr>
          <w:rFonts w:hint="eastAsia" w:ascii="宋体" w:hAnsi="宋体" w:eastAsia="宋体" w:cs="宋体"/>
          <w:b/>
          <w:bCs/>
          <w:color w:val="000000"/>
          <w:szCs w:val="21"/>
          <w:highlight w:val="none"/>
        </w:rPr>
        <w:t xml:space="preserve">政策功能</w:t>
      </w:r>
      <w:bookmarkEnd w:id="31"/>
      <w:r>
        <w:rPr>
          <w:rFonts w:hint="eastAsia" w:ascii="宋体" w:hAnsi="宋体" w:eastAsia="宋体" w:cs="宋体"/>
          <w:b/>
          <w:bCs/>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进口产品政策</w:t>
      </w:r>
      <w:r>
        <w:rPr>
          <w:rFonts w:hint="eastAsia" w:ascii="宋体" w:hAnsi="宋体" w:eastAsia="宋体" w:cs="宋体"/>
          <w:color w:val="000000"/>
          <w:szCs w:val="21"/>
          <w:highlight w:val="none"/>
          <w:lang w:eastAsia="en-US"/>
        </w:rPr>
      </w:r>
      <w:r/>
    </w:p>
    <w:p>
      <w:pPr>
        <w:pStyle w:val="825"/>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Cs w:val="21"/>
          <w:highlight w:val="none"/>
        </w:rPr>
      </w:r>
      <w:r/>
    </w:p>
    <w:p>
      <w:pPr>
        <w:pStyle w:val="825"/>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允许进口产品参加的，满足需求的国内产品可以参加。</w:t>
      </w:r>
      <w:r>
        <w:rPr>
          <w:rFonts w:hint="eastAsia" w:ascii="宋体" w:hAnsi="宋体" w:eastAsia="宋体" w:cs="宋体"/>
          <w:color w:val="000000"/>
          <w:szCs w:val="21"/>
          <w:highlight w:val="none"/>
        </w:rPr>
      </w:r>
      <w:r/>
    </w:p>
    <w:p>
      <w:pPr>
        <w:pStyle w:val="825"/>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允许进口产品参加的，优先采购向我国企业转让技术、与我国企业签订消化吸收再创新方案的投标人的进口产品。</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未按要求提供相关材料的，不享受相关政策。</w:t>
      </w:r>
      <w:r>
        <w:rPr>
          <w:rFonts w:hint="eastAsia" w:ascii="宋体" w:hAnsi="宋体" w:eastAsia="宋体" w:cs="宋体"/>
          <w:color w:val="000000"/>
          <w:szCs w:val="21"/>
          <w:highlight w:val="none"/>
        </w:rPr>
      </w:r>
      <w:r/>
    </w:p>
    <w:p>
      <w:pPr>
        <w:pStyle w:val="825"/>
        <w:numPr>
          <w:ilvl w:val="0"/>
          <w:numId w:val="5"/>
        </w:numPr>
        <w:rPr>
          <w:rFonts w:hint="eastAsia" w:ascii="宋体" w:hAnsi="宋体" w:eastAsia="宋体" w:cs="宋体"/>
          <w:b/>
          <w:bCs/>
          <w:color w:val="000000"/>
          <w:szCs w:val="21"/>
          <w:highlight w:val="none"/>
        </w:rPr>
        <w:outlineLvl w:val="1"/>
      </w:pPr>
      <w:r/>
      <w:bookmarkStart w:id="32" w:name="_Toc7274"/>
      <w:r/>
      <w:bookmarkStart w:id="33" w:name="_Toc20589"/>
      <w:r/>
      <w:bookmarkStart w:id="34" w:name="_Toc209510616"/>
      <w:r/>
      <w:bookmarkStart w:id="35" w:name="_Toc209510678"/>
      <w:r/>
      <w:bookmarkStart w:id="36" w:name="_Toc17507"/>
      <w:r/>
      <w:bookmarkStart w:id="37" w:name="_Toc9697"/>
      <w:r/>
      <w:bookmarkStart w:id="38" w:name="_Toc18152"/>
      <w:r>
        <w:rPr>
          <w:rFonts w:hint="eastAsia" w:ascii="宋体" w:hAnsi="宋体" w:eastAsia="宋体" w:cs="宋体"/>
          <w:b/>
          <w:bCs/>
          <w:color w:val="000000"/>
          <w:szCs w:val="21"/>
          <w:highlight w:val="none"/>
        </w:rPr>
        <w:t xml:space="preserve">招标文件构成</w:t>
      </w:r>
      <w:bookmarkEnd w:id="32"/>
      <w:r/>
      <w:bookmarkEnd w:id="33"/>
      <w:r/>
      <w:bookmarkEnd w:id="34"/>
      <w:r/>
      <w:bookmarkEnd w:id="35"/>
      <w:r/>
      <w:bookmarkEnd w:id="36"/>
      <w:r/>
      <w:bookmarkEnd w:id="37"/>
      <w:r/>
      <w:bookmarkEnd w:id="38"/>
      <w:r>
        <w:rPr>
          <w:rFonts w:hint="eastAsia" w:ascii="宋体" w:hAnsi="宋体" w:eastAsia="宋体" w:cs="宋体"/>
          <w:b/>
          <w:bCs/>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outlineLvl w:val="2"/>
      </w:pPr>
      <w:r/>
      <w:bookmarkStart w:id="39" w:name="_Toc209510679"/>
      <w:r>
        <w:rPr>
          <w:rFonts w:hint="eastAsia" w:ascii="宋体" w:hAnsi="宋体" w:eastAsia="宋体" w:cs="宋体"/>
          <w:b/>
          <w:bCs/>
          <w:color w:val="000000"/>
          <w:szCs w:val="21"/>
          <w:highlight w:val="none"/>
        </w:rPr>
        <w:t xml:space="preserve">招标文件组成</w:t>
      </w:r>
      <w:bookmarkEnd w:id="39"/>
      <w:r>
        <w:rPr>
          <w:rFonts w:hint="eastAsia" w:ascii="宋体" w:hAnsi="宋体" w:eastAsia="宋体" w:cs="宋体"/>
          <w:b/>
          <w:bCs/>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招标文件包括以下主要内容：</w:t>
      </w:r>
      <w:r>
        <w:rPr>
          <w:rFonts w:hint="eastAsia" w:ascii="宋体" w:hAnsi="宋体" w:eastAsia="宋体" w:cs="宋体"/>
          <w:color w:val="000000"/>
          <w:szCs w:val="21"/>
          <w:highlight w:val="none"/>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招标公告；</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投标人须知；</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评标标准（评分标准）；</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采购需求；</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合同主要条款及格式；</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投标文件格式及附件。</w:t>
      </w:r>
      <w:r>
        <w:rPr>
          <w:rFonts w:hint="eastAsia" w:ascii="宋体" w:hAnsi="宋体" w:eastAsia="宋体" w:cs="宋体"/>
          <w:color w:val="000000"/>
          <w:szCs w:val="21"/>
          <w:highlight w:val="none"/>
          <w:lang w:eastAsia="en-US"/>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eastAsia="宋体" w:cs="宋体"/>
          <w:color w:val="000000"/>
          <w:szCs w:val="21"/>
          <w:highlight w:val="none"/>
        </w:rPr>
      </w:r>
      <w:r/>
    </w:p>
    <w:p>
      <w:pPr>
        <w:pStyle w:val="825"/>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color w:val="000000"/>
          <w:szCs w:val="21"/>
          <w:highlight w:val="none"/>
        </w:rPr>
      </w:r>
      <w:r/>
    </w:p>
    <w:p>
      <w:pPr>
        <w:pStyle w:val="825"/>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采购代理机构如果要求投标人按照招标文件规定提交备选投标方案的，投标人可以提交备选方案；否则，备选方案将被拒绝。</w:t>
      </w:r>
      <w:r>
        <w:rPr>
          <w:rFonts w:hint="eastAsia" w:ascii="宋体" w:hAnsi="宋体" w:eastAsia="宋体" w:cs="宋体"/>
          <w:color w:val="000000"/>
          <w:szCs w:val="21"/>
          <w:highlight w:val="none"/>
        </w:rPr>
      </w:r>
      <w:r/>
    </w:p>
    <w:p>
      <w:pPr>
        <w:pStyle w:val="825"/>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招标文件中要求的产品品牌或型号，是采购人根据项目所要实现的功能推荐的品牌或型号，仅供投标人参考，并不是限制条件。</w:t>
      </w:r>
      <w:r>
        <w:rPr>
          <w:rFonts w:hint="eastAsia" w:ascii="宋体" w:hAnsi="宋体" w:eastAsia="宋体" w:cs="宋体"/>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outlineLvl w:val="2"/>
      </w:pPr>
      <w:r/>
      <w:bookmarkStart w:id="40" w:name="_Toc209510680"/>
      <w:r>
        <w:rPr>
          <w:rFonts w:hint="eastAsia" w:ascii="宋体" w:hAnsi="宋体" w:eastAsia="宋体" w:cs="宋体"/>
          <w:b/>
          <w:bCs/>
          <w:color w:val="000000"/>
          <w:szCs w:val="21"/>
          <w:highlight w:val="none"/>
        </w:rPr>
        <w:t xml:space="preserve">招标文件的澄清或者修改</w:t>
      </w:r>
      <w:bookmarkEnd w:id="40"/>
      <w:r>
        <w:rPr>
          <w:rFonts w:hint="eastAsia" w:ascii="宋体" w:hAnsi="宋体" w:eastAsia="宋体" w:cs="宋体"/>
          <w:b/>
          <w:bCs/>
          <w:color w:val="000000"/>
          <w:szCs w:val="21"/>
          <w:highlight w:val="none"/>
        </w:rPr>
      </w:r>
      <w:r/>
    </w:p>
    <w:p>
      <w:pPr>
        <w:pStyle w:val="825"/>
        <w:numPr>
          <w:ilvl w:val="0"/>
          <w:numId w:val="12"/>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color w:val="000000"/>
          <w:szCs w:val="21"/>
          <w:highlight w:val="none"/>
          <w:lang w:eastAsia="en-US"/>
        </w:rPr>
        <w:t xml:space="preserve">澄清或者修改的内容为招标文件的组成部分。</w:t>
      </w:r>
      <w:r>
        <w:rPr>
          <w:rFonts w:hint="eastAsia" w:ascii="宋体" w:hAnsi="宋体" w:eastAsia="宋体" w:cs="宋体"/>
          <w:color w:val="000000"/>
          <w:szCs w:val="21"/>
          <w:highlight w:val="none"/>
          <w:lang w:eastAsia="en-US"/>
        </w:rPr>
      </w:r>
      <w:r/>
    </w:p>
    <w:p>
      <w:pPr>
        <w:pStyle w:val="825"/>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color w:val="000000"/>
          <w:szCs w:val="21"/>
          <w:highlight w:val="none"/>
        </w:rPr>
      </w:r>
      <w:r/>
    </w:p>
    <w:p>
      <w:pPr>
        <w:pStyle w:val="825"/>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color w:val="000000"/>
          <w:szCs w:val="21"/>
          <w:highlight w:val="none"/>
        </w:rPr>
      </w:r>
      <w:r/>
    </w:p>
    <w:p>
      <w:pPr>
        <w:pStyle w:val="825"/>
        <w:numPr>
          <w:ilvl w:val="0"/>
          <w:numId w:val="5"/>
        </w:numPr>
        <w:rPr>
          <w:rFonts w:hint="eastAsia" w:ascii="宋体" w:hAnsi="宋体" w:eastAsia="宋体" w:cs="宋体"/>
          <w:b/>
          <w:bCs/>
          <w:color w:val="000000"/>
          <w:szCs w:val="21"/>
          <w:highlight w:val="none"/>
        </w:rPr>
        <w:outlineLvl w:val="1"/>
      </w:pPr>
      <w:r/>
      <w:bookmarkStart w:id="41" w:name="_Toc3559"/>
      <w:r/>
      <w:bookmarkStart w:id="42" w:name="_Toc209510681"/>
      <w:r/>
      <w:bookmarkStart w:id="43" w:name="_Toc6845"/>
      <w:r/>
      <w:bookmarkStart w:id="44" w:name="_Toc19603"/>
      <w:r/>
      <w:bookmarkStart w:id="45" w:name="_Toc209510617"/>
      <w:r/>
      <w:bookmarkStart w:id="46" w:name="_Toc7702"/>
      <w:r/>
      <w:bookmarkStart w:id="47" w:name="_Toc22828"/>
      <w:r>
        <w:rPr>
          <w:rFonts w:hint="eastAsia" w:ascii="宋体" w:hAnsi="宋体" w:eastAsia="宋体" w:cs="宋体"/>
          <w:b/>
          <w:bCs/>
          <w:color w:val="000000"/>
          <w:szCs w:val="21"/>
          <w:highlight w:val="none"/>
        </w:rPr>
        <w:t xml:space="preserve">投标文件的编制</w:t>
      </w:r>
      <w:bookmarkEnd w:id="41"/>
      <w:r/>
      <w:bookmarkEnd w:id="42"/>
      <w:r/>
      <w:bookmarkEnd w:id="43"/>
      <w:r/>
      <w:bookmarkEnd w:id="44"/>
      <w:r/>
      <w:bookmarkEnd w:id="45"/>
      <w:r/>
      <w:bookmarkEnd w:id="46"/>
      <w:r/>
      <w:bookmarkEnd w:id="47"/>
      <w:r>
        <w:rPr>
          <w:rFonts w:hint="eastAsia" w:ascii="宋体" w:hAnsi="宋体" w:eastAsia="宋体" w:cs="宋体"/>
          <w:b/>
          <w:bCs/>
          <w:color w:val="000000"/>
          <w:szCs w:val="21"/>
          <w:highlight w:val="none"/>
        </w:rPr>
      </w:r>
      <w:r/>
    </w:p>
    <w:p>
      <w:pPr>
        <w:pStyle w:val="825"/>
        <w:numPr>
          <w:ilvl w:val="0"/>
          <w:numId w:val="13"/>
        </w:numPr>
        <w:ind w:left="0" w:firstLine="422"/>
        <w:rPr>
          <w:rFonts w:hint="eastAsia" w:ascii="宋体" w:hAnsi="宋体" w:eastAsia="宋体" w:cs="宋体"/>
          <w:b/>
          <w:bCs/>
          <w:color w:val="000000"/>
          <w:szCs w:val="21"/>
          <w:highlight w:val="none"/>
        </w:rPr>
      </w:pPr>
      <w:r/>
      <w:bookmarkStart w:id="48" w:name="_Toc209510682"/>
      <w:r>
        <w:rPr>
          <w:rFonts w:hint="eastAsia" w:ascii="宋体" w:hAnsi="宋体" w:eastAsia="宋体" w:cs="宋体"/>
          <w:b/>
          <w:bCs/>
          <w:color w:val="000000"/>
          <w:szCs w:val="21"/>
          <w:highlight w:val="none"/>
        </w:rPr>
        <w:t xml:space="preserve">投标文件的语言、计量单位、货币和编制</w:t>
      </w:r>
      <w:bookmarkEnd w:id="48"/>
      <w:r>
        <w:rPr>
          <w:rFonts w:hint="eastAsia" w:ascii="宋体" w:hAnsi="宋体" w:eastAsia="宋体" w:cs="宋体"/>
          <w:b/>
          <w:bCs/>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投标人所使用的计量单位应为国家法定计量单位。</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投标人应用人民币报价。投标产品如果是进口产品的，应提供人民币与</w:t>
      </w:r>
      <w:r>
        <w:rPr>
          <w:rFonts w:hint="eastAsia" w:ascii="宋体" w:hAnsi="宋体" w:eastAsia="宋体" w:cs="宋体"/>
          <w:b/>
          <w:color w:val="000000"/>
          <w:szCs w:val="21"/>
          <w:highlight w:val="none"/>
        </w:rPr>
        <w:t xml:space="preserve">外币之间的汇率。</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投标文件应按照招标文件的规定编写并制作目录。</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投标人应在投标文件中写清相应的项目编号、项目名称、投标人全称、地址、电话、传真等。</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联合体投标（本项目不适用）</w:t>
      </w:r>
      <w:r>
        <w:rPr>
          <w:rFonts w:hint="eastAsia" w:ascii="宋体" w:hAnsi="宋体" w:eastAsia="宋体" w:cs="宋体"/>
          <w:b/>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投标文件的组成</w:t>
      </w:r>
      <w:r>
        <w:rPr>
          <w:rFonts w:hint="eastAsia" w:ascii="宋体" w:hAnsi="宋体" w:eastAsia="宋体" w:cs="宋体"/>
          <w:b/>
          <w:color w:val="000000"/>
          <w:szCs w:val="21"/>
          <w:highlight w:val="none"/>
          <w:lang w:eastAsia="en-US"/>
        </w:rPr>
      </w:r>
      <w:r/>
    </w:p>
    <w:p>
      <w:pPr>
        <w:pStyle w:val="825"/>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825"/>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eastAsia="宋体" w:cs="宋体"/>
          <w:color w:val="000000"/>
          <w:szCs w:val="21"/>
          <w:highlight w:val="none"/>
        </w:rPr>
      </w:r>
      <w:r/>
    </w:p>
    <w:p>
      <w:pPr>
        <w:pStyle w:val="825"/>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供应商应当根据招标文件要求编制投标文件，投标文件应对招标文件提出的要求和条件作出实质性响</w:t>
      </w:r>
      <w:r>
        <w:rPr>
          <w:rFonts w:hint="eastAsia" w:ascii="宋体" w:hAnsi="宋体" w:eastAsia="宋体" w:cs="宋体"/>
          <w:color w:val="000000"/>
          <w:szCs w:val="21"/>
          <w:highlight w:val="none"/>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投标文件的商务内容</w:t>
      </w:r>
      <w:r>
        <w:rPr>
          <w:rFonts w:hint="eastAsia" w:ascii="宋体" w:hAnsi="宋体" w:eastAsia="宋体" w:cs="宋体"/>
          <w:b/>
          <w:color w:val="000000"/>
          <w:szCs w:val="21"/>
          <w:highlight w:val="none"/>
          <w:lang w:eastAsia="en-US"/>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color w:val="000000"/>
          <w:szCs w:val="21"/>
          <w:highlight w:val="none"/>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szCs w:val="21"/>
          <w:highlight w:val="none"/>
        </w:rPr>
        <w:t xml:space="preserve">”所述材料不得有缺失或提供不全或不满足招标文件的实质性要求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5"/>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投标函（投标申请及声明） ；</w:t>
      </w:r>
      <w:r>
        <w:rPr>
          <w:rFonts w:hint="eastAsia" w:ascii="宋体" w:hAnsi="宋体" w:eastAsia="宋体" w:cs="宋体"/>
          <w:color w:val="000000"/>
          <w:szCs w:val="21"/>
          <w:highlight w:val="none"/>
        </w:rPr>
      </w:r>
      <w:r/>
    </w:p>
    <w:p>
      <w:pPr>
        <w:pStyle w:val="825"/>
        <w:numPr>
          <w:ilvl w:val="0"/>
          <w:numId w:val="16"/>
        </w:numPr>
        <w:ind w:firstLine="440"/>
        <w:rPr>
          <w:rFonts w:hint="eastAsia" w:ascii="宋体" w:hAnsi="宋体" w:eastAsia="宋体" w:cs="宋体"/>
          <w:color w:val="000000"/>
          <w:szCs w:val="21"/>
          <w:highlight w:val="none"/>
          <w:lang w:eastAsia="en-US"/>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lang w:eastAsia="en-US"/>
        </w:rPr>
        <w:t xml:space="preserve">法人授权书</w:t>
      </w:r>
      <w:r>
        <w:rPr>
          <w:rFonts w:hint="eastAsia" w:ascii="宋体" w:hAnsi="宋体" w:eastAsia="宋体" w:cs="宋体"/>
          <w:color w:val="000000"/>
          <w:szCs w:val="21"/>
          <w:highlight w:val="none"/>
          <w:lang w:val="en-US" w:eastAsia="zh-CN"/>
        </w:rPr>
        <w:t xml:space="preserve">(法人代表授权书（原件）及法定代表人、授权代表身份证复印件)</w:t>
      </w:r>
      <w:r>
        <w:rPr>
          <w:rFonts w:hint="eastAsia" w:ascii="宋体" w:hAnsi="宋体" w:eastAsia="宋体" w:cs="宋体"/>
          <w:color w:val="000000"/>
          <w:szCs w:val="21"/>
          <w:highlight w:val="none"/>
          <w:lang w:eastAsia="en-US"/>
        </w:rPr>
      </w:r>
      <w:r/>
    </w:p>
    <w:p>
      <w:pPr>
        <w:pStyle w:val="825"/>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投标人资格资信证明文件：</w:t>
      </w:r>
      <w:r>
        <w:rPr>
          <w:rFonts w:hint="eastAsia" w:ascii="宋体" w:hAnsi="宋体" w:eastAsia="宋体" w:cs="宋体"/>
          <w:color w:val="000000"/>
          <w:szCs w:val="21"/>
          <w:highlight w:val="none"/>
        </w:rPr>
      </w:r>
      <w:r/>
    </w:p>
    <w:p>
      <w:pPr>
        <w:pStyle w:val="825"/>
        <w:numPr>
          <w:ilvl w:val="0"/>
          <w:numId w:val="16"/>
        </w:numPr>
        <w:ind w:firstLine="440"/>
        <w:rPr>
          <w:rFonts w:hint="eastAsia" w:ascii="宋体" w:hAnsi="宋体" w:eastAsia="宋体" w:cs="宋体"/>
          <w:color w:val="000000"/>
          <w:szCs w:val="21"/>
          <w:highlight w:val="none"/>
          <w:lang w:eastAsia="en-US"/>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lang w:eastAsia="en-US"/>
        </w:rPr>
        <w:t xml:space="preserve">开标一览表（格式见附件） ；</w:t>
      </w:r>
      <w:r>
        <w:rPr>
          <w:rFonts w:hint="eastAsia" w:ascii="宋体" w:hAnsi="宋体" w:eastAsia="宋体" w:cs="宋体"/>
          <w:color w:val="000000"/>
          <w:szCs w:val="21"/>
          <w:highlight w:val="none"/>
          <w:lang w:eastAsia="en-US"/>
        </w:rPr>
      </w:r>
      <w:r/>
    </w:p>
    <w:p>
      <w:pPr>
        <w:pStyle w:val="825"/>
        <w:numPr>
          <w:ilvl w:val="0"/>
          <w:numId w:val="16"/>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《商务条款偏离表》；</w:t>
      </w:r>
      <w:r>
        <w:rPr>
          <w:rFonts w:hint="eastAsia" w:ascii="宋体" w:hAnsi="宋体" w:eastAsia="宋体" w:cs="宋体"/>
          <w:color w:val="000000"/>
          <w:szCs w:val="21"/>
          <w:highlight w:val="none"/>
          <w:lang w:eastAsia="en-US"/>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（6）分项报价表（格式见附件）；</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（7）第三章评标标准中对应的其他所需证明材料（如有自行添加）；</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（8）要求采购人提供的配合（如有自拟并自行添加）；</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（9）供应商认为需要提供的其他资格证明文件和商务资料。</w:t>
      </w:r>
      <w:r>
        <w:rPr>
          <w:rFonts w:hint="eastAsia" w:ascii="宋体" w:hAnsi="宋体" w:eastAsia="宋体" w:cs="宋体"/>
          <w:color w:val="000000"/>
          <w:sz w:val="22"/>
          <w:szCs w:val="22"/>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投标文件的技术内容</w:t>
      </w:r>
      <w:r>
        <w:rPr>
          <w:rFonts w:hint="eastAsia" w:ascii="宋体" w:hAnsi="宋体" w:eastAsia="宋体" w:cs="宋体"/>
          <w:b/>
          <w:color w:val="000000"/>
          <w:szCs w:val="21"/>
          <w:highlight w:val="none"/>
          <w:lang w:eastAsia="en-US"/>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（1）货物、服务内容的详细说明；</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（2）※《技术条款偏离表》；</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（3）投标产品配置清单及技术说明；</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（4）货物安装、验收标准、货物技术资料；</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（5）项目集成（实施）方案；</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（6）服务承诺；</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（7）供应商认为需要提供的其他技术资料。</w:t>
      </w:r>
      <w:r>
        <w:rPr>
          <w:rFonts w:hint="eastAsia" w:ascii="宋体" w:hAnsi="宋体" w:eastAsia="宋体" w:cs="宋体"/>
          <w:color w:val="000000"/>
          <w:sz w:val="22"/>
          <w:szCs w:val="22"/>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投标文件的价格内容</w:t>
      </w:r>
      <w:r>
        <w:rPr>
          <w:rFonts w:hint="eastAsia" w:ascii="宋体" w:hAnsi="宋体" w:eastAsia="宋体" w:cs="宋体"/>
          <w:b/>
          <w:color w:val="000000"/>
          <w:szCs w:val="21"/>
          <w:highlight w:val="none"/>
          <w:lang w:eastAsia="en-US"/>
        </w:rPr>
      </w:r>
      <w:r/>
    </w:p>
    <w:p>
      <w:pPr>
        <w:pStyle w:val="825"/>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价格部分内容是对采购标的价格构成的说明，招标文件如无特别说明，每一项货物及服务仅接受一个价格。</w:t>
      </w:r>
      <w:r>
        <w:rPr>
          <w:rFonts w:hint="eastAsia" w:ascii="宋体" w:hAnsi="宋体" w:eastAsia="宋体" w:cs="宋体"/>
          <w:color w:val="000000"/>
          <w:szCs w:val="21"/>
          <w:highlight w:val="none"/>
        </w:rPr>
      </w:r>
      <w:r/>
    </w:p>
    <w:p>
      <w:pPr>
        <w:pStyle w:val="825"/>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报价应包含为履行本项目合同项下所有义务的全部含税费用（包括但不限于货物设计、制造、包装、仓储、运输</w:t>
      </w:r>
      <w:r>
        <w:rPr>
          <w:rFonts w:hint="eastAsia" w:ascii="宋体" w:hAnsi="宋体" w:eastAsia="宋体" w:cs="宋体"/>
          <w:color w:val="000000"/>
          <w:szCs w:val="21"/>
          <w:highlight w:val="none"/>
          <w:lang w:eastAsia="zh-CN"/>
        </w:rPr>
        <w:t xml:space="preserve">装卸</w:t>
      </w:r>
      <w:r>
        <w:rPr>
          <w:rFonts w:hint="eastAsia" w:ascii="宋体" w:hAnsi="宋体" w:eastAsia="宋体" w:cs="宋体"/>
          <w:color w:val="000000"/>
          <w:szCs w:val="21"/>
          <w:highlight w:val="none"/>
        </w:rPr>
        <w:t xml:space="preserve">、保险、安装、调试</w:t>
      </w:r>
      <w:r>
        <w:rPr>
          <w:rFonts w:hint="eastAsia" w:ascii="宋体" w:hAnsi="宋体" w:eastAsia="宋体" w:cs="宋体"/>
          <w:color w:val="000000"/>
          <w:szCs w:val="21"/>
          <w:highlight w:val="none"/>
          <w:lang w:eastAsia="zh-CN"/>
        </w:rPr>
        <w:t xml:space="preserve">及</w:t>
      </w:r>
      <w:r>
        <w:rPr>
          <w:rFonts w:hint="eastAsia" w:ascii="宋体" w:hAnsi="宋体" w:eastAsia="宋体" w:cs="宋体"/>
          <w:color w:val="000000"/>
          <w:szCs w:val="21"/>
          <w:highlight w:val="none"/>
        </w:rPr>
        <w:t xml:space="preserve">材料</w:t>
      </w:r>
      <w:r>
        <w:rPr>
          <w:rFonts w:hint="eastAsia" w:ascii="宋体" w:hAnsi="宋体" w:eastAsia="宋体" w:cs="宋体"/>
          <w:color w:val="000000"/>
          <w:szCs w:val="21"/>
          <w:highlight w:val="none"/>
          <w:lang w:eastAsia="zh-CN"/>
        </w:rPr>
        <w:t xml:space="preserve">，以及</w:t>
      </w:r>
      <w:r>
        <w:rPr>
          <w:rFonts w:hint="eastAsia" w:ascii="宋体" w:hAnsi="宋体" w:eastAsia="宋体" w:cs="宋体"/>
          <w:color w:val="000000"/>
          <w:szCs w:val="21"/>
          <w:highlight w:val="none"/>
        </w:rPr>
        <w:t xml:space="preserve">验收合格之前保管及保修期内备品备件、专用工具、伴随服务、技术图纸资料、人员培训发生的所有含税费用、支付给员工的工资和国家强制缴纳的各种社会保障资金），以及投标人认为需要的其他费用等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825"/>
        <w:numPr>
          <w:ilvl w:val="0"/>
          <w:numId w:val="17"/>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投标文件的其他部分</w:t>
      </w:r>
      <w:r>
        <w:rPr>
          <w:rFonts w:hint="eastAsia" w:ascii="宋体" w:hAnsi="宋体" w:eastAsia="宋体" w:cs="宋体"/>
          <w:b/>
          <w:color w:val="000000"/>
          <w:szCs w:val="21"/>
          <w:highlight w:val="none"/>
          <w:lang w:eastAsia="en-US"/>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其他部分由投标人根据编制投标文件需要提供的其他相关文件组成。</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投标保证金（本项目无需缴纳投标保证金）</w:t>
      </w:r>
      <w:r>
        <w:rPr>
          <w:rFonts w:hint="eastAsia" w:ascii="宋体" w:hAnsi="宋体" w:eastAsia="宋体" w:cs="宋体"/>
          <w:b/>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投标有效期</w:t>
      </w:r>
      <w:r>
        <w:rPr>
          <w:rFonts w:hint="eastAsia" w:ascii="宋体" w:hAnsi="宋体" w:eastAsia="宋体" w:cs="宋体"/>
          <w:b/>
          <w:color w:val="000000"/>
          <w:szCs w:val="21"/>
          <w:highlight w:val="none"/>
          <w:lang w:eastAsia="en-US"/>
        </w:rPr>
      </w:r>
      <w:r/>
    </w:p>
    <w:p>
      <w:pPr>
        <w:pStyle w:val="825"/>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自开标之日起</w:t>
      </w:r>
      <w:r>
        <w:rPr>
          <w:rFonts w:hint="eastAsia" w:ascii="宋体" w:hAnsi="宋体" w:eastAsia="宋体" w:cs="宋体"/>
          <w:b/>
          <w:color w:val="000000"/>
          <w:szCs w:val="21"/>
          <w:highlight w:val="none"/>
        </w:rPr>
        <w:t xml:space="preserve">90</w:t>
      </w:r>
      <w:r>
        <w:rPr>
          <w:rFonts w:hint="eastAsia" w:ascii="宋体" w:hAnsi="宋体" w:eastAsia="宋体" w:cs="宋体"/>
          <w:color w:val="000000"/>
          <w:szCs w:val="21"/>
          <w:highlight w:val="none"/>
        </w:rPr>
        <w:t xml:space="preserve">天内投标有效</w:t>
      </w:r>
      <w:r>
        <w:rPr>
          <w:rFonts w:hint="eastAsia" w:ascii="宋体" w:hAnsi="宋体" w:eastAsia="宋体" w:cs="宋体"/>
          <w:b/>
          <w:color w:val="000000"/>
          <w:szCs w:val="21"/>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color w:val="000000"/>
          <w:szCs w:val="21"/>
          <w:highlight w:val="none"/>
        </w:rPr>
      </w:r>
      <w:r/>
    </w:p>
    <w:p>
      <w:pPr>
        <w:pStyle w:val="825"/>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投标文件签署</w:t>
      </w:r>
      <w:r>
        <w:rPr>
          <w:rFonts w:hint="eastAsia" w:ascii="宋体" w:hAnsi="宋体" w:eastAsia="宋体" w:cs="宋体"/>
          <w:b/>
          <w:color w:val="000000"/>
          <w:szCs w:val="21"/>
          <w:highlight w:val="none"/>
          <w:lang w:eastAsia="en-US"/>
        </w:rPr>
      </w:r>
      <w:r/>
    </w:p>
    <w:p>
      <w:pPr>
        <w:pStyle w:val="825"/>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 投标文件应按照招标文件要求加盖电子公章，否则视为无效投标。</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投标费用</w:t>
      </w:r>
      <w:r>
        <w:rPr>
          <w:rFonts w:hint="eastAsia" w:ascii="宋体" w:hAnsi="宋体" w:eastAsia="宋体" w:cs="宋体"/>
          <w:b/>
          <w:color w:val="000000"/>
          <w:szCs w:val="21"/>
          <w:highlight w:val="none"/>
          <w:lang w:eastAsia="en-US"/>
        </w:rPr>
      </w:r>
      <w:r/>
    </w:p>
    <w:p>
      <w:pPr>
        <w:pStyle w:val="825"/>
        <w:numPr>
          <w:ilvl w:val="0"/>
          <w:numId w:val="1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投标人应承担所有与准备和参加投标有关的费用，无论招标结果如何，采购代理机构和采购人在任何情况下均无义务和责任承担这些费用。</w:t>
      </w:r>
      <w:r>
        <w:rPr>
          <w:rFonts w:hint="eastAsia" w:ascii="宋体" w:hAnsi="宋体" w:eastAsia="宋体" w:cs="宋体"/>
          <w:color w:val="000000"/>
          <w:szCs w:val="21"/>
          <w:highlight w:val="none"/>
        </w:rPr>
      </w:r>
      <w:r/>
    </w:p>
    <w:p>
      <w:pPr>
        <w:pStyle w:val="825"/>
        <w:numPr>
          <w:ilvl w:val="0"/>
          <w:numId w:val="19"/>
        </w:numPr>
        <w:ind w:firstLine="420"/>
        <w:rPr>
          <w:rFonts w:hint="eastAsia" w:ascii="宋体" w:hAnsi="宋体" w:eastAsia="宋体" w:cs="宋体"/>
          <w:color w:val="000000"/>
          <w:szCs w:val="21"/>
          <w:highlight w:val="none"/>
        </w:rPr>
      </w:pPr>
      <w:r/>
      <w:bookmarkStart w:id="49" w:name="_Toc209510683"/>
      <w:r/>
      <w:bookmarkStart w:id="50" w:name="_Toc1619"/>
      <w:r/>
      <w:bookmarkStart w:id="51" w:name="_Toc17969"/>
      <w:r/>
      <w:bookmarkStart w:id="52" w:name="_Toc209510618"/>
      <w:r/>
      <w:bookmarkStart w:id="53" w:name="_Toc30521"/>
      <w:r/>
      <w:bookmarkStart w:id="54" w:name="_Toc19595"/>
      <w:r/>
      <w:bookmarkStart w:id="55" w:name="_Toc3953"/>
      <w:r>
        <w:rPr>
          <w:rFonts w:hint="eastAsia" w:ascii="宋体" w:hAnsi="宋体" w:eastAsia="宋体" w:cs="宋体"/>
          <w:color w:val="000000"/>
          <w:szCs w:val="21"/>
          <w:highlight w:val="none"/>
        </w:rPr>
        <w:t xml:space="preserve">本次采购活动采购代理服务费和公证费（如有）由中标供应商一次性支付，中标供应商领取《中标通知书》时向采购代理机构缴纳。</w:t>
      </w:r>
      <w:r>
        <w:rPr>
          <w:rFonts w:hint="eastAsia" w:ascii="宋体" w:hAnsi="宋体" w:eastAsia="宋体" w:cs="宋体"/>
          <w:color w:val="000000"/>
          <w:szCs w:val="21"/>
          <w:highlight w:val="none"/>
        </w:rPr>
      </w:r>
      <w:r/>
    </w:p>
    <w:p>
      <w:pPr>
        <w:pStyle w:val="825"/>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本次招标，中标人参照下表（“国家计委关于印发《招标代理服务收费管理暂行办法》的通知（计价格〔2002〕1980号））收费标准的80%，向代理机构支付采购代理服务费：</w:t>
      </w:r>
      <w:r>
        <w:rPr>
          <w:rFonts w:hint="eastAsia" w:ascii="宋体" w:hAnsi="宋体" w:eastAsia="宋体" w:cs="宋体"/>
          <w:b/>
          <w:color w:val="000000"/>
          <w:szCs w:val="21"/>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825"/>
              <w:ind w:right="241"/>
              <w:jc w:val="right"/>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分类</w:t>
            </w:r>
            <w:r>
              <w:rPr>
                <w:rFonts w:hint="eastAsia" w:ascii="宋体" w:hAnsi="宋体" w:eastAsia="宋体" w:cs="宋体"/>
                <w:bCs/>
                <w:color w:val="000000"/>
                <w:szCs w:val="21"/>
                <w:highlight w:val="none"/>
              </w:rPr>
            </w:r>
            <w:r/>
          </w:p>
          <w:p>
            <w:pPr>
              <w:pStyle w:val="825"/>
              <w:ind w:firstLine="210"/>
              <w:jc w:val="left"/>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费率</w:t>
            </w:r>
            <w:r>
              <w:rPr>
                <w:rFonts w:hint="eastAsia" w:ascii="宋体" w:hAnsi="宋体" w:eastAsia="宋体" w:cs="宋体"/>
                <w:color w:val="000000"/>
                <w:szCs w:val="21"/>
                <w:highlight w:val="none"/>
              </w:rPr>
            </w:r>
            <w:r/>
          </w:p>
        </w:tc>
        <w:tc>
          <w:tcPr>
            <w:tcW w:w="2332" w:type="dxa"/>
            <w:vAlign w:val="center"/>
            <w:vMerge w:val="restart"/>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货物项目</w:t>
            </w:r>
            <w:r>
              <w:rPr>
                <w:rFonts w:hint="eastAsia" w:ascii="宋体" w:hAnsi="宋体" w:eastAsia="宋体" w:cs="宋体"/>
                <w:color w:val="000000"/>
                <w:szCs w:val="21"/>
                <w:highlight w:val="none"/>
              </w:rPr>
            </w:r>
            <w:r/>
          </w:p>
        </w:tc>
        <w:tc>
          <w:tcPr>
            <w:tcW w:w="2259" w:type="dxa"/>
            <w:vAlign w:val="center"/>
            <w:vMerge w:val="restart"/>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服务项目</w:t>
            </w:r>
            <w:r>
              <w:rPr>
                <w:rFonts w:hint="eastAsia" w:ascii="宋体" w:hAnsi="宋体" w:eastAsia="宋体" w:cs="宋体"/>
                <w:color w:val="000000"/>
                <w:szCs w:val="21"/>
                <w:highlight w:val="none"/>
              </w:rPr>
            </w:r>
            <w:r/>
          </w:p>
        </w:tc>
        <w:tc>
          <w:tcPr>
            <w:tcW w:w="2277" w:type="dxa"/>
            <w:vAlign w:val="center"/>
            <w:vMerge w:val="restart"/>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工程项目</w:t>
            </w:r>
            <w:r>
              <w:rPr>
                <w:rFonts w:hint="eastAsia" w:ascii="宋体" w:hAnsi="宋体" w:eastAsia="宋体" w:cs="宋体"/>
                <w:color w:val="000000"/>
                <w:szCs w:val="21"/>
                <w:highlight w:val="none"/>
              </w:rPr>
            </w:r>
            <w:r/>
          </w:p>
        </w:tc>
      </w:tr>
      <w:tr>
        <w:trPr>
          <w:trHeight w:val="449"/>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中标金额（万元）</w:t>
            </w:r>
            <w:r>
              <w:rPr>
                <w:rFonts w:hint="eastAsia" w:ascii="宋体" w:hAnsi="宋体" w:eastAsia="宋体" w:cs="宋体"/>
                <w:color w:val="000000"/>
                <w:szCs w:val="21"/>
                <w:highlight w:val="none"/>
              </w:rPr>
            </w:r>
            <w:r/>
          </w:p>
        </w:tc>
        <w:tc>
          <w:tcPr>
            <w:tcW w:w="2332" w:type="dxa"/>
            <w:vAlign w:val="center"/>
            <w:vMerge w:val="continue"/>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59" w:type="dxa"/>
            <w:vAlign w:val="center"/>
            <w:vMerge w:val="continue"/>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77" w:type="dxa"/>
            <w:vAlign w:val="center"/>
            <w:vMerge w:val="continue"/>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100以下</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100-500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0.7%</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500-1000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0.45%</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1000-5000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0.35%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5000-10000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0.1%</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10000-100000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r>
      <w:tr>
        <w:trPr>
          <w:trHeight w:val="507"/>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1000000以上</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r>
    </w:tbl>
    <w:p>
      <w:pPr>
        <w:pStyle w:val="825"/>
        <w:ind w:firstLine="638"/>
        <w:spacing w:before="24" w:line="56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注：1、代理服务收费按差额定率累进法计算中标人在领取中标通知书前向招标代理机构支付招标服务费。2、本项费用无需在投标报价表中单列。</w:t>
      </w:r>
      <w:r>
        <w:rPr>
          <w:rFonts w:hint="eastAsia" w:ascii="宋体" w:hAnsi="宋体" w:eastAsia="宋体" w:cs="宋体"/>
          <w:b/>
          <w:color w:val="000000"/>
          <w:szCs w:val="21"/>
          <w:highlight w:val="none"/>
        </w:rPr>
      </w:r>
      <w:r/>
    </w:p>
    <w:p>
      <w:pPr>
        <w:pStyle w:val="825"/>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本次采购公证费（如有）按照“省物价局 省司法厅关于明确我省公证服务收费试行标准的通知（苏价费〔2018〕114号）”中规定的江苏省公证服务收费项目和试行收费标准收取。</w:t>
      </w:r>
      <w:r>
        <w:rPr>
          <w:rFonts w:hint="eastAsia" w:ascii="宋体" w:hAnsi="宋体" w:eastAsia="宋体" w:cs="宋体"/>
          <w:b/>
          <w:color w:val="000000"/>
          <w:szCs w:val="21"/>
          <w:highlight w:val="none"/>
        </w:rPr>
      </w:r>
      <w:r/>
    </w:p>
    <w:p>
      <w:pPr>
        <w:pStyle w:val="825"/>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附：江苏省公证服务收费项目和试行标准表</w:t>
      </w:r>
      <w:r>
        <w:rPr>
          <w:rFonts w:hint="eastAsia" w:ascii="宋体" w:hAnsi="宋体" w:eastAsia="宋体" w:cs="宋体"/>
          <w:bCs/>
          <w:color w:val="000000"/>
          <w:szCs w:val="21"/>
          <w:highlight w:val="none"/>
        </w:rPr>
      </w:r>
      <w:r/>
    </w:p>
    <w:p>
      <w:pPr>
        <w:pStyle w:val="825"/>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单位：元</w:t>
      </w:r>
      <w:r>
        <w:rPr>
          <w:rFonts w:hint="eastAsia" w:ascii="宋体" w:hAnsi="宋体" w:eastAsia="宋体" w:cs="宋体"/>
          <w:bCs/>
          <w:color w:val="000000"/>
          <w:szCs w:val="21"/>
          <w:highlight w:val="none"/>
        </w:rPr>
      </w:r>
      <w:r/>
    </w:p>
    <w:tbl>
      <w:tblPr>
        <w:tblW w:w="94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5270"/>
        <w:gridCol w:w="693"/>
      </w:tblGrid>
      <w:tr>
        <w:trPr>
          <w:trHeight w:val="369"/>
          <w:tblHeader/>
        </w:trPr>
        <w:tc>
          <w:tcPr>
            <w:tcW w:w="2024"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类别</w:t>
            </w:r>
            <w:r>
              <w:rPr>
                <w:rFonts w:hint="eastAsia" w:ascii="宋体" w:hAnsi="宋体" w:eastAsia="宋体" w:cs="宋体"/>
                <w:bCs/>
                <w:color w:val="000000"/>
                <w:szCs w:val="21"/>
                <w:highlight w:val="none"/>
              </w:rPr>
            </w:r>
            <w:r/>
          </w:p>
        </w:tc>
        <w:tc>
          <w:tcPr>
            <w:tcW w:w="1480"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收费项目</w:t>
            </w:r>
            <w:r>
              <w:rPr>
                <w:rFonts w:hint="eastAsia" w:ascii="宋体" w:hAnsi="宋体" w:eastAsia="宋体" w:cs="宋体"/>
                <w:bCs/>
                <w:color w:val="000000"/>
                <w:szCs w:val="21"/>
                <w:highlight w:val="none"/>
              </w:rPr>
            </w:r>
            <w:r/>
          </w:p>
        </w:tc>
        <w:tc>
          <w:tcPr>
            <w:tcW w:w="5270"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收费标准</w:t>
            </w:r>
            <w:r>
              <w:rPr>
                <w:rFonts w:hint="eastAsia" w:ascii="宋体" w:hAnsi="宋体" w:eastAsia="宋体" w:cs="宋体"/>
                <w:bCs/>
                <w:color w:val="000000"/>
                <w:szCs w:val="21"/>
                <w:highlight w:val="none"/>
              </w:rPr>
            </w:r>
            <w:r/>
          </w:p>
        </w:tc>
        <w:tc>
          <w:tcPr>
            <w:tcW w:w="693"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备注</w:t>
            </w:r>
            <w:r>
              <w:rPr>
                <w:rFonts w:hint="eastAsia" w:ascii="宋体" w:hAnsi="宋体" w:eastAsia="宋体" w:cs="宋体"/>
                <w:bCs/>
                <w:color w:val="000000"/>
                <w:szCs w:val="21"/>
                <w:highlight w:val="none"/>
              </w:rPr>
            </w:r>
            <w:r/>
          </w:p>
        </w:tc>
      </w:tr>
      <w:tr>
        <w:trPr>
          <w:trHeight w:val="369"/>
        </w:trPr>
        <w:tc>
          <w:tcPr>
            <w:tcW w:w="2024" w:type="dxa"/>
            <w:vAlign w:val="top"/>
            <w:textDirection w:val="lrTb"/>
            <w:noWrap w:val="false"/>
          </w:tcPr>
          <w:p>
            <w:pPr>
              <w:pStyle w:val="825"/>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一、证明法律行为</w:t>
            </w:r>
            <w:r>
              <w:rPr>
                <w:rFonts w:hint="eastAsia" w:ascii="宋体" w:hAnsi="宋体" w:eastAsia="宋体" w:cs="宋体"/>
                <w:color w:val="000000"/>
                <w:szCs w:val="21"/>
                <w:highlight w:val="none"/>
              </w:rPr>
            </w:r>
            <w:r/>
          </w:p>
        </w:tc>
        <w:tc>
          <w:tcPr>
            <w:tcW w:w="148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527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3"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510"/>
        </w:trPr>
        <w:tc>
          <w:tcPr>
            <w:tcW w:w="2024" w:type="dxa"/>
            <w:vAlign w:val="center"/>
            <w:textDirection w:val="lrTb"/>
            <w:noWrap w:val="false"/>
          </w:tcPr>
          <w:p>
            <w:pPr>
              <w:pStyle w:val="825"/>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现场监督公证</w:t>
            </w:r>
            <w:r>
              <w:rPr>
                <w:rFonts w:hint="eastAsia" w:ascii="宋体" w:hAnsi="宋体" w:eastAsia="宋体" w:cs="宋体"/>
                <w:color w:val="000000"/>
                <w:szCs w:val="21"/>
                <w:highlight w:val="none"/>
              </w:rPr>
            </w:r>
            <w:r/>
          </w:p>
        </w:tc>
        <w:tc>
          <w:tcPr>
            <w:tcW w:w="1480" w:type="dxa"/>
            <w:vAlign w:val="center"/>
            <w:textDirection w:val="lrTb"/>
            <w:noWrap w:val="false"/>
          </w:tcPr>
          <w:p>
            <w:pPr>
              <w:pStyle w:val="825"/>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证明招标投标、拍卖、挂牌等竞争性交易行为公证</w:t>
            </w:r>
            <w:r>
              <w:rPr>
                <w:rFonts w:hint="eastAsia" w:ascii="宋体" w:hAnsi="宋体" w:eastAsia="宋体" w:cs="宋体"/>
                <w:color w:val="000000"/>
                <w:szCs w:val="21"/>
                <w:highlight w:val="none"/>
              </w:rPr>
            </w:r>
            <w:r/>
          </w:p>
        </w:tc>
        <w:tc>
          <w:tcPr>
            <w:tcW w:w="5270" w:type="dxa"/>
            <w:vAlign w:val="center"/>
            <w:textDirection w:val="lrTb"/>
            <w:noWrap w:val="false"/>
          </w:tcPr>
          <w:p>
            <w:pPr>
              <w:pStyle w:val="825"/>
              <w:ind w:right="-118"/>
              <w:jc w:val="left"/>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color w:val="000000"/>
                <w:szCs w:val="21"/>
                <w:highlight w:val="none"/>
              </w:rPr>
            </w:r>
            <w:r/>
          </w:p>
        </w:tc>
        <w:tc>
          <w:tcPr>
            <w:tcW w:w="693"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5"/>
        <w:numPr>
          <w:ilvl w:val="0"/>
          <w:numId w:val="5"/>
        </w:numPr>
        <w:ind w:firstLine="422"/>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投标文件的递交</w:t>
      </w:r>
      <w:bookmarkEnd w:id="49"/>
      <w:r/>
      <w:bookmarkEnd w:id="50"/>
      <w:r/>
      <w:bookmarkEnd w:id="51"/>
      <w:r/>
      <w:bookmarkEnd w:id="52"/>
      <w:r/>
      <w:bookmarkEnd w:id="53"/>
      <w:r/>
      <w:bookmarkEnd w:id="54"/>
      <w:r/>
      <w:bookmarkEnd w:id="55"/>
      <w:r>
        <w:rPr>
          <w:rFonts w:hint="eastAsia" w:ascii="宋体" w:hAnsi="宋体" w:eastAsia="宋体" w:cs="宋体"/>
          <w:b/>
          <w:bCs/>
          <w:color w:val="000000"/>
          <w:szCs w:val="21"/>
          <w:highlight w:val="none"/>
        </w:rPr>
      </w:r>
      <w:r/>
    </w:p>
    <w:p>
      <w:pPr>
        <w:pStyle w:val="825"/>
        <w:numPr>
          <w:ilvl w:val="0"/>
          <w:numId w:val="20"/>
        </w:numPr>
        <w:ind w:firstLine="422"/>
        <w:rPr>
          <w:rFonts w:hint="eastAsia" w:ascii="宋体" w:hAnsi="宋体" w:eastAsia="宋体" w:cs="宋体"/>
          <w:b/>
          <w:bCs/>
          <w:color w:val="000000"/>
          <w:szCs w:val="21"/>
          <w:highlight w:val="none"/>
        </w:rPr>
        <w:outlineLvl w:val="2"/>
      </w:pPr>
      <w:r/>
      <w:bookmarkStart w:id="56" w:name="_Toc209510684"/>
      <w:r>
        <w:rPr>
          <w:rFonts w:hint="eastAsia" w:ascii="宋体" w:hAnsi="宋体" w:eastAsia="宋体" w:cs="宋体"/>
          <w:b/>
          <w:bCs/>
          <w:color w:val="000000"/>
          <w:szCs w:val="21"/>
          <w:highlight w:val="none"/>
        </w:rPr>
        <w:t xml:space="preserve">投标文件的递交</w:t>
      </w:r>
      <w:bookmarkEnd w:id="56"/>
      <w:r>
        <w:rPr>
          <w:rFonts w:hint="eastAsia" w:ascii="宋体" w:hAnsi="宋体" w:eastAsia="宋体" w:cs="宋体"/>
          <w:b/>
          <w:bCs/>
          <w:color w:val="000000"/>
          <w:szCs w:val="21"/>
          <w:highlight w:val="none"/>
        </w:rPr>
      </w:r>
      <w:r/>
    </w:p>
    <w:p>
      <w:pPr>
        <w:pStyle w:val="825"/>
        <w:ind w:firstLine="422"/>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color w:val="000000"/>
          <w:szCs w:val="21"/>
          <w:highlight w:val="none"/>
        </w:rPr>
      </w:r>
      <w:r/>
    </w:p>
    <w:p>
      <w:pPr>
        <w:pStyle w:val="825"/>
        <w:numPr>
          <w:ilvl w:val="0"/>
          <w:numId w:val="20"/>
        </w:numPr>
        <w:ind w:firstLine="422"/>
        <w:rPr>
          <w:rFonts w:hint="eastAsia" w:ascii="宋体" w:hAnsi="宋体" w:eastAsia="宋体" w:cs="宋体"/>
          <w:b/>
          <w:bCs/>
          <w:color w:val="000000"/>
          <w:szCs w:val="21"/>
          <w:highlight w:val="none"/>
        </w:rPr>
        <w:outlineLvl w:val="2"/>
      </w:pPr>
      <w:r/>
      <w:bookmarkStart w:id="57" w:name="_Toc209510685"/>
      <w:r>
        <w:rPr>
          <w:rFonts w:hint="eastAsia" w:ascii="宋体" w:hAnsi="宋体" w:eastAsia="宋体" w:cs="宋体"/>
          <w:b/>
          <w:bCs/>
          <w:color w:val="000000"/>
          <w:szCs w:val="21"/>
          <w:highlight w:val="none"/>
        </w:rPr>
        <w:t xml:space="preserve">投标文件的解密</w:t>
      </w:r>
      <w:bookmarkEnd w:id="57"/>
      <w:r>
        <w:rPr>
          <w:rFonts w:hint="eastAsia" w:ascii="宋体" w:hAnsi="宋体" w:eastAsia="宋体" w:cs="宋体"/>
          <w:b/>
          <w:bCs/>
          <w:color w:val="000000"/>
          <w:szCs w:val="21"/>
          <w:highlight w:val="none"/>
        </w:rPr>
      </w:r>
      <w:r/>
    </w:p>
    <w:p>
      <w:pPr>
        <w:pStyle w:val="825"/>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w:t>
      </w:r>
      <w:r>
        <w:rPr>
          <w:rFonts w:hint="eastAsia" w:ascii="宋体" w:hAnsi="宋体" w:eastAsia="宋体" w:cs="宋体"/>
          <w:b/>
          <w:color w:val="000000"/>
          <w:szCs w:val="21"/>
          <w:highlight w:val="none"/>
          <w:lang w:eastAsia="zh-CN"/>
        </w:rPr>
        <w:t xml:space="preserve">作无效投标</w:t>
      </w:r>
      <w:r>
        <w:rPr>
          <w:rFonts w:hint="eastAsia" w:ascii="宋体" w:hAnsi="宋体" w:eastAsia="宋体" w:cs="宋体"/>
          <w:b/>
          <w:color w:val="000000"/>
          <w:szCs w:val="21"/>
          <w:highlight w:val="none"/>
        </w:rPr>
        <w:t xml:space="preserve">处理</w:t>
      </w:r>
      <w:r>
        <w:rPr>
          <w:rFonts w:hint="eastAsia" w:ascii="宋体" w:hAnsi="宋体" w:eastAsia="宋体" w:cs="宋体"/>
          <w:b/>
          <w:color w:val="000000"/>
          <w:szCs w:val="21"/>
          <w:highlight w:val="none"/>
        </w:rPr>
      </w:r>
      <w:r/>
    </w:p>
    <w:p>
      <w:pPr>
        <w:pStyle w:val="825"/>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color w:val="000000"/>
          <w:szCs w:val="21"/>
          <w:highlight w:val="none"/>
        </w:rPr>
      </w:r>
      <w:r/>
    </w:p>
    <w:p>
      <w:pPr>
        <w:pStyle w:val="825"/>
        <w:numPr>
          <w:ilvl w:val="0"/>
          <w:numId w:val="20"/>
        </w:numPr>
        <w:ind w:firstLine="422"/>
        <w:rPr>
          <w:rFonts w:hint="eastAsia" w:ascii="宋体" w:hAnsi="宋体" w:eastAsia="宋体" w:cs="宋体"/>
          <w:b/>
          <w:bCs/>
          <w:color w:val="000000"/>
          <w:szCs w:val="21"/>
          <w:highlight w:val="none"/>
        </w:rPr>
        <w:outlineLvl w:val="2"/>
      </w:pPr>
      <w:r/>
      <w:bookmarkStart w:id="58" w:name="_Toc209510686"/>
      <w:r>
        <w:rPr>
          <w:rFonts w:hint="eastAsia" w:ascii="宋体" w:hAnsi="宋体" w:eastAsia="宋体" w:cs="宋体"/>
          <w:b/>
          <w:bCs/>
          <w:color w:val="000000"/>
          <w:szCs w:val="21"/>
          <w:highlight w:val="none"/>
        </w:rPr>
        <w:t xml:space="preserve">投标文件的修改和撤回</w:t>
      </w:r>
      <w:bookmarkEnd w:id="58"/>
      <w:r>
        <w:rPr>
          <w:rFonts w:hint="eastAsia" w:ascii="宋体" w:hAnsi="宋体" w:eastAsia="宋体" w:cs="宋体"/>
          <w:b/>
          <w:bCs/>
          <w:color w:val="000000"/>
          <w:szCs w:val="21"/>
          <w:highlight w:val="none"/>
        </w:rPr>
      </w:r>
      <w:r/>
    </w:p>
    <w:p>
      <w:pPr>
        <w:pStyle w:val="825"/>
        <w:numPr>
          <w:ilvl w:val="0"/>
          <w:numId w:val="22"/>
        </w:numPr>
        <w:ind w:firstLine="420"/>
        <w:rPr>
          <w:rFonts w:hint="eastAsia" w:ascii="宋体" w:hAnsi="宋体" w:eastAsia="宋体" w:cs="宋体"/>
          <w:b/>
          <w:color w:val="000000"/>
          <w:szCs w:val="21"/>
          <w:highlight w:val="none"/>
        </w:rPr>
        <w:outlineLvl w:val="3"/>
      </w:pPr>
      <w:r>
        <w:rPr>
          <w:rFonts w:hint="eastAsia" w:ascii="宋体" w:hAnsi="宋体" w:eastAsia="宋体" w:cs="宋体"/>
          <w:color w:val="000000"/>
          <w:szCs w:val="21"/>
          <w:highlight w:val="none"/>
        </w:rPr>
        <w:t xml:space="preserve">投标文件的撤回</w:t>
      </w:r>
      <w:r>
        <w:rPr>
          <w:rFonts w:hint="eastAsia" w:ascii="宋体" w:hAnsi="宋体" w:eastAsia="宋体" w:cs="宋体"/>
          <w:b/>
          <w:color w:val="000000"/>
          <w:szCs w:val="21"/>
          <w:highlight w:val="none"/>
        </w:rPr>
      </w:r>
      <w:r/>
    </w:p>
    <w:p>
      <w:pPr>
        <w:pStyle w:val="825"/>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投标人可在投标截止时间前撤回其电子投标文件，具体操作方法见《操作手册》。</w:t>
      </w:r>
      <w:r>
        <w:rPr>
          <w:rFonts w:hint="eastAsia" w:ascii="宋体" w:hAnsi="宋体" w:eastAsia="宋体" w:cs="宋体"/>
          <w:color w:val="000000"/>
          <w:szCs w:val="21"/>
          <w:highlight w:val="none"/>
        </w:rPr>
      </w:r>
      <w:r/>
    </w:p>
    <w:p>
      <w:pPr>
        <w:pStyle w:val="825"/>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投标人撤回电子投标文件，则认为其不再参与本项目投标活动。</w:t>
      </w:r>
      <w:r>
        <w:rPr>
          <w:rFonts w:hint="eastAsia" w:ascii="宋体" w:hAnsi="宋体" w:eastAsia="宋体" w:cs="宋体"/>
          <w:color w:val="000000"/>
          <w:szCs w:val="21"/>
          <w:highlight w:val="none"/>
        </w:rPr>
      </w:r>
      <w:r/>
    </w:p>
    <w:p>
      <w:pPr>
        <w:pStyle w:val="825"/>
        <w:numPr>
          <w:ilvl w:val="0"/>
          <w:numId w:val="22"/>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投标文件的修改</w:t>
      </w:r>
      <w:r>
        <w:rPr>
          <w:rFonts w:hint="eastAsia" w:ascii="宋体" w:hAnsi="宋体" w:eastAsia="宋体" w:cs="宋体"/>
          <w:b/>
          <w:bCs/>
          <w:color w:val="000000"/>
          <w:szCs w:val="21"/>
          <w:highlight w:val="none"/>
        </w:rPr>
      </w:r>
      <w:r/>
    </w:p>
    <w:p>
      <w:pPr>
        <w:pStyle w:val="825"/>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投标人可在投标截止时间前对其电子投标文件进行修改，具体操作方法见《操作手册》。</w:t>
      </w:r>
      <w:r>
        <w:rPr>
          <w:rFonts w:hint="eastAsia" w:ascii="宋体" w:hAnsi="宋体" w:eastAsia="宋体" w:cs="宋体"/>
          <w:color w:val="000000"/>
          <w:szCs w:val="21"/>
          <w:highlight w:val="none"/>
        </w:rPr>
      </w:r>
      <w:r/>
    </w:p>
    <w:p>
      <w:pPr>
        <w:pStyle w:val="825"/>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投标截止时间之后，投标人不得对其电子投标文件作任何修改。</w:t>
      </w:r>
      <w:r>
        <w:rPr>
          <w:rFonts w:hint="eastAsia" w:ascii="宋体" w:hAnsi="宋体" w:eastAsia="宋体" w:cs="宋体"/>
          <w:color w:val="000000"/>
          <w:szCs w:val="21"/>
          <w:highlight w:val="none"/>
        </w:rPr>
      </w:r>
      <w:r/>
    </w:p>
    <w:p>
      <w:pPr>
        <w:pStyle w:val="825"/>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在投标截止时间至招标文件中规定的投标有效期满之间的这段时间内，投标人不得撤回其投标。</w:t>
      </w:r>
      <w:r>
        <w:rPr>
          <w:rFonts w:hint="eastAsia" w:ascii="宋体" w:hAnsi="宋体" w:eastAsia="宋体" w:cs="宋体"/>
          <w:color w:val="000000"/>
          <w:szCs w:val="21"/>
          <w:highlight w:val="none"/>
        </w:rPr>
      </w:r>
      <w:r/>
    </w:p>
    <w:p>
      <w:pPr>
        <w:pStyle w:val="825"/>
        <w:numPr>
          <w:ilvl w:val="0"/>
          <w:numId w:val="20"/>
        </w:numPr>
        <w:ind w:firstLine="422"/>
        <w:rPr>
          <w:rFonts w:hint="eastAsia" w:ascii="宋体" w:hAnsi="宋体" w:eastAsia="宋体" w:cs="宋体"/>
          <w:b/>
          <w:bCs/>
          <w:color w:val="000000"/>
          <w:szCs w:val="21"/>
          <w:highlight w:val="none"/>
        </w:rPr>
        <w:outlineLvl w:val="2"/>
      </w:pPr>
      <w:r/>
      <w:bookmarkStart w:id="59" w:name="_Toc209510687"/>
      <w:r>
        <w:rPr>
          <w:rFonts w:hint="eastAsia" w:ascii="宋体" w:hAnsi="宋体" w:eastAsia="宋体" w:cs="宋体"/>
          <w:b/>
          <w:bCs/>
          <w:color w:val="000000"/>
          <w:szCs w:val="21"/>
          <w:highlight w:val="none"/>
        </w:rPr>
        <w:t xml:space="preserve">诚实信用</w:t>
      </w:r>
      <w:bookmarkEnd w:id="59"/>
      <w:r>
        <w:rPr>
          <w:rFonts w:hint="eastAsia" w:ascii="宋体" w:hAnsi="宋体" w:eastAsia="宋体" w:cs="宋体"/>
          <w:b/>
          <w:bCs/>
          <w:color w:val="000000"/>
          <w:szCs w:val="21"/>
          <w:highlight w:val="none"/>
        </w:rPr>
      </w:r>
      <w:r/>
    </w:p>
    <w:p>
      <w:pPr>
        <w:pStyle w:val="825"/>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投标人应当遵循公平竞争的原则，不得恶意串通，不得妨碍其他投标人的竞争行为，不得损害采购人或者其他投标人的合法权益。</w:t>
      </w:r>
      <w:r>
        <w:rPr>
          <w:rFonts w:hint="eastAsia" w:ascii="宋体" w:hAnsi="宋体" w:eastAsia="宋体" w:cs="宋体"/>
          <w:color w:val="000000"/>
          <w:szCs w:val="21"/>
          <w:highlight w:val="none"/>
        </w:rPr>
      </w:r>
      <w:r/>
    </w:p>
    <w:p>
      <w:pPr>
        <w:pStyle w:val="825"/>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Cs w:val="21"/>
          <w:highlight w:val="none"/>
        </w:rPr>
      </w:r>
      <w:r/>
    </w:p>
    <w:p>
      <w:pPr>
        <w:pStyle w:val="825"/>
        <w:numPr>
          <w:ilvl w:val="0"/>
          <w:numId w:val="5"/>
        </w:numPr>
        <w:ind w:firstLine="422"/>
        <w:rPr>
          <w:rFonts w:hint="eastAsia" w:ascii="宋体" w:hAnsi="宋体" w:eastAsia="宋体" w:cs="宋体"/>
          <w:b/>
          <w:bCs/>
          <w:color w:val="000000"/>
          <w:szCs w:val="21"/>
          <w:highlight w:val="none"/>
        </w:rPr>
        <w:outlineLvl w:val="1"/>
      </w:pPr>
      <w:r/>
      <w:bookmarkStart w:id="60" w:name="_Toc9280"/>
      <w:r/>
      <w:bookmarkStart w:id="61" w:name="_Toc209510688"/>
      <w:r/>
      <w:bookmarkStart w:id="62" w:name="_Toc24742"/>
      <w:r/>
      <w:bookmarkStart w:id="63" w:name="_Toc18325"/>
      <w:r/>
      <w:bookmarkStart w:id="64" w:name="_Toc209510619"/>
      <w:r/>
      <w:bookmarkStart w:id="65" w:name="_Toc29919"/>
      <w:r/>
      <w:bookmarkStart w:id="66" w:name="_Toc1446"/>
      <w:r>
        <w:rPr>
          <w:rFonts w:hint="eastAsia" w:ascii="宋体" w:hAnsi="宋体" w:eastAsia="宋体" w:cs="宋体"/>
          <w:b/>
          <w:bCs/>
          <w:color w:val="000000"/>
          <w:szCs w:val="21"/>
          <w:highlight w:val="none"/>
        </w:rPr>
        <w:t xml:space="preserve">开标、评标与定标</w:t>
      </w:r>
      <w:bookmarkEnd w:id="60"/>
      <w:r/>
      <w:bookmarkEnd w:id="61"/>
      <w:r/>
      <w:bookmarkEnd w:id="62"/>
      <w:r/>
      <w:bookmarkEnd w:id="63"/>
      <w:r/>
      <w:bookmarkEnd w:id="64"/>
      <w:r/>
      <w:bookmarkEnd w:id="65"/>
      <w:r/>
      <w:bookmarkEnd w:id="66"/>
      <w:r>
        <w:rPr>
          <w:rFonts w:hint="eastAsia" w:ascii="宋体" w:hAnsi="宋体" w:eastAsia="宋体" w:cs="宋体"/>
          <w:b/>
          <w:bCs/>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outlineLvl w:val="2"/>
      </w:pPr>
      <w:r/>
      <w:bookmarkStart w:id="67" w:name="_Toc209510689"/>
      <w:r>
        <w:rPr>
          <w:rFonts w:hint="eastAsia" w:ascii="宋体" w:hAnsi="宋体" w:eastAsia="宋体" w:cs="宋体"/>
          <w:b/>
          <w:bCs/>
          <w:color w:val="000000"/>
          <w:szCs w:val="21"/>
          <w:highlight w:val="none"/>
        </w:rPr>
        <w:t xml:space="preserve">开标</w:t>
      </w:r>
      <w:bookmarkEnd w:id="67"/>
      <w:r>
        <w:rPr>
          <w:rFonts w:hint="eastAsia" w:ascii="宋体" w:hAnsi="宋体" w:eastAsia="宋体" w:cs="宋体"/>
          <w:b/>
          <w:bCs/>
          <w:color w:val="000000"/>
          <w:szCs w:val="21"/>
          <w:highlight w:val="none"/>
        </w:rPr>
      </w:r>
      <w:r/>
    </w:p>
    <w:p>
      <w:pPr>
        <w:pStyle w:val="825"/>
        <w:numPr>
          <w:ilvl w:val="0"/>
          <w:numId w:val="27"/>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color w:val="000000"/>
          <w:szCs w:val="21"/>
          <w:highlight w:val="none"/>
          <w:lang w:eastAsia="en-US"/>
        </w:rPr>
        <w:t xml:space="preserve">苏采云系统公布各投标人名称和投标价格。</w:t>
      </w:r>
      <w:r>
        <w:rPr>
          <w:rFonts w:hint="eastAsia" w:ascii="宋体" w:hAnsi="宋体" w:eastAsia="宋体" w:cs="宋体"/>
          <w:color w:val="000000"/>
          <w:szCs w:val="21"/>
          <w:highlight w:val="none"/>
          <w:lang w:eastAsia="en-US"/>
        </w:rPr>
      </w:r>
      <w:r/>
    </w:p>
    <w:p>
      <w:pPr>
        <w:pStyle w:val="825"/>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投标人在开标过程中</w:t>
      </w:r>
      <w:r>
        <w:rPr>
          <w:rFonts w:hint="eastAsia" w:ascii="宋体" w:hAnsi="宋体" w:eastAsia="宋体" w:cs="宋体"/>
          <w:color w:val="000000"/>
          <w:szCs w:val="21"/>
          <w:highlight w:val="none"/>
          <w:lang w:eastAsia="zh-CN"/>
        </w:rPr>
        <w:t xml:space="preserve">涉及</w:t>
      </w:r>
      <w:r>
        <w:rPr>
          <w:rFonts w:hint="eastAsia" w:ascii="宋体" w:hAnsi="宋体" w:eastAsia="宋体" w:cs="宋体"/>
          <w:color w:val="000000"/>
          <w:szCs w:val="21"/>
          <w:highlight w:val="none"/>
        </w:rPr>
        <w:t xml:space="preserve">的投标文件解密、开标结果确认等工作，应按照《操作手册》规定执行。</w:t>
      </w:r>
      <w:r>
        <w:rPr>
          <w:rFonts w:hint="eastAsia" w:ascii="宋体" w:hAnsi="宋体" w:eastAsia="宋体" w:cs="宋体"/>
          <w:color w:val="000000"/>
          <w:szCs w:val="21"/>
          <w:highlight w:val="none"/>
        </w:rPr>
      </w:r>
      <w:r/>
    </w:p>
    <w:p>
      <w:pPr>
        <w:pStyle w:val="825"/>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投标人不足3家的，不得开标。</w:t>
      </w:r>
      <w:r>
        <w:rPr>
          <w:rFonts w:hint="eastAsia" w:ascii="宋体" w:hAnsi="宋体" w:eastAsia="宋体" w:cs="宋体"/>
          <w:color w:val="000000"/>
          <w:szCs w:val="21"/>
          <w:highlight w:val="none"/>
        </w:rPr>
      </w:r>
      <w:r/>
    </w:p>
    <w:p>
      <w:pPr>
        <w:pStyle w:val="825"/>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outlineLvl w:val="2"/>
      </w:pPr>
      <w:r/>
      <w:bookmarkStart w:id="68" w:name="_Toc209510690"/>
      <w:r>
        <w:rPr>
          <w:rFonts w:hint="eastAsia" w:ascii="宋体" w:hAnsi="宋体" w:eastAsia="宋体" w:cs="宋体"/>
          <w:b/>
          <w:bCs/>
          <w:color w:val="000000"/>
          <w:szCs w:val="21"/>
          <w:highlight w:val="none"/>
        </w:rPr>
        <w:t xml:space="preserve">评标</w:t>
      </w:r>
      <w:bookmarkEnd w:id="68"/>
      <w:r>
        <w:rPr>
          <w:rFonts w:hint="eastAsia" w:ascii="宋体" w:hAnsi="宋体" w:eastAsia="宋体" w:cs="宋体"/>
          <w:b/>
          <w:bCs/>
          <w:color w:val="000000"/>
          <w:szCs w:val="21"/>
          <w:highlight w:val="none"/>
        </w:rPr>
      </w:r>
      <w:r/>
    </w:p>
    <w:p>
      <w:pPr>
        <w:pStyle w:val="825"/>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评标委员会</w:t>
      </w:r>
      <w:r>
        <w:rPr>
          <w:rFonts w:hint="eastAsia" w:ascii="宋体" w:hAnsi="宋体" w:eastAsia="宋体" w:cs="宋体"/>
          <w:b/>
          <w:bCs/>
          <w:color w:val="000000"/>
          <w:szCs w:val="21"/>
          <w:highlight w:val="none"/>
        </w:rPr>
      </w:r>
      <w:r/>
    </w:p>
    <w:p>
      <w:pPr>
        <w:pStyle w:val="825"/>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评标</w:t>
      </w:r>
      <w:r>
        <w:rPr>
          <w:rFonts w:hint="eastAsia" w:ascii="宋体" w:hAnsi="宋体" w:eastAsia="宋体" w:cs="宋体"/>
          <w:bCs/>
          <w:color w:val="000000"/>
          <w:szCs w:val="21"/>
          <w:highlight w:val="none"/>
          <w:lang w:eastAsia="zh-CN"/>
        </w:rPr>
        <w:t xml:space="preserve">由</w:t>
      </w:r>
      <w:r>
        <w:rPr>
          <w:rFonts w:hint="eastAsia" w:ascii="宋体" w:hAnsi="宋体" w:eastAsia="宋体" w:cs="宋体"/>
          <w:bCs/>
          <w:color w:val="000000"/>
          <w:szCs w:val="21"/>
          <w:highlight w:val="none"/>
        </w:rPr>
        <w:t xml:space="preserve">评标委员会（以下简称“评委会”）进行。</w:t>
      </w:r>
      <w:r>
        <w:rPr>
          <w:rFonts w:hint="eastAsia" w:ascii="宋体" w:hAnsi="宋体" w:eastAsia="宋体" w:cs="宋体"/>
          <w:bCs/>
          <w:color w:val="000000"/>
          <w:szCs w:val="21"/>
          <w:highlight w:val="none"/>
        </w:rPr>
      </w:r>
      <w:r/>
    </w:p>
    <w:p>
      <w:pPr>
        <w:pStyle w:val="825"/>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评委会由采购人代表和有关技术、经济等方面的专家组成，且人员构成符合政府采购有关规定。</w:t>
      </w:r>
      <w:r>
        <w:rPr>
          <w:rFonts w:hint="eastAsia" w:ascii="宋体" w:hAnsi="宋体" w:eastAsia="宋体" w:cs="宋体"/>
          <w:bCs/>
          <w:color w:val="000000"/>
          <w:szCs w:val="21"/>
          <w:highlight w:val="none"/>
        </w:rPr>
      </w:r>
      <w:r/>
    </w:p>
    <w:p>
      <w:pPr>
        <w:pStyle w:val="825"/>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评委会独立工作，负责评审所有投标文件并推荐中标候选人，或根据采购人授权直接确定中标人。</w:t>
      </w:r>
      <w:r>
        <w:rPr>
          <w:rFonts w:hint="eastAsia" w:ascii="宋体" w:hAnsi="宋体" w:eastAsia="宋体" w:cs="宋体"/>
          <w:bCs/>
          <w:color w:val="000000"/>
          <w:szCs w:val="21"/>
          <w:highlight w:val="none"/>
        </w:rPr>
      </w:r>
      <w:r/>
    </w:p>
    <w:p>
      <w:pPr>
        <w:pStyle w:val="825"/>
        <w:ind w:firstLine="420"/>
        <w:rPr>
          <w:rFonts w:hint="eastAsia" w:ascii="宋体" w:hAnsi="宋体" w:eastAsia="宋体" w:cs="宋体"/>
          <w:b/>
          <w:color w:val="000000"/>
          <w:szCs w:val="21"/>
          <w:highlight w:val="none"/>
        </w:rPr>
        <w:outlineLvl w:val="4"/>
      </w:pPr>
      <w:r>
        <w:rPr>
          <w:rFonts w:hint="eastAsia" w:ascii="宋体" w:hAnsi="宋体" w:eastAsia="宋体" w:cs="宋体"/>
          <w:color w:val="000000"/>
          <w:szCs w:val="21"/>
          <w:highlight w:val="none"/>
        </w:rPr>
        <w:t xml:space="preserve">22.1.1评标委员会负责具体评标事务，并独立履行下列职责：</w:t>
      </w:r>
      <w:r>
        <w:rPr>
          <w:rFonts w:hint="eastAsia" w:ascii="宋体" w:hAnsi="宋体" w:eastAsia="宋体" w:cs="宋体"/>
          <w:b/>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审查、评价投标文件是否符合招标文件的商务、技术等实质性要求；</w:t>
      </w:r>
      <w:r>
        <w:rPr>
          <w:rFonts w:hint="eastAsia" w:ascii="宋体" w:hAnsi="宋体" w:eastAsia="宋体" w:cs="宋体"/>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要求投标人对投标文件有关事项作出澄清或者说明；</w:t>
      </w:r>
      <w:r>
        <w:rPr>
          <w:rFonts w:hint="eastAsia" w:ascii="宋体" w:hAnsi="宋体" w:eastAsia="宋体" w:cs="宋体"/>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对投标文件进行比较和评价；</w:t>
      </w:r>
      <w:r>
        <w:rPr>
          <w:rFonts w:hint="eastAsia" w:ascii="宋体" w:hAnsi="宋体" w:eastAsia="宋体" w:cs="宋体"/>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确定中标候选人名单，以及根据采购人委托直接确定中标人；</w:t>
      </w:r>
      <w:r>
        <w:rPr>
          <w:rFonts w:hint="eastAsia" w:ascii="宋体" w:hAnsi="宋体" w:eastAsia="宋体" w:cs="宋体"/>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向采购人、采购代理机构或者有关部门报告评标中发现的违法行为。</w:t>
      </w:r>
      <w:r>
        <w:rPr>
          <w:rFonts w:hint="eastAsia" w:ascii="宋体" w:hAnsi="宋体" w:eastAsia="宋体" w:cs="宋体"/>
          <w:color w:val="000000"/>
          <w:szCs w:val="21"/>
          <w:highlight w:val="none"/>
        </w:rPr>
      </w:r>
      <w:r/>
    </w:p>
    <w:p>
      <w:pPr>
        <w:pStyle w:val="825"/>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评标程序</w:t>
      </w:r>
      <w:r>
        <w:rPr>
          <w:rFonts w:hint="eastAsia" w:ascii="宋体" w:hAnsi="宋体" w:eastAsia="宋体" w:cs="宋体"/>
          <w:b/>
          <w:bCs/>
          <w:color w:val="000000"/>
          <w:szCs w:val="21"/>
          <w:highlight w:val="none"/>
        </w:rPr>
      </w:r>
      <w:r/>
    </w:p>
    <w:p>
      <w:pPr>
        <w:pStyle w:val="825"/>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投标文件的资格性检查。</w:t>
      </w:r>
      <w:r>
        <w:rPr>
          <w:rFonts w:hint="eastAsia" w:ascii="宋体" w:hAnsi="宋体" w:eastAsia="宋体" w:cs="宋体"/>
          <w:color w:val="000000"/>
          <w:szCs w:val="21"/>
          <w:highlight w:val="none"/>
        </w:rPr>
        <w:t xml:space="preserve">公开招标采购项目开标结束后，采购人或者采购代理机构应当依法对投标人的资格进行审查。合格投标人不足3家的，不得评标。</w:t>
      </w:r>
      <w:r>
        <w:rPr>
          <w:rFonts w:hint="eastAsia" w:ascii="宋体" w:hAnsi="宋体" w:eastAsia="宋体" w:cs="宋体"/>
          <w:b/>
          <w:color w:val="000000"/>
          <w:szCs w:val="21"/>
          <w:highlight w:val="none"/>
        </w:rPr>
      </w:r>
      <w:r/>
    </w:p>
    <w:p>
      <w:pPr>
        <w:pStyle w:val="825"/>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投标人在“苏采云”系统规定的时间内未成功解密电子投标文件的；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投标人未按照招标文件要求上传电子投标文件的；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同一投标人提交两个（含两个）以上不同的投标报价的；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投标文件未按照招标文件要求加盖电子公章的；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不具备招标文件中规定的资格要求的；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报价超过招标文件中规定的预算金额或者最高限价的；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投标文件含有采购人不能接受的附加条件的；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投标文件内容不全或不符合招标文件中规定的其他实质性要求的；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现行法律、法规、规章和招标文件规定的其他无效情形。</w:t>
      </w:r>
      <w:r>
        <w:rPr>
          <w:rFonts w:hint="eastAsia" w:ascii="宋体" w:hAnsi="宋体" w:eastAsia="宋体" w:cs="宋体"/>
          <w:b/>
          <w:color w:val="000000"/>
          <w:szCs w:val="21"/>
          <w:highlight w:val="none"/>
        </w:rPr>
      </w:r>
      <w:r/>
    </w:p>
    <w:p>
      <w:pPr>
        <w:pStyle w:val="825"/>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实质性要求是指本招标文件中用带星号（“★”）等或者其他明确要求的废标的商务和技术要求。</w:t>
      </w:r>
      <w:r>
        <w:rPr>
          <w:rFonts w:hint="eastAsia" w:ascii="宋体" w:hAnsi="宋体" w:eastAsia="宋体" w:cs="宋体"/>
          <w:b/>
          <w:color w:val="000000"/>
          <w:szCs w:val="21"/>
          <w:highlight w:val="none"/>
        </w:rPr>
      </w:r>
      <w:r/>
    </w:p>
    <w:p>
      <w:pPr>
        <w:pStyle w:val="825"/>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未通过资格审查或符合性审查的投标人，代理机构将通过“苏采云”系统告知其具体原因，评标结束后不再接受有关询问。</w:t>
      </w:r>
      <w:r>
        <w:rPr>
          <w:rFonts w:hint="eastAsia" w:ascii="宋体" w:hAnsi="宋体" w:eastAsia="宋体" w:cs="宋体"/>
          <w:b/>
          <w:color w:val="000000"/>
          <w:szCs w:val="21"/>
          <w:highlight w:val="none"/>
        </w:rPr>
      </w:r>
      <w:r/>
    </w:p>
    <w:p>
      <w:pPr>
        <w:pStyle w:val="825"/>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有下列情形之一的予以废标：</w:t>
      </w:r>
      <w:r>
        <w:rPr>
          <w:rFonts w:hint="eastAsia" w:ascii="宋体" w:hAnsi="宋体" w:eastAsia="宋体" w:cs="宋体"/>
          <w:b/>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符合专业条件的投标人或者对招标文件作实质性响应的投标人不足三家的；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出现影响采购公正的违法、违规行为的；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投标人的报价均超过了采购预算，采购人不能支付的；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因苏采云系统故障造成开标不成功的；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因重大变故，采购任务取消的。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投标人以明显低于其他通过符合性审查投标人的报价，有可能影响产品质量或者不能诚信履约的，且不能证明其报价合理性的。</w:t>
      </w:r>
      <w:r>
        <w:rPr>
          <w:rFonts w:hint="eastAsia" w:ascii="宋体" w:hAnsi="宋体" w:eastAsia="宋体" w:cs="宋体"/>
          <w:color w:val="000000"/>
          <w:szCs w:val="21"/>
          <w:highlight w:val="none"/>
        </w:rPr>
      </w:r>
      <w:r/>
    </w:p>
    <w:p>
      <w:pPr>
        <w:pStyle w:val="825"/>
        <w:numPr>
          <w:ilvl w:val="0"/>
          <w:numId w:val="31"/>
        </w:numPr>
        <w:ind w:firstLine="422"/>
        <w:rPr>
          <w:rFonts w:hint="eastAsia" w:ascii="宋体" w:hAnsi="宋体" w:eastAsia="宋体" w:cs="宋体"/>
          <w:color w:val="000000"/>
          <w:szCs w:val="21"/>
          <w:highlight w:val="none"/>
          <w:lang w:eastAsia="en-US"/>
        </w:rPr>
      </w:pPr>
      <w:r>
        <w:rPr>
          <w:rFonts w:hint="eastAsia" w:ascii="宋体" w:hAnsi="宋体" w:eastAsia="宋体" w:cs="宋体"/>
          <w:b/>
          <w:color w:val="000000"/>
          <w:szCs w:val="21"/>
          <w:highlight w:val="none"/>
          <w:lang w:eastAsia="en-US"/>
        </w:rPr>
        <w:t xml:space="preserve">澄清有关问题</w:t>
      </w:r>
      <w:r>
        <w:rPr>
          <w:rFonts w:hint="eastAsia" w:ascii="宋体" w:hAnsi="宋体" w:eastAsia="宋体" w:cs="宋体"/>
          <w:color w:val="000000"/>
          <w:szCs w:val="21"/>
          <w:highlight w:val="none"/>
          <w:lang w:eastAsia="en-US"/>
        </w:rPr>
        <w:t xml:space="preserve">。</w:t>
      </w:r>
      <w:r>
        <w:rPr>
          <w:rFonts w:hint="eastAsia" w:ascii="宋体" w:hAnsi="宋体" w:eastAsia="宋体" w:cs="宋体"/>
          <w:color w:val="000000"/>
          <w:szCs w:val="21"/>
          <w:highlight w:val="none"/>
          <w:lang w:eastAsia="en-US"/>
        </w:rPr>
      </w:r>
      <w:r/>
    </w:p>
    <w:p>
      <w:pPr>
        <w:pStyle w:val="825"/>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投标人的澄清、说明或者补正不得超出投标文件的范围或者改变投标文件的实质性内容。</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评委会并非对每个投标人都做澄清要求。</w:t>
      </w:r>
      <w:r>
        <w:rPr>
          <w:rFonts w:hint="eastAsia" w:ascii="宋体" w:hAnsi="宋体" w:eastAsia="宋体" w:cs="宋体"/>
          <w:color w:val="000000"/>
          <w:szCs w:val="21"/>
          <w:highlight w:val="none"/>
        </w:rPr>
      </w:r>
      <w:r/>
    </w:p>
    <w:p>
      <w:pPr>
        <w:pStyle w:val="825"/>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Cs w:val="21"/>
          <w:highlight w:val="none"/>
        </w:rPr>
      </w:r>
      <w:r/>
    </w:p>
    <w:p>
      <w:pPr>
        <w:pStyle w:val="825"/>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接到评委会澄清、说明和补正要求的，投标人如未按规定作出澄清、说明和补正，其风险由投标人自行承担。</w:t>
      </w:r>
      <w:r>
        <w:rPr>
          <w:rFonts w:hint="eastAsia" w:ascii="宋体" w:hAnsi="宋体" w:eastAsia="宋体" w:cs="宋体"/>
          <w:color w:val="000000"/>
          <w:szCs w:val="21"/>
          <w:highlight w:val="none"/>
        </w:rPr>
      </w:r>
      <w:r/>
    </w:p>
    <w:p>
      <w:pPr>
        <w:pStyle w:val="825"/>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投标人在开、评标全过程中应</w:t>
      </w:r>
      <w:r>
        <w:rPr>
          <w:rFonts w:hint="eastAsia" w:ascii="宋体" w:hAnsi="宋体" w:eastAsia="宋体" w:cs="宋体"/>
          <w:color w:val="000000"/>
          <w:szCs w:val="21"/>
          <w:highlight w:val="none"/>
          <w:lang w:eastAsia="zh-CN"/>
        </w:rPr>
        <w:t xml:space="preserve">保持通信畅通</w:t>
      </w:r>
      <w:r>
        <w:rPr>
          <w:rFonts w:hint="eastAsia" w:ascii="宋体" w:hAnsi="宋体" w:eastAsia="宋体" w:cs="宋体"/>
          <w:color w:val="000000"/>
          <w:szCs w:val="21"/>
          <w:highlight w:val="none"/>
        </w:rPr>
        <w:t xml:space="preserve">，及时登录苏采云系统查阅、答复相关信息，并安排专人与代理机构及评委会联系。</w:t>
      </w:r>
      <w:r>
        <w:rPr>
          <w:rFonts w:hint="eastAsia" w:ascii="宋体" w:hAnsi="宋体" w:eastAsia="宋体" w:cs="宋体"/>
          <w:color w:val="000000"/>
          <w:szCs w:val="21"/>
          <w:highlight w:val="none"/>
        </w:rPr>
      </w:r>
      <w:r/>
    </w:p>
    <w:p>
      <w:pPr>
        <w:pStyle w:val="825"/>
        <w:numPr>
          <w:ilvl w:val="0"/>
          <w:numId w:val="3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color w:val="000000"/>
          <w:szCs w:val="21"/>
          <w:highlight w:val="none"/>
        </w:rPr>
      </w:r>
      <w:r/>
    </w:p>
    <w:p>
      <w:pPr>
        <w:pStyle w:val="825"/>
        <w:numPr>
          <w:ilvl w:val="0"/>
          <w:numId w:val="31"/>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相同品牌产品的投标</w:t>
      </w:r>
      <w:r>
        <w:rPr>
          <w:rFonts w:hint="eastAsia" w:ascii="宋体" w:hAnsi="宋体" w:eastAsia="宋体" w:cs="宋体"/>
          <w:color w:val="000000"/>
          <w:szCs w:val="21"/>
          <w:highlight w:val="none"/>
          <w:lang w:eastAsia="en-US"/>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Cs w:val="21"/>
          <w:highlight w:val="none"/>
        </w:rPr>
      </w:r>
      <w:r/>
    </w:p>
    <w:p>
      <w:pPr>
        <w:pStyle w:val="825"/>
        <w:ind w:left="118" w:firstLine="422"/>
        <w:jc w:val="lef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Cs w:val="21"/>
          <w:highlight w:val="none"/>
        </w:rPr>
      </w:r>
      <w:r/>
    </w:p>
    <w:p>
      <w:pPr>
        <w:pStyle w:val="825"/>
        <w:ind w:left="118" w:firstLine="422"/>
        <w:jc w:val="lef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color w:val="000000"/>
          <w:szCs w:val="21"/>
          <w:highlight w:val="none"/>
        </w:rPr>
      </w:r>
      <w:r/>
    </w:p>
    <w:p>
      <w:pPr>
        <w:pStyle w:val="825"/>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评标方法和标准</w:t>
      </w:r>
      <w:r>
        <w:rPr>
          <w:rFonts w:hint="eastAsia" w:ascii="宋体" w:hAnsi="宋体" w:eastAsia="宋体" w:cs="宋体"/>
          <w:b/>
          <w:bCs/>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 采用综合评分法的，评标结果按评审后最终得分由高到低进行排名，得分相同的，按投标报价由低到高顺序排列。得分</w:t>
      </w:r>
      <w:r>
        <w:rPr>
          <w:rFonts w:hint="eastAsia" w:ascii="宋体" w:hAnsi="宋体" w:eastAsia="宋体" w:cs="宋体"/>
          <w:color w:val="000000"/>
          <w:szCs w:val="21"/>
          <w:highlight w:val="none"/>
          <w:lang w:eastAsia="zh-CN"/>
        </w:rPr>
        <w:t xml:space="preserve">相同且</w:t>
      </w:r>
      <w:r>
        <w:rPr>
          <w:rFonts w:hint="eastAsia" w:ascii="宋体" w:hAnsi="宋体" w:eastAsia="宋体" w:cs="宋体"/>
          <w:color w:val="000000"/>
          <w:szCs w:val="21"/>
          <w:highlight w:val="none"/>
        </w:rPr>
        <w:t xml:space="preserve">投标报价相同的，按技术部分方案优劣顺序排列。</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22.3.2评审过程中出现下列情形之一的，评审委员会应当启动异常低价投标(响应)审查程序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%的，即投标（响应）报价&lt;全部通过符合性审查供应商投标（响应）报价平均值×</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%的，即投标（响应）报价&lt;通过符合性审查的次低报价供应商投标（响应）报价×</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%的，即投标（响应）报价&lt;采购项目最高限价×</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outlineLvl w:val="2"/>
      </w:pPr>
      <w:r/>
      <w:bookmarkStart w:id="69" w:name="_Toc209510691"/>
      <w:r>
        <w:rPr>
          <w:rFonts w:hint="eastAsia" w:ascii="宋体" w:hAnsi="宋体" w:eastAsia="宋体" w:cs="宋体"/>
          <w:b/>
          <w:bCs/>
          <w:color w:val="000000"/>
          <w:szCs w:val="21"/>
          <w:highlight w:val="none"/>
        </w:rPr>
        <w:t xml:space="preserve">确定中标人</w:t>
      </w:r>
      <w:bookmarkEnd w:id="69"/>
      <w:r>
        <w:rPr>
          <w:rFonts w:hint="eastAsia" w:ascii="宋体" w:hAnsi="宋体" w:eastAsia="宋体" w:cs="宋体"/>
          <w:b/>
          <w:bCs/>
          <w:color w:val="000000"/>
          <w:szCs w:val="21"/>
          <w:highlight w:val="none"/>
        </w:rPr>
      </w:r>
      <w:r/>
    </w:p>
    <w:p>
      <w:pPr>
        <w:pStyle w:val="825"/>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color w:val="000000"/>
          <w:szCs w:val="21"/>
          <w:highlight w:val="none"/>
        </w:rPr>
      </w:r>
      <w:r/>
    </w:p>
    <w:p>
      <w:pPr>
        <w:pStyle w:val="825"/>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按以下第（2）种方式确定中标人：</w:t>
      </w:r>
      <w:r>
        <w:rPr>
          <w:rFonts w:hint="eastAsia" w:ascii="宋体" w:hAnsi="宋体" w:eastAsia="宋体" w:cs="宋体"/>
          <w:color w:val="000000"/>
          <w:szCs w:val="21"/>
          <w:highlight w:val="none"/>
        </w:rPr>
      </w:r>
      <w:r/>
    </w:p>
    <w:p>
      <w:pPr>
        <w:pStyle w:val="825"/>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评委会直接确定排名第一的中标候选人为中标人；</w:t>
      </w:r>
      <w:r>
        <w:rPr>
          <w:rFonts w:hint="eastAsia" w:ascii="宋体" w:hAnsi="宋体" w:eastAsia="宋体" w:cs="宋体"/>
          <w:color w:val="000000"/>
          <w:szCs w:val="21"/>
          <w:highlight w:val="none"/>
        </w:rPr>
      </w:r>
      <w:r/>
    </w:p>
    <w:p>
      <w:pPr>
        <w:pStyle w:val="825"/>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采购人在评委会推荐的中标候选人中按顺序确定中标人。</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color w:val="000000"/>
          <w:szCs w:val="21"/>
          <w:highlight w:val="none"/>
        </w:rPr>
      </w:r>
      <w:r/>
    </w:p>
    <w:p>
      <w:pPr>
        <w:pStyle w:val="825"/>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中标人确定后，将在“江苏政府采购网”发布中标公告，公告期限为1个工作日。</w:t>
      </w:r>
      <w:r>
        <w:rPr>
          <w:rFonts w:hint="eastAsia" w:ascii="宋体" w:hAnsi="宋体" w:eastAsia="宋体" w:cs="宋体"/>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outlineLvl w:val="2"/>
      </w:pPr>
      <w:r/>
      <w:bookmarkStart w:id="70" w:name="_Toc209510692"/>
      <w:r>
        <w:rPr>
          <w:rFonts w:hint="eastAsia" w:ascii="宋体" w:hAnsi="宋体" w:eastAsia="宋体" w:cs="宋体"/>
          <w:b/>
          <w:bCs/>
          <w:color w:val="000000"/>
          <w:szCs w:val="21"/>
          <w:highlight w:val="none"/>
        </w:rPr>
        <w:t xml:space="preserve">中标通知书</w:t>
      </w:r>
      <w:bookmarkEnd w:id="70"/>
      <w:r>
        <w:rPr>
          <w:rFonts w:hint="eastAsia" w:ascii="宋体" w:hAnsi="宋体" w:eastAsia="宋体" w:cs="宋体"/>
          <w:b/>
          <w:bCs/>
          <w:color w:val="000000"/>
          <w:szCs w:val="21"/>
          <w:highlight w:val="none"/>
        </w:rPr>
      </w:r>
      <w:r/>
    </w:p>
    <w:p>
      <w:pPr>
        <w:pStyle w:val="825"/>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Cs w:val="21"/>
          <w:highlight w:val="none"/>
        </w:rPr>
      </w:r>
      <w:r/>
    </w:p>
    <w:p>
      <w:pPr>
        <w:pStyle w:val="825"/>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outlineLvl w:val="2"/>
      </w:pPr>
      <w:r/>
      <w:bookmarkStart w:id="71" w:name="_Toc209510693"/>
      <w:r>
        <w:rPr>
          <w:rFonts w:hint="eastAsia" w:ascii="宋体" w:hAnsi="宋体" w:eastAsia="宋体" w:cs="宋体"/>
          <w:b/>
          <w:bCs/>
          <w:color w:val="000000"/>
          <w:szCs w:val="21"/>
          <w:highlight w:val="none"/>
        </w:rPr>
        <w:t xml:space="preserve">评标过程的保密性</w:t>
      </w:r>
      <w:bookmarkEnd w:id="71"/>
      <w:r>
        <w:rPr>
          <w:rFonts w:hint="eastAsia" w:ascii="宋体" w:hAnsi="宋体" w:eastAsia="宋体" w:cs="宋体"/>
          <w:b/>
          <w:bCs/>
          <w:color w:val="000000"/>
          <w:szCs w:val="21"/>
          <w:highlight w:val="none"/>
        </w:rPr>
      </w:r>
      <w:r/>
    </w:p>
    <w:p>
      <w:pPr>
        <w:pStyle w:val="825"/>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凡是与审查、澄清、评价和比较投标的有关资料以及投标建议等，采购人、评委、均不得向投标人或与评标无关的其他人员透露。</w:t>
      </w:r>
      <w:r>
        <w:rPr>
          <w:rFonts w:hint="eastAsia" w:ascii="宋体" w:hAnsi="宋体" w:eastAsia="宋体" w:cs="宋体"/>
          <w:color w:val="000000"/>
          <w:szCs w:val="21"/>
          <w:highlight w:val="none"/>
        </w:rPr>
      </w:r>
      <w:r/>
    </w:p>
    <w:p>
      <w:pPr>
        <w:pStyle w:val="825"/>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投标人不得以任何方式影响评标，否则其投标文件将被作为无效投标文件。</w:t>
      </w:r>
      <w:r>
        <w:rPr>
          <w:rFonts w:hint="eastAsia" w:ascii="宋体" w:hAnsi="宋体" w:eastAsia="宋体" w:cs="宋体"/>
          <w:color w:val="000000"/>
          <w:szCs w:val="21"/>
          <w:highlight w:val="none"/>
        </w:rPr>
      </w:r>
      <w:r/>
    </w:p>
    <w:p>
      <w:pPr>
        <w:pStyle w:val="825"/>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采购人和评委会不向未中标的投标人解释未中标原因，也不公布评标过程中的相关细节。</w:t>
      </w:r>
      <w:r>
        <w:rPr>
          <w:rFonts w:hint="eastAsia" w:ascii="宋体" w:hAnsi="宋体" w:eastAsia="宋体" w:cs="宋体"/>
          <w:color w:val="000000"/>
          <w:szCs w:val="21"/>
          <w:highlight w:val="none"/>
        </w:rPr>
      </w:r>
      <w:r/>
    </w:p>
    <w:p>
      <w:pPr>
        <w:pStyle w:val="825"/>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color w:val="000000"/>
          <w:szCs w:val="21"/>
          <w:highlight w:val="none"/>
        </w:rPr>
      </w:r>
      <w:r/>
    </w:p>
    <w:p>
      <w:pPr>
        <w:pStyle w:val="825"/>
        <w:numPr>
          <w:ilvl w:val="0"/>
          <w:numId w:val="5"/>
        </w:numPr>
        <w:ind w:firstLine="422"/>
        <w:rPr>
          <w:rFonts w:hint="eastAsia" w:ascii="宋体" w:hAnsi="宋体" w:eastAsia="宋体" w:cs="宋体"/>
          <w:b/>
          <w:bCs/>
          <w:color w:val="000000"/>
          <w:szCs w:val="21"/>
          <w:highlight w:val="none"/>
        </w:rPr>
        <w:outlineLvl w:val="1"/>
      </w:pPr>
      <w:r/>
      <w:bookmarkStart w:id="72" w:name="_Toc22453"/>
      <w:r/>
      <w:bookmarkStart w:id="73" w:name="_Toc7293"/>
      <w:r/>
      <w:bookmarkStart w:id="74" w:name="_Toc15223"/>
      <w:r/>
      <w:bookmarkStart w:id="75" w:name="_Toc209510620"/>
      <w:r/>
      <w:bookmarkStart w:id="76" w:name="_Toc17865"/>
      <w:r/>
      <w:bookmarkStart w:id="77" w:name="_Toc209510694"/>
      <w:r/>
      <w:bookmarkStart w:id="78" w:name="_Toc464"/>
      <w:r>
        <w:rPr>
          <w:rFonts w:hint="eastAsia" w:ascii="宋体" w:hAnsi="宋体" w:eastAsia="宋体" w:cs="宋体"/>
          <w:b/>
          <w:bCs/>
          <w:color w:val="000000"/>
          <w:szCs w:val="21"/>
          <w:highlight w:val="none"/>
        </w:rPr>
        <w:t xml:space="preserve">签订合同</w:t>
      </w:r>
      <w:bookmarkEnd w:id="72"/>
      <w:r/>
      <w:bookmarkEnd w:id="73"/>
      <w:r/>
      <w:bookmarkEnd w:id="74"/>
      <w:r/>
      <w:bookmarkEnd w:id="75"/>
      <w:r/>
      <w:bookmarkEnd w:id="76"/>
      <w:r/>
      <w:bookmarkEnd w:id="77"/>
      <w:r/>
      <w:bookmarkEnd w:id="78"/>
      <w:r>
        <w:rPr>
          <w:rFonts w:hint="eastAsia" w:ascii="宋体" w:hAnsi="宋体" w:eastAsia="宋体" w:cs="宋体"/>
          <w:b/>
          <w:bCs/>
          <w:color w:val="000000"/>
          <w:szCs w:val="21"/>
          <w:highlight w:val="none"/>
        </w:rPr>
      </w:r>
      <w:r/>
    </w:p>
    <w:p>
      <w:pPr>
        <w:pStyle w:val="825"/>
        <w:ind w:firstLine="422"/>
        <w:rPr>
          <w:rFonts w:hint="eastAsia" w:ascii="宋体" w:hAnsi="宋体" w:eastAsia="宋体" w:cs="宋体"/>
          <w:b/>
          <w:bCs/>
          <w:color w:val="000000"/>
          <w:szCs w:val="21"/>
          <w:highlight w:val="none"/>
        </w:rPr>
        <w:outlineLvl w:val="2"/>
      </w:pPr>
      <w:r/>
      <w:bookmarkStart w:id="79" w:name="_Toc209510695"/>
      <w:r>
        <w:rPr>
          <w:rFonts w:hint="eastAsia" w:ascii="宋体" w:hAnsi="宋体" w:eastAsia="宋体" w:cs="宋体"/>
          <w:b/>
          <w:bCs/>
          <w:color w:val="000000"/>
          <w:szCs w:val="21"/>
          <w:highlight w:val="none"/>
        </w:rPr>
        <w:t xml:space="preserve">26、签订合同</w:t>
      </w:r>
      <w:bookmarkEnd w:id="79"/>
      <w:r>
        <w:rPr>
          <w:rFonts w:hint="eastAsia" w:ascii="宋体" w:hAnsi="宋体" w:eastAsia="宋体" w:cs="宋体"/>
          <w:b/>
          <w:bCs/>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中标人应当在《中标通知书》发出之日起三十日内，按照招标文件确定的事项与采购人签订政府采购合同。</w:t>
      </w:r>
      <w:r>
        <w:rPr>
          <w:rFonts w:hint="eastAsia" w:ascii="宋体" w:hAnsi="宋体" w:eastAsia="宋体" w:cs="宋体"/>
          <w:color w:val="000000"/>
          <w:szCs w:val="21"/>
          <w:highlight w:val="none"/>
        </w:rPr>
      </w:r>
      <w:r/>
    </w:p>
    <w:p>
      <w:pPr>
        <w:pStyle w:val="825"/>
        <w:numPr>
          <w:ilvl w:val="0"/>
          <w:numId w:val="40"/>
        </w:numPr>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招标文件、中标人的投标文件及招标过程中有关澄清、承诺文件均作为合同附件</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中标人因自身原因拒绝与采购人签订合同的，不得参加采购人重新组织的采购活动，</w:t>
      </w:r>
      <w:r>
        <w:rPr>
          <w:rFonts w:hint="eastAsia" w:ascii="宋体" w:hAnsi="宋体" w:eastAsia="宋体" w:cs="宋体"/>
          <w:color w:val="000000"/>
          <w:szCs w:val="21"/>
          <w:highlight w:val="none"/>
          <w:lang w:eastAsia="zh-CN"/>
        </w:rPr>
        <w:t xml:space="preserve">且</w:t>
      </w:r>
      <w:r>
        <w:rPr>
          <w:rFonts w:hint="eastAsia" w:ascii="宋体" w:hAnsi="宋体" w:eastAsia="宋体" w:cs="宋体"/>
          <w:color w:val="000000"/>
          <w:szCs w:val="21"/>
          <w:highlight w:val="none"/>
        </w:rPr>
        <w:t xml:space="preserve">可能被拒绝参加该采购人一年内的其他政府采购活动。</w:t>
      </w:r>
      <w:r>
        <w:rPr>
          <w:rFonts w:hint="eastAsia" w:ascii="宋体" w:hAnsi="宋体" w:eastAsia="宋体" w:cs="宋体"/>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采购人与中标人应当根据合同的约定依法履行合同义务。</w:t>
      </w:r>
      <w:r>
        <w:rPr>
          <w:rFonts w:hint="eastAsia" w:ascii="宋体" w:hAnsi="宋体" w:eastAsia="宋体" w:cs="宋体"/>
          <w:color w:val="000000"/>
          <w:szCs w:val="21"/>
          <w:highlight w:val="none"/>
        </w:rPr>
      </w:r>
      <w:r/>
    </w:p>
    <w:p>
      <w:pPr>
        <w:pStyle w:val="825"/>
        <w:numPr>
          <w:ilvl w:val="0"/>
          <w:numId w:val="5"/>
        </w:numPr>
        <w:ind w:firstLine="422"/>
        <w:rPr>
          <w:rFonts w:hint="eastAsia" w:ascii="宋体" w:hAnsi="宋体" w:eastAsia="宋体" w:cs="宋体"/>
          <w:b/>
          <w:bCs/>
          <w:color w:val="000000"/>
          <w:szCs w:val="21"/>
          <w:highlight w:val="none"/>
        </w:rPr>
        <w:outlineLvl w:val="1"/>
      </w:pPr>
      <w:r/>
      <w:bookmarkStart w:id="80" w:name="_Toc28967"/>
      <w:r/>
      <w:bookmarkStart w:id="81" w:name="_Toc209510621"/>
      <w:r/>
      <w:bookmarkStart w:id="82" w:name="_Toc209510696"/>
      <w:r/>
      <w:bookmarkStart w:id="83" w:name="_Toc24959"/>
      <w:r/>
      <w:bookmarkStart w:id="84" w:name="_Toc8885"/>
      <w:r/>
      <w:bookmarkStart w:id="85" w:name="_Toc10685"/>
      <w:r/>
      <w:bookmarkStart w:id="86" w:name="_Toc22926"/>
      <w:r>
        <w:rPr>
          <w:rFonts w:hint="eastAsia" w:ascii="宋体" w:hAnsi="宋体" w:eastAsia="宋体" w:cs="宋体"/>
          <w:b/>
          <w:bCs/>
          <w:color w:val="000000"/>
          <w:szCs w:val="21"/>
          <w:highlight w:val="none"/>
        </w:rPr>
        <w:t xml:space="preserve">质疑和投诉</w:t>
      </w:r>
      <w:bookmarkEnd w:id="80"/>
      <w:r/>
      <w:bookmarkEnd w:id="81"/>
      <w:r/>
      <w:bookmarkEnd w:id="82"/>
      <w:r/>
      <w:bookmarkEnd w:id="83"/>
      <w:r/>
      <w:bookmarkEnd w:id="84"/>
      <w:r/>
      <w:bookmarkEnd w:id="85"/>
      <w:r/>
      <w:bookmarkEnd w:id="86"/>
      <w:r>
        <w:rPr>
          <w:rFonts w:hint="eastAsia" w:ascii="宋体" w:hAnsi="宋体" w:eastAsia="宋体" w:cs="宋体"/>
          <w:b/>
          <w:bCs/>
          <w:color w:val="000000"/>
          <w:szCs w:val="21"/>
          <w:highlight w:val="none"/>
        </w:rPr>
      </w:r>
      <w:r/>
    </w:p>
    <w:p>
      <w:pPr>
        <w:pStyle w:val="825"/>
        <w:ind w:firstLine="422"/>
        <w:rPr>
          <w:rFonts w:hint="eastAsia" w:ascii="宋体" w:hAnsi="宋体" w:eastAsia="宋体" w:cs="宋体"/>
          <w:b/>
          <w:bCs/>
          <w:color w:val="000000"/>
          <w:szCs w:val="21"/>
          <w:highlight w:val="none"/>
        </w:rPr>
      </w:pPr>
      <w:r/>
      <w:bookmarkStart w:id="87" w:name="_Toc7947"/>
      <w:r/>
      <w:bookmarkStart w:id="88" w:name="_Toc209510697"/>
      <w:r/>
      <w:bookmarkStart w:id="89" w:name="_Toc209510622"/>
      <w:r/>
      <w:bookmarkStart w:id="90" w:name="_Toc29346"/>
      <w:r>
        <w:rPr>
          <w:rFonts w:hint="eastAsia" w:ascii="宋体" w:hAnsi="宋体" w:eastAsia="宋体" w:cs="宋体"/>
          <w:b/>
          <w:bCs/>
          <w:color w:val="000000"/>
          <w:szCs w:val="21"/>
          <w:highlight w:val="none"/>
        </w:rPr>
        <w:t xml:space="preserve">27.询问</w:t>
      </w:r>
      <w:bookmarkEnd w:id="87"/>
      <w:r/>
      <w:bookmarkEnd w:id="88"/>
      <w:r/>
      <w:bookmarkEnd w:id="89"/>
      <w:r/>
      <w:bookmarkEnd w:id="90"/>
      <w:r>
        <w:rPr>
          <w:rFonts w:hint="eastAsia" w:ascii="宋体" w:hAnsi="宋体" w:eastAsia="宋体" w:cs="宋体"/>
          <w:b/>
          <w:bCs/>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color w:val="000000"/>
          <w:szCs w:val="21"/>
          <w:highlight w:val="none"/>
        </w:rPr>
      </w:r>
      <w:r/>
    </w:p>
    <w:p>
      <w:pPr>
        <w:pStyle w:val="825"/>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28.质疑</w:t>
      </w:r>
      <w:r>
        <w:rPr>
          <w:rFonts w:hint="eastAsia" w:ascii="宋体" w:hAnsi="宋体" w:eastAsia="宋体" w:cs="宋体"/>
          <w:b/>
          <w:bCs/>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28.3上述应知其权益受到损害之日是指：</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（1）对招标文件提出质疑的，</w:t>
      </w:r>
      <w:r>
        <w:rPr>
          <w:rFonts w:hint="eastAsia" w:ascii="宋体" w:hAnsi="宋体" w:eastAsia="宋体" w:cs="宋体"/>
          <w:color w:val="000000"/>
          <w:szCs w:val="21"/>
          <w:highlight w:val="none"/>
          <w:lang w:eastAsia="zh-CN"/>
        </w:rPr>
        <w:t xml:space="preserve">自</w:t>
      </w:r>
      <w:r>
        <w:rPr>
          <w:rFonts w:hint="eastAsia" w:ascii="宋体" w:hAnsi="宋体" w:eastAsia="宋体" w:cs="宋体"/>
          <w:color w:val="000000"/>
          <w:szCs w:val="21"/>
          <w:highlight w:val="none"/>
        </w:rPr>
        <w:t xml:space="preserve">招标文件公告期限届满之日起计算；</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（2）对采购过程提出质疑的，自采购程序环节结束之日起计算；</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（3）对中标/成交结果提出质疑的，自中标/成交结果公告期限届满之日起计算。  </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 质疑文件应包括以下主要内容，并按照“谁主张、谁举证”的原则，附上相关证明材料。否则，代理人不予受理：</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（1）质疑项目名称、项目编号、采购公告发布时间、开标时间；</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（2）提起质疑的日期、具体的质疑事项及事实根据（具体条款）；</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（3）认为自己合法权益受到损害或可能受到损害的相关证据材料。</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（4）质疑供应商名称、地址、邮编、联系人、联系电话（包括座机、手机、传真号码等）；</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（6）供应商委托代理质疑的，应当提交授权委托书，并载明委托代理的具体权限和事项。</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28.5质疑材料接收信息：</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（1）接收单位：江苏海外集团国际工程咨询有限公司</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（2）联 系 人：方东</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（3）联系电话：025-84795433/5991</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（4）联系邮箱：fangdong@jocite.com</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（5）接收地址：南京市建邺区云龙山路</w:t>
      </w:r>
      <w:r>
        <w:rPr>
          <w:rFonts w:hint="eastAsia" w:ascii="宋体" w:hAnsi="宋体" w:eastAsia="宋体" w:cs="宋体"/>
          <w:color w:val="000000"/>
          <w:szCs w:val="21"/>
          <w:highlight w:val="none"/>
          <w:lang w:eastAsia="zh-CN"/>
        </w:rPr>
        <w:t xml:space="preserve">58号大唐科技大厦</w:t>
      </w:r>
      <w:r>
        <w:rPr>
          <w:rFonts w:hint="eastAsia" w:ascii="宋体" w:hAnsi="宋体" w:eastAsia="宋体" w:cs="宋体"/>
          <w:color w:val="000000"/>
          <w:szCs w:val="21"/>
          <w:highlight w:val="none"/>
        </w:rPr>
        <w:t xml:space="preserve">A座高区15楼</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28.6 以下情形的质疑不予</w:t>
      </w:r>
      <w:r>
        <w:rPr>
          <w:rFonts w:hint="eastAsia" w:ascii="宋体" w:hAnsi="宋体" w:eastAsia="宋体" w:cs="宋体"/>
          <w:color w:val="000000"/>
          <w:szCs w:val="21"/>
          <w:highlight w:val="none"/>
          <w:lang w:eastAsia="zh-CN"/>
        </w:rPr>
        <w:t xml:space="preserve">受理：</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（1）内容不符合《政府采购质疑和投诉办法》第十二条规定的质疑。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（2）超出政府采购法定期限的质疑。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（3）以传真、电子邮件等方式递交的非原件形式的质疑。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（4）未参加采购活动的供应商或在采购活动中自身权益未受到损害的供应商所提出的质疑。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（5）供应商组成联合体参加投标，联合体中任何一方或多方未按要求签字、盖章、加盖公章的质疑。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color w:val="000000"/>
          <w:szCs w:val="21"/>
          <w:highlight w:val="none"/>
        </w:rPr>
      </w:r>
      <w:r/>
    </w:p>
    <w:p>
      <w:pPr>
        <w:pStyle w:val="825"/>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29.投诉</w:t>
      </w:r>
      <w:r>
        <w:rPr>
          <w:rFonts w:hint="eastAsia" w:ascii="宋体" w:hAnsi="宋体" w:eastAsia="宋体" w:cs="宋体"/>
          <w:b/>
          <w:bCs/>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29.2质疑供应商的投诉应当有明确的请求和必要的证明材料，其投诉的事项不得超出已质疑事项的范围。</w:t>
      </w:r>
      <w:r>
        <w:rPr>
          <w:rFonts w:hint="eastAsia" w:ascii="宋体" w:hAnsi="宋体" w:eastAsia="宋体" w:cs="宋体"/>
          <w:color w:val="000000"/>
          <w:szCs w:val="21"/>
          <w:highlight w:val="none"/>
        </w:rPr>
      </w:r>
      <w:r/>
    </w:p>
    <w:p>
      <w:pPr>
        <w:pStyle w:val="825"/>
        <w:rPr>
          <w:rFonts w:hint="eastAsia" w:ascii="宋体" w:hAnsi="宋体" w:eastAsia="宋体" w:cs="宋体"/>
          <w:bCs/>
          <w:color w:val="000000"/>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2"/>
          <w:szCs w:val="22"/>
          <w:highlight w:val="none"/>
        </w:rPr>
      </w:r>
      <w:r/>
    </w:p>
    <w:p>
      <w:pPr>
        <w:pStyle w:val="826"/>
        <w:ind w:firstLine="0"/>
        <w:spacing w:before="480"/>
        <w:tabs>
          <w:tab w:val="left" w:pos="1440" w:leader="none"/>
          <w:tab w:val="left" w:pos="5670" w:leader="none"/>
        </w:tabs>
        <w:rPr>
          <w:rFonts w:hint="eastAsia" w:ascii="宋体" w:hAnsi="宋体" w:eastAsia="宋体" w:cs="宋体"/>
          <w:color w:val="000000"/>
          <w:highlight w:val="none"/>
        </w:rPr>
      </w:pPr>
      <w:r/>
      <w:bookmarkStart w:id="91" w:name="_Toc7217"/>
      <w:r>
        <w:rPr>
          <w:rFonts w:hint="eastAsia" w:ascii="宋体" w:hAnsi="宋体" w:eastAsia="宋体" w:cs="宋体"/>
          <w:color w:val="000000"/>
          <w:highlight w:val="none"/>
        </w:rPr>
        <w:t xml:space="preserve">第三章 评分标准</w:t>
      </w:r>
      <w:bookmarkEnd w:id="27"/>
      <w:r/>
      <w:bookmarkEnd w:id="28"/>
      <w:r/>
      <w:bookmarkEnd w:id="91"/>
      <w:r>
        <w:rPr>
          <w:rFonts w:hint="eastAsia" w:ascii="宋体" w:hAnsi="宋体" w:eastAsia="宋体" w:cs="宋体"/>
          <w:color w:val="000000"/>
          <w:highlight w:val="none"/>
        </w:rPr>
      </w:r>
      <w:r/>
    </w:p>
    <w:p>
      <w:pPr>
        <w:pStyle w:val="825"/>
        <w:ind w:firstLine="440"/>
        <w:rPr>
          <w:rFonts w:hint="eastAsia" w:ascii="宋体" w:hAnsi="宋体" w:eastAsia="宋体" w:cs="宋体"/>
          <w:color w:val="000000"/>
          <w:sz w:val="22"/>
          <w:szCs w:val="22"/>
          <w:highlight w:val="none"/>
        </w:rPr>
      </w:pPr>
      <w:r/>
      <w:bookmarkStart w:id="92" w:name="OLE_LINK14"/>
      <w:r>
        <w:rPr>
          <w:rFonts w:hint="eastAsia" w:ascii="宋体" w:hAnsi="宋体" w:eastAsia="宋体" w:cs="宋体"/>
          <w:color w:val="000000"/>
          <w:sz w:val="22"/>
          <w:szCs w:val="22"/>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且投标报价相同的，按技术部分指标优劣顺序排列。</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如供应商的报价明显低于其他通过资格及符合性审查供应商的报价，未能提供相关价格构成有可能影响服务质量或者不能诚信履约的按无效响应处理。具体评审办法如下：</w:t>
      </w:r>
      <w:r>
        <w:rPr>
          <w:rFonts w:hint="eastAsia" w:ascii="宋体" w:hAnsi="宋体" w:eastAsia="宋体" w:cs="宋体"/>
          <w:color w:val="000000"/>
          <w:sz w:val="22"/>
          <w:szCs w:val="22"/>
          <w:highlight w:val="none"/>
        </w:rPr>
      </w:r>
      <w:r/>
    </w:p>
    <w:p>
      <w:pPr>
        <w:pStyle w:val="825"/>
        <w:ind w:firstLine="442"/>
        <w:rPr>
          <w:rFonts w:hint="eastAsia" w:ascii="宋体" w:hAnsi="宋体" w:eastAsia="宋体" w:cs="宋体"/>
          <w:color w:val="000000"/>
          <w:sz w:val="22"/>
          <w:szCs w:val="22"/>
          <w:highlight w:val="none"/>
        </w:rPr>
      </w:pPr>
      <w:r/>
      <w:bookmarkEnd w:id="92"/>
      <w:r>
        <w:rPr>
          <w:rFonts w:hint="eastAsia" w:ascii="宋体" w:hAnsi="宋体" w:eastAsia="宋体" w:cs="宋体"/>
          <w:b/>
          <w:bCs/>
          <w:color w:val="000000"/>
          <w:sz w:val="22"/>
          <w:szCs w:val="22"/>
          <w:highlight w:val="none"/>
          <w:lang w:val="zh-CN"/>
        </w:rPr>
        <w:t xml:space="preserve">评标细则</w:t>
      </w:r>
      <w:r>
        <w:rPr>
          <w:rFonts w:hint="eastAsia" w:ascii="宋体" w:hAnsi="宋体" w:eastAsia="宋体" w:cs="宋体"/>
          <w:color w:val="000000"/>
          <w:sz w:val="22"/>
          <w:szCs w:val="22"/>
          <w:highlight w:val="none"/>
        </w:rPr>
      </w:r>
      <w:r/>
    </w:p>
    <w:p>
      <w:pPr>
        <w:pStyle w:val="825"/>
        <w:ind w:firstLine="442"/>
        <w:rPr>
          <w:rFonts w:hint="eastAsia" w:ascii="宋体" w:hAnsi="宋体" w:eastAsia="宋体" w:cs="宋体"/>
          <w:b/>
          <w:color w:val="000000"/>
          <w:sz w:val="22"/>
          <w:szCs w:val="22"/>
          <w:highlight w:val="none"/>
        </w:rPr>
        <w:outlineLvl w:val="1"/>
      </w:pPr>
      <w:r/>
      <w:bookmarkStart w:id="93" w:name="_Toc28196"/>
      <w:r>
        <w:rPr>
          <w:rFonts w:hint="eastAsia" w:ascii="宋体" w:hAnsi="宋体" w:eastAsia="宋体" w:cs="宋体"/>
          <w:b/>
          <w:color w:val="000000"/>
          <w:sz w:val="22"/>
          <w:szCs w:val="22"/>
          <w:highlight w:val="none"/>
        </w:rPr>
        <w:t xml:space="preserve">一、资格性审查</w:t>
      </w:r>
      <w:bookmarkEnd w:id="93"/>
      <w:r>
        <w:rPr>
          <w:rFonts w:hint="eastAsia" w:ascii="宋体" w:hAnsi="宋体" w:eastAsia="宋体" w:cs="宋体"/>
          <w:b/>
          <w:color w:val="000000"/>
          <w:sz w:val="22"/>
          <w:szCs w:val="2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投标人资质要求</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825"/>
        <w:ind w:firstLine="442"/>
        <w:rPr>
          <w:rFonts w:hint="eastAsia" w:ascii="宋体" w:hAnsi="宋体" w:eastAsia="宋体" w:cs="宋体"/>
          <w:b/>
          <w:color w:val="000000"/>
          <w:sz w:val="22"/>
          <w:szCs w:val="22"/>
          <w:highlight w:val="none"/>
        </w:rPr>
        <w:outlineLvl w:val="1"/>
      </w:pPr>
      <w:r/>
      <w:bookmarkStart w:id="94" w:name="_Toc14304"/>
      <w:r>
        <w:rPr>
          <w:rFonts w:hint="eastAsia" w:ascii="宋体" w:hAnsi="宋体" w:eastAsia="宋体" w:cs="宋体"/>
          <w:b/>
          <w:color w:val="000000"/>
          <w:sz w:val="22"/>
          <w:szCs w:val="22"/>
          <w:highlight w:val="none"/>
        </w:rPr>
        <w:t xml:space="preserve">二、符合性审查</w:t>
      </w:r>
      <w:bookmarkEnd w:id="94"/>
      <w:r>
        <w:rPr>
          <w:rFonts w:hint="eastAsia" w:ascii="宋体" w:hAnsi="宋体" w:eastAsia="宋体" w:cs="宋体"/>
          <w:b/>
          <w:color w:val="000000"/>
          <w:sz w:val="22"/>
          <w:szCs w:val="2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投标报价是否超过采购预算或限价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2</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投标文件的有效性（</w:t>
            </w:r>
            <w:r>
              <w:rPr>
                <w:rFonts w:hint="eastAsia" w:ascii="宋体" w:hAnsi="宋体" w:eastAsia="宋体" w:cs="宋体"/>
                <w:color w:val="000000"/>
                <w:sz w:val="22"/>
                <w:highlight w:val="none"/>
              </w:rPr>
              <w:t xml:space="preserve">是否签字盖章）</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投标文件的完整性</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符合</w:t>
            </w:r>
            <w:r>
              <w:rPr>
                <w:rFonts w:hint="eastAsia" w:ascii="宋体" w:hAnsi="宋体" w:eastAsia="宋体" w:cs="宋体"/>
                <w:color w:val="000000"/>
                <w:sz w:val="22"/>
                <w:highlight w:val="none"/>
              </w:rPr>
              <w:t xml:space="preserve">招标</w:t>
            </w:r>
            <w:r>
              <w:rPr>
                <w:rFonts w:hint="eastAsia" w:ascii="宋体" w:hAnsi="宋体" w:eastAsia="宋体" w:cs="宋体"/>
                <w:color w:val="000000"/>
                <w:sz w:val="22"/>
                <w:highlight w:val="none"/>
                <w:lang w:val="zh-CN"/>
              </w:rPr>
              <w:t xml:space="preserve">文件第六章格式中（1-</w:t>
            </w: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lang w:val="zh-CN"/>
              </w:rPr>
              <w:t xml:space="preserve">）</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不存在重大负偏离</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825"/>
        <w:ind w:firstLine="442"/>
        <w:rPr>
          <w:rFonts w:hint="eastAsia" w:ascii="宋体" w:hAnsi="宋体" w:eastAsia="宋体" w:cs="宋体"/>
          <w:b/>
          <w:color w:val="000000"/>
          <w:sz w:val="22"/>
          <w:szCs w:val="22"/>
          <w:highlight w:val="none"/>
        </w:rPr>
        <w:outlineLvl w:val="1"/>
      </w:pPr>
      <w:r/>
      <w:bookmarkStart w:id="95" w:name="_Toc6239"/>
      <w:r/>
      <w:bookmarkStart w:id="96" w:name="_Toc7288"/>
      <w:r>
        <w:rPr>
          <w:rFonts w:hint="eastAsia" w:ascii="宋体" w:hAnsi="宋体" w:eastAsia="宋体" w:cs="宋体"/>
          <w:b/>
          <w:color w:val="000000"/>
          <w:sz w:val="22"/>
          <w:szCs w:val="22"/>
          <w:highlight w:val="none"/>
        </w:rPr>
        <w:t xml:space="preserve">三、异常低价投标（响应）审查</w:t>
      </w:r>
      <w:bookmarkEnd w:id="95"/>
      <w:r/>
      <w:bookmarkEnd w:id="96"/>
      <w:r>
        <w:rPr>
          <w:rFonts w:hint="eastAsia" w:ascii="宋体" w:hAnsi="宋体" w:eastAsia="宋体" w:cs="宋体"/>
          <w:b/>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（1）投标（响应）报价低于全部通过符合性审查供应商投标（响应）报价平均值</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%的，即投标（响应）报价&lt;全部通过符合性审查供应商投标（响应）报价平均值×</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（2）投标（响应）报价低于通过符合性审查的次低报价供应商投标（响应）报价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%的，即投标（响应）报价&lt;通过符合性审查的次低报价供应商投标（响应）报价×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（3）投标（响应）报价低于采购项目最高限价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%的，即投标（响应）报价&lt;采购项目最高限价×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相关法律法规对供应商报价有规定的，从其规定。</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Start w:id="97" w:name="_Toc25427"/>
      <w:r>
        <w:rPr>
          <w:rFonts w:hint="eastAsia" w:ascii="宋体" w:hAnsi="宋体" w:eastAsia="宋体" w:cs="宋体"/>
          <w:b/>
          <w:color w:val="000000"/>
          <w:sz w:val="22"/>
          <w:szCs w:val="22"/>
          <w:highlight w:val="none"/>
        </w:rPr>
      </w:r>
      <w:r/>
    </w:p>
    <w:p>
      <w:pPr>
        <w:pStyle w:val="825"/>
        <w:rPr>
          <w:rFonts w:hint="eastAsia" w:ascii="宋体" w:hAnsi="宋体" w:eastAsia="宋体" w:cs="宋体"/>
          <w:b/>
          <w:bCs/>
          <w:color w:val="000000"/>
          <w:sz w:val="22"/>
          <w:szCs w:val="22"/>
          <w:highlight w:val="none"/>
          <w:u w:val="single"/>
        </w:rPr>
        <w:outlineLvl w:val="1"/>
      </w:pPr>
      <w:r>
        <w:rPr>
          <w:rFonts w:hint="eastAsia" w:ascii="宋体" w:hAnsi="宋体" w:eastAsia="宋体" w:cs="宋体"/>
          <w:b/>
          <w:color w:val="000000"/>
          <w:sz w:val="22"/>
          <w:szCs w:val="22"/>
          <w:highlight w:val="none"/>
        </w:rPr>
        <w:t xml:space="preserve">四</w:t>
      </w:r>
      <w:r>
        <w:rPr>
          <w:rFonts w:hint="eastAsia" w:ascii="宋体" w:hAnsi="宋体" w:eastAsia="宋体" w:cs="宋体"/>
          <w:b/>
          <w:color w:val="000000"/>
          <w:sz w:val="22"/>
          <w:szCs w:val="22"/>
          <w:highlight w:val="none"/>
          <w:lang w:eastAsia="zh-CN"/>
        </w:rPr>
        <w:t xml:space="preserve">、</w:t>
      </w:r>
      <w:r>
        <w:rPr>
          <w:rFonts w:hint="eastAsia" w:ascii="宋体" w:hAnsi="宋体" w:eastAsia="宋体" w:cs="宋体"/>
          <w:b/>
          <w:color w:val="000000"/>
          <w:sz w:val="22"/>
          <w:szCs w:val="22"/>
          <w:highlight w:val="none"/>
        </w:rPr>
        <w:t xml:space="preserve">评分表（综合评分法）</w:t>
      </w:r>
      <w:bookmarkEnd w:id="97"/>
      <w:r>
        <w:rPr>
          <w:rFonts w:hint="eastAsia" w:ascii="宋体" w:hAnsi="宋体" w:eastAsia="宋体" w:cs="宋体"/>
          <w:b/>
          <w:bCs/>
          <w:color w:val="000000"/>
          <w:sz w:val="22"/>
          <w:szCs w:val="22"/>
          <w:highlight w:val="none"/>
          <w:u w:val="single"/>
        </w:rPr>
      </w:r>
      <w:r/>
    </w:p>
    <w:tbl>
      <w:tblPr>
        <w:tblStyle w:val="1260"/>
        <w:tblW w:w="0" w:type="auto"/>
        <w:tblInd w:w="-16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94"/>
        <w:gridCol w:w="1517"/>
        <w:gridCol w:w="6117"/>
        <w:gridCol w:w="1260"/>
      </w:tblGrid>
      <w:tr>
        <w:trPr>
          <w:trHeight w:val="621"/>
        </w:trPr>
        <w:tc>
          <w:tcPr>
            <w:tcW w:w="894" w:type="dxa"/>
            <w:vAlign w:val="center"/>
            <w:textDirection w:val="lrTb"/>
            <w:noWrap w:val="false"/>
          </w:tcPr>
          <w:p>
            <w:pPr>
              <w:pStyle w:val="1259"/>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t xml:space="preserve">序号</w:t>
            </w:r>
            <w:r>
              <w:rPr>
                <w:rFonts w:hint="eastAsia" w:ascii="宋体" w:hAnsi="宋体" w:eastAsia="宋体" w:cs="宋体"/>
                <w:b w:val="0"/>
                <w:bCs w:val="0"/>
                <w:color w:val="000000"/>
                <w:sz w:val="24"/>
                <w:szCs w:val="21"/>
                <w:highlight w:val="none"/>
              </w:rPr>
            </w:r>
            <w:r/>
          </w:p>
        </w:tc>
        <w:tc>
          <w:tcPr>
            <w:tcW w:w="1517" w:type="dxa"/>
            <w:vAlign w:val="center"/>
            <w:textDirection w:val="lrTb"/>
            <w:noWrap w:val="false"/>
          </w:tcPr>
          <w:p>
            <w:pPr>
              <w:pStyle w:val="1259"/>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t xml:space="preserve">评审项目</w:t>
            </w:r>
            <w:r>
              <w:rPr>
                <w:rFonts w:hint="eastAsia" w:ascii="宋体" w:hAnsi="宋体" w:eastAsia="宋体" w:cs="宋体"/>
                <w:b w:val="0"/>
                <w:bCs w:val="0"/>
                <w:color w:val="000000"/>
                <w:sz w:val="24"/>
                <w:szCs w:val="21"/>
                <w:highlight w:val="none"/>
              </w:rPr>
            </w:r>
            <w:r/>
          </w:p>
        </w:tc>
        <w:tc>
          <w:tcPr>
            <w:tcW w:w="6117" w:type="dxa"/>
            <w:vAlign w:val="center"/>
            <w:textDirection w:val="lrTb"/>
            <w:noWrap w:val="false"/>
          </w:tcPr>
          <w:p>
            <w:pPr>
              <w:pStyle w:val="1259"/>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t xml:space="preserve">评审内容</w:t>
            </w:r>
            <w:r>
              <w:rPr>
                <w:rFonts w:hint="eastAsia" w:ascii="宋体" w:hAnsi="宋体" w:eastAsia="宋体" w:cs="宋体"/>
                <w:b w:val="0"/>
                <w:bCs w:val="0"/>
                <w:color w:val="000000"/>
                <w:sz w:val="24"/>
                <w:szCs w:val="21"/>
                <w:highlight w:val="none"/>
              </w:rPr>
            </w:r>
            <w:r/>
          </w:p>
        </w:tc>
        <w:tc>
          <w:tcPr>
            <w:tcW w:w="1260" w:type="dxa"/>
            <w:vAlign w:val="center"/>
            <w:textDirection w:val="lrTb"/>
            <w:noWrap w:val="false"/>
          </w:tcPr>
          <w:p>
            <w:pPr>
              <w:pStyle w:val="1259"/>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t xml:space="preserve">标准</w:t>
            </w:r>
            <w:r>
              <w:rPr>
                <w:rFonts w:hint="eastAsia" w:ascii="宋体" w:hAnsi="宋体" w:eastAsia="宋体" w:cs="宋体"/>
                <w:b w:val="0"/>
                <w:bCs w:val="0"/>
                <w:color w:val="000000"/>
                <w:sz w:val="24"/>
                <w:szCs w:val="21"/>
                <w:highlight w:val="none"/>
                <w:lang w:val="en-US" w:eastAsia="zh-CN"/>
              </w:rPr>
              <w:t xml:space="preserve">分值</w:t>
            </w:r>
            <w:r>
              <w:rPr>
                <w:rFonts w:hint="eastAsia" w:ascii="宋体" w:hAnsi="宋体" w:eastAsia="宋体" w:cs="宋体"/>
                <w:b w:val="0"/>
                <w:bCs w:val="0"/>
                <w:color w:val="000000"/>
                <w:sz w:val="24"/>
                <w:szCs w:val="21"/>
                <w:highlight w:val="none"/>
              </w:rPr>
            </w:r>
            <w:r/>
          </w:p>
        </w:tc>
      </w:tr>
      <w:tr>
        <w:trPr>
          <w:trHeight w:val="419"/>
        </w:trPr>
        <w:tc>
          <w:tcPr>
            <w:tcW w:w="89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1</w:t>
            </w:r>
            <w:r>
              <w:rPr>
                <w:rFonts w:hint="eastAsia" w:ascii="宋体" w:hAnsi="宋体" w:eastAsia="宋体" w:cs="宋体"/>
                <w:b w:val="0"/>
                <w:bCs w:val="0"/>
                <w:color w:val="000000"/>
                <w:spacing w:val="-4"/>
                <w:highlight w:val="none"/>
              </w:rPr>
            </w:r>
            <w:r/>
          </w:p>
        </w:tc>
        <w:tc>
          <w:tcPr>
            <w:tcW w:w="1517"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投标报价</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（30 分）</w:t>
            </w:r>
            <w:r>
              <w:rPr>
                <w:rFonts w:hint="eastAsia" w:ascii="宋体" w:hAnsi="宋体" w:eastAsia="宋体" w:cs="宋体"/>
                <w:b w:val="0"/>
                <w:bCs w:val="0"/>
                <w:color w:val="000000"/>
                <w:spacing w:val="-4"/>
                <w:highlight w:val="none"/>
              </w:rPr>
            </w:r>
            <w:r/>
          </w:p>
        </w:tc>
        <w:tc>
          <w:tcPr>
            <w:tcW w:w="6117" w:type="dxa"/>
            <w:vAlign w:val="top"/>
            <w:textDirection w:val="lrTb"/>
            <w:noWrap w:val="false"/>
          </w:tcPr>
          <w:p>
            <w:pPr>
              <w:pStyle w:val="825"/>
              <w:keepLines w:val="0"/>
              <w:keepNext w:val="0"/>
              <w:pageBreakBefore w:val="0"/>
              <w:spacing w:before="0" w:after="0"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满足招标文件要求进入详细评审且投标报价最低的有效投标报价为评标基准价，其价格分为30分。其他</w:t>
            </w:r>
            <w:r>
              <w:rPr>
                <w:rFonts w:hint="eastAsia" w:ascii="宋体" w:hAnsi="宋体" w:eastAsia="宋体" w:cs="宋体"/>
                <w:b w:val="0"/>
                <w:bCs w:val="0"/>
                <w:color w:val="000000"/>
                <w:szCs w:val="21"/>
                <w:highlight w:val="none"/>
                <w:lang w:eastAsia="zh-CN"/>
              </w:rPr>
              <w:t xml:space="preserve">投标人</w:t>
            </w:r>
            <w:r>
              <w:rPr>
                <w:rFonts w:hint="eastAsia" w:ascii="宋体" w:hAnsi="宋体" w:eastAsia="宋体" w:cs="宋体"/>
                <w:b w:val="0"/>
                <w:bCs w:val="0"/>
                <w:color w:val="000000"/>
                <w:szCs w:val="21"/>
                <w:highlight w:val="none"/>
              </w:rPr>
              <w:t xml:space="preserve">的价格分统一按照下列公式计算：投标报价得分=（评标基准价／投标报价）×30，小数点后保留两位。</w:t>
            </w:r>
            <w:r>
              <w:rPr>
                <w:rFonts w:hint="eastAsia" w:ascii="宋体" w:hAnsi="宋体" w:eastAsia="宋体" w:cs="宋体"/>
                <w:b w:val="0"/>
                <w:bCs w:val="0"/>
                <w:color w:val="000000"/>
                <w:szCs w:val="21"/>
                <w:highlight w:val="none"/>
              </w:rPr>
            </w:r>
            <w:r/>
          </w:p>
          <w:p>
            <w:pPr>
              <w:pStyle w:val="1259"/>
              <w:ind w:left="114" w:right="102" w:firstLine="22"/>
              <w:jc w:val="both"/>
              <w:keepLines w:val="0"/>
              <w:keepNext w:val="0"/>
              <w:pageBreakBefore w:val="0"/>
              <w:spacing w:before="0" w:after="0"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价格扣除说明：投标人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b w:val="0"/>
                <w:bCs w:val="0"/>
                <w:color w:val="000000"/>
                <w:sz w:val="21"/>
                <w:szCs w:val="21"/>
                <w:highlight w:val="none"/>
                <w:lang w:val="en-US" w:eastAsia="zh-CN" w:bidi="ar-SA"/>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spacing w:val="-3"/>
                <w:highlight w:val="none"/>
              </w:rPr>
              <w:t xml:space="preserve">30</w:t>
            </w:r>
            <w:r>
              <w:rPr>
                <w:rFonts w:hint="eastAsia" w:ascii="宋体" w:hAnsi="宋体" w:eastAsia="宋体" w:cs="宋体"/>
                <w:b w:val="0"/>
                <w:bCs w:val="0"/>
                <w:color w:val="000000"/>
                <w:highlight w:val="none"/>
              </w:rPr>
            </w:r>
            <w:r/>
          </w:p>
        </w:tc>
      </w:tr>
      <w:tr>
        <w:trPr>
          <w:trHeight w:val="3359"/>
        </w:trPr>
        <w:tc>
          <w:tcPr>
            <w:tcW w:w="89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2</w:t>
            </w:r>
            <w:r>
              <w:rPr>
                <w:rFonts w:hint="eastAsia" w:ascii="宋体" w:hAnsi="宋体" w:eastAsia="宋体" w:cs="宋体"/>
                <w:b w:val="0"/>
                <w:bCs w:val="0"/>
                <w:color w:val="000000"/>
                <w:spacing w:val="-4"/>
                <w:highlight w:val="none"/>
              </w:rPr>
            </w:r>
            <w:r/>
          </w:p>
        </w:tc>
        <w:tc>
          <w:tcPr>
            <w:tcW w:w="1517"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技术参</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数响应性</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w:t>
            </w:r>
            <w:r>
              <w:rPr>
                <w:rFonts w:hint="eastAsia" w:ascii="宋体" w:hAnsi="宋体" w:eastAsia="宋体" w:cs="宋体"/>
                <w:b w:val="0"/>
                <w:bCs w:val="0"/>
                <w:color w:val="000000"/>
                <w:spacing w:val="-4"/>
                <w:highlight w:val="none"/>
                <w:lang w:val="en-US" w:eastAsia="zh-CN"/>
              </w:rPr>
              <w:t xml:space="preserve">3</w:t>
            </w:r>
            <w:r>
              <w:rPr>
                <w:rFonts w:hint="eastAsia" w:eastAsia="宋体" w:cs="宋体"/>
                <w:b w:val="0"/>
                <w:bCs w:val="0"/>
                <w:color w:val="000000"/>
                <w:spacing w:val="-4"/>
                <w:highlight w:val="none"/>
                <w:lang w:val="en-US" w:eastAsia="zh-CN"/>
              </w:rPr>
              <w:t xml:space="preserve">5</w:t>
            </w:r>
            <w:r>
              <w:rPr>
                <w:rFonts w:hint="eastAsia" w:ascii="宋体" w:hAnsi="宋体" w:eastAsia="宋体" w:cs="宋体"/>
                <w:b w:val="0"/>
                <w:bCs w:val="0"/>
                <w:color w:val="000000"/>
                <w:spacing w:val="-4"/>
                <w:highlight w:val="none"/>
              </w:rPr>
              <w:t xml:space="preserve">分）</w:t>
            </w:r>
            <w:r>
              <w:rPr>
                <w:rFonts w:hint="eastAsia" w:ascii="宋体" w:hAnsi="宋体" w:eastAsia="宋体" w:cs="宋体"/>
                <w:b w:val="0"/>
                <w:bCs w:val="0"/>
                <w:color w:val="000000"/>
                <w:spacing w:val="-4"/>
                <w:highlight w:val="none"/>
              </w:rPr>
            </w:r>
            <w:r/>
          </w:p>
        </w:tc>
        <w:tc>
          <w:tcPr>
            <w:tcW w:w="6117" w:type="dxa"/>
            <w:vAlign w:val="top"/>
            <w:textDirection w:val="lrTb"/>
            <w:noWrap w:val="false"/>
          </w:tcPr>
          <w:p>
            <w:pPr>
              <w:pStyle w:val="825"/>
              <w:keepLines w:val="0"/>
              <w:keepNext w:val="0"/>
              <w:pageBreakBefore w:val="0"/>
              <w:spacing w:before="0" w:after="0"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分包1：</w:t>
            </w:r>
            <w:r>
              <w:rPr>
                <w:rFonts w:hint="eastAsia" w:ascii="宋体" w:hAnsi="宋体" w:eastAsia="宋体" w:cs="宋体"/>
                <w:b w:val="0"/>
                <w:bCs w:val="0"/>
                <w:color w:val="000000"/>
                <w:szCs w:val="21"/>
                <w:highlight w:val="none"/>
                <w:lang w:val="en-US" w:eastAsia="zh-CN"/>
              </w:rPr>
              <w:br w:type="textWrapping" w:clear="all"/>
            </w:r>
            <w:r>
              <w:rPr>
                <w:rFonts w:hint="eastAsia" w:ascii="宋体" w:hAnsi="宋体" w:eastAsia="宋体" w:cs="宋体"/>
                <w:b w:val="0"/>
                <w:bCs w:val="0"/>
                <w:color w:val="000000"/>
                <w:szCs w:val="21"/>
                <w:highlight w:val="none"/>
              </w:rPr>
              <w:t xml:space="preserve">设备技术参数及商务要求全部满足招标要求的得满分35分；</w:t>
            </w:r>
            <w:r>
              <w:rPr>
                <w:rFonts w:hint="eastAsia" w:ascii="宋体" w:hAnsi="宋体" w:eastAsia="宋体" w:cs="宋体"/>
                <w:b w:val="0"/>
                <w:bCs w:val="0"/>
                <w:color w:val="000000"/>
                <w:szCs w:val="21"/>
                <w:highlight w:val="none"/>
              </w:rPr>
            </w:r>
            <w:r/>
          </w:p>
          <w:p>
            <w:pPr>
              <w:pStyle w:val="825"/>
              <w:keepLines w:val="0"/>
              <w:keepNext w:val="0"/>
              <w:pageBreakBefore w:val="0"/>
              <w:spacing w:before="0" w:after="0"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在此基础上，招标文件中标注“</w:t>
            </w:r>
            <w:r>
              <w:rPr>
                <w:rFonts w:hint="eastAsia" w:ascii="宋体" w:hAnsi="宋体" w:eastAsia="宋体" w:cs="宋体"/>
                <w:b w:val="0"/>
                <w:bCs w:val="0"/>
                <w:color w:val="000000"/>
                <w:szCs w:val="21"/>
                <w:highlight w:val="none"/>
              </w:rPr>
              <w:t xml:space="preserve">★”的条款为实质性要求，有一项负偏离，作无效投标处理。“▲”的条款号主要技术参数要求，每有一项负偏离扣</w:t>
            </w:r>
            <w:r>
              <w:rPr>
                <w:rFonts w:hint="eastAsia" w:ascii="宋体" w:hAnsi="宋体" w:eastAsia="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rPr>
              <w:t xml:space="preserve">分。</w:t>
            </w:r>
            <w:r>
              <w:rPr>
                <w:rFonts w:hint="eastAsia" w:ascii="宋体" w:hAnsi="宋体" w:eastAsia="宋体" w:cs="宋体"/>
                <w:b w:val="0"/>
                <w:bCs w:val="0"/>
                <w:color w:val="000000"/>
                <w:szCs w:val="21"/>
                <w:highlight w:val="none"/>
              </w:rPr>
              <w:t xml:space="preserve">其他非重要技术条款每有一项负偏离扣0.5分，扣完为止。对招标文件明确的需主观判定的功能性描述要求未做任何情况说明或响应承诺的，评标委员会有权予以否决或做负偏离处理。</w:t>
            </w:r>
            <w:r>
              <w:rPr>
                <w:rFonts w:hint="eastAsia" w:ascii="宋体" w:hAnsi="宋体" w:eastAsia="宋体" w:cs="宋体"/>
                <w:b w:val="0"/>
                <w:bCs w:val="0"/>
                <w:color w:val="000000"/>
                <w:szCs w:val="21"/>
                <w:highlight w:val="none"/>
              </w:rPr>
            </w:r>
            <w:r/>
          </w:p>
          <w:p>
            <w:pPr>
              <w:pStyle w:val="825"/>
              <w:keepLines w:val="0"/>
              <w:keepNext w:val="0"/>
              <w:pageBreakBefore w:val="0"/>
              <w:spacing w:before="0" w:after="0"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注：所有对招标文件标注“★”、“▲”的具体要求、参数、数值指标的响应，要求投标人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eastAsia="宋体" w:cs="宋体"/>
                <w:b w:val="0"/>
                <w:bCs w:val="0"/>
                <w:color w:val="000000"/>
                <w:sz w:val="21"/>
                <w:szCs w:val="21"/>
                <w:highlight w:val="none"/>
                <w:lang w:val="en-US" w:eastAsia="zh-CN" w:bidi="ar-SA"/>
              </w:rPr>
            </w:r>
            <w:r/>
          </w:p>
          <w:p>
            <w:pPr>
              <w:pStyle w:val="825"/>
              <w:keepLines w:val="0"/>
              <w:keepNext w:val="0"/>
              <w:pageBreakBefore w:val="0"/>
              <w:spacing w:before="0" w:after="0"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 w:val="21"/>
                <w:szCs w:val="21"/>
                <w:highlight w:val="none"/>
                <w:lang w:val="en-US" w:eastAsia="zh-CN" w:bidi="ar-SA"/>
              </w:rPr>
              <w:br w:type="textWrapping" w:clear="all"/>
            </w:r>
            <w:r>
              <w:rPr>
                <w:rFonts w:hint="eastAsia" w:ascii="宋体" w:hAnsi="宋体" w:eastAsia="宋体" w:cs="宋体"/>
                <w:b w:val="0"/>
                <w:bCs w:val="0"/>
                <w:color w:val="000000"/>
                <w:szCs w:val="21"/>
                <w:highlight w:val="none"/>
                <w:lang w:val="en-US" w:eastAsia="zh-CN"/>
              </w:rPr>
              <w:t xml:space="preserve">分包2：</w:t>
            </w:r>
            <w:r>
              <w:rPr>
                <w:rFonts w:hint="eastAsia" w:ascii="宋体" w:hAnsi="宋体" w:eastAsia="宋体" w:cs="宋体"/>
                <w:b w:val="0"/>
                <w:bCs w:val="0"/>
                <w:color w:val="000000"/>
                <w:szCs w:val="21"/>
                <w:highlight w:val="none"/>
                <w:lang w:val="en-US" w:eastAsia="zh-CN"/>
              </w:rPr>
              <w:br w:type="textWrapping" w:clear="all"/>
            </w:r>
            <w:r>
              <w:rPr>
                <w:rFonts w:hint="eastAsia" w:ascii="宋体" w:hAnsi="宋体" w:eastAsia="宋体" w:cs="宋体"/>
                <w:b w:val="0"/>
                <w:bCs w:val="0"/>
                <w:color w:val="000000"/>
                <w:szCs w:val="21"/>
                <w:highlight w:val="none"/>
              </w:rPr>
              <w:t xml:space="preserve">设备技术参数及商务要求全部满足招标要求的得满分35分；</w:t>
            </w:r>
            <w:r>
              <w:rPr>
                <w:rFonts w:hint="eastAsia" w:ascii="宋体" w:hAnsi="宋体" w:eastAsia="宋体" w:cs="宋体"/>
                <w:b w:val="0"/>
                <w:bCs w:val="0"/>
                <w:color w:val="000000"/>
                <w:szCs w:val="21"/>
                <w:highlight w:val="none"/>
              </w:rPr>
            </w:r>
            <w:r/>
          </w:p>
          <w:p>
            <w:pPr>
              <w:pStyle w:val="825"/>
              <w:keepLines w:val="0"/>
              <w:keepNext w:val="0"/>
              <w:pageBreakBefore w:val="0"/>
              <w:spacing w:before="0" w:after="0"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在此基础上，招标文件中标注“</w:t>
            </w:r>
            <w:r>
              <w:rPr>
                <w:rFonts w:hint="eastAsia" w:ascii="宋体" w:hAnsi="宋体" w:eastAsia="宋体" w:cs="宋体"/>
                <w:b w:val="0"/>
                <w:bCs w:val="0"/>
                <w:color w:val="000000"/>
                <w:szCs w:val="21"/>
                <w:highlight w:val="none"/>
              </w:rPr>
              <w:t xml:space="preserve">★”的条款为实质性要求，有一项负偏离，作无效投标处理。“▲”的条款号主要技术参数要求，每有一项负偏离扣</w:t>
            </w:r>
            <w:r>
              <w:rPr>
                <w:rFonts w:hint="eastAsia" w:ascii="宋体" w:hAnsi="宋体" w:eastAsia="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rPr>
              <w:t xml:space="preserve">分。</w:t>
            </w:r>
            <w:r>
              <w:rPr>
                <w:rFonts w:hint="eastAsia" w:ascii="宋体" w:hAnsi="宋体" w:eastAsia="宋体" w:cs="宋体"/>
                <w:b w:val="0"/>
                <w:bCs w:val="0"/>
                <w:color w:val="000000"/>
                <w:szCs w:val="21"/>
                <w:highlight w:val="none"/>
              </w:rPr>
              <w:t xml:space="preserve">其他非重要技术条款每有一项负偏离扣</w:t>
            </w:r>
            <w:r>
              <w:rPr>
                <w:rFonts w:hint="eastAsia" w:ascii="宋体" w:hAnsi="宋体" w:eastAsia="宋体" w:cs="宋体"/>
                <w:b w:val="0"/>
                <w:bCs w:val="0"/>
                <w:color w:val="c00000"/>
                <w:szCs w:val="21"/>
                <w:highlight w:val="none"/>
              </w:rPr>
              <w:t xml:space="preserve">0.</w:t>
            </w:r>
            <w:r>
              <w:rPr>
                <w:rFonts w:hint="eastAsia" w:ascii="宋体" w:hAnsi="宋体" w:eastAsia="宋体" w:cs="宋体"/>
                <w:b w:val="0"/>
                <w:bCs w:val="0"/>
                <w:color w:val="c00000"/>
                <w:szCs w:val="21"/>
                <w:highlight w:val="none"/>
                <w:lang w:val="en-US" w:eastAsia="zh-CN"/>
              </w:rPr>
              <w:t xml:space="preserve">1</w:t>
            </w:r>
            <w:r>
              <w:rPr>
                <w:rFonts w:hint="eastAsia" w:ascii="宋体" w:hAnsi="宋体" w:eastAsia="宋体" w:cs="宋体"/>
                <w:b w:val="0"/>
                <w:bCs w:val="0"/>
                <w:color w:val="c00000"/>
                <w:szCs w:val="21"/>
                <w:highlight w:val="none"/>
              </w:rPr>
              <w:t xml:space="preserve">分</w:t>
            </w:r>
            <w:r>
              <w:rPr>
                <w:rFonts w:hint="eastAsia" w:ascii="宋体" w:hAnsi="宋体" w:eastAsia="宋体" w:cs="宋体"/>
                <w:b w:val="0"/>
                <w:bCs w:val="0"/>
                <w:color w:val="000000"/>
                <w:szCs w:val="21"/>
                <w:highlight w:val="none"/>
              </w:rPr>
              <w:t xml:space="preserve">，扣完为止。对招标文件明确的需主观判定的功能性描述要求未做任何情况说明或响应承诺的，评标委员会有权予以否决或做负偏离处理。</w:t>
            </w:r>
            <w:r>
              <w:rPr>
                <w:rFonts w:hint="eastAsia" w:ascii="宋体" w:hAnsi="宋体" w:eastAsia="宋体" w:cs="宋体"/>
                <w:b w:val="0"/>
                <w:bCs w:val="0"/>
                <w:color w:val="000000"/>
                <w:szCs w:val="21"/>
                <w:highlight w:val="none"/>
              </w:rPr>
            </w:r>
            <w:r/>
          </w:p>
          <w:p>
            <w:pPr>
              <w:pStyle w:val="825"/>
              <w:keepLines w:val="0"/>
              <w:keepNext w:val="0"/>
              <w:pageBreakBefore w:val="0"/>
              <w:spacing w:before="0" w:after="0" w:line="240" w:lineRule="auto"/>
              <w:rPr>
                <w:rFonts w:hint="eastAsia" w:ascii="宋体" w:hAnsi="宋体" w:eastAsia="宋体" w:cs="宋体"/>
                <w:b w:val="0"/>
                <w:bCs w:val="0"/>
                <w:color w:val="000000"/>
                <w:spacing w:val="0"/>
                <w:position w:val="0"/>
                <w:sz w:val="21"/>
                <w:szCs w:val="21"/>
                <w:highlight w:val="none"/>
                <w:lang w:eastAsia="zh-CN"/>
              </w:rPr>
            </w:pPr>
            <w:r>
              <w:rPr>
                <w:rFonts w:hint="eastAsia" w:ascii="宋体" w:hAnsi="宋体" w:eastAsia="宋体" w:cs="宋体"/>
                <w:b w:val="0"/>
                <w:bCs w:val="0"/>
                <w:color w:val="000000"/>
                <w:sz w:val="21"/>
                <w:szCs w:val="21"/>
                <w:highlight w:val="none"/>
                <w:lang w:val="en-US" w:eastAsia="zh-CN" w:bidi="ar-SA"/>
              </w:rPr>
              <w:t xml:space="preserve">注：所有对招标文件标注“★”、“▲”的具体要求、参数、数值指标的响应，要求投标人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eastAsia="宋体" w:cs="宋体"/>
                <w:b w:val="0"/>
                <w:bCs w:val="0"/>
                <w:color w:val="000000"/>
                <w:spacing w:val="0"/>
                <w:position w:val="0"/>
                <w:sz w:val="21"/>
                <w:szCs w:val="21"/>
                <w:highlight w:val="none"/>
                <w:lang w:eastAsia="zh-CN"/>
              </w:rPr>
            </w:r>
            <w:r/>
          </w:p>
        </w:tc>
        <w:tc>
          <w:tcPr>
            <w:tcW w:w="1260" w:type="dxa"/>
            <w:vAlign w:val="center"/>
            <w:textDirection w:val="lrTb"/>
            <w:noWrap w:val="false"/>
          </w:tcPr>
          <w:p>
            <w:pPr>
              <w:pStyle w:val="1259"/>
              <w:jc w:val="center"/>
              <w:keepLines w:val="0"/>
              <w:keepNext w:val="0"/>
              <w:pageBreakBefore w:val="0"/>
              <w:spacing w:before="0" w:after="0" w:line="240" w:lineRule="auto"/>
              <w:rPr>
                <w:rFonts w:ascii="宋体" w:hAnsi="宋体" w:eastAsia="宋体" w:cs="宋体"/>
                <w:b w:val="0"/>
                <w:bCs w:val="0"/>
                <w:color w:val="000000"/>
                <w:highlight w:val="none"/>
                <w:lang w:val="en-US" w:eastAsia="zh-CN"/>
              </w:rPr>
            </w:pPr>
            <w:r>
              <w:rPr>
                <w:rFonts w:hint="eastAsia" w:eastAsia="宋体" w:cs="宋体"/>
                <w:b w:val="0"/>
                <w:bCs w:val="0"/>
                <w:color w:val="000000"/>
                <w:spacing w:val="-3"/>
                <w:highlight w:val="none"/>
                <w:lang w:val="en-US" w:eastAsia="zh-CN"/>
              </w:rPr>
              <w:t xml:space="preserve">35</w:t>
            </w:r>
            <w:r>
              <w:rPr>
                <w:rFonts w:ascii="宋体" w:hAnsi="宋体" w:eastAsia="宋体" w:cs="宋体"/>
                <w:b w:val="0"/>
                <w:bCs w:val="0"/>
                <w:color w:val="000000"/>
                <w:highlight w:val="none"/>
                <w:lang w:val="en-US" w:eastAsia="zh-CN"/>
              </w:rPr>
            </w:r>
            <w:r/>
          </w:p>
        </w:tc>
      </w:tr>
      <w:tr>
        <w:trPr>
          <w:trHeight w:val="427"/>
        </w:trPr>
        <w:tc>
          <w:tcPr>
            <w:tcW w:w="89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eastAsia="zh-CN"/>
              </w:rPr>
            </w:pPr>
            <w:r>
              <w:rPr>
                <w:rFonts w:hint="eastAsia" w:eastAsia="宋体" w:cs="宋体"/>
                <w:b w:val="0"/>
                <w:bCs w:val="0"/>
                <w:color w:val="000000"/>
                <w:spacing w:val="-4"/>
                <w:highlight w:val="none"/>
                <w:lang w:val="en-US" w:eastAsia="zh-CN"/>
              </w:rPr>
              <w:t xml:space="preserve">3</w:t>
            </w:r>
            <w:r>
              <w:rPr>
                <w:rFonts w:hint="eastAsia" w:ascii="宋体" w:hAnsi="宋体" w:eastAsia="宋体" w:cs="宋体"/>
                <w:b w:val="0"/>
                <w:bCs w:val="0"/>
                <w:color w:val="000000"/>
                <w:spacing w:val="-4"/>
                <w:highlight w:val="none"/>
                <w:lang w:eastAsia="zh-CN"/>
              </w:rPr>
            </w:r>
            <w:r/>
          </w:p>
        </w:tc>
        <w:tc>
          <w:tcPr>
            <w:tcW w:w="1517"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技术方案</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w:t>
            </w:r>
            <w:r>
              <w:rPr>
                <w:rFonts w:hint="eastAsia" w:eastAsia="宋体" w:cs="宋体"/>
                <w:b w:val="0"/>
                <w:bCs w:val="0"/>
                <w:color w:val="000000"/>
                <w:spacing w:val="-4"/>
                <w:highlight w:val="none"/>
                <w:lang w:val="en-US" w:eastAsia="zh-CN"/>
              </w:rPr>
              <w:t xml:space="preserve">7</w:t>
            </w:r>
            <w:r>
              <w:rPr>
                <w:rFonts w:hint="eastAsia" w:ascii="宋体" w:hAnsi="宋体" w:eastAsia="宋体" w:cs="宋体"/>
                <w:b w:val="0"/>
                <w:bCs w:val="0"/>
                <w:color w:val="000000"/>
                <w:spacing w:val="-4"/>
                <w:highlight w:val="none"/>
              </w:rPr>
              <w:t xml:space="preserve">分）</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6117" w:type="dxa"/>
            <w:vAlign w:val="center"/>
            <w:textDirection w:val="lrTb"/>
            <w:noWrap w:val="false"/>
          </w:tcPr>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c00000"/>
                <w:spacing w:val="0"/>
                <w:position w:val="0"/>
                <w:sz w:val="21"/>
                <w:szCs w:val="21"/>
                <w:highlight w:val="none"/>
              </w:rPr>
              <w:suppressLineNumbers w:val="0"/>
            </w:pPr>
            <w:r>
              <w:rPr>
                <w:rFonts w:hint="eastAsia" w:ascii="宋体" w:hAnsi="宋体" w:eastAsia="宋体" w:cs="宋体"/>
                <w:b w:val="0"/>
                <w:bCs w:val="0"/>
                <w:color w:val="c00000"/>
                <w:spacing w:val="0"/>
                <w:position w:val="0"/>
                <w:sz w:val="21"/>
                <w:szCs w:val="21"/>
                <w:highlight w:val="none"/>
              </w:rPr>
              <w:t xml:space="preserve">根据投标人提供的供货周期计划、现场安装调试方案、项目实施进度安排、质量管理措施、施工安全保障方案等整体技术实施文件，结合方案内容完整性、逻辑合理性、现场适配性、落地可行性，结合采购人项目需求及现场实际工况综合评审，满分</w:t>
            </w:r>
            <w:r>
              <w:rPr>
                <w:rFonts w:hint="eastAsia" w:ascii="宋体" w:hAnsi="宋体" w:eastAsia="宋体" w:cs="宋体"/>
                <w:b w:val="0"/>
                <w:bCs w:val="0"/>
                <w:color w:val="c00000"/>
                <w:spacing w:val="0"/>
                <w:position w:val="0"/>
                <w:sz w:val="21"/>
                <w:szCs w:val="21"/>
                <w:highlight w:val="none"/>
                <w:lang w:val="en-US" w:eastAsia="zh-CN"/>
              </w:rPr>
              <w:t xml:space="preserve">7</w:t>
            </w:r>
            <w:r>
              <w:rPr>
                <w:rFonts w:hint="eastAsia" w:ascii="宋体" w:hAnsi="宋体" w:eastAsia="宋体" w:cs="宋体"/>
                <w:b w:val="0"/>
                <w:bCs w:val="0"/>
                <w:color w:val="c00000"/>
                <w:spacing w:val="0"/>
                <w:position w:val="0"/>
                <w:sz w:val="21"/>
                <w:szCs w:val="21"/>
                <w:highlight w:val="none"/>
              </w:rPr>
              <w:t xml:space="preserve">分。</w:t>
            </w:r>
            <w:r>
              <w:rPr>
                <w:rFonts w:hint="eastAsia" w:ascii="宋体" w:hAnsi="宋体" w:eastAsia="宋体" w:cs="宋体"/>
                <w:b w:val="0"/>
                <w:bCs w:val="0"/>
                <w:color w:val="c00000"/>
                <w:spacing w:val="0"/>
                <w:position w:val="0"/>
                <w:sz w:val="21"/>
                <w:szCs w:val="21"/>
                <w:highlight w:val="none"/>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c00000"/>
                <w:spacing w:val="0"/>
                <w:position w:val="0"/>
                <w:sz w:val="21"/>
                <w:szCs w:val="21"/>
                <w:highlight w:val="none"/>
                <w:lang w:eastAsia="zh-CN"/>
              </w:rPr>
              <w:suppressLineNumbers w:val="0"/>
            </w:pPr>
            <w:r>
              <w:rPr>
                <w:rFonts w:hint="eastAsia" w:ascii="宋体" w:hAnsi="宋体" w:eastAsia="宋体" w:cs="宋体"/>
                <w:b w:val="0"/>
                <w:bCs w:val="0"/>
                <w:color w:val="c00000"/>
                <w:spacing w:val="0"/>
                <w:position w:val="0"/>
                <w:sz w:val="21"/>
                <w:szCs w:val="21"/>
                <w:highlight w:val="none"/>
              </w:rPr>
              <w:t xml:space="preserve">所投技术方案内容完整、条款细化、逻辑严谨，覆盖供货周期、安装调试、进度管控、质量管控、安全保障全部核心内容。供货时序规划科学精准，安装调试流程规范细化，进度管控机制完善，质量及安全保障措施全面、针对性强，完全贴合项目现场实际条件，精准匹配采购人项目实施及使用需求，整体可落地性、实施协调性极强</w:t>
            </w:r>
            <w:r>
              <w:rPr>
                <w:rFonts w:hint="eastAsia" w:ascii="宋体" w:hAnsi="宋体" w:eastAsia="宋体" w:cs="宋体"/>
                <w:b w:val="0"/>
                <w:bCs w:val="0"/>
                <w:color w:val="c00000"/>
                <w:spacing w:val="0"/>
                <w:position w:val="0"/>
                <w:sz w:val="21"/>
                <w:szCs w:val="21"/>
                <w:highlight w:val="none"/>
                <w:lang w:val="en-US" w:eastAsia="zh-CN"/>
              </w:rPr>
              <w:t xml:space="preserve">的</w:t>
            </w:r>
            <w:r>
              <w:rPr>
                <w:rFonts w:hint="eastAsia" w:ascii="宋体" w:hAnsi="宋体" w:eastAsia="宋体" w:cs="宋体"/>
                <w:b w:val="0"/>
                <w:bCs w:val="0"/>
                <w:color w:val="c00000"/>
                <w:spacing w:val="0"/>
                <w:position w:val="0"/>
                <w:sz w:val="21"/>
                <w:szCs w:val="21"/>
                <w:highlight w:val="none"/>
                <w:lang w:val="en-US" w:eastAsia="zh-CN"/>
              </w:rPr>
              <w:t xml:space="preserve">7</w:t>
            </w:r>
            <w:r>
              <w:rPr>
                <w:rFonts w:hint="eastAsia" w:ascii="宋体" w:hAnsi="宋体" w:eastAsia="宋体" w:cs="宋体"/>
                <w:b w:val="0"/>
                <w:bCs w:val="0"/>
                <w:color w:val="c00000"/>
                <w:spacing w:val="0"/>
                <w:position w:val="0"/>
                <w:sz w:val="21"/>
                <w:szCs w:val="21"/>
                <w:highlight w:val="none"/>
              </w:rPr>
              <w:t xml:space="preserve">分</w:t>
            </w:r>
            <w:r>
              <w:rPr>
                <w:rFonts w:hint="eastAsia" w:ascii="宋体" w:hAnsi="宋体" w:eastAsia="宋体" w:cs="宋体"/>
                <w:b w:val="0"/>
                <w:bCs w:val="0"/>
                <w:color w:val="c00000"/>
                <w:spacing w:val="0"/>
                <w:position w:val="0"/>
                <w:sz w:val="21"/>
                <w:szCs w:val="21"/>
                <w:highlight w:val="none"/>
                <w:lang w:eastAsia="zh-CN"/>
              </w:rPr>
              <w:t xml:space="preserve">；</w:t>
            </w:r>
            <w:r>
              <w:rPr>
                <w:rFonts w:hint="eastAsia" w:ascii="宋体" w:hAnsi="宋体" w:eastAsia="宋体" w:cs="宋体"/>
                <w:b w:val="0"/>
                <w:bCs w:val="0"/>
                <w:color w:val="c00000"/>
                <w:spacing w:val="0"/>
                <w:position w:val="0"/>
                <w:sz w:val="21"/>
                <w:szCs w:val="21"/>
                <w:highlight w:val="none"/>
                <w:lang w:eastAsia="zh-CN"/>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c00000"/>
                <w:spacing w:val="0"/>
                <w:position w:val="0"/>
                <w:sz w:val="21"/>
                <w:szCs w:val="21"/>
                <w:highlight w:val="none"/>
              </w:rPr>
              <w:suppressLineNumbers w:val="0"/>
            </w:pPr>
            <w:r>
              <w:rPr>
                <w:rFonts w:hint="eastAsia" w:ascii="宋体" w:hAnsi="宋体" w:eastAsia="宋体" w:cs="宋体"/>
                <w:b w:val="0"/>
                <w:bCs w:val="0"/>
                <w:color w:val="c00000"/>
                <w:spacing w:val="0"/>
                <w:position w:val="0"/>
                <w:sz w:val="21"/>
                <w:szCs w:val="21"/>
                <w:highlight w:val="none"/>
              </w:rPr>
              <w:t xml:space="preserve">所投技术方案核心要素齐全，包含供货、安装、进度、质量、安全主要实施内容。整体规划逻辑合规，实施流程清晰，管控措施基本完善，无明显不合理、不适用内容，能够适配项目现场工况，满足采购人项目实施基本要求，具备良好的落地实施及协同适配能力</w:t>
            </w:r>
            <w:r>
              <w:rPr>
                <w:rFonts w:hint="eastAsia" w:ascii="宋体" w:hAnsi="宋体" w:eastAsia="宋体" w:cs="宋体"/>
                <w:b w:val="0"/>
                <w:bCs w:val="0"/>
                <w:color w:val="c00000"/>
                <w:spacing w:val="0"/>
                <w:position w:val="0"/>
                <w:sz w:val="21"/>
                <w:szCs w:val="21"/>
                <w:highlight w:val="none"/>
                <w:lang w:val="en-US" w:eastAsia="zh-CN"/>
              </w:rPr>
              <w:t xml:space="preserve">的4</w:t>
            </w:r>
            <w:r>
              <w:rPr>
                <w:rFonts w:hint="eastAsia" w:ascii="宋体" w:hAnsi="宋体" w:eastAsia="宋体" w:cs="宋体"/>
                <w:b w:val="0"/>
                <w:bCs w:val="0"/>
                <w:color w:val="c00000"/>
                <w:spacing w:val="0"/>
                <w:position w:val="0"/>
                <w:sz w:val="21"/>
                <w:szCs w:val="21"/>
                <w:highlight w:val="none"/>
              </w:rPr>
              <w:t xml:space="preserve">分</w:t>
            </w:r>
            <w:r>
              <w:rPr>
                <w:rFonts w:hint="eastAsia" w:ascii="宋体" w:hAnsi="宋体" w:eastAsia="宋体" w:cs="宋体"/>
                <w:b w:val="0"/>
                <w:bCs w:val="0"/>
                <w:color w:val="c00000"/>
                <w:spacing w:val="0"/>
                <w:position w:val="0"/>
                <w:sz w:val="21"/>
                <w:szCs w:val="21"/>
                <w:highlight w:val="none"/>
                <w:lang w:eastAsia="zh-CN"/>
              </w:rPr>
              <w:t xml:space="preserve">；</w:t>
            </w:r>
            <w:r>
              <w:rPr>
                <w:rFonts w:hint="eastAsia" w:ascii="宋体" w:hAnsi="宋体" w:eastAsia="宋体" w:cs="宋体"/>
                <w:b w:val="0"/>
                <w:bCs w:val="0"/>
                <w:color w:val="c00000"/>
                <w:spacing w:val="0"/>
                <w:position w:val="0"/>
                <w:sz w:val="21"/>
                <w:szCs w:val="21"/>
                <w:highlight w:val="none"/>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c00000"/>
                <w:spacing w:val="0"/>
                <w:position w:val="0"/>
                <w:sz w:val="21"/>
                <w:szCs w:val="21"/>
                <w:highlight w:val="none"/>
              </w:rPr>
              <w:suppressLineNumbers w:val="0"/>
            </w:pPr>
            <w:r>
              <w:rPr>
                <w:rFonts w:hint="eastAsia" w:ascii="宋体" w:hAnsi="宋体" w:eastAsia="宋体" w:cs="宋体"/>
                <w:b w:val="0"/>
                <w:bCs w:val="0"/>
                <w:color w:val="c00000"/>
                <w:spacing w:val="0"/>
                <w:position w:val="0"/>
                <w:sz w:val="21"/>
                <w:szCs w:val="21"/>
                <w:highlight w:val="none"/>
              </w:rPr>
              <w:t xml:space="preserve">仅提供基础性技术方案，整体内容简略、条款笼统，缺少细化实施流程、管控细则及针对性措施。方案仅覆盖少量核心内容，与项目现场工况、采购人定制需求适配度有限，仅可满足项目最低基础实施要求</w:t>
            </w:r>
            <w:r>
              <w:rPr>
                <w:rFonts w:hint="eastAsia" w:ascii="宋体" w:hAnsi="宋体" w:eastAsia="宋体" w:cs="宋体"/>
                <w:b w:val="0"/>
                <w:bCs w:val="0"/>
                <w:color w:val="c00000"/>
                <w:spacing w:val="0"/>
                <w:position w:val="0"/>
                <w:sz w:val="21"/>
                <w:szCs w:val="21"/>
                <w:highlight w:val="none"/>
                <w:lang w:val="en-US" w:eastAsia="zh-CN"/>
              </w:rPr>
              <w:t xml:space="preserve">的1</w:t>
            </w:r>
            <w:r>
              <w:rPr>
                <w:rFonts w:hint="eastAsia" w:ascii="宋体" w:hAnsi="宋体" w:eastAsia="宋体" w:cs="宋体"/>
                <w:b w:val="0"/>
                <w:bCs w:val="0"/>
                <w:color w:val="c00000"/>
                <w:spacing w:val="0"/>
                <w:position w:val="0"/>
                <w:sz w:val="21"/>
                <w:szCs w:val="21"/>
                <w:highlight w:val="none"/>
              </w:rPr>
              <w:t xml:space="preserve">分</w:t>
            </w:r>
            <w:r>
              <w:rPr>
                <w:rFonts w:hint="eastAsia" w:ascii="宋体" w:hAnsi="宋体" w:eastAsia="宋体" w:cs="宋体"/>
                <w:b w:val="0"/>
                <w:bCs w:val="0"/>
                <w:color w:val="c00000"/>
                <w:spacing w:val="0"/>
                <w:position w:val="0"/>
                <w:sz w:val="21"/>
                <w:szCs w:val="21"/>
                <w:highlight w:val="none"/>
                <w:lang w:eastAsia="zh-CN"/>
              </w:rPr>
              <w:t xml:space="preserve">；</w:t>
            </w:r>
            <w:r>
              <w:rPr>
                <w:rFonts w:hint="eastAsia" w:ascii="宋体" w:hAnsi="宋体" w:eastAsia="宋体" w:cs="宋体"/>
                <w:b w:val="0"/>
                <w:bCs w:val="0"/>
                <w:color w:val="c00000"/>
                <w:spacing w:val="0"/>
                <w:position w:val="0"/>
                <w:sz w:val="21"/>
                <w:szCs w:val="21"/>
                <w:highlight w:val="none"/>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eastAsia="zh-CN"/>
              </w:rPr>
              <w:suppressLineNumbers w:val="0"/>
            </w:pPr>
            <w:r>
              <w:rPr>
                <w:rFonts w:hint="eastAsia" w:ascii="宋体" w:hAnsi="宋体" w:eastAsia="宋体" w:cs="宋体"/>
                <w:b w:val="0"/>
                <w:bCs w:val="0"/>
                <w:color w:val="c00000"/>
                <w:spacing w:val="0"/>
                <w:position w:val="0"/>
                <w:sz w:val="21"/>
                <w:szCs w:val="21"/>
                <w:highlight w:val="none"/>
              </w:rPr>
              <w:t xml:space="preserve">未提供本项对应的技术实施方案；或提交的方案内容缺失严重、逻辑混乱、实施措施缺失，与项目现场实际情况及采购人需求不匹配，不具备落地实施条件的，本项不得分。</w:t>
            </w:r>
            <w:r>
              <w:rPr>
                <w:rFonts w:hint="eastAsia" w:ascii="宋体" w:hAnsi="宋体" w:eastAsia="宋体" w:cs="宋体"/>
                <w:b w:val="0"/>
                <w:bCs w:val="0"/>
                <w:color w:val="000000"/>
                <w:spacing w:val="0"/>
                <w:position w:val="0"/>
                <w:sz w:val="21"/>
                <w:szCs w:val="21"/>
                <w:highlight w:val="none"/>
                <w:lang w:eastAsia="zh-CN"/>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c00000"/>
                <w:highlight w:val="none"/>
                <w:lang w:val="en-US" w:eastAsia="zh-CN"/>
              </w:rPr>
              <w:t xml:space="preserve">7</w:t>
            </w:r>
            <w:r>
              <w:rPr>
                <w:rFonts w:hint="eastAsia" w:ascii="宋体" w:hAnsi="宋体" w:eastAsia="宋体" w:cs="宋体"/>
                <w:b w:val="0"/>
                <w:bCs w:val="0"/>
                <w:color w:val="000000"/>
                <w:highlight w:val="none"/>
                <w:lang w:val="en-US" w:eastAsia="zh-CN"/>
              </w:rPr>
            </w:r>
            <w:r/>
          </w:p>
        </w:tc>
      </w:tr>
      <w:tr>
        <w:trPr>
          <w:trHeight w:val="90"/>
        </w:trPr>
        <w:tc>
          <w:tcPr>
            <w:tcW w:w="894" w:type="dxa"/>
            <w:vAlign w:val="center"/>
            <w:vMerge w:val="restart"/>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4</w:t>
            </w:r>
            <w:r>
              <w:rPr>
                <w:rFonts w:hint="eastAsia" w:ascii="宋体" w:hAnsi="宋体" w:eastAsia="宋体" w:cs="宋体"/>
                <w:b w:val="0"/>
                <w:bCs w:val="0"/>
                <w:color w:val="000000"/>
                <w:spacing w:val="-4"/>
                <w:highlight w:val="none"/>
                <w:lang w:val="en-US" w:eastAsia="zh-CN"/>
              </w:rPr>
            </w:r>
            <w:r/>
          </w:p>
        </w:tc>
        <w:tc>
          <w:tcPr>
            <w:tcW w:w="1517" w:type="dxa"/>
            <w:vAlign w:val="center"/>
            <w:vMerge w:val="restart"/>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样品综合评审</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（1</w:t>
            </w:r>
            <w:r>
              <w:rPr>
                <w:rFonts w:hint="eastAsia" w:eastAsia="宋体" w:cs="宋体"/>
                <w:b w:val="0"/>
                <w:bCs w:val="0"/>
                <w:color w:val="000000"/>
                <w:spacing w:val="-4"/>
                <w:highlight w:val="none"/>
                <w:lang w:val="en-US" w:eastAsia="zh-CN"/>
              </w:rPr>
              <w:t xml:space="preserve">5</w:t>
            </w:r>
            <w:r>
              <w:rPr>
                <w:rFonts w:hint="eastAsia" w:ascii="宋体" w:hAnsi="宋体" w:eastAsia="宋体" w:cs="宋体"/>
                <w:b w:val="0"/>
                <w:bCs w:val="0"/>
                <w:color w:val="000000"/>
                <w:spacing w:val="-4"/>
                <w:highlight w:val="none"/>
              </w:rPr>
              <w:t xml:space="preserve">分）</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6117" w:type="dxa"/>
            <w:vAlign w:val="center"/>
            <w:textDirection w:val="lrTb"/>
            <w:noWrap w:val="false"/>
          </w:tcPr>
          <w:p>
            <w:pPr>
              <w:pStyle w:val="899"/>
              <w:jc w:val="both"/>
              <w:keepLines w:val="0"/>
              <w:keepNext w:val="0"/>
              <w:pageBreakBefore w:val="0"/>
              <w:spacing w:before="0" w:beforeAutospacing="0" w:after="0" w:afterAutospacing="0" w:line="240" w:lineRule="auto"/>
              <w:widowControl/>
              <w:rPr>
                <w:rFonts w:ascii="宋体" w:hAnsi="宋体" w:eastAsia="宋体" w:cs="宋体"/>
                <w:b w:val="0"/>
                <w:bCs w:val="0"/>
                <w:color w:val="c00000"/>
                <w:spacing w:val="0"/>
                <w:position w:val="0"/>
                <w:sz w:val="21"/>
                <w:szCs w:val="21"/>
                <w:highlight w:val="none"/>
                <w:lang w:val="en-US" w:eastAsia="zh-CN"/>
              </w:rPr>
              <w:suppressLineNumbers w:val="0"/>
            </w:pPr>
            <w:r>
              <w:rPr>
                <w:rFonts w:ascii="宋体" w:hAnsi="宋体" w:eastAsia="宋体" w:cs="宋体"/>
                <w:b w:val="0"/>
                <w:bCs w:val="0"/>
                <w:color w:val="c00000"/>
                <w:spacing w:val="0"/>
                <w:position w:val="0"/>
                <w:sz w:val="21"/>
                <w:szCs w:val="21"/>
                <w:highlight w:val="none"/>
                <w:lang w:val="en-US" w:eastAsia="zh-CN"/>
              </w:rPr>
              <w:t xml:space="preserve">产品整体观感（</w:t>
            </w:r>
            <w:r>
              <w:rPr>
                <w:rFonts w:hint="eastAsia" w:ascii="宋体" w:hAnsi="宋体" w:eastAsia="宋体" w:cs="宋体"/>
                <w:b w:val="0"/>
                <w:bCs w:val="0"/>
                <w:color w:val="c00000"/>
                <w:spacing w:val="0"/>
                <w:position w:val="0"/>
                <w:sz w:val="21"/>
                <w:szCs w:val="21"/>
                <w:highlight w:val="none"/>
                <w:lang w:val="en-US" w:eastAsia="zh-CN"/>
              </w:rPr>
              <w:t xml:space="preserve">5</w:t>
            </w:r>
            <w:r>
              <w:rPr>
                <w:rFonts w:ascii="宋体" w:hAnsi="宋体" w:eastAsia="宋体" w:cs="宋体"/>
                <w:b w:val="0"/>
                <w:bCs w:val="0"/>
                <w:color w:val="c00000"/>
                <w:spacing w:val="0"/>
                <w:position w:val="0"/>
                <w:sz w:val="21"/>
                <w:szCs w:val="21"/>
                <w:highlight w:val="none"/>
                <w:lang w:val="en-US" w:eastAsia="zh-CN"/>
              </w:rPr>
              <w:t xml:space="preserve">分）</w:t>
            </w:r>
            <w:r>
              <w:rPr>
                <w:rFonts w:ascii="宋体" w:hAnsi="宋体" w:eastAsia="宋体" w:cs="宋体"/>
                <w:b w:val="0"/>
                <w:bCs w:val="0"/>
                <w:color w:val="c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c00000"/>
                <w:spacing w:val="0"/>
                <w:position w:val="0"/>
                <w:sz w:val="21"/>
                <w:szCs w:val="21"/>
                <w:highlight w:val="none"/>
                <w:lang w:val="en-US" w:eastAsia="zh-CN"/>
              </w:rPr>
              <w:suppressLineNumbers w:val="0"/>
            </w:pPr>
            <w:r>
              <w:rPr>
                <w:rFonts w:hint="eastAsia" w:ascii="宋体" w:hAnsi="宋体" w:eastAsia="宋体" w:cs="宋体"/>
                <w:b w:val="0"/>
                <w:bCs w:val="0"/>
                <w:color w:val="c00000"/>
                <w:spacing w:val="0"/>
                <w:position w:val="0"/>
                <w:sz w:val="21"/>
                <w:szCs w:val="21"/>
                <w:highlight w:val="none"/>
                <w:lang w:val="en-US" w:eastAsia="zh-CN"/>
              </w:rPr>
              <w:t xml:space="preserve">根据</w:t>
            </w:r>
            <w:r>
              <w:rPr>
                <w:rFonts w:ascii="宋体" w:hAnsi="宋体" w:eastAsia="宋体" w:cs="宋体"/>
                <w:b w:val="0"/>
                <w:bCs w:val="0"/>
                <w:color w:val="c00000"/>
                <w:spacing w:val="0"/>
                <w:position w:val="0"/>
                <w:sz w:val="21"/>
                <w:szCs w:val="21"/>
                <w:highlight w:val="none"/>
                <w:lang w:val="en-US" w:eastAsia="zh-CN"/>
              </w:rPr>
              <w:t xml:space="preserve">投标样品的外观设计、款式尺寸、</w:t>
            </w:r>
            <w:r>
              <w:rPr>
                <w:rFonts w:hint="eastAsia" w:ascii="宋体" w:hAnsi="宋体" w:eastAsia="宋体" w:cs="宋体"/>
                <w:b w:val="0"/>
                <w:bCs w:val="0"/>
                <w:color w:val="c00000"/>
                <w:spacing w:val="0"/>
                <w:position w:val="0"/>
                <w:sz w:val="21"/>
                <w:szCs w:val="21"/>
                <w:highlight w:val="none"/>
                <w:lang w:val="en-US" w:eastAsia="zh-CN"/>
              </w:rPr>
              <w:t xml:space="preserve">产品</w:t>
            </w:r>
            <w:r>
              <w:rPr>
                <w:rFonts w:ascii="宋体" w:hAnsi="宋体" w:eastAsia="宋体" w:cs="宋体"/>
                <w:b w:val="0"/>
                <w:bCs w:val="0"/>
                <w:color w:val="c00000"/>
                <w:spacing w:val="0"/>
                <w:position w:val="0"/>
                <w:sz w:val="21"/>
                <w:szCs w:val="21"/>
                <w:highlight w:val="none"/>
                <w:lang w:val="en-US" w:eastAsia="zh-CN"/>
              </w:rPr>
              <w:t xml:space="preserve">结构、表面色泽、洁净程度、边角工艺等硬性指标进行综合评审。</w:t>
            </w:r>
            <w:r>
              <w:rPr>
                <w:rFonts w:ascii="宋体" w:hAnsi="宋体" w:eastAsia="宋体" w:cs="宋体"/>
                <w:b w:val="0"/>
                <w:bCs w:val="0"/>
                <w:color w:val="c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c00000"/>
                <w:spacing w:val="0"/>
                <w:position w:val="0"/>
                <w:sz w:val="21"/>
                <w:szCs w:val="21"/>
                <w:highlight w:val="none"/>
                <w:lang w:val="en-US" w:eastAsia="zh-CN"/>
              </w:rPr>
              <w:suppressLineNumbers w:val="0"/>
            </w:pPr>
            <w:r>
              <w:rPr>
                <w:rFonts w:ascii="宋体" w:hAnsi="宋体" w:eastAsia="宋体" w:cs="宋体"/>
                <w:b w:val="0"/>
                <w:bCs w:val="0"/>
                <w:color w:val="c00000"/>
                <w:spacing w:val="0"/>
                <w:position w:val="0"/>
                <w:sz w:val="21"/>
                <w:szCs w:val="21"/>
                <w:highlight w:val="none"/>
                <w:lang w:val="en-US" w:eastAsia="zh-CN"/>
              </w:rPr>
              <w:t xml:space="preserve">样品外观设计规整协调，款式、尺寸、</w:t>
            </w:r>
            <w:r>
              <w:rPr>
                <w:rFonts w:hint="eastAsia" w:ascii="宋体" w:hAnsi="宋体" w:eastAsia="宋体" w:cs="宋体"/>
                <w:b w:val="0"/>
                <w:bCs w:val="0"/>
                <w:color w:val="c00000"/>
                <w:spacing w:val="0"/>
                <w:position w:val="0"/>
                <w:sz w:val="21"/>
                <w:szCs w:val="21"/>
                <w:highlight w:val="none"/>
                <w:lang w:val="en-US" w:eastAsia="zh-CN"/>
              </w:rPr>
              <w:t xml:space="preserve">产品</w:t>
            </w:r>
            <w:r>
              <w:rPr>
                <w:rFonts w:ascii="宋体" w:hAnsi="宋体" w:eastAsia="宋体" w:cs="宋体"/>
                <w:b w:val="0"/>
                <w:bCs w:val="0"/>
                <w:color w:val="c00000"/>
                <w:spacing w:val="0"/>
                <w:position w:val="0"/>
                <w:sz w:val="21"/>
                <w:szCs w:val="21"/>
                <w:highlight w:val="none"/>
                <w:lang w:val="en-US" w:eastAsia="zh-CN"/>
              </w:rPr>
              <w:t xml:space="preserve">结构完全响应并符合招标文件各项要求；产品整体色泽均匀一致，无任何色差；表面干净整洁、无污渍、无划痕；板材边角完整，无缺口、毛刺、磕碰缺陷</w:t>
            </w:r>
            <w:r>
              <w:rPr>
                <w:rFonts w:hint="eastAsia" w:ascii="宋体" w:hAnsi="宋体" w:eastAsia="宋体" w:cs="宋体"/>
                <w:b w:val="0"/>
                <w:bCs w:val="0"/>
                <w:color w:val="c00000"/>
                <w:spacing w:val="0"/>
                <w:position w:val="0"/>
                <w:sz w:val="21"/>
                <w:szCs w:val="21"/>
                <w:highlight w:val="none"/>
                <w:lang w:val="en-US" w:eastAsia="zh-CN"/>
              </w:rPr>
              <w:t xml:space="preserve">的得</w:t>
            </w:r>
            <w:r>
              <w:rPr>
                <w:rFonts w:ascii="宋体" w:hAnsi="宋体" w:eastAsia="宋体" w:cs="宋体"/>
                <w:b w:val="0"/>
                <w:bCs w:val="0"/>
                <w:color w:val="c00000"/>
                <w:spacing w:val="0"/>
                <w:position w:val="0"/>
                <w:sz w:val="21"/>
                <w:szCs w:val="21"/>
                <w:highlight w:val="none"/>
                <w:lang w:val="en-US" w:eastAsia="zh-CN"/>
              </w:rPr>
              <w:t xml:space="preserve">5分</w:t>
            </w:r>
            <w:r>
              <w:rPr>
                <w:rFonts w:hint="eastAsia" w:ascii="宋体" w:hAnsi="宋体" w:eastAsia="宋体" w:cs="宋体"/>
                <w:b w:val="0"/>
                <w:bCs w:val="0"/>
                <w:color w:val="c00000"/>
                <w:spacing w:val="0"/>
                <w:position w:val="0"/>
                <w:sz w:val="21"/>
                <w:szCs w:val="21"/>
                <w:highlight w:val="none"/>
                <w:lang w:val="en-US" w:eastAsia="zh-CN"/>
              </w:rPr>
              <w:t xml:space="preserve">；</w:t>
            </w:r>
            <w:r>
              <w:rPr>
                <w:rFonts w:ascii="宋体" w:hAnsi="宋体" w:eastAsia="宋体" w:cs="宋体"/>
                <w:b w:val="0"/>
                <w:bCs w:val="0"/>
                <w:color w:val="c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c00000"/>
                <w:spacing w:val="0"/>
                <w:position w:val="0"/>
                <w:sz w:val="21"/>
                <w:szCs w:val="21"/>
                <w:highlight w:val="none"/>
                <w:lang w:val="en-US" w:eastAsia="zh-CN"/>
              </w:rPr>
              <w:suppressLineNumbers w:val="0"/>
            </w:pPr>
            <w:r>
              <w:rPr>
                <w:rFonts w:ascii="宋体" w:hAnsi="宋体" w:eastAsia="宋体" w:cs="宋体"/>
                <w:b w:val="0"/>
                <w:bCs w:val="0"/>
                <w:color w:val="c00000"/>
                <w:spacing w:val="0"/>
                <w:position w:val="0"/>
                <w:sz w:val="21"/>
                <w:szCs w:val="21"/>
                <w:highlight w:val="none"/>
                <w:lang w:val="en-US" w:eastAsia="zh-CN"/>
              </w:rPr>
              <w:t xml:space="preserve">样品款式、尺寸、</w:t>
            </w:r>
            <w:r>
              <w:rPr>
                <w:rFonts w:hint="eastAsia" w:ascii="宋体" w:hAnsi="宋体" w:eastAsia="宋体" w:cs="宋体"/>
                <w:b w:val="0"/>
                <w:bCs w:val="0"/>
                <w:color w:val="c00000"/>
                <w:spacing w:val="0"/>
                <w:position w:val="0"/>
                <w:sz w:val="21"/>
                <w:szCs w:val="21"/>
                <w:highlight w:val="none"/>
                <w:lang w:val="en-US" w:eastAsia="zh-CN"/>
              </w:rPr>
              <w:t xml:space="preserve">产品</w:t>
            </w:r>
            <w:r>
              <w:rPr>
                <w:rFonts w:ascii="宋体" w:hAnsi="宋体" w:eastAsia="宋体" w:cs="宋体"/>
                <w:b w:val="0"/>
                <w:bCs w:val="0"/>
                <w:color w:val="c00000"/>
                <w:spacing w:val="0"/>
                <w:position w:val="0"/>
                <w:sz w:val="21"/>
                <w:szCs w:val="21"/>
                <w:highlight w:val="none"/>
                <w:lang w:val="en-US" w:eastAsia="zh-CN"/>
              </w:rPr>
              <w:t xml:space="preserve">结构基本符合招标文件要求，结构布局合规；整体色泽统一，无明显色差；产品表面洁净无污迹；板材边角无明显缺口、毛刺及破损瑕疵</w:t>
            </w:r>
            <w:r>
              <w:rPr>
                <w:rFonts w:hint="eastAsia" w:ascii="宋体" w:hAnsi="宋体" w:eastAsia="宋体" w:cs="宋体"/>
                <w:b w:val="0"/>
                <w:bCs w:val="0"/>
                <w:color w:val="c00000"/>
                <w:spacing w:val="0"/>
                <w:position w:val="0"/>
                <w:sz w:val="21"/>
                <w:szCs w:val="21"/>
                <w:highlight w:val="none"/>
                <w:lang w:val="en-US" w:eastAsia="zh-CN"/>
              </w:rPr>
              <w:t xml:space="preserve">的得3</w:t>
            </w:r>
            <w:r>
              <w:rPr>
                <w:rFonts w:ascii="宋体" w:hAnsi="宋体" w:eastAsia="宋体" w:cs="宋体"/>
                <w:b w:val="0"/>
                <w:bCs w:val="0"/>
                <w:color w:val="c00000"/>
                <w:spacing w:val="0"/>
                <w:position w:val="0"/>
                <w:sz w:val="21"/>
                <w:szCs w:val="21"/>
                <w:highlight w:val="none"/>
                <w:lang w:val="en-US" w:eastAsia="zh-CN"/>
              </w:rPr>
              <w:t xml:space="preserve">分</w:t>
            </w:r>
            <w:r>
              <w:rPr>
                <w:rFonts w:hint="eastAsia" w:ascii="宋体" w:hAnsi="宋体" w:eastAsia="宋体" w:cs="宋体"/>
                <w:b w:val="0"/>
                <w:bCs w:val="0"/>
                <w:color w:val="c00000"/>
                <w:spacing w:val="0"/>
                <w:position w:val="0"/>
                <w:sz w:val="21"/>
                <w:szCs w:val="21"/>
                <w:highlight w:val="none"/>
                <w:lang w:val="en-US" w:eastAsia="zh-CN"/>
              </w:rPr>
              <w:t xml:space="preserve">；</w:t>
            </w:r>
            <w:r>
              <w:rPr>
                <w:rFonts w:ascii="宋体" w:hAnsi="宋体" w:eastAsia="宋体" w:cs="宋体"/>
                <w:b w:val="0"/>
                <w:bCs w:val="0"/>
                <w:color w:val="c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c00000"/>
                <w:spacing w:val="0"/>
                <w:position w:val="0"/>
                <w:sz w:val="21"/>
                <w:szCs w:val="21"/>
                <w:highlight w:val="none"/>
                <w:lang w:val="en-US" w:eastAsia="zh-CN"/>
              </w:rPr>
              <w:suppressLineNumbers w:val="0"/>
            </w:pPr>
            <w:r>
              <w:rPr>
                <w:rFonts w:ascii="宋体" w:hAnsi="宋体" w:eastAsia="宋体" w:cs="宋体"/>
                <w:b w:val="0"/>
                <w:bCs w:val="0"/>
                <w:color w:val="c00000"/>
                <w:spacing w:val="0"/>
                <w:position w:val="0"/>
                <w:sz w:val="21"/>
                <w:szCs w:val="21"/>
                <w:highlight w:val="none"/>
                <w:lang w:val="en-US" w:eastAsia="zh-CN"/>
              </w:rPr>
              <w:t xml:space="preserve">样品款式、尺寸基本符合招标文件要求，但</w:t>
            </w:r>
            <w:r>
              <w:rPr>
                <w:rFonts w:hint="eastAsia" w:ascii="宋体" w:hAnsi="宋体" w:eastAsia="宋体" w:cs="宋体"/>
                <w:b w:val="0"/>
                <w:bCs w:val="0"/>
                <w:color w:val="c00000"/>
                <w:spacing w:val="0"/>
                <w:position w:val="0"/>
                <w:sz w:val="21"/>
                <w:szCs w:val="21"/>
                <w:highlight w:val="none"/>
                <w:lang w:val="en-US" w:eastAsia="zh-CN"/>
              </w:rPr>
              <w:t xml:space="preserve">产品</w:t>
            </w:r>
            <w:r>
              <w:rPr>
                <w:rFonts w:ascii="宋体" w:hAnsi="宋体" w:eastAsia="宋体" w:cs="宋体"/>
                <w:b w:val="0"/>
                <w:bCs w:val="0"/>
                <w:color w:val="c00000"/>
                <w:spacing w:val="0"/>
                <w:position w:val="0"/>
                <w:sz w:val="21"/>
                <w:szCs w:val="21"/>
                <w:highlight w:val="none"/>
                <w:lang w:val="en-US" w:eastAsia="zh-CN"/>
              </w:rPr>
              <w:t xml:space="preserve">结构规整度不足；存在可见色差、表面污迹、轻微脏污，或板材边角存在轻微缺口、毛刺、工艺瑕疵等任一问题</w:t>
            </w:r>
            <w:r>
              <w:rPr>
                <w:rFonts w:hint="eastAsia" w:ascii="宋体" w:hAnsi="宋体" w:eastAsia="宋体" w:cs="宋体"/>
                <w:b w:val="0"/>
                <w:bCs w:val="0"/>
                <w:color w:val="c00000"/>
                <w:spacing w:val="0"/>
                <w:position w:val="0"/>
                <w:sz w:val="21"/>
                <w:szCs w:val="21"/>
                <w:highlight w:val="none"/>
                <w:lang w:val="en-US" w:eastAsia="zh-CN"/>
              </w:rPr>
              <w:t xml:space="preserve">的得1</w:t>
            </w:r>
            <w:r>
              <w:rPr>
                <w:rFonts w:ascii="宋体" w:hAnsi="宋体" w:eastAsia="宋体" w:cs="宋体"/>
                <w:b w:val="0"/>
                <w:bCs w:val="0"/>
                <w:color w:val="c00000"/>
                <w:spacing w:val="0"/>
                <w:position w:val="0"/>
                <w:sz w:val="21"/>
                <w:szCs w:val="21"/>
                <w:highlight w:val="none"/>
                <w:lang w:val="en-US" w:eastAsia="zh-CN"/>
              </w:rPr>
              <w:t xml:space="preserve">分</w:t>
            </w:r>
            <w:r>
              <w:rPr>
                <w:rFonts w:hint="eastAsia" w:ascii="宋体" w:hAnsi="宋体" w:eastAsia="宋体" w:cs="宋体"/>
                <w:b w:val="0"/>
                <w:bCs w:val="0"/>
                <w:color w:val="c00000"/>
                <w:spacing w:val="0"/>
                <w:position w:val="0"/>
                <w:sz w:val="21"/>
                <w:szCs w:val="21"/>
                <w:highlight w:val="none"/>
                <w:lang w:val="en-US" w:eastAsia="zh-CN"/>
              </w:rPr>
              <w:t xml:space="preserve">；</w:t>
            </w:r>
            <w:r>
              <w:rPr>
                <w:rFonts w:ascii="宋体" w:hAnsi="宋体" w:eastAsia="宋体" w:cs="宋体"/>
                <w:b w:val="0"/>
                <w:bCs w:val="0"/>
                <w:color w:val="c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c00000"/>
                <w:spacing w:val="0"/>
                <w:position w:val="0"/>
                <w:sz w:val="21"/>
                <w:szCs w:val="21"/>
                <w:highlight w:val="none"/>
              </w:rPr>
              <w:suppressLineNumbers w:val="0"/>
            </w:pPr>
            <w:r>
              <w:rPr>
                <w:rFonts w:ascii="宋体" w:hAnsi="宋体" w:eastAsia="宋体" w:cs="宋体"/>
                <w:b w:val="0"/>
                <w:bCs w:val="0"/>
                <w:color w:val="c00000"/>
                <w:spacing w:val="0"/>
                <w:position w:val="0"/>
                <w:sz w:val="21"/>
                <w:szCs w:val="21"/>
                <w:highlight w:val="none"/>
                <w:lang w:val="en-US" w:eastAsia="zh-CN"/>
              </w:rPr>
              <w:t xml:space="preserve">未按要求提供对应投标样品的，本项不得分。</w:t>
            </w:r>
            <w:r>
              <w:rPr>
                <w:rFonts w:hint="eastAsia" w:ascii="宋体" w:hAnsi="宋体" w:eastAsia="宋体" w:cs="宋体"/>
                <w:b w:val="0"/>
                <w:bCs w:val="0"/>
                <w:color w:val="c00000"/>
                <w:spacing w:val="0"/>
                <w:position w:val="0"/>
                <w:sz w:val="21"/>
                <w:szCs w:val="21"/>
                <w:highlight w:val="none"/>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en-US" w:eastAsia="zh-CN"/>
              </w:rPr>
            </w:r>
            <w:r/>
          </w:p>
        </w:tc>
      </w:tr>
      <w:tr>
        <w:trPr>
          <w:trHeight w:val="3325"/>
        </w:trPr>
        <w:tc>
          <w:tcPr>
            <w:tcW w:w="894" w:type="dxa"/>
            <w:vAlign w:val="center"/>
            <w:vMerge w:val="continue"/>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1517" w:type="dxa"/>
            <w:vAlign w:val="center"/>
            <w:vMerge w:val="continue"/>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6117" w:type="dxa"/>
            <w:vAlign w:val="center"/>
            <w:textDirection w:val="lrTb"/>
            <w:noWrap w:val="false"/>
          </w:tcPr>
          <w:p>
            <w:pPr>
              <w:pStyle w:val="899"/>
              <w:jc w:val="both"/>
              <w:keepLines w:val="0"/>
              <w:keepNext w:val="0"/>
              <w:pageBreakBefore w:val="0"/>
              <w:spacing w:before="0" w:beforeAutospacing="0" w:after="0" w:afterAutospacing="0" w:line="240" w:lineRule="auto"/>
              <w:widowControl/>
              <w:rPr>
                <w:rFonts w:ascii="宋体" w:hAnsi="宋体" w:eastAsia="宋体" w:cs="宋体"/>
                <w:b w:val="0"/>
                <w:bCs w:val="0"/>
                <w:color w:val="c00000"/>
                <w:spacing w:val="0"/>
                <w:position w:val="0"/>
                <w:sz w:val="21"/>
                <w:szCs w:val="21"/>
                <w:highlight w:val="none"/>
                <w:lang w:val="en-US" w:eastAsia="zh-CN"/>
              </w:rPr>
              <w:suppressLineNumbers w:val="0"/>
            </w:pPr>
            <w:r>
              <w:rPr>
                <w:rFonts w:ascii="宋体" w:hAnsi="宋体" w:eastAsia="宋体" w:cs="宋体"/>
                <w:b w:val="0"/>
                <w:bCs w:val="0"/>
                <w:color w:val="c00000"/>
                <w:spacing w:val="0"/>
                <w:position w:val="0"/>
                <w:sz w:val="21"/>
                <w:szCs w:val="21"/>
                <w:highlight w:val="none"/>
                <w:lang w:val="en-US" w:eastAsia="zh-CN"/>
              </w:rPr>
              <w:t xml:space="preserve">制作工艺（</w:t>
            </w:r>
            <w:r>
              <w:rPr>
                <w:rFonts w:hint="eastAsia" w:ascii="宋体" w:hAnsi="宋体" w:eastAsia="宋体" w:cs="宋体"/>
                <w:b w:val="0"/>
                <w:bCs w:val="0"/>
                <w:color w:val="c00000"/>
                <w:spacing w:val="0"/>
                <w:position w:val="0"/>
                <w:sz w:val="21"/>
                <w:szCs w:val="21"/>
                <w:highlight w:val="none"/>
                <w:lang w:val="en-US" w:eastAsia="zh-CN"/>
              </w:rPr>
              <w:t xml:space="preserve">5</w:t>
            </w:r>
            <w:r>
              <w:rPr>
                <w:rFonts w:ascii="宋体" w:hAnsi="宋体" w:eastAsia="宋体" w:cs="宋体"/>
                <w:b w:val="0"/>
                <w:bCs w:val="0"/>
                <w:color w:val="c00000"/>
                <w:spacing w:val="0"/>
                <w:position w:val="0"/>
                <w:sz w:val="21"/>
                <w:szCs w:val="21"/>
                <w:highlight w:val="none"/>
                <w:lang w:val="en-US" w:eastAsia="zh-CN"/>
              </w:rPr>
              <w:t xml:space="preserve">分）</w:t>
            </w:r>
            <w:r>
              <w:rPr>
                <w:rFonts w:ascii="宋体" w:hAnsi="宋体" w:eastAsia="宋体" w:cs="宋体"/>
                <w:b w:val="0"/>
                <w:bCs w:val="0"/>
                <w:color w:val="c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c00000"/>
                <w:spacing w:val="0"/>
                <w:position w:val="0"/>
                <w:sz w:val="21"/>
                <w:szCs w:val="21"/>
                <w:highlight w:val="none"/>
                <w:lang w:val="en-US" w:eastAsia="zh-CN"/>
              </w:rPr>
              <w:suppressLineNumbers w:val="0"/>
            </w:pPr>
            <w:r>
              <w:rPr>
                <w:rFonts w:hint="eastAsia" w:ascii="宋体" w:hAnsi="宋体" w:eastAsia="宋体" w:cs="宋体"/>
                <w:b w:val="0"/>
                <w:bCs w:val="0"/>
                <w:color w:val="c00000"/>
                <w:spacing w:val="0"/>
                <w:position w:val="0"/>
                <w:sz w:val="21"/>
                <w:szCs w:val="21"/>
                <w:highlight w:val="none"/>
                <w:lang w:val="en-US" w:eastAsia="zh-CN"/>
              </w:rPr>
              <w:t xml:space="preserve">根据</w:t>
            </w:r>
            <w:r>
              <w:rPr>
                <w:rFonts w:ascii="宋体" w:hAnsi="宋体" w:eastAsia="宋体" w:cs="宋体"/>
                <w:b w:val="0"/>
                <w:bCs w:val="0"/>
                <w:color w:val="c00000"/>
                <w:spacing w:val="0"/>
                <w:position w:val="0"/>
                <w:sz w:val="21"/>
                <w:szCs w:val="21"/>
                <w:highlight w:val="none"/>
                <w:lang w:val="en-US" w:eastAsia="zh-CN"/>
              </w:rPr>
              <w:t xml:space="preserve">投标样品的整体制作工艺、表面喷涂工艺、板材厚度规格、导轨工艺性能等招标文件明确的技术参数及工艺标准进行综合评审。</w:t>
            </w:r>
            <w:r>
              <w:rPr>
                <w:rFonts w:ascii="宋体" w:hAnsi="宋体" w:eastAsia="宋体" w:cs="宋体"/>
                <w:b w:val="0"/>
                <w:bCs w:val="0"/>
                <w:color w:val="c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c00000"/>
                <w:spacing w:val="0"/>
                <w:position w:val="0"/>
                <w:sz w:val="21"/>
                <w:szCs w:val="21"/>
                <w:highlight w:val="none"/>
                <w:lang w:val="en-US" w:eastAsia="zh-CN"/>
              </w:rPr>
              <w:suppressLineNumbers w:val="0"/>
            </w:pPr>
            <w:r>
              <w:rPr>
                <w:rFonts w:ascii="宋体" w:hAnsi="宋体" w:eastAsia="宋体" w:cs="宋体"/>
                <w:b w:val="0"/>
                <w:bCs w:val="0"/>
                <w:color w:val="c00000"/>
                <w:spacing w:val="0"/>
                <w:position w:val="0"/>
                <w:sz w:val="21"/>
                <w:szCs w:val="21"/>
                <w:highlight w:val="none"/>
                <w:lang w:val="en-US" w:eastAsia="zh-CN"/>
              </w:rPr>
              <w:t xml:space="preserve">样品整体制作工艺精细规整，表面喷涂厚薄均匀、漆面平整光滑，无颗粒、流挂、划痕等工艺缺陷；钢板厚度、导轨材质及性能等各项技术参数完全符合招标文件规定标准</w:t>
            </w:r>
            <w:r>
              <w:rPr>
                <w:rFonts w:hint="eastAsia" w:ascii="宋体" w:hAnsi="宋体" w:eastAsia="宋体" w:cs="宋体"/>
                <w:b w:val="0"/>
                <w:bCs w:val="0"/>
                <w:color w:val="c00000"/>
                <w:spacing w:val="0"/>
                <w:position w:val="0"/>
                <w:sz w:val="21"/>
                <w:szCs w:val="21"/>
                <w:highlight w:val="none"/>
                <w:lang w:val="en-US" w:eastAsia="zh-CN"/>
              </w:rPr>
              <w:t xml:space="preserve">的得</w:t>
            </w:r>
            <w:r>
              <w:rPr>
                <w:rFonts w:ascii="宋体" w:hAnsi="宋体" w:eastAsia="宋体" w:cs="宋体"/>
                <w:b w:val="0"/>
                <w:bCs w:val="0"/>
                <w:color w:val="c00000"/>
                <w:spacing w:val="0"/>
                <w:position w:val="0"/>
                <w:sz w:val="21"/>
                <w:szCs w:val="21"/>
                <w:highlight w:val="none"/>
                <w:lang w:val="en-US" w:eastAsia="zh-CN"/>
              </w:rPr>
              <w:t xml:space="preserve">5分</w:t>
            </w:r>
            <w:r>
              <w:rPr>
                <w:rFonts w:hint="eastAsia" w:ascii="宋体" w:hAnsi="宋体" w:eastAsia="宋体" w:cs="宋体"/>
                <w:b w:val="0"/>
                <w:bCs w:val="0"/>
                <w:color w:val="c00000"/>
                <w:spacing w:val="0"/>
                <w:position w:val="0"/>
                <w:sz w:val="21"/>
                <w:szCs w:val="21"/>
                <w:highlight w:val="none"/>
                <w:lang w:val="en-US" w:eastAsia="zh-CN"/>
              </w:rPr>
              <w:t xml:space="preserve">；</w:t>
            </w:r>
            <w:r>
              <w:rPr>
                <w:rFonts w:ascii="宋体" w:hAnsi="宋体" w:eastAsia="宋体" w:cs="宋体"/>
                <w:b w:val="0"/>
                <w:bCs w:val="0"/>
                <w:color w:val="c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c00000"/>
                <w:spacing w:val="0"/>
                <w:position w:val="0"/>
                <w:sz w:val="21"/>
                <w:szCs w:val="21"/>
                <w:highlight w:val="none"/>
                <w:lang w:val="en-US" w:eastAsia="zh-CN"/>
              </w:rPr>
              <w:suppressLineNumbers w:val="0"/>
            </w:pPr>
            <w:r>
              <w:rPr>
                <w:rFonts w:ascii="宋体" w:hAnsi="宋体" w:eastAsia="宋体" w:cs="宋体"/>
                <w:b w:val="0"/>
                <w:bCs w:val="0"/>
                <w:color w:val="c00000"/>
                <w:spacing w:val="0"/>
                <w:position w:val="0"/>
                <w:sz w:val="21"/>
                <w:szCs w:val="21"/>
                <w:highlight w:val="none"/>
                <w:lang w:val="en-US" w:eastAsia="zh-CN"/>
              </w:rPr>
              <w:t xml:space="preserve">样品整体制作工艺合规，表面喷涂整体均匀，仅存在极轻微、不影响使用的外观瑕疵；钢板厚度、导轨性能等核心技术参数均满足招标文件要求，符合项目使用标准</w:t>
            </w:r>
            <w:r>
              <w:rPr>
                <w:rFonts w:hint="eastAsia" w:ascii="宋体" w:hAnsi="宋体" w:eastAsia="宋体" w:cs="宋体"/>
                <w:b w:val="0"/>
                <w:bCs w:val="0"/>
                <w:color w:val="c00000"/>
                <w:spacing w:val="0"/>
                <w:position w:val="0"/>
                <w:sz w:val="21"/>
                <w:szCs w:val="21"/>
                <w:highlight w:val="none"/>
                <w:lang w:val="en-US" w:eastAsia="zh-CN"/>
              </w:rPr>
              <w:t xml:space="preserve">的得3</w:t>
            </w:r>
            <w:r>
              <w:rPr>
                <w:rFonts w:ascii="宋体" w:hAnsi="宋体" w:eastAsia="宋体" w:cs="宋体"/>
                <w:b w:val="0"/>
                <w:bCs w:val="0"/>
                <w:color w:val="c00000"/>
                <w:spacing w:val="0"/>
                <w:position w:val="0"/>
                <w:sz w:val="21"/>
                <w:szCs w:val="21"/>
                <w:highlight w:val="none"/>
                <w:lang w:val="en-US" w:eastAsia="zh-CN"/>
              </w:rPr>
              <w:t xml:space="preserve">分</w:t>
            </w:r>
            <w:r>
              <w:rPr>
                <w:rFonts w:hint="eastAsia" w:ascii="宋体" w:hAnsi="宋体" w:eastAsia="宋体" w:cs="宋体"/>
                <w:b w:val="0"/>
                <w:bCs w:val="0"/>
                <w:color w:val="c00000"/>
                <w:spacing w:val="0"/>
                <w:position w:val="0"/>
                <w:sz w:val="21"/>
                <w:szCs w:val="21"/>
                <w:highlight w:val="none"/>
                <w:lang w:val="en-US" w:eastAsia="zh-CN"/>
              </w:rPr>
              <w:t xml:space="preserve">；</w:t>
            </w:r>
            <w:r>
              <w:rPr>
                <w:rFonts w:ascii="宋体" w:hAnsi="宋体" w:eastAsia="宋体" w:cs="宋体"/>
                <w:b w:val="0"/>
                <w:bCs w:val="0"/>
                <w:color w:val="c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c00000"/>
                <w:spacing w:val="0"/>
                <w:position w:val="0"/>
                <w:sz w:val="21"/>
                <w:szCs w:val="21"/>
                <w:highlight w:val="none"/>
                <w:lang w:val="en-US" w:eastAsia="zh-CN"/>
              </w:rPr>
              <w:suppressLineNumbers w:val="0"/>
            </w:pPr>
            <w:r>
              <w:rPr>
                <w:rFonts w:ascii="宋体" w:hAnsi="宋体" w:eastAsia="宋体" w:cs="宋体"/>
                <w:b w:val="0"/>
                <w:bCs w:val="0"/>
                <w:color w:val="c00000"/>
                <w:spacing w:val="0"/>
                <w:position w:val="0"/>
                <w:sz w:val="21"/>
                <w:szCs w:val="21"/>
                <w:highlight w:val="none"/>
                <w:lang w:val="en-US" w:eastAsia="zh-CN"/>
              </w:rPr>
              <w:t xml:space="preserve">样品喷涂工艺存在明显瑕疵、漆面不均匀、局部缺陷突出；整体制作工艺规整度不足，核心工艺细节存在疏漏</w:t>
            </w:r>
            <w:r>
              <w:rPr>
                <w:rFonts w:hint="eastAsia" w:ascii="宋体" w:hAnsi="宋体" w:eastAsia="宋体" w:cs="宋体"/>
                <w:b w:val="0"/>
                <w:bCs w:val="0"/>
                <w:color w:val="c00000"/>
                <w:spacing w:val="0"/>
                <w:position w:val="0"/>
                <w:sz w:val="21"/>
                <w:szCs w:val="21"/>
                <w:highlight w:val="none"/>
                <w:lang w:val="en-US" w:eastAsia="zh-CN"/>
              </w:rPr>
              <w:t xml:space="preserve">的得1</w:t>
            </w:r>
            <w:r>
              <w:rPr>
                <w:rFonts w:ascii="宋体" w:hAnsi="宋体" w:eastAsia="宋体" w:cs="宋体"/>
                <w:b w:val="0"/>
                <w:bCs w:val="0"/>
                <w:color w:val="c00000"/>
                <w:spacing w:val="0"/>
                <w:position w:val="0"/>
                <w:sz w:val="21"/>
                <w:szCs w:val="21"/>
                <w:highlight w:val="none"/>
                <w:lang w:val="en-US" w:eastAsia="zh-CN"/>
              </w:rPr>
              <w:t xml:space="preserve">分</w:t>
            </w:r>
            <w:r>
              <w:rPr>
                <w:rFonts w:hint="eastAsia" w:ascii="宋体" w:hAnsi="宋体" w:eastAsia="宋体" w:cs="宋体"/>
                <w:b w:val="0"/>
                <w:bCs w:val="0"/>
                <w:color w:val="c00000"/>
                <w:spacing w:val="0"/>
                <w:position w:val="0"/>
                <w:sz w:val="21"/>
                <w:szCs w:val="21"/>
                <w:highlight w:val="none"/>
                <w:lang w:val="en-US" w:eastAsia="zh-CN"/>
              </w:rPr>
              <w:t xml:space="preserve">；</w:t>
            </w:r>
            <w:r>
              <w:rPr>
                <w:rFonts w:ascii="宋体" w:hAnsi="宋体" w:eastAsia="宋体" w:cs="宋体"/>
                <w:b w:val="0"/>
                <w:bCs w:val="0"/>
                <w:color w:val="c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c00000"/>
                <w:spacing w:val="0"/>
                <w:position w:val="0"/>
                <w:sz w:val="21"/>
                <w:szCs w:val="21"/>
                <w:highlight w:val="none"/>
                <w:lang w:val="en-US" w:eastAsia="zh-CN"/>
              </w:rPr>
              <w:suppressLineNumbers w:val="0"/>
            </w:pPr>
            <w:r>
              <w:rPr>
                <w:rFonts w:ascii="宋体" w:hAnsi="宋体" w:eastAsia="宋体" w:cs="宋体"/>
                <w:b w:val="0"/>
                <w:bCs w:val="0"/>
                <w:color w:val="c00000"/>
                <w:spacing w:val="0"/>
                <w:position w:val="0"/>
                <w:sz w:val="21"/>
                <w:szCs w:val="21"/>
                <w:highlight w:val="none"/>
                <w:lang w:val="en-US" w:eastAsia="zh-CN"/>
              </w:rPr>
              <w:t xml:space="preserve">未按要求提供对应投标样品的，本项不得分。</w:t>
            </w:r>
            <w:r>
              <w:rPr>
                <w:rFonts w:hint="eastAsia" w:ascii="宋体" w:hAnsi="宋体" w:eastAsia="宋体" w:cs="宋体"/>
                <w:b w:val="0"/>
                <w:bCs w:val="0"/>
                <w:color w:val="c00000"/>
                <w:spacing w:val="0"/>
                <w:position w:val="0"/>
                <w:sz w:val="21"/>
                <w:szCs w:val="21"/>
                <w:highlight w:val="none"/>
                <w:lang w:val="en-US" w:eastAsia="zh-CN"/>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en-US" w:eastAsia="zh-CN"/>
              </w:rPr>
            </w:r>
            <w:r/>
          </w:p>
        </w:tc>
      </w:tr>
      <w:tr>
        <w:trPr>
          <w:trHeight w:val="2091"/>
        </w:trPr>
        <w:tc>
          <w:tcPr>
            <w:tcW w:w="894" w:type="dxa"/>
            <w:vAlign w:val="center"/>
            <w:vMerge w:val="continue"/>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1517" w:type="dxa"/>
            <w:vAlign w:val="center"/>
            <w:vMerge w:val="continue"/>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6117" w:type="dxa"/>
            <w:vAlign w:val="center"/>
            <w:textDirection w:val="lrTb"/>
            <w:noWrap w:val="false"/>
          </w:tcPr>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c00000"/>
                <w:sz w:val="21"/>
                <w:szCs w:val="21"/>
                <w:highlight w:val="none"/>
                <w:lang w:val="en-US" w:eastAsia="zh-CN" w:bidi="ar-SA"/>
              </w:rPr>
              <w:suppressLineNumbers w:val="0"/>
            </w:pPr>
            <w:r>
              <w:rPr>
                <w:rFonts w:hint="eastAsia" w:ascii="Times New Roman" w:hAnsi="Times New Roman" w:eastAsia="宋体" w:cs="Times New Roman"/>
                <w:color w:val="c00000"/>
                <w:sz w:val="21"/>
                <w:szCs w:val="21"/>
                <w:highlight w:val="none"/>
                <w:lang w:val="en-US" w:eastAsia="zh-CN" w:bidi="ar-SA"/>
              </w:rPr>
              <w:t xml:space="preserve">产品稳定性及环保气味（满分5分）</w:t>
            </w:r>
            <w:r>
              <w:rPr>
                <w:rFonts w:hint="eastAsia" w:ascii="Times New Roman" w:hAnsi="Times New Roman" w:eastAsia="宋体" w:cs="Times New Roman"/>
                <w:color w:val="c00000"/>
                <w:sz w:val="21"/>
                <w:szCs w:val="21"/>
                <w:highlight w:val="none"/>
                <w:lang w:val="en-US" w:eastAsia="zh-CN" w:bidi="ar-SA"/>
              </w:rPr>
              <w:br w:type="textWrapping" w:clear="all"/>
            </w:r>
            <w:r>
              <w:rPr>
                <w:rFonts w:hint="eastAsia" w:ascii="Times New Roman" w:hAnsi="Times New Roman" w:eastAsia="宋体" w:cs="Times New Roman"/>
                <w:color w:val="c00000"/>
                <w:sz w:val="21"/>
                <w:szCs w:val="21"/>
                <w:highlight w:val="none"/>
                <w:lang w:val="en-US" w:eastAsia="zh-CN" w:bidi="ar-SA"/>
              </w:rPr>
              <w:t xml:space="preserve">根据投标样品的结构稳固性、承重能力、部件连接精度、导轨运行性能、柜门推拉流畅度、产品气味环保性等维度进行综合评审。</w:t>
            </w:r>
            <w:r>
              <w:rPr>
                <w:rFonts w:hint="eastAsia" w:ascii="Times New Roman" w:hAnsi="Times New Roman" w:eastAsia="宋体" w:cs="Times New Roman"/>
                <w:color w:val="c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c00000"/>
                <w:sz w:val="21"/>
                <w:szCs w:val="21"/>
                <w:highlight w:val="none"/>
                <w:lang w:val="en-US" w:eastAsia="zh-CN" w:bidi="ar-SA"/>
              </w:rPr>
              <w:suppressLineNumbers w:val="0"/>
            </w:pPr>
            <w:r>
              <w:rPr>
                <w:rFonts w:hint="eastAsia" w:ascii="Times New Roman" w:hAnsi="Times New Roman" w:eastAsia="宋体" w:cs="Times New Roman"/>
                <w:color w:val="c00000"/>
                <w:sz w:val="21"/>
                <w:szCs w:val="21"/>
                <w:highlight w:val="none"/>
                <w:lang w:val="en-US" w:eastAsia="zh-CN" w:bidi="ar-SA"/>
              </w:rPr>
              <w:t xml:space="preserve">样品整体结构稳固，承重性能优异，无晃动、松动现象；各部件安装连接紧密牢固，拼接缝隙均匀规整；导轨运行顺滑无卡顿，柜门推拉开合顺畅、无阻滞异响；产品无刺激性异味，环保性良好</w:t>
            </w:r>
            <w:r>
              <w:rPr>
                <w:rFonts w:hint="eastAsia" w:ascii="宋体" w:hAnsi="宋体" w:eastAsia="宋体" w:cs="宋体"/>
                <w:b w:val="0"/>
                <w:bCs w:val="0"/>
                <w:color w:val="c00000"/>
                <w:spacing w:val="0"/>
                <w:position w:val="0"/>
                <w:sz w:val="21"/>
                <w:szCs w:val="21"/>
                <w:highlight w:val="none"/>
                <w:lang w:val="en-US" w:eastAsia="zh-CN"/>
              </w:rPr>
              <w:t xml:space="preserve">的得</w:t>
            </w:r>
            <w:r>
              <w:rPr>
                <w:rFonts w:ascii="宋体" w:hAnsi="宋体" w:eastAsia="宋体" w:cs="宋体"/>
                <w:b w:val="0"/>
                <w:bCs w:val="0"/>
                <w:color w:val="c00000"/>
                <w:spacing w:val="0"/>
                <w:position w:val="0"/>
                <w:sz w:val="21"/>
                <w:szCs w:val="21"/>
                <w:highlight w:val="none"/>
                <w:lang w:val="en-US" w:eastAsia="zh-CN"/>
              </w:rPr>
              <w:t xml:space="preserve">5分</w:t>
            </w:r>
            <w:r>
              <w:rPr>
                <w:rFonts w:hint="eastAsia" w:ascii="宋体" w:hAnsi="宋体" w:eastAsia="宋体" w:cs="宋体"/>
                <w:b w:val="0"/>
                <w:bCs w:val="0"/>
                <w:color w:val="c00000"/>
                <w:spacing w:val="0"/>
                <w:position w:val="0"/>
                <w:sz w:val="21"/>
                <w:szCs w:val="21"/>
                <w:highlight w:val="none"/>
                <w:lang w:val="en-US" w:eastAsia="zh-CN"/>
              </w:rPr>
              <w:t xml:space="preserve">；</w:t>
            </w:r>
            <w:r>
              <w:rPr>
                <w:rFonts w:hint="eastAsia" w:ascii="Times New Roman" w:hAnsi="Times New Roman" w:eastAsia="宋体" w:cs="Times New Roman"/>
                <w:color w:val="c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c00000"/>
                <w:sz w:val="21"/>
                <w:szCs w:val="21"/>
                <w:highlight w:val="none"/>
                <w:lang w:val="en-US" w:eastAsia="zh-CN" w:bidi="ar-SA"/>
              </w:rPr>
              <w:suppressLineNumbers w:val="0"/>
            </w:pPr>
            <w:r>
              <w:rPr>
                <w:rFonts w:hint="eastAsia" w:ascii="Times New Roman" w:hAnsi="Times New Roman" w:eastAsia="宋体" w:cs="Times New Roman"/>
                <w:color w:val="c00000"/>
                <w:sz w:val="21"/>
                <w:szCs w:val="21"/>
                <w:highlight w:val="none"/>
                <w:lang w:val="en-US" w:eastAsia="zh-CN" w:bidi="ar-SA"/>
              </w:rPr>
              <w:t xml:space="preserve">样品整体结构牢固，承重性能满足常规使用需求，无明显晃动问题；部件连接贴合紧密，导轨、柜门运行状态正常，开合基本顺畅；产品无异味，符合现场使用环境要求</w:t>
            </w:r>
            <w:r>
              <w:rPr>
                <w:rFonts w:hint="eastAsia" w:ascii="宋体" w:hAnsi="宋体" w:eastAsia="宋体" w:cs="宋体"/>
                <w:b w:val="0"/>
                <w:bCs w:val="0"/>
                <w:color w:val="c00000"/>
                <w:spacing w:val="0"/>
                <w:position w:val="0"/>
                <w:sz w:val="21"/>
                <w:szCs w:val="21"/>
                <w:highlight w:val="none"/>
                <w:lang w:val="en-US" w:eastAsia="zh-CN"/>
              </w:rPr>
              <w:t xml:space="preserve">的得3</w:t>
            </w:r>
            <w:r>
              <w:rPr>
                <w:rFonts w:ascii="宋体" w:hAnsi="宋体" w:eastAsia="宋体" w:cs="宋体"/>
                <w:b w:val="0"/>
                <w:bCs w:val="0"/>
                <w:color w:val="c00000"/>
                <w:spacing w:val="0"/>
                <w:position w:val="0"/>
                <w:sz w:val="21"/>
                <w:szCs w:val="21"/>
                <w:highlight w:val="none"/>
                <w:lang w:val="en-US" w:eastAsia="zh-CN"/>
              </w:rPr>
              <w:t xml:space="preserve">分</w:t>
            </w:r>
            <w:r>
              <w:rPr>
                <w:rFonts w:hint="eastAsia" w:ascii="宋体" w:hAnsi="宋体" w:eastAsia="宋体" w:cs="宋体"/>
                <w:b w:val="0"/>
                <w:bCs w:val="0"/>
                <w:color w:val="c00000"/>
                <w:spacing w:val="0"/>
                <w:position w:val="0"/>
                <w:sz w:val="21"/>
                <w:szCs w:val="21"/>
                <w:highlight w:val="none"/>
                <w:lang w:val="en-US" w:eastAsia="zh-CN"/>
              </w:rPr>
              <w:t xml:space="preserve">；</w:t>
            </w:r>
            <w:r>
              <w:rPr>
                <w:rFonts w:hint="eastAsia" w:ascii="Times New Roman" w:hAnsi="Times New Roman" w:eastAsia="宋体" w:cs="Times New Roman"/>
                <w:color w:val="c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c00000"/>
                <w:sz w:val="21"/>
                <w:szCs w:val="21"/>
                <w:highlight w:val="none"/>
                <w:lang w:val="en-US" w:eastAsia="zh-CN" w:bidi="ar-SA"/>
              </w:rPr>
              <w:suppressLineNumbers w:val="0"/>
            </w:pPr>
            <w:r>
              <w:rPr>
                <w:rFonts w:hint="eastAsia" w:ascii="Times New Roman" w:hAnsi="Times New Roman" w:eastAsia="宋体" w:cs="Times New Roman"/>
                <w:color w:val="c00000"/>
                <w:sz w:val="21"/>
                <w:szCs w:val="21"/>
                <w:highlight w:val="none"/>
                <w:lang w:val="en-US" w:eastAsia="zh-CN" w:bidi="ar-SA"/>
              </w:rPr>
              <w:t xml:space="preserve">样品结构稳固性不足，存在轻微晃动；导轨运行存在卡顿、阻滞问题，柜门推拉不顺畅；产品存在轻微刺激性异味，细节装配精度不足</w:t>
            </w:r>
            <w:r>
              <w:rPr>
                <w:rFonts w:hint="eastAsia" w:ascii="宋体" w:hAnsi="宋体" w:eastAsia="宋体" w:cs="宋体"/>
                <w:b w:val="0"/>
                <w:bCs w:val="0"/>
                <w:color w:val="c00000"/>
                <w:spacing w:val="0"/>
                <w:position w:val="0"/>
                <w:sz w:val="21"/>
                <w:szCs w:val="21"/>
                <w:highlight w:val="none"/>
                <w:lang w:val="en-US" w:eastAsia="zh-CN"/>
              </w:rPr>
              <w:t xml:space="preserve">的得1</w:t>
            </w:r>
            <w:r>
              <w:rPr>
                <w:rFonts w:ascii="宋体" w:hAnsi="宋体" w:eastAsia="宋体" w:cs="宋体"/>
                <w:b w:val="0"/>
                <w:bCs w:val="0"/>
                <w:color w:val="c00000"/>
                <w:spacing w:val="0"/>
                <w:position w:val="0"/>
                <w:sz w:val="21"/>
                <w:szCs w:val="21"/>
                <w:highlight w:val="none"/>
                <w:lang w:val="en-US" w:eastAsia="zh-CN"/>
              </w:rPr>
              <w:t xml:space="preserve">分</w:t>
            </w:r>
            <w:r>
              <w:rPr>
                <w:rFonts w:hint="eastAsia" w:ascii="宋体" w:hAnsi="宋体" w:eastAsia="宋体" w:cs="宋体"/>
                <w:b w:val="0"/>
                <w:bCs w:val="0"/>
                <w:color w:val="c00000"/>
                <w:spacing w:val="0"/>
                <w:position w:val="0"/>
                <w:sz w:val="21"/>
                <w:szCs w:val="21"/>
                <w:highlight w:val="none"/>
                <w:lang w:val="en-US" w:eastAsia="zh-CN"/>
              </w:rPr>
              <w:t xml:space="preserve">；</w:t>
            </w:r>
            <w:r>
              <w:rPr>
                <w:rFonts w:hint="eastAsia" w:ascii="Times New Roman" w:hAnsi="Times New Roman" w:eastAsia="宋体" w:cs="Times New Roman"/>
                <w:color w:val="c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c00000"/>
                <w:spacing w:val="0"/>
                <w:position w:val="0"/>
                <w:sz w:val="21"/>
                <w:szCs w:val="21"/>
                <w:highlight w:val="none"/>
                <w:lang w:val="en-US" w:eastAsia="zh-CN"/>
              </w:rPr>
              <w:suppressLineNumbers w:val="0"/>
            </w:pPr>
            <w:r>
              <w:rPr>
                <w:rFonts w:hint="eastAsia" w:ascii="Times New Roman" w:hAnsi="Times New Roman" w:eastAsia="宋体" w:cs="Times New Roman"/>
                <w:color w:val="c00000"/>
                <w:sz w:val="21"/>
                <w:szCs w:val="21"/>
                <w:highlight w:val="none"/>
                <w:lang w:val="en-US" w:eastAsia="zh-CN" w:bidi="ar-SA"/>
              </w:rPr>
              <w:t xml:space="preserve">未按要求提供对应投标样品的，本项不得分。</w:t>
            </w:r>
            <w:r>
              <w:rPr>
                <w:rFonts w:hint="eastAsia" w:ascii="宋体" w:hAnsi="宋体" w:eastAsia="宋体" w:cs="宋体"/>
                <w:b w:val="0"/>
                <w:bCs w:val="0"/>
                <w:color w:val="c00000"/>
                <w:spacing w:val="0"/>
                <w:position w:val="0"/>
                <w:sz w:val="21"/>
                <w:szCs w:val="21"/>
                <w:highlight w:val="none"/>
                <w:lang w:val="en-US" w:eastAsia="zh-CN"/>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en-US" w:eastAsia="zh-CN"/>
              </w:rPr>
            </w:r>
            <w:r/>
          </w:p>
        </w:tc>
      </w:tr>
      <w:tr>
        <w:trPr>
          <w:trHeight w:val="3933"/>
        </w:trPr>
        <w:tc>
          <w:tcPr>
            <w:tcW w:w="89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5</w:t>
            </w:r>
            <w:r>
              <w:rPr>
                <w:rFonts w:hint="eastAsia" w:ascii="宋体" w:hAnsi="宋体" w:eastAsia="宋体" w:cs="宋体"/>
                <w:b w:val="0"/>
                <w:bCs w:val="0"/>
                <w:color w:val="000000"/>
                <w:spacing w:val="-4"/>
                <w:highlight w:val="none"/>
                <w:lang w:val="en-US" w:eastAsia="zh-CN"/>
              </w:rPr>
            </w:r>
            <w:r/>
          </w:p>
        </w:tc>
        <w:tc>
          <w:tcPr>
            <w:tcW w:w="1517"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设计方案比较</w:t>
            </w:r>
            <w:r>
              <w:rPr>
                <w:rFonts w:hint="eastAsia" w:eastAsia="宋体" w:cs="宋体"/>
                <w:b w:val="0"/>
                <w:bCs w:val="0"/>
                <w:color w:val="000000"/>
                <w:spacing w:val="-4"/>
                <w:highlight w:val="none"/>
                <w:lang w:val="en-US" w:eastAsia="zh-CN"/>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w:t>
            </w:r>
            <w:r>
              <w:rPr>
                <w:rFonts w:hint="eastAsia" w:eastAsia="宋体" w:cs="宋体"/>
                <w:b w:val="0"/>
                <w:bCs w:val="0"/>
                <w:color w:val="000000"/>
                <w:spacing w:val="-4"/>
                <w:highlight w:val="none"/>
                <w:lang w:val="en-US" w:eastAsia="zh-CN"/>
              </w:rPr>
              <w:t xml:space="preserve">5</w:t>
            </w:r>
            <w:r>
              <w:rPr>
                <w:rFonts w:hint="eastAsia" w:ascii="宋体" w:hAnsi="宋体" w:eastAsia="宋体" w:cs="宋体"/>
                <w:b w:val="0"/>
                <w:bCs w:val="0"/>
                <w:color w:val="000000"/>
                <w:spacing w:val="-4"/>
                <w:highlight w:val="none"/>
              </w:rPr>
              <w:t xml:space="preserve">分）</w:t>
            </w:r>
            <w:r>
              <w:rPr>
                <w:rFonts w:hint="eastAsia" w:ascii="宋体" w:hAnsi="宋体" w:eastAsia="宋体" w:cs="宋体"/>
                <w:b w:val="0"/>
                <w:bCs w:val="0"/>
                <w:color w:val="000000"/>
                <w:spacing w:val="-4"/>
                <w:highlight w:val="none"/>
              </w:rPr>
            </w:r>
            <w:r/>
          </w:p>
        </w:tc>
        <w:tc>
          <w:tcPr>
            <w:tcW w:w="6117" w:type="dxa"/>
            <w:vAlign w:val="center"/>
            <w:textDirection w:val="lrTb"/>
            <w:noWrap w:val="false"/>
          </w:tcPr>
          <w:p>
            <w:pPr>
              <w:pStyle w:val="899"/>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c00000"/>
                <w:sz w:val="21"/>
                <w:szCs w:val="21"/>
                <w:highlight w:val="none"/>
                <w:lang w:val="en-US" w:eastAsia="zh-CN" w:bidi="ar-SA"/>
              </w:rPr>
              <w:suppressLineNumbers w:val="0"/>
            </w:pPr>
            <w:r>
              <w:rPr>
                <w:rFonts w:hint="eastAsia" w:ascii="Times New Roman" w:hAnsi="Times New Roman" w:eastAsia="宋体" w:cs="Times New Roman"/>
                <w:color w:val="c00000"/>
                <w:sz w:val="21"/>
                <w:szCs w:val="21"/>
                <w:highlight w:val="none"/>
                <w:lang w:val="en-US" w:eastAsia="zh-CN" w:bidi="ar-SA"/>
              </w:rPr>
              <w:t xml:space="preserve">投标人针对本项目所投中央台、边台等产品，提供对应立面图、单件解析图、效果图等设计图纸，并提供匹配项目场景的设计及配色方案，根据图纸完整性、详细度及方案适配性打分，满分5分。</w:t>
            </w:r>
            <w:r>
              <w:rPr>
                <w:rFonts w:hint="eastAsia" w:ascii="Times New Roman" w:hAnsi="Times New Roman" w:eastAsia="宋体" w:cs="Times New Roman"/>
                <w:color w:val="c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ascii="Times New Roman" w:hAnsi="Times New Roman" w:eastAsia="宋体" w:cs="Times New Roman"/>
                <w:color w:val="c00000"/>
                <w:sz w:val="21"/>
                <w:szCs w:val="21"/>
                <w:highlight w:val="none"/>
                <w:lang w:val="en-US" w:eastAsia="zh-CN" w:bidi="ar-SA"/>
              </w:rPr>
              <w:suppressLineNumbers w:val="0"/>
            </w:pPr>
            <w:r>
              <w:rPr>
                <w:rFonts w:hint="eastAsia" w:ascii="Times New Roman" w:hAnsi="Times New Roman" w:eastAsia="宋体" w:cs="Times New Roman"/>
                <w:color w:val="c00000"/>
                <w:sz w:val="21"/>
                <w:szCs w:val="21"/>
                <w:highlight w:val="none"/>
                <w:lang w:val="en-US" w:eastAsia="zh-CN" w:bidi="ar-SA"/>
              </w:rPr>
              <w:t xml:space="preserve">投标人完整提供所投中央台、边台等产品的立面图、单件解析图等全套设计图纸，图纸标注清晰、参数详实、细节完整，可完整呈现产品结构、尺寸、工艺细节；同时设计科学合理、配色和谐统一，与项目整体场地环境、装修风格高度契合，完全满足本项目使用及场景适配需求的得</w:t>
            </w:r>
            <w:r>
              <w:rPr>
                <w:rFonts w:hint="eastAsia" w:ascii="Times New Roman" w:hAnsi="Times New Roman" w:eastAsia="宋体" w:cs="Times New Roman"/>
                <w:color w:val="c00000"/>
                <w:sz w:val="21"/>
                <w:szCs w:val="21"/>
                <w:highlight w:val="none"/>
                <w:lang w:val="en-US" w:eastAsia="zh-CN" w:bidi="ar-SA"/>
              </w:rPr>
              <w:t xml:space="preserve">5分；</w:t>
            </w:r>
            <w:r>
              <w:rPr>
                <w:rFonts w:ascii="Times New Roman" w:hAnsi="Times New Roman" w:eastAsia="宋体" w:cs="Times New Roman"/>
                <w:color w:val="c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ascii="Times New Roman" w:hAnsi="Times New Roman" w:eastAsia="宋体" w:cs="Times New Roman"/>
                <w:color w:val="c00000"/>
                <w:sz w:val="21"/>
                <w:szCs w:val="21"/>
                <w:highlight w:val="none"/>
                <w:lang w:val="en-US" w:eastAsia="zh-CN" w:bidi="ar-SA"/>
              </w:rPr>
              <w:suppressLineNumbers w:val="0"/>
            </w:pPr>
            <w:r>
              <w:rPr>
                <w:rFonts w:hint="eastAsia" w:ascii="Times New Roman" w:hAnsi="Times New Roman" w:eastAsia="宋体" w:cs="Times New Roman"/>
                <w:color w:val="c00000"/>
                <w:sz w:val="21"/>
                <w:szCs w:val="21"/>
                <w:highlight w:val="none"/>
                <w:lang w:val="en-US" w:eastAsia="zh-CN" w:bidi="ar-SA"/>
              </w:rPr>
              <w:t xml:space="preserve">投标人提供所投产品的立面图、效果图、单件解析图等主要设计图纸，图纸内容较为完整、核心细节清晰；设计样式、配色方案美观大方，基本适配本项目场地及使用场景需求，无明显不符、冲突问题，可满足项目常规使用要求的得</w:t>
            </w:r>
            <w:r>
              <w:rPr>
                <w:rFonts w:hint="eastAsia" w:ascii="Times New Roman" w:hAnsi="Times New Roman" w:eastAsia="宋体" w:cs="Times New Roman"/>
                <w:color w:val="c00000"/>
                <w:sz w:val="21"/>
                <w:szCs w:val="21"/>
                <w:highlight w:val="none"/>
                <w:lang w:val="en-US" w:eastAsia="zh-CN" w:bidi="ar-SA"/>
              </w:rPr>
              <w:t xml:space="preserve">3分；</w:t>
            </w:r>
            <w:r>
              <w:rPr>
                <w:rFonts w:ascii="Times New Roman" w:hAnsi="Times New Roman" w:eastAsia="宋体" w:cs="Times New Roman"/>
                <w:color w:val="c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c00000"/>
                <w:sz w:val="21"/>
                <w:szCs w:val="21"/>
                <w:highlight w:val="none"/>
                <w:lang w:val="en-US" w:eastAsia="zh-CN" w:bidi="ar-SA"/>
              </w:rPr>
              <w:suppressLineNumbers w:val="0"/>
            </w:pPr>
            <w:r>
              <w:rPr>
                <w:rFonts w:hint="eastAsia" w:ascii="Times New Roman" w:hAnsi="Times New Roman" w:eastAsia="宋体" w:cs="Times New Roman"/>
                <w:color w:val="c00000"/>
                <w:sz w:val="21"/>
                <w:szCs w:val="21"/>
                <w:highlight w:val="none"/>
                <w:lang w:val="en-US" w:eastAsia="zh-CN" w:bidi="ar-SA"/>
              </w:rPr>
              <w:t xml:space="preserve">投标人仅提供部分所投产品的立面图、效果图、单件解析图，图纸种类缺失、细节简略，关键尺寸、结构、工艺标注不完整，图纸完整性和详实度不足</w:t>
            </w:r>
            <w:r>
              <w:rPr>
                <w:rFonts w:hint="eastAsia" w:ascii="Times New Roman" w:hAnsi="Times New Roman" w:eastAsia="宋体" w:cs="Times New Roman"/>
                <w:color w:val="c00000"/>
                <w:sz w:val="21"/>
                <w:szCs w:val="21"/>
                <w:highlight w:val="none"/>
                <w:lang w:val="en-US" w:eastAsia="zh-CN" w:bidi="ar-SA"/>
              </w:rPr>
              <w:t xml:space="preserve">的得1分；</w:t>
            </w:r>
            <w:r>
              <w:rPr>
                <w:rFonts w:hint="eastAsia" w:ascii="Times New Roman" w:hAnsi="Times New Roman" w:eastAsia="宋体" w:cs="Times New Roman"/>
                <w:color w:val="c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c00000"/>
                <w:sz w:val="21"/>
                <w:szCs w:val="21"/>
                <w:highlight w:val="none"/>
                <w:lang w:val="en-US" w:eastAsia="zh-CN" w:bidi="ar-SA"/>
              </w:rPr>
              <w:t xml:space="preserve">未提供不得分。</w:t>
            </w:r>
            <w:r>
              <w:rPr>
                <w:rFonts w:hint="eastAsia" w:ascii="Times New Roman" w:hAnsi="Times New Roman" w:eastAsia="宋体" w:cs="Times New Roman"/>
                <w:color w:val="000000"/>
                <w:sz w:val="21"/>
                <w:szCs w:val="21"/>
                <w:highlight w:val="none"/>
                <w:lang w:val="en-US" w:eastAsia="zh-CN" w:bidi="ar-SA"/>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en-US" w:eastAsia="zh-CN"/>
              </w:rPr>
            </w:r>
            <w:r/>
          </w:p>
        </w:tc>
      </w:tr>
      <w:tr>
        <w:trPr>
          <w:trHeight w:val="327"/>
        </w:trPr>
        <w:tc>
          <w:tcPr>
            <w:tcW w:w="89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6</w:t>
            </w:r>
            <w:r>
              <w:rPr>
                <w:rFonts w:hint="eastAsia" w:ascii="宋体" w:hAnsi="宋体" w:eastAsia="宋体" w:cs="宋体"/>
                <w:b w:val="0"/>
                <w:bCs w:val="0"/>
                <w:color w:val="000000"/>
                <w:spacing w:val="-4"/>
                <w:highlight w:val="none"/>
                <w:lang w:val="en-US" w:eastAsia="zh-CN"/>
              </w:rPr>
            </w:r>
            <w:r/>
          </w:p>
        </w:tc>
        <w:tc>
          <w:tcPr>
            <w:tcW w:w="1517"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0"/>
                <w:position w:val="0"/>
                <w:sz w:val="21"/>
                <w:szCs w:val="21"/>
                <w:highlight w:val="none"/>
                <w:lang w:val="en-US" w:eastAsia="zh-CN" w:bidi="ar-SA"/>
              </w:rPr>
            </w:pPr>
            <w:r>
              <w:rPr>
                <w:rFonts w:hint="eastAsia" w:ascii="宋体" w:hAnsi="宋体" w:eastAsia="宋体" w:cs="宋体"/>
                <w:b w:val="0"/>
                <w:bCs w:val="0"/>
                <w:color w:val="000000"/>
                <w:spacing w:val="-4"/>
                <w:highlight w:val="none"/>
                <w:lang w:val="en-US" w:eastAsia="zh-CN"/>
              </w:rPr>
              <w:t xml:space="preserve">售后服务     （5分）</w:t>
            </w:r>
            <w:r>
              <w:rPr>
                <w:rFonts w:hint="eastAsia" w:ascii="宋体" w:hAnsi="宋体" w:eastAsia="宋体" w:cs="宋体"/>
                <w:b w:val="0"/>
                <w:bCs w:val="0"/>
                <w:color w:val="000000"/>
                <w:spacing w:val="0"/>
                <w:position w:val="0"/>
                <w:sz w:val="21"/>
                <w:szCs w:val="21"/>
                <w:highlight w:val="none"/>
                <w:lang w:val="en-US" w:eastAsia="zh-CN" w:bidi="ar-SA"/>
              </w:rPr>
            </w:r>
            <w:r/>
          </w:p>
        </w:tc>
        <w:tc>
          <w:tcPr>
            <w:tcW w:w="6117" w:type="dxa"/>
            <w:vAlign w:val="top"/>
            <w:textDirection w:val="lrTb"/>
            <w:noWrap w:val="false"/>
          </w:tcPr>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c00000"/>
                <w:spacing w:val="0"/>
                <w:position w:val="0"/>
                <w:sz w:val="21"/>
                <w:szCs w:val="21"/>
                <w:highlight w:val="none"/>
                <w:lang w:val="en-US" w:eastAsia="zh-CN"/>
              </w:rPr>
              <w:suppressLineNumbers w:val="0"/>
            </w:pPr>
            <w:r>
              <w:rPr>
                <w:rFonts w:hint="eastAsia" w:ascii="宋体" w:hAnsi="宋体" w:eastAsia="宋体" w:cs="宋体"/>
                <w:b w:val="0"/>
                <w:bCs w:val="0"/>
                <w:color w:val="c00000"/>
                <w:spacing w:val="0"/>
                <w:position w:val="0"/>
                <w:sz w:val="21"/>
                <w:szCs w:val="21"/>
                <w:highlight w:val="none"/>
                <w:lang w:val="en-US" w:eastAsia="zh-CN"/>
              </w:rPr>
              <w:t xml:space="preserve">根据投标人提交的整体售后服务方案、售后人员配置、服务覆盖范围（含质保期内、质保期满后服务）、故障排查处置机制、突发应急处理预案、服务响应时效承诺等内容进行综合评审，满分5分。</w:t>
            </w:r>
            <w:r>
              <w:rPr>
                <w:rFonts w:hint="eastAsia" w:ascii="宋体" w:hAnsi="宋体" w:eastAsia="宋体" w:cs="宋体"/>
                <w:b w:val="0"/>
                <w:bCs w:val="0"/>
                <w:color w:val="c00000"/>
                <w:spacing w:val="0"/>
                <w:position w:val="0"/>
                <w:sz w:val="21"/>
                <w:szCs w:val="21"/>
                <w:highlight w:val="none"/>
                <w:lang w:val="en-US" w:eastAsia="zh-CN"/>
              </w:rPr>
            </w:r>
            <w:r/>
          </w:p>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c00000"/>
                <w:spacing w:val="0"/>
                <w:position w:val="0"/>
                <w:sz w:val="21"/>
                <w:szCs w:val="21"/>
                <w:highlight w:val="none"/>
                <w:lang w:val="en-US" w:eastAsia="zh-CN"/>
              </w:rPr>
              <w:suppressLineNumbers w:val="0"/>
            </w:pPr>
            <w:r>
              <w:rPr>
                <w:rFonts w:hint="eastAsia" w:ascii="宋体" w:hAnsi="宋体" w:eastAsia="宋体" w:cs="宋体"/>
                <w:b w:val="0"/>
                <w:bCs w:val="0"/>
                <w:color w:val="c00000"/>
                <w:spacing w:val="0"/>
                <w:position w:val="0"/>
                <w:sz w:val="21"/>
                <w:szCs w:val="21"/>
                <w:highlight w:val="none"/>
                <w:lang w:val="en-US" w:eastAsia="zh-CN"/>
              </w:rPr>
              <w:t xml:space="preserve">售后服务方案体系完整、内容详实、逻辑清晰，覆盖质保期内及质保期满后全周期服务内容；服务范围全面、贴合项目实际需求；售后人员配置充足、岗位职责明确；故障排查流程规范，突发情况应急处置预案科学完善、可落地性强；服务响应时效快速高效，各项服务承诺标准优质、完善</w:t>
            </w:r>
            <w:r>
              <w:rPr>
                <w:rFonts w:hint="eastAsia" w:ascii="宋体" w:hAnsi="宋体" w:eastAsia="宋体" w:cs="宋体"/>
                <w:b w:val="0"/>
                <w:bCs w:val="0"/>
                <w:color w:val="c00000"/>
                <w:spacing w:val="0"/>
                <w:position w:val="0"/>
                <w:sz w:val="21"/>
                <w:szCs w:val="21"/>
                <w:highlight w:val="none"/>
                <w:lang w:val="en-US" w:eastAsia="zh-CN"/>
              </w:rPr>
              <w:t xml:space="preserve">的得5分；</w:t>
            </w:r>
            <w:r>
              <w:rPr>
                <w:rFonts w:hint="eastAsia" w:ascii="宋体" w:hAnsi="宋体" w:eastAsia="宋体" w:cs="宋体"/>
                <w:b w:val="0"/>
                <w:bCs w:val="0"/>
                <w:color w:val="c00000"/>
                <w:spacing w:val="0"/>
                <w:position w:val="0"/>
                <w:sz w:val="21"/>
                <w:szCs w:val="21"/>
                <w:highlight w:val="none"/>
                <w:lang w:val="en-US" w:eastAsia="zh-CN"/>
              </w:rPr>
            </w:r>
            <w:r/>
          </w:p>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c00000"/>
                <w:spacing w:val="0"/>
                <w:position w:val="0"/>
                <w:sz w:val="21"/>
                <w:szCs w:val="21"/>
                <w:highlight w:val="none"/>
                <w:lang w:val="en-US" w:eastAsia="zh-CN"/>
              </w:rPr>
              <w:suppressLineNumbers w:val="0"/>
            </w:pPr>
            <w:r>
              <w:rPr>
                <w:rFonts w:hint="eastAsia" w:ascii="宋体" w:hAnsi="宋体" w:eastAsia="宋体" w:cs="宋体"/>
                <w:b w:val="0"/>
                <w:bCs w:val="0"/>
                <w:color w:val="c00000"/>
                <w:spacing w:val="0"/>
                <w:position w:val="0"/>
                <w:sz w:val="21"/>
                <w:szCs w:val="21"/>
                <w:highlight w:val="none"/>
                <w:lang w:val="en-US" w:eastAsia="zh-CN"/>
              </w:rPr>
              <w:t xml:space="preserve">售后服务方案内容较为完整，核心服务板块齐全；服务覆盖范围满足项目基本要求；具备合理的故障处理及应急处置思路，方案整体合规可行；配备符合项目服务要求的售后工作人员，服务响应时效良好，能够满足项目常规售后保障需求</w:t>
            </w:r>
            <w:r>
              <w:rPr>
                <w:rFonts w:hint="eastAsia" w:ascii="宋体" w:hAnsi="宋体" w:eastAsia="宋体" w:cs="宋体"/>
                <w:b w:val="0"/>
                <w:bCs w:val="0"/>
                <w:color w:val="c00000"/>
                <w:spacing w:val="0"/>
                <w:position w:val="0"/>
                <w:sz w:val="21"/>
                <w:szCs w:val="21"/>
                <w:highlight w:val="none"/>
                <w:lang w:val="en-US" w:eastAsia="zh-CN"/>
              </w:rPr>
              <w:t xml:space="preserve">的得3分；</w:t>
            </w:r>
            <w:r>
              <w:rPr>
                <w:rFonts w:hint="eastAsia" w:ascii="宋体" w:hAnsi="宋体" w:eastAsia="宋体" w:cs="宋体"/>
                <w:b w:val="0"/>
                <w:bCs w:val="0"/>
                <w:color w:val="c00000"/>
                <w:spacing w:val="0"/>
                <w:position w:val="0"/>
                <w:sz w:val="21"/>
                <w:szCs w:val="21"/>
                <w:highlight w:val="none"/>
                <w:lang w:val="en-US" w:eastAsia="zh-CN"/>
              </w:rPr>
            </w:r>
            <w:r/>
          </w:p>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c00000"/>
                <w:spacing w:val="0"/>
                <w:position w:val="0"/>
                <w:sz w:val="21"/>
                <w:szCs w:val="21"/>
                <w:highlight w:val="none"/>
                <w:lang w:val="en-US" w:eastAsia="zh-CN"/>
              </w:rPr>
              <w:suppressLineNumbers w:val="0"/>
            </w:pPr>
            <w:r>
              <w:rPr>
                <w:rFonts w:hint="eastAsia" w:ascii="宋体" w:hAnsi="宋体" w:eastAsia="宋体" w:cs="宋体"/>
                <w:b w:val="0"/>
                <w:bCs w:val="0"/>
                <w:color w:val="c00000"/>
                <w:spacing w:val="0"/>
                <w:position w:val="0"/>
                <w:sz w:val="21"/>
                <w:szCs w:val="21"/>
                <w:highlight w:val="none"/>
                <w:lang w:val="en-US" w:eastAsia="zh-CN"/>
              </w:rPr>
              <w:t xml:space="preserve">仅提供基础售后服务方案，内容简略、表述笼统，缺乏细化服务流程、保障措施及时效细则；未配置专属固定售后人员，仅能勉强满足项目最低基础售后需求，服务保障力度薄弱</w:t>
            </w:r>
            <w:r>
              <w:rPr>
                <w:rFonts w:hint="eastAsia" w:ascii="宋体" w:hAnsi="宋体" w:eastAsia="宋体" w:cs="宋体"/>
                <w:b w:val="0"/>
                <w:bCs w:val="0"/>
                <w:color w:val="c00000"/>
                <w:spacing w:val="0"/>
                <w:position w:val="0"/>
                <w:sz w:val="21"/>
                <w:szCs w:val="21"/>
                <w:highlight w:val="none"/>
                <w:lang w:val="en-US" w:eastAsia="zh-CN"/>
              </w:rPr>
              <w:t xml:space="preserve">的得1分；</w:t>
            </w:r>
            <w:r>
              <w:rPr>
                <w:rFonts w:hint="eastAsia" w:ascii="宋体" w:hAnsi="宋体" w:eastAsia="宋体" w:cs="宋体"/>
                <w:b w:val="0"/>
                <w:bCs w:val="0"/>
                <w:color w:val="c00000"/>
                <w:spacing w:val="0"/>
                <w:position w:val="0"/>
                <w:sz w:val="21"/>
                <w:szCs w:val="21"/>
                <w:highlight w:val="none"/>
                <w:lang w:val="en-US" w:eastAsia="zh-CN"/>
              </w:rPr>
            </w:r>
            <w:r/>
          </w:p>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c00000"/>
                <w:spacing w:val="0"/>
                <w:position w:val="0"/>
                <w:sz w:val="21"/>
                <w:szCs w:val="21"/>
                <w:highlight w:val="none"/>
                <w:lang w:val="en-US" w:eastAsia="zh-CN"/>
              </w:rPr>
              <w:suppressLineNumbers w:val="0"/>
            </w:pPr>
            <w:r>
              <w:rPr>
                <w:rFonts w:hint="eastAsia" w:ascii="宋体" w:hAnsi="宋体" w:eastAsia="宋体" w:cs="宋体"/>
                <w:b w:val="0"/>
                <w:bCs w:val="0"/>
                <w:color w:val="c00000"/>
                <w:spacing w:val="0"/>
                <w:position w:val="0"/>
                <w:sz w:val="21"/>
                <w:szCs w:val="21"/>
                <w:highlight w:val="none"/>
                <w:lang w:val="en-US" w:eastAsia="zh-CN"/>
              </w:rPr>
              <w:t xml:space="preserve">未提供任何售后服务方案，或所提供售后服务方案内容空洞、严重缺失核心内容，与本项目实际售后保障需求不匹配、不具备可实施性，本项不计分。</w:t>
            </w:r>
            <w:r>
              <w:rPr>
                <w:rFonts w:hint="eastAsia" w:ascii="宋体" w:hAnsi="宋体" w:eastAsia="宋体" w:cs="宋体"/>
                <w:b w:val="0"/>
                <w:bCs w:val="0"/>
                <w:color w:val="c00000"/>
                <w:spacing w:val="0"/>
                <w:position w:val="0"/>
                <w:sz w:val="21"/>
                <w:szCs w:val="21"/>
                <w:highlight w:val="none"/>
                <w:lang w:val="en-US" w:eastAsia="zh-CN"/>
              </w:rPr>
            </w:r>
            <w:r/>
          </w:p>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c00000"/>
                <w:spacing w:val="0"/>
                <w:position w:val="0"/>
                <w:sz w:val="21"/>
                <w:szCs w:val="21"/>
                <w:highlight w:val="none"/>
                <w:lang w:val="en-US" w:eastAsia="zh-CN"/>
              </w:rPr>
              <w:t xml:space="preserve">备注：（1）售后人员配置、服务响应时效均以投标人投标文件中的有效承诺内容为准；</w:t>
            </w:r>
            <w:r>
              <w:rPr>
                <w:rFonts w:hint="eastAsia" w:ascii="宋体" w:hAnsi="宋体" w:eastAsia="宋体" w:cs="宋体"/>
                <w:b w:val="0"/>
                <w:bCs w:val="0"/>
                <w:color w:val="c00000"/>
                <w:spacing w:val="0"/>
                <w:position w:val="0"/>
                <w:sz w:val="21"/>
                <w:szCs w:val="21"/>
                <w:highlight w:val="none"/>
                <w:lang w:val="en-US" w:eastAsia="zh-CN"/>
              </w:rPr>
              <w:t xml:space="preserve">（2）</w:t>
            </w:r>
            <w:r>
              <w:rPr>
                <w:rFonts w:hint="eastAsia" w:ascii="宋体" w:hAnsi="宋体" w:eastAsia="宋体" w:cs="宋体"/>
                <w:b w:val="0"/>
                <w:bCs w:val="0"/>
                <w:color w:val="c00000"/>
                <w:spacing w:val="0"/>
                <w:position w:val="0"/>
                <w:sz w:val="21"/>
                <w:szCs w:val="21"/>
                <w:highlight w:val="none"/>
                <w:lang w:val="en-US" w:eastAsia="zh-CN"/>
              </w:rPr>
              <w:t xml:space="preserve">售后服务方案须完整规范、核心板块无缺失，方案内容不完整、要素缺失的，按对应评分档位下限计分。</w:t>
            </w:r>
            <w:r>
              <w:rPr>
                <w:rFonts w:hint="eastAsia" w:ascii="宋体" w:hAnsi="宋体" w:eastAsia="宋体" w:cs="宋体"/>
                <w:b w:val="0"/>
                <w:bCs w:val="0"/>
                <w:color w:val="000000"/>
                <w:spacing w:val="0"/>
                <w:position w:val="0"/>
                <w:sz w:val="21"/>
                <w:szCs w:val="21"/>
                <w:highlight w:val="none"/>
                <w:lang w:val="en-US" w:eastAsia="zh-CN"/>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sz w:val="21"/>
                <w:szCs w:val="21"/>
                <w:highlight w:val="none"/>
                <w:lang w:val="en-US" w:eastAsia="zh-CN" w:bidi="ar-SA"/>
              </w:rPr>
            </w:pPr>
            <w:r>
              <w:rPr>
                <w:rFonts w:hint="eastAsia" w:eastAsia="宋体" w:cs="宋体"/>
                <w:b w:val="0"/>
                <w:bCs w:val="0"/>
                <w:color w:val="c00000"/>
                <w:highlight w:val="none"/>
                <w:lang w:val="en-US" w:eastAsia="zh-CN"/>
              </w:rPr>
              <w:t xml:space="preserve">5</w:t>
            </w:r>
            <w:r>
              <w:rPr>
                <w:rFonts w:hint="eastAsia" w:ascii="宋体" w:hAnsi="宋体" w:eastAsia="宋体" w:cs="宋体"/>
                <w:b w:val="0"/>
                <w:bCs w:val="0"/>
                <w:color w:val="000000"/>
                <w:sz w:val="21"/>
                <w:szCs w:val="21"/>
                <w:highlight w:val="none"/>
                <w:lang w:val="en-US" w:eastAsia="zh-CN" w:bidi="ar-SA"/>
              </w:rPr>
            </w:r>
            <w:r/>
          </w:p>
        </w:tc>
      </w:tr>
      <w:tr>
        <w:trPr>
          <w:trHeight w:val="1108"/>
        </w:trPr>
        <w:tc>
          <w:tcPr>
            <w:tcW w:w="89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7</w:t>
            </w:r>
            <w:r>
              <w:rPr>
                <w:rFonts w:hint="eastAsia" w:ascii="宋体" w:hAnsi="宋体" w:eastAsia="宋体" w:cs="宋体"/>
                <w:b w:val="0"/>
                <w:bCs w:val="0"/>
                <w:color w:val="000000"/>
                <w:spacing w:val="-4"/>
                <w:highlight w:val="none"/>
                <w:lang w:val="en-US" w:eastAsia="zh-CN"/>
              </w:rPr>
            </w:r>
            <w:r/>
          </w:p>
        </w:tc>
        <w:tc>
          <w:tcPr>
            <w:tcW w:w="1517"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ascii="宋体" w:hAnsi="宋体" w:eastAsia="宋体" w:cs="宋体"/>
                <w:b w:val="0"/>
                <w:bCs w:val="0"/>
                <w:color w:val="000000"/>
                <w:spacing w:val="-4"/>
                <w:highlight w:val="none"/>
                <w:lang w:val="en-US" w:eastAsia="zh-CN"/>
              </w:rPr>
              <w:t xml:space="preserve">类似业绩</w:t>
            </w:r>
            <w:r>
              <w:rPr>
                <w:rFonts w:hint="eastAsia" w:ascii="宋体" w:hAnsi="宋体" w:eastAsia="宋体" w:cs="宋体"/>
                <w:b w:val="0"/>
                <w:bCs w:val="0"/>
                <w:color w:val="000000"/>
                <w:spacing w:val="-4"/>
                <w:highlight w:val="none"/>
                <w:lang w:val="en-US" w:eastAsia="zh-CN"/>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1"/>
                <w:szCs w:val="21"/>
                <w:highlight w:val="none"/>
                <w:lang w:val="en-US" w:eastAsia="zh-CN" w:bidi="ar-SA"/>
              </w:rPr>
            </w:pPr>
            <w:r>
              <w:rPr>
                <w:rFonts w:hint="eastAsia" w:ascii="宋体" w:hAnsi="宋体" w:eastAsia="宋体" w:cs="宋体"/>
                <w:b w:val="0"/>
                <w:bCs w:val="0"/>
                <w:color w:val="000000"/>
                <w:spacing w:val="-4"/>
                <w:highlight w:val="none"/>
                <w:lang w:val="en-US" w:eastAsia="zh-CN"/>
              </w:rPr>
              <w:t xml:space="preserve">（</w:t>
            </w:r>
            <w:r>
              <w:rPr>
                <w:rFonts w:hint="eastAsia" w:eastAsia="宋体" w:cs="宋体"/>
                <w:b w:val="0"/>
                <w:bCs w:val="0"/>
                <w:color w:val="000000"/>
                <w:spacing w:val="-4"/>
                <w:highlight w:val="none"/>
                <w:lang w:val="en-US" w:eastAsia="zh-CN"/>
              </w:rPr>
              <w:t xml:space="preserve">3</w:t>
            </w:r>
            <w:r>
              <w:rPr>
                <w:rFonts w:hint="eastAsia" w:ascii="宋体" w:hAnsi="宋体" w:eastAsia="宋体" w:cs="宋体"/>
                <w:b w:val="0"/>
                <w:bCs w:val="0"/>
                <w:color w:val="000000"/>
                <w:spacing w:val="-4"/>
                <w:highlight w:val="none"/>
                <w:lang w:val="en-US" w:eastAsia="zh-CN"/>
              </w:rPr>
              <w:t xml:space="preserve">分）</w:t>
            </w:r>
            <w:r>
              <w:rPr>
                <w:rFonts w:hint="eastAsia" w:ascii="宋体" w:hAnsi="宋体" w:eastAsia="宋体" w:cs="宋体"/>
                <w:b w:val="0"/>
                <w:bCs w:val="0"/>
                <w:color w:val="000000"/>
                <w:spacing w:val="-4"/>
                <w:sz w:val="21"/>
                <w:szCs w:val="21"/>
                <w:highlight w:val="none"/>
                <w:lang w:val="en-US" w:eastAsia="zh-CN" w:bidi="ar-SA"/>
              </w:rPr>
            </w:r>
            <w:r/>
          </w:p>
        </w:tc>
        <w:tc>
          <w:tcPr>
            <w:tcW w:w="6117" w:type="dxa"/>
            <w:vAlign w:val="top"/>
            <w:textDirection w:val="lrTb"/>
            <w:noWrap w:val="false"/>
          </w:tcPr>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投标人 2023年5月1日以来（以合同签订时间为准）已完成的类似业绩（业绩中包含实验室家具），每有1个得1分，最高得3分。需提供合同有效复印件。</w:t>
            </w:r>
            <w:r>
              <w:rPr>
                <w:rFonts w:hint="eastAsia" w:ascii="宋体" w:hAnsi="宋体" w:eastAsia="宋体" w:cs="宋体"/>
                <w:b w:val="0"/>
                <w:bCs w:val="0"/>
                <w:color w:val="000000"/>
                <w:spacing w:val="0"/>
                <w:position w:val="0"/>
                <w:sz w:val="21"/>
                <w:szCs w:val="21"/>
                <w:highlight w:val="none"/>
                <w:lang w:val="en-US" w:eastAsia="zh-CN"/>
              </w:rPr>
            </w:r>
            <w:r/>
          </w:p>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en-US"/>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合同内容明细或签订时间不清晰的不算分，原件备查。</w:t>
            </w:r>
            <w:r>
              <w:rPr>
                <w:rFonts w:hint="eastAsia" w:ascii="宋体" w:hAnsi="宋体" w:eastAsia="宋体" w:cs="宋体"/>
                <w:b w:val="0"/>
                <w:bCs w:val="0"/>
                <w:color w:val="000000"/>
                <w:spacing w:val="0"/>
                <w:position w:val="0"/>
                <w:sz w:val="21"/>
                <w:szCs w:val="21"/>
                <w:highlight w:val="none"/>
                <w:lang w:val="en-US" w:eastAsia="en-US"/>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sz w:val="21"/>
                <w:szCs w:val="21"/>
                <w:highlight w:val="none"/>
                <w:lang w:val="en-US" w:eastAsia="zh-CN" w:bidi="ar-SA"/>
              </w:rPr>
            </w:pPr>
            <w:r>
              <w:rPr>
                <w:rFonts w:hint="eastAsia" w:eastAsia="宋体" w:cs="宋体"/>
                <w:b w:val="0"/>
                <w:bCs w:val="0"/>
                <w:color w:val="000000"/>
                <w:highlight w:val="none"/>
                <w:lang w:val="en-US" w:eastAsia="zh-CN"/>
              </w:rPr>
              <w:t xml:space="preserve">3</w:t>
            </w:r>
            <w:r>
              <w:rPr>
                <w:rFonts w:hint="eastAsia" w:ascii="宋体" w:hAnsi="宋体" w:eastAsia="宋体" w:cs="宋体"/>
                <w:b w:val="0"/>
                <w:bCs w:val="0"/>
                <w:color w:val="000000"/>
                <w:sz w:val="21"/>
                <w:szCs w:val="21"/>
                <w:highlight w:val="none"/>
                <w:lang w:val="en-US" w:eastAsia="zh-CN" w:bidi="ar-SA"/>
              </w:rPr>
            </w:r>
            <w:r/>
          </w:p>
        </w:tc>
      </w:tr>
      <w:tr>
        <w:trPr>
          <w:trHeight w:val="623"/>
        </w:trPr>
        <w:tc>
          <w:tcPr>
            <w:gridSpan w:val="3"/>
            <w:tcW w:w="8528" w:type="dxa"/>
            <w:vAlign w:val="center"/>
            <w:textDirection w:val="lrTb"/>
            <w:noWrap w:val="false"/>
          </w:tcPr>
          <w:p>
            <w:pPr>
              <w:pStyle w:val="899"/>
              <w:ind w:lef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合计</w:t>
            </w:r>
            <w:r>
              <w:rPr>
                <w:rFonts w:hint="eastAsia" w:ascii="宋体" w:hAnsi="宋体" w:eastAsia="宋体" w:cs="宋体"/>
                <w:b w:val="0"/>
                <w:bCs w:val="0"/>
                <w:color w:val="000000"/>
                <w:spacing w:val="0"/>
                <w:position w:val="0"/>
                <w:sz w:val="21"/>
                <w:szCs w:val="21"/>
                <w:highlight w:val="none"/>
                <w:lang w:val="en-US" w:eastAsia="zh-CN"/>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pacing w:val="-5"/>
                <w:position w:val="1"/>
                <w:highlight w:val="none"/>
              </w:rPr>
              <w:t xml:space="preserve">100</w:t>
            </w:r>
            <w:r>
              <w:rPr>
                <w:rFonts w:hint="eastAsia" w:eastAsia="宋体" w:cs="宋体"/>
                <w:b w:val="0"/>
                <w:bCs w:val="0"/>
                <w:color w:val="000000"/>
                <w:spacing w:val="-5"/>
                <w:position w:val="1"/>
                <w:highlight w:val="none"/>
                <w:lang w:val="en-US" w:eastAsia="zh-CN"/>
              </w:rPr>
              <w:t xml:space="preserve">分</w:t>
            </w:r>
            <w:r>
              <w:rPr>
                <w:rFonts w:hint="eastAsia" w:ascii="宋体" w:hAnsi="宋体" w:eastAsia="宋体" w:cs="宋体"/>
                <w:b w:val="0"/>
                <w:bCs w:val="0"/>
                <w:color w:val="000000"/>
                <w:highlight w:val="none"/>
                <w:lang w:val="en-US" w:eastAsia="zh-CN"/>
              </w:rPr>
            </w:r>
            <w:r/>
          </w:p>
        </w:tc>
      </w:tr>
    </w:tbl>
    <w:p>
      <w:pPr>
        <w:pStyle w:val="825"/>
        <w:ind w:firstLine="442"/>
        <w:rPr>
          <w:rFonts w:hint="eastAsia" w:ascii="宋体" w:hAnsi="宋体" w:eastAsia="宋体" w:cs="宋体"/>
          <w:b/>
          <w:color w:val="000000"/>
          <w:sz w:val="22"/>
          <w:szCs w:val="22"/>
          <w:highlight w:val="none"/>
        </w:rPr>
        <w:outlineLvl w:val="1"/>
      </w:pPr>
      <w:r/>
      <w:bookmarkStart w:id="98" w:name="_Toc29051"/>
      <w:r>
        <w:rPr>
          <w:rFonts w:hint="eastAsia" w:ascii="宋体" w:hAnsi="宋体" w:eastAsia="宋体" w:cs="宋体"/>
          <w:b/>
          <w:color w:val="000000"/>
          <w:sz w:val="22"/>
          <w:szCs w:val="22"/>
          <w:highlight w:val="none"/>
        </w:rPr>
        <w:t xml:space="preserve">五、评分因素及分值说明</w:t>
      </w:r>
      <w:bookmarkEnd w:id="98"/>
      <w:r>
        <w:rPr>
          <w:rFonts w:hint="eastAsia" w:ascii="宋体" w:hAnsi="宋体" w:eastAsia="宋体" w:cs="宋体"/>
          <w:b/>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1.评审委员会成员按招标文件和本办法上述有关规定给各投标文件评分。</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2.各供应商的得分为各评委所评定分数的算术平均值。</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3.各项统计、评分结果均按四舍五入方法精确到小数点后两位。</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bookmarkStart w:id="99" w:name="_Toc462837790"/>
      <w:r>
        <w:rPr>
          <w:rFonts w:hint="eastAsia" w:ascii="宋体" w:hAnsi="宋体" w:eastAsia="宋体" w:cs="宋体"/>
          <w:color w:val="000000"/>
          <w:sz w:val="22"/>
          <w:szCs w:val="22"/>
          <w:highlight w:val="none"/>
        </w:rPr>
        <w:t xml:space="preserve">5.</w:t>
      </w:r>
      <w:bookmarkEnd w:id="99"/>
      <w:r>
        <w:rPr>
          <w:rFonts w:hint="eastAsia" w:ascii="宋体" w:hAnsi="宋体" w:eastAsia="宋体" w:cs="宋体"/>
          <w:color w:val="000000"/>
          <w:sz w:val="22"/>
          <w:szCs w:val="22"/>
          <w:highlight w:val="none"/>
        </w:rPr>
        <w:t xml:space="preserve">政府采购政策功能落实</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5.1小微型企业价格扣除</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（1）对小型和微型企业产品给予10%的扣除价格，用扣除后的价格参与评审。</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（2）供应商需按照招标文件的要求提供相应的《企业声明函》。</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5.2残疾人福利单位价格扣除</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（1）对残疾人福利性单位视同小型、微型企业，给予10%的价格扣除，用扣除后的价格参与评审。</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（2）残疾人福利单位需按照招标文件的要求提供《残疾人福利性单位声明函》。</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（3）残疾人福利单位标准请参照《关于促进残疾人就业政府采购政策的通知》（财库〔2017〕141号）。</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5.3监狱和戒毒企业价格扣除</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（1）对监狱和戒毒企业（简称监狱企业）视同小型、微型企业，给予10%的价格扣除，用扣除后的价格参与评审。</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（3）监狱企业标准请参照《关于政府采购支持监狱企业发展有关问题的通知》（财库〔2014〕68号）。</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5.4残疾人福利单位、监狱企业属于小型、微型企业的，不重复享受政策。</w:t>
      </w:r>
      <w:bookmarkStart w:id="100" w:name="_Toc150538845"/>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highlight w:val="none"/>
        </w:rPr>
      </w:pPr>
      <w:r>
        <w:rPr>
          <w:rFonts w:hint="eastAsia" w:ascii="宋体" w:hAnsi="宋体" w:eastAsia="宋体" w:cs="宋体"/>
          <w:color w:val="000000"/>
          <w:sz w:val="22"/>
          <w:szCs w:val="22"/>
          <w:highlight w:val="none"/>
        </w:rPr>
        <w:t xml:space="preserve">5.5属于专门面向中小微企业的项目不适用以上“政府采购政策功能落实”价格扣除条款。</w:t>
      </w:r>
      <w:bookmarkStart w:id="101" w:name="_Toc649"/>
      <w:r>
        <w:rPr>
          <w:rFonts w:hint="eastAsia" w:ascii="宋体" w:hAnsi="宋体" w:eastAsia="宋体" w:cs="宋体"/>
          <w:color w:val="000000"/>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6.对本国产品的支持政策</w:t>
      </w:r>
      <w:r>
        <w:rPr>
          <w:rFonts w:hint="eastAsia" w:ascii="宋体" w:hAnsi="宋体" w:eastAsia="宋体" w:cs="宋体"/>
          <w:color w:val="000000"/>
          <w:sz w:val="22"/>
          <w:szCs w:val="22"/>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（3）产品总成本和组件成本以相关会计核算数据、采购合同、进货记录等为基础进行计算。</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（4）需要对成本核算规则予以进一步明确的其他有关事项，由财政部会同有关部门另行规定。</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同品牌投标人的认定：</w:t>
      </w:r>
      <w:r>
        <w:rPr>
          <w:rFonts w:hint="eastAsia" w:ascii="宋体" w:hAnsi="宋体" w:eastAsia="宋体" w:cs="宋体"/>
          <w:color w:val="000000"/>
          <w:highlight w:val="none"/>
        </w:rPr>
      </w:r>
      <w:r/>
    </w:p>
    <w:p>
      <w:pPr>
        <w:pStyle w:val="825"/>
        <w:ind w:firstLine="420"/>
        <w:jc w:val="left"/>
        <w:rPr>
          <w:rFonts w:hint="eastAsia"/>
          <w:color w:val="000000"/>
          <w:highlight w:val="none"/>
        </w:rPr>
      </w:pPr>
      <w:r>
        <w:rPr>
          <w:rFonts w:hint="eastAsia" w:ascii="宋体" w:hAnsi="宋体" w:eastAsia="宋体" w:cs="宋体"/>
          <w:color w:val="000000"/>
          <w:highlight w:val="none"/>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color w:val="000000"/>
          <w:highlight w:val="none"/>
        </w:rPr>
      </w:r>
      <w:r/>
    </w:p>
    <w:p>
      <w:pPr>
        <w:pStyle w:val="825"/>
        <w:ind w:firstLine="420"/>
        <w:jc w:val="left"/>
        <w:rPr>
          <w:rFonts w:hint="eastAsia" w:ascii="宋体" w:hAnsi="宋体" w:eastAsia="宋体" w:cs="宋体"/>
          <w:b w:val="0"/>
          <w:bCs w:val="0"/>
          <w:color w:val="000000"/>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本项目核心产品为：</w:t>
      </w:r>
      <w:r>
        <w:rPr>
          <w:rFonts w:hint="eastAsia" w:ascii="宋体" w:hAnsi="宋体" w:eastAsia="宋体" w:cs="宋体"/>
          <w:color w:val="000000"/>
          <w:highlight w:val="none"/>
          <w:lang w:val="en-US" w:eastAsia="zh-CN"/>
        </w:rPr>
        <w:t xml:space="preserve">详见技术要求</w:t>
      </w:r>
      <w:r>
        <w:rPr>
          <w:rFonts w:hint="eastAsia" w:ascii="宋体" w:hAnsi="宋体" w:eastAsia="宋体" w:cs="宋体"/>
          <w:b w:val="0"/>
          <w:bCs w:val="0"/>
          <w:color w:val="000000"/>
          <w:highlight w:val="none"/>
        </w:rPr>
        <w:t xml:space="preserve">。</w:t>
      </w:r>
      <w:r>
        <w:rPr>
          <w:rFonts w:hint="eastAsia" w:ascii="宋体" w:hAnsi="宋体" w:eastAsia="宋体" w:cs="宋体"/>
          <w:b w:val="0"/>
          <w:bCs w:val="0"/>
          <w:color w:val="000000"/>
          <w:highlight w:val="none"/>
        </w:rPr>
      </w:r>
      <w:r/>
    </w:p>
    <w:p>
      <w:pPr>
        <w:pStyle w:val="825"/>
        <w:ind w:firstLine="420"/>
        <w:jc w:val="left"/>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highlight w:val="none"/>
        </w:rPr>
      </w:r>
      <w:r/>
    </w:p>
    <w:p>
      <w:pPr>
        <w:pStyle w:val="826"/>
        <w:ind w:firstLine="0"/>
        <w:spacing w:before="480"/>
        <w:tabs>
          <w:tab w:val="left" w:pos="1440" w:leader="none"/>
          <w:tab w:val="left" w:pos="5670" w:leader="none"/>
        </w:tabs>
        <w:rPr>
          <w:rFonts w:hint="eastAsia"/>
          <w:color w:val="000000"/>
          <w:highlight w:val="none"/>
        </w:rPr>
      </w:pPr>
      <w:r/>
      <w:bookmarkStart w:id="102" w:name="_Toc19039"/>
      <w:r>
        <w:rPr>
          <w:rFonts w:hint="eastAsia" w:ascii="宋体" w:hAnsi="宋体" w:eastAsia="宋体" w:cs="宋体"/>
          <w:color w:val="000000"/>
          <w:highlight w:val="none"/>
        </w:rPr>
        <w:t xml:space="preserve">第四章 </w:t>
      </w:r>
      <w:bookmarkEnd w:id="100"/>
      <w:r/>
      <w:bookmarkEnd w:id="101"/>
      <w:r>
        <w:rPr>
          <w:rFonts w:hint="eastAsia" w:ascii="宋体" w:hAnsi="宋体" w:eastAsia="宋体" w:cs="宋体"/>
          <w:color w:val="000000"/>
          <w:highlight w:val="none"/>
        </w:rPr>
        <w:t xml:space="preserve">采购需求</w:t>
      </w:r>
      <w:bookmarkEnd w:id="102"/>
      <w:r>
        <w:rPr>
          <w:rFonts w:hint="eastAsia"/>
          <w:color w:val="000000"/>
          <w:highlight w:val="none"/>
        </w:rPr>
      </w:r>
      <w:r/>
    </w:p>
    <w:p>
      <w:pPr>
        <w:pStyle w:val="825"/>
        <w:numPr>
          <w:ilvl w:val="0"/>
          <w:numId w:val="41"/>
        </w:numPr>
        <w:spacing w:after="5"/>
        <w:rPr>
          <w:rFonts w:hint="eastAsia" w:ascii="宋体" w:hAnsi="宋体" w:eastAsia="宋体" w:cs="宋体"/>
          <w:b/>
          <w:color w:val="000000"/>
          <w:sz w:val="28"/>
          <w:szCs w:val="28"/>
          <w:highlight w:val="none"/>
        </w:rPr>
        <w:outlineLvl w:val="1"/>
      </w:pPr>
      <w:r/>
      <w:bookmarkStart w:id="103" w:name="_Toc22347"/>
      <w:r/>
      <w:bookmarkStart w:id="104" w:name="_Toc15398"/>
      <w:r/>
      <w:bookmarkStart w:id="105" w:name="_Toc22261"/>
      <w:r/>
      <w:bookmarkStart w:id="106" w:name="_Toc3459"/>
      <w:r>
        <w:rPr>
          <w:rFonts w:hint="eastAsia" w:ascii="宋体" w:hAnsi="宋体" w:eastAsia="宋体" w:cs="宋体"/>
          <w:b/>
          <w:color w:val="000000"/>
          <w:sz w:val="28"/>
          <w:szCs w:val="28"/>
          <w:highlight w:val="none"/>
        </w:rPr>
        <w:t xml:space="preserve">项目概况：</w:t>
      </w:r>
      <w:bookmarkEnd w:id="103"/>
      <w:r/>
      <w:bookmarkEnd w:id="104"/>
      <w:r>
        <w:rPr>
          <w:rFonts w:hint="eastAsia" w:ascii="宋体" w:hAnsi="宋体" w:eastAsia="宋体" w:cs="宋体"/>
          <w:b/>
          <w:color w:val="000000"/>
          <w:sz w:val="28"/>
          <w:szCs w:val="28"/>
          <w:highlight w:val="none"/>
        </w:rPr>
      </w:r>
      <w:r/>
    </w:p>
    <w:p>
      <w:pPr>
        <w:pStyle w:val="825"/>
        <w:ind w:firstLine="560"/>
        <w:spacing w:before="0" w:after="0"/>
        <w:rPr>
          <w:rFonts w:hint="eastAsia"/>
          <w:color w:val="000000"/>
          <w:highlight w:val="none"/>
        </w:rPr>
      </w:pPr>
      <w:r>
        <w:rPr>
          <w:rFonts w:hint="eastAsia" w:ascii="宋体" w:hAnsi="宋体" w:eastAsia="宋体" w:cs="宋体"/>
          <w:bCs/>
          <w:color w:val="000000"/>
          <w:sz w:val="28"/>
          <w:szCs w:val="28"/>
          <w:highlight w:val="none"/>
        </w:rPr>
        <w:t xml:space="preserve">本项目为</w:t>
      </w:r>
      <w:r>
        <w:rPr>
          <w:rFonts w:hint="eastAsia" w:ascii="宋体" w:hAnsi="宋体" w:eastAsia="宋体" w:cs="宋体"/>
          <w:color w:val="000000"/>
          <w:sz w:val="28"/>
          <w:szCs w:val="28"/>
          <w:highlight w:val="none"/>
          <w:lang w:eastAsia="zh-CN"/>
        </w:rPr>
        <w:t xml:space="preserve">江苏省计量检测基地(二期)实验室家具采购</w:t>
      </w:r>
      <w:r>
        <w:rPr>
          <w:rFonts w:hint="eastAsia" w:ascii="宋体" w:hAnsi="宋体" w:eastAsia="宋体" w:cs="宋体"/>
          <w:color w:val="000000"/>
          <w:sz w:val="28"/>
          <w:szCs w:val="28"/>
          <w:highlight w:val="none"/>
        </w:rPr>
        <w:t xml:space="preserve">，相关要求详见技术要求及商务要求。实验室家具分布明细详情</w:t>
      </w:r>
      <w:r>
        <w:rPr>
          <w:rFonts w:hint="eastAsia" w:ascii="宋体" w:hAnsi="宋体" w:eastAsia="宋体" w:cs="宋体"/>
          <w:color w:val="000000"/>
          <w:sz w:val="28"/>
          <w:szCs w:val="28"/>
          <w:highlight w:val="none"/>
          <w:lang w:val="en-US" w:eastAsia="zh-CN"/>
        </w:rPr>
        <w:t xml:space="preserve">详见</w:t>
      </w:r>
      <w:r>
        <w:rPr>
          <w:rFonts w:hint="eastAsia" w:ascii="宋体" w:hAnsi="宋体" w:eastAsia="宋体" w:cs="宋体"/>
          <w:color w:val="000000"/>
          <w:sz w:val="28"/>
          <w:szCs w:val="28"/>
          <w:highlight w:val="none"/>
        </w:rPr>
        <w:t xml:space="preserve">附件</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实验室家具分布明细详情表</w:t>
      </w:r>
      <w:r>
        <w:rPr>
          <w:rFonts w:hint="eastAsia" w:ascii="宋体" w:hAnsi="宋体" w:eastAsia="宋体" w:cs="宋体"/>
          <w:color w:val="000000"/>
          <w:sz w:val="28"/>
          <w:szCs w:val="28"/>
          <w:highlight w:val="none"/>
          <w:lang w:eastAsia="zh-CN"/>
        </w:rPr>
        <w:t xml:space="preserve">”。</w:t>
      </w:r>
      <w:r>
        <w:rPr>
          <w:rFonts w:hint="eastAsia"/>
          <w:color w:val="000000"/>
          <w:highlight w:val="none"/>
        </w:rPr>
      </w:r>
      <w:r/>
    </w:p>
    <w:p>
      <w:pPr>
        <w:pStyle w:val="825"/>
        <w:numPr>
          <w:ilvl w:val="0"/>
          <w:numId w:val="41"/>
        </w:numPr>
        <w:rPr>
          <w:rFonts w:hint="eastAsia" w:ascii="宋体" w:hAnsi="宋体" w:eastAsia="宋体" w:cs="宋体"/>
          <w:b/>
          <w:color w:val="000000"/>
          <w:sz w:val="28"/>
          <w:szCs w:val="28"/>
          <w:highlight w:val="none"/>
        </w:rPr>
        <w:outlineLvl w:val="1"/>
      </w:pPr>
      <w:r/>
      <w:bookmarkStart w:id="107" w:name="_Toc17578"/>
      <w:r/>
      <w:bookmarkStart w:id="108" w:name="_Toc21425"/>
      <w:r>
        <w:rPr>
          <w:rFonts w:hint="eastAsia" w:ascii="宋体" w:hAnsi="宋体" w:eastAsia="宋体" w:cs="宋体"/>
          <w:b/>
          <w:color w:val="000000"/>
          <w:sz w:val="28"/>
          <w:szCs w:val="28"/>
          <w:highlight w:val="none"/>
        </w:rPr>
        <w:t xml:space="preserve">技术要求：</w:t>
      </w:r>
      <w:bookmarkEnd w:id="107"/>
      <w:r/>
      <w:bookmarkEnd w:id="108"/>
      <w:r>
        <w:rPr>
          <w:rFonts w:hint="eastAsia" w:ascii="宋体" w:hAnsi="宋体" w:eastAsia="宋体" w:cs="宋体"/>
          <w:b/>
          <w:color w:val="000000"/>
          <w:sz w:val="28"/>
          <w:szCs w:val="28"/>
          <w:highlight w:val="none"/>
        </w:rPr>
      </w:r>
      <w:r/>
    </w:p>
    <w:p>
      <w:pPr>
        <w:pStyle w:val="924"/>
        <w:ind w:firstLine="241"/>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（一）江苏省计量检测基地(二期)实验室家具采购包含以下内容：</w:t>
      </w:r>
      <w:r>
        <w:rPr>
          <w:rFonts w:hint="eastAsia" w:ascii="宋体" w:hAnsi="宋体" w:eastAsia="宋体" w:cs="宋体"/>
          <w:b/>
          <w:bCs/>
          <w:color w:val="000000"/>
          <w:sz w:val="28"/>
          <w:szCs w:val="28"/>
          <w:highlight w:val="none"/>
          <w:lang w:eastAsia="zh-CN"/>
        </w:rPr>
      </w:r>
      <w:r/>
    </w:p>
    <w:p>
      <w:pPr>
        <w:pStyle w:val="825"/>
        <w:ind w:firstLine="560"/>
        <w:spacing w:before="0" w:after="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分包1</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普通实验边台及货架</w:t>
      </w:r>
      <w:r>
        <w:rPr>
          <w:rFonts w:hint="eastAsia" w:ascii="宋体" w:hAnsi="宋体" w:eastAsia="宋体" w:cs="宋体"/>
          <w:bCs/>
          <w:color w:val="000000"/>
          <w:sz w:val="28"/>
          <w:szCs w:val="28"/>
          <w:highlight w:val="none"/>
        </w:rPr>
      </w:r>
      <w:r/>
    </w:p>
    <w:tbl>
      <w:tblPr>
        <w:tblW w:w="0" w:type="auto"/>
        <w:jc w:val="center"/>
        <w:tblInd w:w="-2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03"/>
        <w:gridCol w:w="1570"/>
        <w:gridCol w:w="2138"/>
        <w:gridCol w:w="687"/>
        <w:gridCol w:w="666"/>
        <w:gridCol w:w="3180"/>
      </w:tblGrid>
      <w:tr>
        <w:trPr>
          <w:trHeight w:val="560"/>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序号</w:t>
            </w:r>
            <w:r>
              <w:rPr>
                <w:rFonts w:hint="eastAsia" w:ascii="宋体" w:hAnsi="宋体" w:eastAsia="宋体" w:cs="宋体"/>
                <w:b/>
                <w:bCs/>
                <w:color w:val="000000"/>
                <w:szCs w:val="21"/>
                <w:highlight w:val="none"/>
                <w:lang w:val="en-US" w:eastAsia="zh-CN" w:bidi="ar"/>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产品名称</w:t>
            </w:r>
            <w:r>
              <w:rPr>
                <w:rFonts w:hint="eastAsia" w:ascii="宋体" w:hAnsi="宋体" w:eastAsia="宋体" w:cs="宋体"/>
                <w:b/>
                <w:bCs/>
                <w:color w:val="000000"/>
                <w:szCs w:val="21"/>
                <w:highlight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规格</w:t>
            </w:r>
            <w:r>
              <w:rPr>
                <w:rFonts w:hint="eastAsia" w:ascii="宋体" w:hAnsi="宋体" w:eastAsia="宋体" w:cs="宋体"/>
                <w:b/>
                <w:bCs/>
                <w:color w:val="000000"/>
                <w:szCs w:val="21"/>
                <w:highlight w:val="none"/>
                <w:lang w:val="en-US" w:eastAsia="zh-CN" w:bidi="ar"/>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材质</w:t>
            </w:r>
            <w:r>
              <w:rPr>
                <w:rFonts w:hint="eastAsia" w:ascii="宋体" w:hAnsi="宋体" w:eastAsia="宋体" w:cs="宋体"/>
                <w:b/>
                <w:bCs/>
                <w:color w:val="000000"/>
                <w:szCs w:val="21"/>
                <w:highlight w:val="none"/>
                <w:lang w:val="en-US" w:eastAsia="zh-CN" w:bidi="ar"/>
              </w:rPr>
            </w:r>
            <w:r/>
          </w:p>
        </w:tc>
        <w:tc>
          <w:tcPr>
            <w:tcW w:w="687" w:type="dxa"/>
            <w:vAlign w:val="center"/>
            <w:textDirection w:val="lrTb"/>
            <w:noWrap w:val="false"/>
          </w:tcPr>
          <w:p>
            <w:pPr>
              <w:pStyle w:val="825"/>
              <w:jc w:val="center"/>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Cs w:val="21"/>
                <w:highlight w:val="none"/>
                <w:lang w:bidi="ar"/>
              </w:rPr>
              <w:t xml:space="preserve">单位</w:t>
            </w:r>
            <w:r>
              <w:rPr>
                <w:rFonts w:hint="eastAsia" w:ascii="宋体" w:hAnsi="宋体" w:eastAsia="宋体" w:cs="宋体"/>
                <w:b/>
                <w:bCs/>
                <w:color w:val="000000"/>
                <w:sz w:val="21"/>
                <w:szCs w:val="21"/>
                <w:highlight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Cs w:val="21"/>
                <w:highlight w:val="none"/>
                <w:lang w:bidi="ar"/>
              </w:rPr>
              <w:t xml:space="preserve">数量</w:t>
            </w:r>
            <w:r>
              <w:rPr>
                <w:rFonts w:hint="eastAsia" w:ascii="宋体" w:hAnsi="宋体" w:eastAsia="宋体" w:cs="宋体"/>
                <w:b/>
                <w:bCs/>
                <w:color w:val="000000"/>
                <w:sz w:val="21"/>
                <w:szCs w:val="21"/>
                <w:highlight w:val="none"/>
                <w:lang w:val="en-US" w:eastAsia="zh-CN" w:bidi="ar"/>
              </w:rPr>
            </w:r>
            <w:r/>
          </w:p>
        </w:tc>
        <w:tc>
          <w:tcPr>
            <w:tcW w:w="3180"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产品款式示意图</w:t>
            </w:r>
            <w:r>
              <w:rPr>
                <w:rFonts w:ascii="宋体" w:hAnsi="宋体" w:eastAsia="宋体" w:cs="宋体"/>
                <w:b/>
                <w:bCs/>
                <w:color w:val="000000"/>
                <w:szCs w:val="21"/>
                <w:highlight w:val="none"/>
                <w:lang w:val="en-US" w:eastAsia="zh-CN" w:bidi="ar"/>
              </w:rPr>
            </w:r>
            <w:r/>
          </w:p>
          <w:p>
            <w:pPr>
              <w:pStyle w:val="825"/>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（仅供参考，需进一步深化设计）</w:t>
            </w:r>
            <w:r>
              <w:rPr>
                <w:rFonts w:hint="eastAsia" w:ascii="宋体" w:hAnsi="宋体" w:eastAsia="宋体" w:cs="宋体"/>
                <w:b/>
                <w:bCs/>
                <w:color w:val="000000"/>
                <w:szCs w:val="21"/>
                <w:highlight w:val="none"/>
                <w:lang w:val="en-US" w:eastAsia="zh-CN" w:bidi="ar"/>
              </w:rPr>
            </w:r>
            <w:r/>
          </w:p>
        </w:tc>
      </w:tr>
      <w:tr>
        <w:trPr>
          <w:trHeight w:val="740"/>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539</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restart"/>
            <w:textDirection w:val="lrTb"/>
            <w:noWrap w:val="false"/>
          </w:tcPr>
          <w:p>
            <w:pPr>
              <w:pStyle w:val="825"/>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eastAsia="zh-CN"/>
              </w:rPr>
              <mc:AlternateContent>
                <mc:Choice Requires="wpg">
                  <w:drawing>
                    <wp:inline xmlns:wp="http://schemas.openxmlformats.org/drawingml/2006/wordprocessingDrawing" distT="0" distB="0" distL="0" distR="0">
                      <wp:extent cx="1878355" cy="130309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878355" cy="13030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7.9pt;height:102.6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000000"/>
                <w:sz w:val="22"/>
                <w:szCs w:val="22"/>
                <w:highlight w:val="none"/>
                <w:u w:val="none"/>
              </w:rPr>
            </w:r>
            <w:r/>
          </w:p>
        </w:tc>
      </w:tr>
      <w:tr>
        <w:trPr>
          <w:trHeight w:val="740"/>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lang w:val="en-US" w:eastAsia="zh-CN" w:bidi="ar"/>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全钢结构，12.7mm防静电理化板台面，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825"/>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75"/>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2000*750*850</w:t>
            </w:r>
            <w:r>
              <w:rPr>
                <w:rFonts w:hint="eastAsia" w:ascii="宋体" w:hAnsi="宋体" w:eastAsia="宋体" w:cs="宋体"/>
                <w:i w:val="0"/>
                <w:iCs w:val="0"/>
                <w:color w:val="000000"/>
                <w:sz w:val="22"/>
                <w:szCs w:val="22"/>
                <w:highlight w:val="none"/>
                <w:u w:val="none"/>
                <w:lang w:val="en-US" w:eastAsia="zh-CN" w:bidi="ar-SA"/>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825"/>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lang w:val="en-US" w:eastAsia="zh-CN" w:bidi="ar-SA"/>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825"/>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6000*750*850</w:t>
            </w:r>
            <w:r>
              <w:rPr>
                <w:rFonts w:hint="eastAsia" w:ascii="宋体" w:hAnsi="宋体" w:eastAsia="宋体" w:cs="宋体"/>
                <w:i w:val="0"/>
                <w:iCs w:val="0"/>
                <w:color w:val="000000"/>
                <w:sz w:val="22"/>
                <w:szCs w:val="22"/>
                <w:highlight w:val="none"/>
                <w:u w:val="none"/>
                <w:lang w:val="en-US" w:eastAsia="zh-CN" w:bidi="ar-SA"/>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825"/>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94"/>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6</w:t>
            </w:r>
            <w:r>
              <w:rPr>
                <w:rFonts w:hint="eastAsia" w:ascii="宋体" w:hAnsi="宋体" w:cs="宋体"/>
                <w:i w:val="0"/>
                <w:iCs w:val="0"/>
                <w:color w:val="000000"/>
                <w:sz w:val="22"/>
                <w:szCs w:val="22"/>
                <w:highlight w:val="none"/>
                <w:u w:val="none"/>
                <w:lang w:val="en-US" w:eastAsia="zh-CN"/>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6000*750*850</w:t>
            </w:r>
            <w:r>
              <w:rPr>
                <w:rFonts w:hint="eastAsia" w:ascii="宋体" w:hAnsi="宋体" w:eastAsia="宋体" w:cs="宋体"/>
                <w:i w:val="0"/>
                <w:iCs w:val="0"/>
                <w:color w:val="000000"/>
                <w:sz w:val="22"/>
                <w:szCs w:val="22"/>
                <w:highlight w:val="none"/>
                <w:u w:val="none"/>
                <w:lang w:val="en-US" w:eastAsia="zh-CN" w:bidi="ar"/>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825"/>
              <w:jc w:val="center"/>
              <w:keepLines w:val="0"/>
              <w:keepNext w:val="0"/>
              <w:pageBreakBefore w:val="0"/>
              <w:spacing w:before="0" w:after="0" w:line="240" w:lineRule="auto"/>
              <w:rPr>
                <w:color w:val="000000"/>
                <w:highlight w:val="none"/>
              </w:rPr>
            </w:pPr>
            <w:r>
              <w:rPr>
                <w:color w:val="000000"/>
                <w:highlight w:val="none"/>
              </w:rPr>
            </w:r>
            <w:r/>
          </w:p>
        </w:tc>
      </w:tr>
      <w:tr>
        <w:trPr>
          <w:trHeight w:val="1908"/>
        </w:trPr>
        <w:tc>
          <w:tcPr>
            <w:tcW w:w="703"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rPr>
              <w:t xml:space="preserve">7</w:t>
            </w:r>
            <w:r>
              <w:rPr>
                <w:rFonts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lang w:val="en-US" w:eastAsia="zh-CN" w:bidi="ar-SA"/>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SA"/>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211</w:t>
            </w:r>
            <w:r>
              <w:rPr>
                <w:rFonts w:ascii="宋体" w:hAnsi="宋体" w:eastAsia="宋体" w:cs="宋体"/>
                <w:i w:val="0"/>
                <w:iCs w:val="0"/>
                <w:color w:val="000000"/>
                <w:sz w:val="22"/>
                <w:szCs w:val="22"/>
                <w:highlight w:val="none"/>
                <w:u w:val="none"/>
                <w:lang w:val="en-US" w:eastAsia="zh-CN" w:bidi="ar"/>
              </w:rPr>
            </w:r>
            <w:r/>
          </w:p>
        </w:tc>
        <w:tc>
          <w:tcPr>
            <w:tcW w:w="3180" w:type="dxa"/>
            <w:vAlign w:val="center"/>
            <w:textDirection w:val="lrTb"/>
            <w:noWrap w:val="false"/>
          </w:tcPr>
          <w:p>
            <w:pPr>
              <w:pStyle w:val="825"/>
              <w:jc w:val="center"/>
              <w:keepLines w:val="0"/>
              <w:keepNext w:val="0"/>
              <w:pageBreakBefore w:val="0"/>
              <w:spacing w:before="0" w:after="0" w:line="240" w:lineRule="auto"/>
              <w:rPr>
                <w:rFonts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w:t>
            </w:r>
            <w:r>
              <w:rPr>
                <w:rFonts w:ascii="宋体" w:hAnsi="宋体" w:eastAsia="宋体" w:cs="宋体"/>
                <w:i w:val="0"/>
                <w:iCs w:val="0"/>
                <w:color w:val="000000"/>
                <w:sz w:val="22"/>
                <w:szCs w:val="22"/>
                <w:highlight w:val="none"/>
                <w:u w:val="none"/>
                <w:lang w:val="en-US" w:eastAsia="zh-CN" w:bidi="ar-SA"/>
              </w:rPr>
            </w:r>
            <w:r/>
          </w:p>
        </w:tc>
      </w:tr>
    </w:tbl>
    <w:p>
      <w:pPr>
        <w:pStyle w:val="825"/>
        <w:ind w:firstLine="560"/>
        <w:keepLines w:val="0"/>
        <w:keepNext w:val="0"/>
        <w:pageBreakBefore w:val="0"/>
        <w:spacing w:before="0" w:after="0" w:line="24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25"/>
        <w:ind w:firstLine="560"/>
        <w:keepLines w:val="0"/>
        <w:keepNext w:val="0"/>
        <w:pageBreakBefore w:val="0"/>
        <w:spacing w:before="0" w:after="0" w:line="24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25"/>
        <w:ind w:firstLine="560"/>
        <w:keepLines w:val="0"/>
        <w:keepNext w:val="0"/>
        <w:pageBreakBefore w:val="0"/>
        <w:spacing w:before="0" w:after="0" w:line="24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分包2</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专用实验台、通风柜及配套设施</w:t>
      </w:r>
      <w:r>
        <w:rPr>
          <w:rFonts w:hint="eastAsia" w:ascii="宋体" w:hAnsi="宋体" w:eastAsia="宋体" w:cs="宋体"/>
          <w:bCs/>
          <w:color w:val="000000"/>
          <w:sz w:val="28"/>
          <w:szCs w:val="28"/>
          <w:highlight w:val="none"/>
        </w:rPr>
      </w:r>
      <w:r/>
    </w:p>
    <w:tbl>
      <w:tblPr>
        <w:tblW w:w="1003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0"/>
        <w:gridCol w:w="1155"/>
        <w:gridCol w:w="1695"/>
        <w:gridCol w:w="2100"/>
        <w:gridCol w:w="735"/>
        <w:gridCol w:w="720"/>
        <w:gridCol w:w="3095"/>
      </w:tblGrid>
      <w:tr>
        <w:trPr>
          <w:trHeight w:val="1088"/>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产品名称</w:t>
            </w:r>
            <w:r>
              <w:rPr>
                <w:rFonts w:hint="eastAsia" w:ascii="宋体" w:hAnsi="宋体" w:eastAsia="宋体" w:cs="宋体"/>
                <w:b/>
                <w:bCs/>
                <w:i w:val="0"/>
                <w:iCs w:val="0"/>
                <w:color w:val="000000"/>
                <w:sz w:val="21"/>
                <w:szCs w:val="21"/>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规格</w:t>
            </w:r>
            <w:r>
              <w:rPr>
                <w:rFonts w:hint="eastAsia" w:ascii="宋体" w:hAnsi="宋体" w:eastAsia="宋体" w:cs="宋体"/>
                <w:b/>
                <w:bCs/>
                <w:i w:val="0"/>
                <w:iCs w:val="0"/>
                <w:color w:val="000000"/>
                <w:sz w:val="21"/>
                <w:szCs w:val="21"/>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材质</w:t>
            </w:r>
            <w:r>
              <w:rPr>
                <w:rFonts w:hint="eastAsia" w:ascii="宋体" w:hAnsi="宋体" w:eastAsia="宋体" w:cs="宋体"/>
                <w:b/>
                <w:bCs/>
                <w:i w:val="0"/>
                <w:iCs w:val="0"/>
                <w:color w:val="000000"/>
                <w:sz w:val="21"/>
                <w:szCs w:val="21"/>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产品款式示意图</w:t>
            </w:r>
            <w:r>
              <w:rPr>
                <w:rFonts w:ascii="宋体" w:hAnsi="宋体" w:eastAsia="宋体" w:cs="宋体"/>
                <w:b/>
                <w:bCs/>
                <w:color w:val="000000"/>
                <w:szCs w:val="21"/>
                <w:highlight w:val="none"/>
                <w:lang w:val="en-US" w:eastAsia="zh-CN" w:bidi="ar"/>
              </w:rPr>
            </w:r>
            <w:r/>
          </w:p>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color w:val="000000"/>
                <w:szCs w:val="21"/>
                <w:highlight w:val="none"/>
                <w:lang w:val="en-US" w:eastAsia="zh-CN" w:bidi="ar"/>
              </w:rPr>
              <w:t xml:space="preserve">（仅供参考，需进一步深化设计）</w:t>
            </w:r>
            <w:r>
              <w:rPr>
                <w:rFonts w:hint="eastAsia" w:ascii="宋体" w:hAnsi="宋体" w:eastAsia="宋体" w:cs="宋体"/>
                <w:b/>
                <w:bCs/>
                <w:i w:val="0"/>
                <w:iCs w:val="0"/>
                <w:color w:val="000000"/>
                <w:sz w:val="21"/>
                <w:szCs w:val="21"/>
                <w:highlight w:val="none"/>
                <w:u w:val="none"/>
                <w:lang w:val="en-US" w:eastAsia="zh-CN" w:bidi="ar"/>
              </w:rPr>
            </w:r>
            <w:r/>
          </w:p>
        </w:tc>
      </w:tr>
      <w:tr>
        <w:trPr>
          <w:trHeight w:val="2181"/>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b/>
                <w:bCs/>
                <w:i w:val="0"/>
                <w:iCs w:val="0"/>
                <w:color w:val="c00000"/>
                <w:sz w:val="22"/>
                <w:szCs w:val="22"/>
                <w:highlight w:val="none"/>
                <w:u w:val="none"/>
                <w:lang w:val="en-US" w:eastAsia="zh-CN" w:bidi="ar"/>
              </w:rPr>
              <w:t xml:space="preserve">（核心产品）</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3095" w:type="dxa"/>
            <w:vAlign w:val="center"/>
            <w:vMerge w:val="restart"/>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23123" cy="138367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823122" cy="1383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3.6pt;height:109.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2076"/>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84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（含中央台、1套功能柱、3m中央试剂架）全钢结构，12.7mm理化板台面，详见技术要求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restart"/>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26971" cy="1374737"/>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826971" cy="13747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3.9pt;height:108.2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b/>
                <w:bCs/>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06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（含中央台、1套中号水槽+水龙头、1套洗眼器、1套滴水架、1套功能柱、2.9m中央试剂架）全钢结构，12.7mm理化板台面，详见技术要求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3910*1500*850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683"/>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4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04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（含中央台、1套中号水槽+水龙头、1套洗眼器、1套滴水架、1套功能柱、4.45m中央试剂架）全钢结构，12.7mm理化板台面，详见技术要求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04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（含中央台、3套中号水槽+水龙头、1套洗眼器、1套滴水架、1套功能柱、4.45m中央试剂架）全钢结构，12.7mm理化板台面，详见技术要求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6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607"/>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88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（含中央台、1套中号水槽+水龙头、1套洗眼器、1套滴水架、1套功能柱、4.5m中央试剂架）全钢结构，12.7mm理化板台面，详见技术要求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809"/>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18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（含中央台、1套中号水槽+水龙头、1套洗眼器、1套滴水架、1套功能柱、5.85m中央试剂架）全钢结构，12.7mm理化板台面，详见技术要求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6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2000*850*2350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095" w:type="dxa"/>
            <w:vAlign w:val="center"/>
            <w:vMerge w:val="restart"/>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475067" cy="193935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475067" cy="19393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6.1pt;height:152.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76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2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ascii="宋体" w:hAnsi="宋体" w:eastAsia="宋体" w:cs="宋体"/>
                <w:i w:val="0"/>
                <w:iCs w:val="0"/>
                <w:color w:val="000000"/>
                <w:sz w:val="22"/>
                <w:szCs w:val="22"/>
                <w:highlight w:val="none"/>
                <w:u w:val="none"/>
                <w:lang w:val="en-US"/>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ascii="宋体" w:hAnsi="宋体" w:eastAsia="宋体" w:cs="宋体"/>
                <w:i w:val="0"/>
                <w:iCs w:val="0"/>
                <w:color w:val="000000"/>
                <w:sz w:val="22"/>
                <w:szCs w:val="22"/>
                <w:highlight w:val="none"/>
                <w:u w:val="none"/>
                <w:lang w:val="en-US" w:eastAsia="zh-CN" w:bidi="ar"/>
              </w:rPr>
            </w:r>
            <w:r/>
          </w:p>
        </w:tc>
      </w:tr>
      <w:tr>
        <w:trPr>
          <w:trHeight w:val="114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431366" cy="1098062"/>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431366" cy="10980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2.7pt;height:86.5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5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ascii="宋体" w:hAnsi="宋体" w:eastAsia="宋体" w:cs="宋体"/>
                <w:i w:val="0"/>
                <w:iCs w:val="0"/>
                <w:color w:val="000000"/>
                <w:sz w:val="22"/>
                <w:szCs w:val="22"/>
                <w:highlight w:val="none"/>
                <w:u w:val="none"/>
                <w:lang w:val="en-US" w:eastAsia="zh-CN" w:bidi="ar"/>
              </w:rPr>
            </w:r>
            <w:r/>
          </w:p>
        </w:tc>
      </w:tr>
      <w:tr>
        <w:trPr>
          <w:trHeight w:val="257"/>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置物架</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2000*800*2000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置物架 2000*800*2000</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ascii="宋体" w:hAnsi="宋体" w:eastAsia="宋体" w:cs="宋体"/>
                <w:i w:val="0"/>
                <w:iCs w:val="0"/>
                <w:color w:val="000000"/>
                <w:sz w:val="22"/>
                <w:szCs w:val="22"/>
                <w:highlight w:val="none"/>
                <w:u w:val="none"/>
                <w:lang w:val="en-US" w:eastAsia="zh-CN" w:bidi="ar"/>
              </w:rPr>
            </w:r>
            <w:r/>
          </w:p>
        </w:tc>
      </w:tr>
      <w:tr>
        <w:trPr>
          <w:trHeight w:val="1875"/>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9000*900*850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24317" cy="883177"/>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824317" cy="8831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3.6pt;height:69.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吊顶拆除及修复</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部分实验室有吊顶,需走风管，后期吊顶拆除及修复工程量</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257</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部分实验室有吊顶,需走风管，后期吊顶拆除及修复工程量</w:t>
            </w:r>
            <w:r>
              <w:rPr>
                <w:rFonts w:hint="eastAsia" w:ascii="宋体" w:hAnsi="宋体" w:eastAsia="宋体" w:cs="宋体"/>
                <w:i w:val="0"/>
                <w:iCs w:val="0"/>
                <w:color w:val="000000"/>
                <w:sz w:val="22"/>
                <w:szCs w:val="22"/>
                <w:highlight w:val="none"/>
                <w:u w:val="none"/>
                <w:lang w:val="en-US" w:eastAsia="zh-CN" w:bidi="ar"/>
              </w:rPr>
            </w:r>
            <w:r/>
          </w:p>
        </w:tc>
      </w:tr>
    </w:tbl>
    <w:p>
      <w:pPr>
        <w:pStyle w:val="825"/>
        <w:rPr>
          <w:rFonts w:hint="eastAsia"/>
          <w:color w:val="000000"/>
          <w:highlight w:val="none"/>
          <w:lang w:eastAsia="zh-CN"/>
        </w:rPr>
      </w:pPr>
      <w:r>
        <w:rPr>
          <w:rFonts w:hint="eastAsia"/>
          <w:color w:val="000000"/>
          <w:highlight w:val="none"/>
          <w:lang w:eastAsia="zh-CN"/>
        </w:rPr>
      </w:r>
      <w:r/>
    </w:p>
    <w:p>
      <w:pPr>
        <w:pStyle w:val="924"/>
        <w:ind w:firstLine="241"/>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（二）技术</w:t>
      </w:r>
      <w:r>
        <w:rPr>
          <w:rFonts w:hint="eastAsia" w:ascii="宋体" w:hAnsi="宋体" w:eastAsia="宋体" w:cs="宋体"/>
          <w:b/>
          <w:bCs/>
          <w:color w:val="000000"/>
          <w:sz w:val="28"/>
          <w:szCs w:val="28"/>
          <w:highlight w:val="none"/>
          <w:lang w:val="en-US" w:eastAsia="zh-CN"/>
        </w:rPr>
        <w:t xml:space="preserve">要求</w:t>
      </w:r>
      <w:r>
        <w:rPr>
          <w:rFonts w:hint="eastAsia" w:ascii="宋体" w:hAnsi="宋体" w:eastAsia="宋体" w:cs="宋体"/>
          <w:b/>
          <w:bCs/>
          <w:color w:val="000000"/>
          <w:sz w:val="28"/>
          <w:szCs w:val="28"/>
          <w:highlight w:val="none"/>
        </w:rPr>
        <w:t xml:space="preserve">（技术指标及功能要求）：</w:t>
      </w:r>
      <w:r>
        <w:rPr>
          <w:rFonts w:hint="eastAsia" w:ascii="宋体" w:hAnsi="宋体" w:eastAsia="宋体" w:cs="宋体"/>
          <w:b/>
          <w:bCs/>
          <w:color w:val="000000"/>
          <w:sz w:val="28"/>
          <w:szCs w:val="28"/>
          <w:highlight w:val="none"/>
        </w:rPr>
      </w:r>
      <w:r/>
    </w:p>
    <w:p>
      <w:pPr>
        <w:pStyle w:val="825"/>
        <w:ind w:firstLine="562"/>
        <w:spacing w:before="0" w:after="0"/>
        <w:rPr>
          <w:rFonts w:hint="eastAsia" w:ascii="宋体" w:hAnsi="宋体" w:eastAsia="宋体" w:cs="宋体"/>
          <w:b/>
          <w:bCs w:val="0"/>
          <w:color w:val="000000"/>
          <w:sz w:val="28"/>
          <w:szCs w:val="28"/>
          <w:highlight w:val="none"/>
        </w:rPr>
      </w:pPr>
      <w:r/>
      <w:bookmarkStart w:id="109" w:name="_Toc113485530"/>
      <w:r>
        <w:rPr>
          <w:rFonts w:hint="eastAsia" w:ascii="宋体" w:hAnsi="宋体" w:eastAsia="宋体" w:cs="宋体"/>
          <w:b/>
          <w:bCs w:val="0"/>
          <w:color w:val="000000"/>
          <w:sz w:val="28"/>
          <w:szCs w:val="28"/>
          <w:highlight w:val="none"/>
        </w:rPr>
        <w:t xml:space="preserve">分包1</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rPr>
        <w:t xml:space="preserve">普通实验边台及货架</w:t>
      </w:r>
      <w:r>
        <w:rPr>
          <w:rFonts w:hint="eastAsia" w:ascii="宋体" w:hAnsi="宋体" w:eastAsia="宋体" w:cs="宋体"/>
          <w:b/>
          <w:bCs w:val="0"/>
          <w:color w:val="000000"/>
          <w:sz w:val="28"/>
          <w:szCs w:val="28"/>
          <w:highlight w:val="none"/>
        </w:rPr>
      </w:r>
      <w:r/>
    </w:p>
    <w:p>
      <w:pPr>
        <w:pStyle w:val="825"/>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1、全钢边台</w:t>
      </w:r>
      <w:r>
        <w:rPr>
          <w:rFonts w:hint="eastAsia" w:ascii="宋体" w:hAnsi="宋体" w:eastAsia="宋体" w:cs="宋体"/>
          <w:b/>
          <w:bCs/>
          <w:color w:val="000000"/>
          <w:sz w:val="24"/>
          <w:szCs w:val="24"/>
          <w:highlight w:val="none"/>
          <w:lang w:val="en-US" w:eastAsia="zh-CN"/>
        </w:rPr>
      </w:r>
      <w:r/>
    </w:p>
    <w:p>
      <w:pPr>
        <w:pStyle w:val="825"/>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outlineLvl w:val="2"/>
      </w:pPr>
      <w:r>
        <w:rPr>
          <w:rFonts w:hint="eastAsia" w:ascii="宋体" w:hAnsi="宋体" w:eastAsia="宋体" w:cs="宋体"/>
          <w:b w:val="0"/>
          <w:bCs w:val="0"/>
          <w:color w:val="000000"/>
          <w:sz w:val="24"/>
          <w:szCs w:val="24"/>
          <w:highlight w:val="none"/>
          <w:lang w:val="en-US" w:eastAsia="zh-CN"/>
        </w:rPr>
        <w:t xml:space="preserve">1.1 台面</w:t>
      </w:r>
      <w:r>
        <w:rPr>
          <w:rFonts w:hint="eastAsia" w:ascii="宋体" w:hAnsi="宋体" w:eastAsia="宋体" w:cs="宋体"/>
          <w:b w:val="0"/>
          <w:bCs w:val="0"/>
          <w:color w:val="000000"/>
          <w:sz w:val="24"/>
          <w:szCs w:val="24"/>
          <w:highlight w:val="none"/>
          <w:lang w:val="en-US" w:eastAsia="zh-CN"/>
        </w:rPr>
      </w:r>
      <w:r/>
    </w:p>
    <w:p>
      <w:pPr>
        <w:pStyle w:val="825"/>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outlineLvl w:val="3"/>
      </w:pPr>
      <w:r>
        <w:rPr>
          <w:rFonts w:hint="eastAsia" w:ascii="宋体" w:hAnsi="宋体" w:eastAsia="宋体" w:cs="宋体"/>
          <w:b w:val="0"/>
          <w:bCs w:val="0"/>
          <w:color w:val="000000"/>
          <w:sz w:val="24"/>
          <w:szCs w:val="24"/>
          <w:highlight w:val="none"/>
          <w:lang w:val="en-US" w:eastAsia="zh-CN"/>
        </w:rPr>
        <w:t xml:space="preserve">1.1.1抗静电物理板台面</w:t>
      </w:r>
      <w:r>
        <w:rPr>
          <w:rFonts w:hint="eastAsia" w:ascii="宋体" w:hAnsi="宋体" w:eastAsia="宋体" w:cs="宋体"/>
          <w:b w:val="0"/>
          <w:bCs w:val="0"/>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为保证台面材料质量以及从环保角度保障实验室人员健康，台面材料需符合以下技术参数及要求：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1）台面选用≥12.7mm厚抗静电物理板。</w:t>
      </w:r>
      <w:r>
        <w:rPr>
          <w:rFonts w:hint="eastAsia" w:ascii="宋体" w:hAnsi="宋体" w:eastAsia="宋体" w:cs="宋体"/>
          <w:color w:val="000000"/>
          <w:sz w:val="24"/>
          <w:szCs w:val="24"/>
          <w:highlight w:val="none"/>
          <w:lang w:val="en-US" w:eastAsia="zh-CN"/>
        </w:rPr>
      </w:r>
      <w:r/>
    </w:p>
    <w:p>
      <w:pPr>
        <w:pStyle w:val="825"/>
        <w:numPr>
          <w:ilvl w:val="0"/>
          <w:numId w:val="0"/>
        </w:numPr>
        <w:ind w:firstLine="48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，点对点电阻、系统电阻符合实验室防静电相关标准要求。</w:t>
      </w:r>
      <w:r>
        <w:rPr>
          <w:rFonts w:ascii="宋体" w:hAnsi="宋体" w:eastAsia="宋体" w:cs="宋体"/>
          <w:color w:val="000000"/>
          <w:sz w:val="24"/>
          <w:szCs w:val="24"/>
          <w:highlight w:val="none"/>
        </w:rPr>
      </w:r>
      <w:r/>
    </w:p>
    <w:p>
      <w:pPr>
        <w:pStyle w:val="825"/>
        <w:numPr>
          <w:ilvl w:val="0"/>
          <w:numId w:val="0"/>
        </w:numPr>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拉伸断裂强度、弯曲强度、压缩强度、吸水率、弯曲弹性模量、洛氏硬度、耐高温性能、表面耐磨性、耐污染性、抗落球冲击性等性能符合项目使用要求及相关标准要求。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1.1.2 陶瓷台面</w:t>
      </w:r>
      <w:r>
        <w:rPr>
          <w:rFonts w:hint="eastAsia" w:ascii="宋体" w:hAnsi="宋体" w:eastAsia="宋体" w:cs="宋体"/>
          <w:b w:val="0"/>
          <w:bCs w:val="0"/>
          <w:color w:val="000000"/>
          <w:sz w:val="24"/>
          <w:szCs w:val="24"/>
          <w:highlight w:val="none"/>
          <w:lang w:val="en-US" w:eastAsia="zh-CN"/>
        </w:rPr>
        <w:t xml:space="preserve"> </w:t>
      </w:r>
      <w:r>
        <w:rPr>
          <w:rFonts w:ascii="宋体" w:hAnsi="宋体" w:eastAsia="宋体" w:cs="宋体"/>
          <w:b w:val="0"/>
          <w:bCs w:val="0"/>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工艺细节美观大方。</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抗化学污染性能：参照GB/T24820-2024标准，表面耐污染性能达到标准要求，检测结果合格。</w:t>
      </w:r>
      <w:r>
        <w:rPr>
          <w:rFonts w:hint="eastAsia" w:ascii="宋体" w:hAnsi="宋体" w:eastAsia="宋体" w:cs="宋体"/>
          <w:color w:val="000000"/>
          <w:sz w:val="24"/>
          <w:szCs w:val="24"/>
          <w:highlight w:val="none"/>
          <w:lang w:val="en-US" w:eastAsia="zh-CN"/>
        </w:rPr>
      </w:r>
      <w:r/>
    </w:p>
    <w:p>
      <w:pPr>
        <w:pStyle w:val="825"/>
        <w:numPr>
          <w:ilvl w:val="0"/>
          <w:numId w:val="0"/>
        </w:numPr>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光泽度：参照GB/T13891-2008标准，</w:t>
      </w:r>
      <w:r>
        <w:rPr>
          <w:rFonts w:ascii="宋体" w:hAnsi="宋体" w:eastAsia="宋体" w:cs="宋体"/>
          <w:color w:val="000000"/>
          <w:sz w:val="24"/>
          <w:szCs w:val="24"/>
          <w:highlight w:val="none"/>
        </w:rPr>
        <w:t xml:space="preserve">表面光泽均匀一致，外观色泽平整，满足实验室使用及外观验收要求。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有害物质限量：</w:t>
      </w:r>
      <w:r>
        <w:rPr>
          <w:rFonts w:ascii="宋体" w:hAnsi="宋体" w:eastAsia="宋体" w:cs="宋体"/>
          <w:color w:val="000000"/>
          <w:sz w:val="24"/>
          <w:szCs w:val="24"/>
          <w:highlight w:val="none"/>
        </w:rPr>
        <w:t xml:space="preserve">有害物质放射性限量须符合</w:t>
      </w:r>
      <w:r>
        <w:rPr>
          <w:rFonts w:ascii="宋体" w:hAnsi="宋体" w:eastAsia="宋体" w:cs="宋体"/>
          <w:color w:val="000000"/>
          <w:sz w:val="24"/>
          <w:szCs w:val="24"/>
          <w:highlight w:val="none"/>
        </w:rPr>
        <w:t xml:space="preserve">GB</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6566-2010相关规</w:t>
      </w:r>
      <w:r>
        <w:rPr>
          <w:rFonts w:ascii="宋体" w:hAnsi="宋体" w:eastAsia="宋体" w:cs="宋体"/>
          <w:color w:val="000000"/>
          <w:sz w:val="24"/>
          <w:szCs w:val="24"/>
          <w:highlight w:val="none"/>
        </w:rPr>
        <w:t xml:space="preserve">定，天然放射性核素指标达到</w:t>
      </w:r>
      <w:r>
        <w:rPr>
          <w:rFonts w:ascii="宋体" w:hAnsi="宋体" w:eastAsia="宋体" w:cs="宋体"/>
          <w:color w:val="000000"/>
          <w:sz w:val="24"/>
          <w:szCs w:val="24"/>
          <w:highlight w:val="none"/>
        </w:rPr>
        <w:t xml:space="preserve">A 类装饰装修材料使</w:t>
      </w:r>
      <w:r>
        <w:rPr>
          <w:rFonts w:ascii="宋体" w:hAnsi="宋体" w:eastAsia="宋体" w:cs="宋体"/>
          <w:color w:val="000000"/>
          <w:sz w:val="24"/>
          <w:szCs w:val="24"/>
          <w:highlight w:val="none"/>
        </w:rPr>
        <w:t xml:space="preserve">用标准，满足室内场所安全使用要求。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破坏强度：</w:t>
      </w:r>
      <w:r>
        <w:rPr>
          <w:rFonts w:ascii="宋体" w:hAnsi="宋体" w:eastAsia="宋体" w:cs="宋体"/>
          <w:color w:val="000000"/>
          <w:sz w:val="24"/>
          <w:szCs w:val="24"/>
          <w:highlight w:val="none"/>
        </w:rPr>
        <w:t xml:space="preserve">按照GB/T 3810.4-2016标准检测，满足实验室家具使用及相关技术要求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为保障产品质量，</w:t>
      </w:r>
      <w:r>
        <w:rPr>
          <w:rFonts w:hint="eastAsia" w:ascii="宋体" w:hAnsi="宋体" w:eastAsia="宋体" w:cs="宋体"/>
          <w:color w:val="000000"/>
          <w:sz w:val="24"/>
          <w:szCs w:val="24"/>
          <w:highlight w:val="none"/>
        </w:rPr>
        <w:t xml:space="preserve">投标人自行出具针对本项目台面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抗静电物理板台面、陶瓷台面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的质保承诺函，承诺质保年限、售后维修更换责任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中标后</w:t>
      </w:r>
      <w:r>
        <w:rPr>
          <w:rFonts w:hint="eastAsia" w:ascii="宋体" w:hAnsi="宋体" w:eastAsia="宋体" w:cs="宋体"/>
          <w:color w:val="000000"/>
          <w:sz w:val="24"/>
          <w:szCs w:val="24"/>
          <w:highlight w:val="none"/>
        </w:rPr>
        <w:t xml:space="preserve">同步提供台面板材原厂通用质量质保资料及检测报告，若存在弄虚作假行为，将取消其中标资格，并依法追究相关责任。</w:t>
      </w:r>
      <w:r>
        <w:rPr>
          <w:rFonts w:hint="eastAsia" w:ascii="宋体" w:hAnsi="宋体" w:eastAsia="宋体" w:cs="宋体"/>
          <w:color w:val="000000"/>
          <w:sz w:val="24"/>
          <w:szCs w:val="24"/>
          <w:highlight w:val="none"/>
          <w:lang w:val="en-US" w:eastAsia="zh-CN"/>
        </w:rPr>
      </w:r>
      <w:r/>
    </w:p>
    <w:p>
      <w:pPr>
        <w:pStyle w:val="825"/>
        <w:ind w:firstLine="482"/>
        <w:keepLines w:val="0"/>
        <w:keepNext w:val="0"/>
        <w:pageBreakBefore w:val="0"/>
        <w:spacing w:line="360" w:lineRule="auto"/>
        <w:widowControl w:val="off"/>
        <w:rPr>
          <w:rFonts w:ascii="宋体" w:hAnsi="宋体" w:eastAsia="宋体" w:cs="宋体"/>
          <w:b/>
          <w:bCs/>
          <w:color w:val="000000"/>
          <w:sz w:val="24"/>
          <w:highlight w:val="none"/>
          <w:lang w:val="en-US" w:eastAsia="zh-CN"/>
        </w:rPr>
        <w:outlineLvl w:val="3"/>
      </w:pPr>
      <w:r>
        <w:rPr>
          <w:rFonts w:hint="eastAsia" w:ascii="宋体" w:hAnsi="宋体" w:eastAsia="宋体" w:cs="宋体"/>
          <w:b/>
          <w:bCs/>
          <w:color w:val="000000"/>
          <w:sz w:val="24"/>
          <w:highlight w:val="none"/>
          <w:lang w:val="en-US" w:eastAsia="zh-CN"/>
        </w:rPr>
        <w:t xml:space="preserve">1.2、实验柜</w:t>
      </w:r>
      <w:r>
        <w:rPr>
          <w:rFonts w:ascii="宋体" w:hAnsi="宋体" w:eastAsia="宋体" w:cs="宋体"/>
          <w:b/>
          <w:bCs/>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 1.2.1</w:t>
      </w:r>
      <w:r>
        <w:rPr>
          <w:rFonts w:hint="eastAsia" w:ascii="宋体" w:hAnsi="宋体" w:eastAsia="宋体" w:cs="宋体"/>
          <w:color w:val="000000"/>
          <w:sz w:val="24"/>
          <w:szCs w:val="24"/>
          <w:highlight w:val="none"/>
        </w:rPr>
        <w:t xml:space="preserve">提供第三方检测机构出具的有效检测报告，检验依据为</w:t>
      </w:r>
      <w:r>
        <w:rPr>
          <w:rFonts w:hint="eastAsia" w:ascii="宋体" w:hAnsi="宋体" w:eastAsia="宋体" w:cs="宋体"/>
          <w:color w:val="c00000"/>
          <w:sz w:val="24"/>
          <w:szCs w:val="24"/>
          <w:highlight w:val="none"/>
        </w:rPr>
        <w:t xml:space="preserve"> QB/T 1951.2-2024</w:t>
      </w:r>
      <w:r>
        <w:rPr>
          <w:rFonts w:hint="eastAsia" w:ascii="宋体" w:hAnsi="宋体" w:eastAsia="宋体" w:cs="宋体"/>
          <w:color w:val="000000"/>
          <w:sz w:val="24"/>
          <w:szCs w:val="24"/>
          <w:highlight w:val="none"/>
        </w:rPr>
        <w:t xml:space="preserve">《金属家具质量检验及质量评定》，检测项目包含邻边垂直度、翘曲度、着地平稳性、平整度、抽屉下垂度、抽屉摆动度、位差度等，检测结果均符合标准要求</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▲1.2.1.1</w:t>
      </w:r>
      <w:r>
        <w:rPr>
          <w:rFonts w:ascii="宋体" w:hAnsi="宋体" w:eastAsia="宋体" w:cs="宋体"/>
          <w:color w:val="000000"/>
          <w:sz w:val="24"/>
          <w:szCs w:val="24"/>
          <w:highlight w:val="none"/>
        </w:rPr>
        <w:t xml:space="preserve">提供第三方检测机构出具的有效中性盐雾试验报告，试验依据GB/T 10125-2021执行，检测结果符合标准要求。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▲1.2.1.2</w:t>
      </w:r>
      <w:r>
        <w:rPr>
          <w:rFonts w:hint="eastAsia" w:ascii="宋体" w:hAnsi="宋体" w:eastAsia="宋体" w:cs="宋体"/>
          <w:color w:val="000000"/>
          <w:sz w:val="24"/>
          <w:szCs w:val="24"/>
          <w:highlight w:val="none"/>
        </w:rPr>
        <w:t xml:space="preserve">提供第三方检测机构出具的有效检测报告，依据 </w:t>
      </w:r>
      <w:r>
        <w:rPr>
          <w:rFonts w:hint="eastAsia" w:ascii="宋体" w:hAnsi="宋体" w:eastAsia="宋体" w:cs="宋体"/>
          <w:color w:val="c00000"/>
          <w:sz w:val="24"/>
          <w:szCs w:val="24"/>
          <w:highlight w:val="none"/>
        </w:rPr>
        <w:t xml:space="preserve">GB/T 10357.1-2024</w:t>
      </w:r>
      <w:r>
        <w:rPr>
          <w:rFonts w:hint="eastAsia" w:ascii="宋体" w:hAnsi="宋体" w:eastAsia="宋体" w:cs="宋体"/>
          <w:color w:val="000000"/>
          <w:sz w:val="24"/>
          <w:szCs w:val="24"/>
          <w:highlight w:val="none"/>
        </w:rPr>
        <w:t xml:space="preserve">《家具力学性能试验 桌类强度和耐久性》 对实验台强度、台面挠度进行检测，检测结果符合标准要求。</w:t>
      </w:r>
      <w:r>
        <w:rPr>
          <w:rFonts w:ascii="宋体" w:hAnsi="宋体" w:eastAsia="宋体" w:cs="宋体"/>
          <w:color w:val="000000"/>
          <w:sz w:val="24"/>
          <w:szCs w:val="24"/>
          <w:highlight w:val="none"/>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1.2.2工艺要求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1.2.2.1各种配件安装应严密、平整、端正、牢固、结合处应无崩茬或松动。金属配件应做除锈和防腐处理。</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1.2.2.2 柜体接缝处要求≤5mm；门板与门板间缝≤3mm；整体尺寸误差≤10mm，要求水平、稳固。</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1.2.2.3 所有水、电、气路要求安全、适用，并隐藏式安装。</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1.2.3柜体要求</w:t>
      </w:r>
      <w:r>
        <w:rPr>
          <w:rFonts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1.2.3.1钢制柜体：</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1.2.3.1.1</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钢制柜体的测试内容包括：柜加载试验；柜集中加载试验；柜扭曲试验；门铰链试验；门冲击试验；门循环试验；抽屉静载试验；抽屉冲击试验；抽屉内部滚动冲击试验；抽屉循环试验；搁板静载试验等项目。</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1.2.3.1.2为保证实验人员的生命健康，依据</w:t>
      </w:r>
      <w:r>
        <w:rPr>
          <w:rFonts w:hint="eastAsia" w:ascii="宋体" w:hAnsi="宋体" w:eastAsia="宋体" w:cs="宋体"/>
          <w:color w:val="c00000"/>
          <w:sz w:val="24"/>
          <w:szCs w:val="24"/>
          <w:highlight w:val="none"/>
          <w:lang w:val="en-US" w:eastAsia="zh-CN"/>
        </w:rPr>
        <w:t xml:space="preserve"> GB6675.4-2014 标准或HJ 2547-2016标准</w:t>
      </w:r>
      <w:r>
        <w:rPr>
          <w:rFonts w:hint="eastAsia" w:ascii="宋体" w:hAnsi="宋体" w:eastAsia="宋体" w:cs="宋体"/>
          <w:color w:val="000000"/>
          <w:sz w:val="24"/>
          <w:szCs w:val="24"/>
          <w:highlight w:val="none"/>
          <w:lang w:val="en-US" w:eastAsia="zh-CN"/>
        </w:rPr>
        <w:t xml:space="preserve">，对可迁移铅、锑、砷、钡、镉、铬、汞、硒等重金属进行检测，检测结果符合标准要求。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1.2.3.1.3钢制柜体主结构、抽屉、门板、活动层板、试剂架、水电管道功能立柱、装饰封板等钢材基本厚度≥1.0mm冷轧碳素钢板；表面使用环氧树脂粉末喷涂防腐处理。</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1.2.3.1.4踢脚板除正面凹入部分外，两侧需与柜体钢板一体成型，不得以小料拼接烧焊制作，以确保整体承重能力。</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1.2.3.1.5柜体门板为双层结构，内外面均经环氧树脂粉末静电喷涂，配置门扣组及缓冲垫。</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1.2.3.1.6抽屉面板为双层结构，内外面均经环氧树脂粉末静电喷涂；抽屉底部和四面抽墙为钢板一体成形设计，配置缓冲垫，以避免与柜体钢板碰撞，拆卸方便。</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1.2.3.1.7活动背板：采用≥1.0mm厚冷连轧碳素钢板，表面使用环氧树脂粉末喷涂防腐处理；配暗扣拉手，不用辅助工具可手工拆卸。</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1.2.3.1.8柜体五金及配件：</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检测报告，合页：采用符合本项目门板荷重要求的厚1.5mm(及以上)的编号304不锈钢材质，每个合页用不低于6个不锈钢螺丝（非自攻螺丝）与门板及底柜相固定。依据GB/T 10125-2021标准，试验结果符合相关要求。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 </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检测报告，把手：采用304及以上不锈钢材质把手或一体成型拉手。拉手提供依据GB/T 10125-2021标准，试验结果符合相关要求。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3)层板支撑扣：采用厚1.2mm及以上的304及以上不锈钢材质。</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4)抽屉导轨：为三节式静音阻尼滑轨，钢制滚珠，抽屉内表面均设有防撞垫片。把手需以不锈钢螺丝由后方固定(安装螺丝应隐藏于门板内)，抽屉面板宽度超过600mm以上时应配置两个把手。</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层板：每个底柜内置一片活动层板，采用1.0mm厚冷轧钢，底部带加强筋增加承重性，表面环氧树脂粉末防腐喷涂，每15mm可自由上下调节高度，层板由四个1.2mm厚304不锈钢扣支撑；层板两侧及前后端应向下折边后再反折，边缘不割手，颜色与柜体同色。</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25"/>
        <w:keepLines w:val="0"/>
        <w:keepNext w:val="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2、全钢货架</w:t>
      </w:r>
      <w:r>
        <w:rPr>
          <w:rFonts w:hint="eastAsia" w:ascii="宋体" w:hAnsi="宋体" w:eastAsia="宋体" w:cs="宋体"/>
          <w:b/>
          <w:bCs/>
          <w:color w:val="000000"/>
          <w:sz w:val="24"/>
          <w:szCs w:val="24"/>
          <w:highlight w:val="none"/>
          <w:lang w:val="en-US" w:eastAsia="zh-CN"/>
        </w:rPr>
      </w:r>
      <w:r/>
    </w:p>
    <w:p>
      <w:pPr>
        <w:pStyle w:val="825"/>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框架：采用≥1.5mm优质冷轧钢板，表层环氧树脂粉沫喷涂。层板：采用≥1.0mm优质冷轧钢板，表层环氧树脂粉沫喷涂；折弯成型，同时全部焊接钢制承重筋；四层，活动隔板（可减少层数），每层高度50cm，每20mm可自由上下调节高度，每平米隔板的承载不小于200Kg。除顶部和下部采用焊接结构外其它全部为活动层板。</w:t>
      </w: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r>
      <w:r/>
    </w:p>
    <w:p>
      <w:pPr>
        <w:pStyle w:val="825"/>
        <w:spacing w:before="0" w:after="0"/>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分包</w:t>
      </w:r>
      <w:r>
        <w:rPr>
          <w:rFonts w:hint="eastAsia" w:ascii="宋体" w:hAnsi="宋体" w:eastAsia="宋体" w:cs="宋体"/>
          <w:b/>
          <w:bCs w:val="0"/>
          <w:color w:val="000000"/>
          <w:sz w:val="28"/>
          <w:szCs w:val="28"/>
          <w:highlight w:val="none"/>
          <w:lang w:val="en-US" w:eastAsia="zh-CN"/>
        </w:rPr>
        <w:t xml:space="preserve">2</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rPr>
        <w:t xml:space="preserve">专用实验台、通风柜及配套设施</w:t>
      </w:r>
      <w:r>
        <w:rPr>
          <w:rFonts w:hint="eastAsia" w:ascii="宋体" w:hAnsi="宋体" w:eastAsia="宋体" w:cs="宋体"/>
          <w:b/>
          <w:bCs w:val="0"/>
          <w:color w:val="000000"/>
          <w:sz w:val="28"/>
          <w:szCs w:val="28"/>
          <w:highlight w:val="none"/>
        </w:rPr>
      </w:r>
      <w:r/>
    </w:p>
    <w:p>
      <w:pPr>
        <w:pStyle w:val="825"/>
        <w:ind w:firstLine="482"/>
        <w:keepLines w:val="0"/>
        <w:keepNext w:val="0"/>
        <w:pageBreakBefore w:val="0"/>
        <w:spacing w:before="0" w:after="0" w:line="360" w:lineRule="auto"/>
        <w:widowControl w:val="off"/>
        <w:rPr>
          <w:rFonts w:hint="eastAsia" w:ascii="宋体" w:hAnsi="宋体" w:eastAsia="宋体" w:cs="宋体"/>
          <w:b/>
          <w:bCs/>
          <w:color w:val="000000"/>
          <w:sz w:val="24"/>
          <w:highlight w:val="none"/>
          <w:lang w:val="en-US" w:eastAsia="zh-CN"/>
        </w:rPr>
        <w:outlineLvl w:val="2"/>
      </w:pPr>
      <w:r>
        <w:rPr>
          <w:rFonts w:hint="eastAsia" w:ascii="宋体" w:hAnsi="宋体" w:eastAsia="宋体" w:cs="宋体"/>
          <w:b/>
          <w:bCs/>
          <w:color w:val="000000"/>
          <w:sz w:val="24"/>
          <w:highlight w:val="none"/>
          <w:lang w:val="en-US" w:eastAsia="zh-CN"/>
        </w:rPr>
        <w:t xml:space="preserve">1、全钢边台</w:t>
      </w:r>
      <w:r>
        <w:rPr>
          <w:rFonts w:hint="eastAsia" w:ascii="宋体" w:hAnsi="宋体" w:eastAsia="宋体" w:cs="宋体"/>
          <w:b/>
          <w:bCs/>
          <w:color w:val="000000"/>
          <w:sz w:val="24"/>
          <w:highlight w:val="none"/>
          <w:lang w:val="en-US" w:eastAsia="zh-CN"/>
        </w:rPr>
      </w:r>
      <w:r/>
    </w:p>
    <w:p>
      <w:pPr>
        <w:pStyle w:val="825"/>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1.1 理化板台面</w:t>
      </w:r>
      <w:r>
        <w:rPr>
          <w:rFonts w:hint="eastAsia" w:ascii="宋体" w:hAnsi="宋体" w:eastAsia="宋体" w:cs="宋体"/>
          <w:b/>
          <w:bCs/>
          <w:color w:val="000000"/>
          <w:sz w:val="24"/>
          <w:szCs w:val="24"/>
          <w:highlight w:val="none"/>
          <w:lang w:val="en-US" w:eastAsia="zh-CN"/>
        </w:rPr>
      </w:r>
      <w:r/>
    </w:p>
    <w:p>
      <w:pPr>
        <w:pStyle w:val="825"/>
        <w:ind w:firstLine="48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面要求耐化学腐蚀性能优越，抗刮痕；采用≥12.7mm厚度的优质耐腐蚀实芯耐蚀理化板，边缘背边加工带止水槽，打磨，呈弧型。台面应保持水平，拼接台面应保持在一个平面内。台面与柜体之间应连接稳固，台面不能脱落或翘起，且全面满足以下技术指标：</w:t>
      </w:r>
      <w:r>
        <w:rPr>
          <w:rFonts w:hint="eastAsia" w:ascii="宋体" w:hAnsi="宋体" w:eastAsia="宋体" w:cs="宋体"/>
          <w:color w:val="000000"/>
          <w:sz w:val="24"/>
          <w:szCs w:val="24"/>
          <w:highlight w:val="none"/>
          <w:lang w:val="en-US" w:eastAsia="zh-CN"/>
        </w:rPr>
      </w:r>
      <w:r/>
    </w:p>
    <w:p>
      <w:pPr>
        <w:pStyle w:val="825"/>
        <w:numPr>
          <w:ilvl w:val="0"/>
          <w:numId w:val="0"/>
        </w:numPr>
        <w:ind w:firstLine="24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化学全面性按照GB/T 17657-2022标准测试，耐化学试剂性能达到标准规定等级，适用于实验室各类常规试剂接触环境。</w:t>
      </w:r>
      <w:r>
        <w:rPr>
          <w:rFonts w:hint="eastAsia" w:ascii="宋体" w:hAnsi="宋体" w:eastAsia="宋体" w:cs="宋体"/>
          <w:color w:val="000000"/>
          <w:sz w:val="24"/>
          <w:szCs w:val="24"/>
          <w:highlight w:val="none"/>
          <w:lang w:val="en-US" w:eastAsia="zh-CN"/>
        </w:rPr>
      </w:r>
      <w:r/>
    </w:p>
    <w:p>
      <w:pPr>
        <w:pStyle w:val="825"/>
        <w:numPr>
          <w:ilvl w:val="0"/>
          <w:numId w:val="0"/>
        </w:numPr>
        <w:ind w:firstLine="24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环保性能：</w:t>
      </w:r>
      <w:r>
        <w:rPr>
          <w:rFonts w:ascii="宋体" w:hAnsi="宋体" w:eastAsia="宋体" w:cs="宋体"/>
          <w:color w:val="000000"/>
          <w:sz w:val="24"/>
          <w:szCs w:val="24"/>
          <w:highlight w:val="none"/>
        </w:rPr>
        <w:t xml:space="preserve">甲醛释放量按GB/T 39600-2021标准检测，符合国家ENF 级环保要求；TVOC、苯、二甲苯等有害物质释放量符合国家相关标准要求。</w:t>
      </w:r>
      <w:r>
        <w:rPr>
          <w:rFonts w:ascii="宋体" w:hAnsi="宋体" w:eastAsia="宋体" w:cs="宋体"/>
          <w:color w:val="000000"/>
          <w:sz w:val="24"/>
          <w:szCs w:val="24"/>
          <w:highlight w:val="none"/>
        </w:rPr>
      </w:r>
      <w:r/>
    </w:p>
    <w:p>
      <w:pPr>
        <w:pStyle w:val="825"/>
        <w:numPr>
          <w:ilvl w:val="0"/>
          <w:numId w:val="0"/>
        </w:numPr>
        <w:ind w:firstLine="24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燃烧性能须符合GB 8624-2012相关分级要求，燃烧性能及烟气毒性指标满足室内场所使用规范</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25"/>
        <w:numPr>
          <w:ilvl w:val="0"/>
          <w:numId w:val="0"/>
        </w:numPr>
        <w:ind w:firstLine="24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物理性能按照GB/T17657-2022相关技术要求检测，静曲强度、耐光色牢度、表面耐龟裂、表面耐污染、表面耐磨、耐黄变、握螺钉力等各项指标均符合标准规定；承重性能遵照GB/T 24820-2024执行，水平静载荷、台面挠度、跌落等试验结果均达标。</w:t>
      </w:r>
      <w:r>
        <w:rPr>
          <w:rFonts w:ascii="宋体" w:hAnsi="宋体" w:eastAsia="宋体" w:cs="宋体"/>
          <w:color w:val="000000"/>
          <w:sz w:val="24"/>
          <w:szCs w:val="24"/>
          <w:highlight w:val="none"/>
        </w:rPr>
      </w:r>
      <w:r/>
    </w:p>
    <w:p>
      <w:pPr>
        <w:pStyle w:val="825"/>
        <w:ind w:firstLine="24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为保障产品质量，</w:t>
      </w:r>
      <w:r>
        <w:rPr>
          <w:rFonts w:hint="eastAsia" w:ascii="宋体" w:hAnsi="宋体" w:eastAsia="宋体" w:cs="宋体"/>
          <w:color w:val="000000"/>
          <w:sz w:val="24"/>
          <w:szCs w:val="24"/>
          <w:highlight w:val="none"/>
        </w:rPr>
        <w:t xml:space="preserve">投标人自行出具针对本项目台面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理化板台面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的质保承诺函，承诺质保年限、售后维修更换责任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中标后</w:t>
      </w:r>
      <w:r>
        <w:rPr>
          <w:rFonts w:hint="eastAsia" w:ascii="宋体" w:hAnsi="宋体" w:eastAsia="宋体" w:cs="宋体"/>
          <w:color w:val="000000"/>
          <w:sz w:val="24"/>
          <w:szCs w:val="24"/>
          <w:highlight w:val="none"/>
        </w:rPr>
        <w:t xml:space="preserve">同步提供台面板材原厂通用质量质保资料及检测报告，若存在弄虚作假行为，将取消其中标资格，并依法追究相关责任。</w:t>
      </w:r>
      <w:r>
        <w:rPr>
          <w:rFonts w:hint="eastAsia" w:ascii="宋体" w:hAnsi="宋体" w:eastAsia="宋体" w:cs="宋体"/>
          <w:color w:val="000000"/>
          <w:sz w:val="24"/>
          <w:szCs w:val="24"/>
          <w:highlight w:val="none"/>
          <w:lang w:val="en-US" w:eastAsia="zh-CN"/>
        </w:rPr>
      </w:r>
      <w:r/>
    </w:p>
    <w:p>
      <w:pPr>
        <w:pStyle w:val="825"/>
        <w:ind w:firstLine="480"/>
        <w:keepLines w:val="0"/>
        <w:keepNext w:val="0"/>
        <w:pageBreakBefore w:val="0"/>
        <w:spacing w:before="0" w:after="0" w:line="360" w:lineRule="auto"/>
        <w:widowControl w:val="off"/>
        <w:rPr>
          <w:rFonts w:hint="eastAsia" w:ascii="宋体" w:hAnsi="宋体" w:eastAsia="宋体" w:cs="宋体"/>
          <w:b/>
          <w:bCs/>
          <w:color w:val="000000"/>
          <w:sz w:val="24"/>
          <w:highlight w:val="none"/>
          <w:lang w:val="en-US" w:eastAsia="zh-CN"/>
        </w:rPr>
        <w:outlineLvl w:val="3"/>
      </w:pPr>
      <w:r>
        <w:rPr>
          <w:rFonts w:hint="eastAsia" w:ascii="宋体" w:hAnsi="宋体" w:cs="宋体"/>
          <w:b/>
          <w:bCs/>
          <w:color w:val="000000"/>
          <w:sz w:val="24"/>
          <w:highlight w:val="none"/>
          <w:lang w:val="en-US" w:eastAsia="zh-CN"/>
        </w:rPr>
        <w:t xml:space="preserve">1</w:t>
      </w:r>
      <w:r>
        <w:rPr>
          <w:rFonts w:hint="eastAsia" w:ascii="宋体" w:hAnsi="宋体" w:eastAsia="宋体" w:cs="宋体"/>
          <w:b/>
          <w:bCs/>
          <w:color w:val="000000"/>
          <w:sz w:val="24"/>
          <w:highlight w:val="none"/>
          <w:lang w:val="en-US" w:eastAsia="zh-CN"/>
        </w:rPr>
        <w:t xml:space="preserve">.2实验柜</w:t>
      </w:r>
      <w:r>
        <w:rPr>
          <w:rFonts w:hint="eastAsia" w:ascii="宋体" w:hAnsi="宋体" w:eastAsia="宋体" w:cs="宋体"/>
          <w:b/>
          <w:bCs/>
          <w:color w:val="000000"/>
          <w:sz w:val="24"/>
          <w:highlight w:val="none"/>
          <w:lang w:val="en-US" w:eastAsia="zh-CN"/>
        </w:rPr>
      </w:r>
      <w:r/>
    </w:p>
    <w:p>
      <w:pPr>
        <w:pStyle w:val="825"/>
        <w:numPr>
          <w:ilvl w:val="0"/>
          <w:numId w:val="0"/>
        </w:numPr>
        <w:ind w:firstLine="24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▲1.2.1</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highlight w:val="none"/>
          <w:lang w:val="en-US" w:eastAsia="zh-CN"/>
        </w:rPr>
        <w:t xml:space="preserve">，检验报告中的检验依据为GB24820-2024《实验室家具通用技术条件》，检测内容需包含外形尺寸偏差及形状位置公差、结构安全、软硬覆面表面理化性能、金属喷涂层理化性能、实验台力学性能。</w:t>
      </w:r>
      <w:r>
        <w:rPr>
          <w:rFonts w:hint="eastAsia" w:ascii="宋体" w:hAnsi="宋体" w:eastAsia="宋体" w:cs="宋体"/>
          <w:color w:val="000000"/>
          <w:sz w:val="24"/>
          <w:highlight w:val="none"/>
          <w:lang w:val="en-US" w:eastAsia="zh-CN"/>
        </w:rPr>
      </w:r>
      <w:r/>
    </w:p>
    <w:p>
      <w:pPr>
        <w:pStyle w:val="825"/>
        <w:numPr>
          <w:ilvl w:val="0"/>
          <w:numId w:val="0"/>
        </w:numPr>
        <w:ind w:firstLine="24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▲1.2.1.1</w:t>
      </w:r>
      <w:r>
        <w:rPr>
          <w:rFonts w:hint="eastAsia" w:ascii="宋体" w:hAnsi="宋体" w:eastAsia="宋体" w:cs="宋体"/>
          <w:color w:val="000000"/>
          <w:sz w:val="24"/>
          <w:szCs w:val="24"/>
          <w:highlight w:val="none"/>
        </w:rPr>
        <w:t xml:space="preserve">提供第三方机构出具的有效检测报告，检测依据 </w:t>
      </w:r>
      <w:r>
        <w:rPr>
          <w:rFonts w:hint="eastAsia" w:ascii="宋体" w:hAnsi="宋体" w:eastAsia="宋体" w:cs="宋体"/>
          <w:color w:val="c00000"/>
          <w:sz w:val="24"/>
          <w:szCs w:val="24"/>
          <w:highlight w:val="none"/>
        </w:rPr>
        <w:t xml:space="preserve">GB/T21866-2025</w:t>
      </w:r>
      <w:r>
        <w:rPr>
          <w:rFonts w:hint="eastAsia" w:ascii="宋体" w:hAnsi="宋体" w:eastAsia="宋体" w:cs="宋体"/>
          <w:color w:val="000000"/>
          <w:sz w:val="24"/>
          <w:szCs w:val="24"/>
          <w:highlight w:val="none"/>
        </w:rPr>
        <w:t xml:space="preserve"> 标准执行，对金黄色葡萄球菌、大肠杆菌、肺炎克雷伯氏菌等菌种开展抗菌性能检测，各项抗菌指标均符合标准相关技术要求</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825"/>
        <w:numPr>
          <w:ilvl w:val="0"/>
          <w:numId w:val="0"/>
        </w:numPr>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1.2.1.2参照GB/T1741-2020检测标准：黄曲霉，宛氏拟青霉，出芽短梗霉，腊叶芽枝霉，黑曲霉菌等不少于9种，耐霉菌性能均达到0级。</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1.2.2工艺要求：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1.2.2.1各种配件安装应严密、平整、端正、牢固、结合处应无崩茬或松动。金属配件应做除锈和防腐处理。</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1.2.2.2 柜体接缝处要求≤5mm；门板与门板间缝≤3mm；整体尺寸误差≤10mm，要求水平、稳固。</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1.2.2.3 所有水、电、气路要求安全、适用，并隐藏式安装。</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1.2.3柜体要求</w:t>
      </w:r>
      <w:r>
        <w:rPr>
          <w:rFonts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1.2.3.1钢制柜体：</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▲1.2.3.1.1</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t xml:space="preserve">钢制柜体测试报告内容包括：柜加载试验；柜集中加载试验；柜扭曲试验；门铰链试验；门冲击试验；门循环试验；抽屉静载试验；抽屉冲击试验；抽屉内部滚动冲击试验；抽屉循环试验；搁板静载试验等项目。</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1.2.3.1.2</w:t>
      </w:r>
      <w:r>
        <w:rPr>
          <w:rFonts w:hint="eastAsia" w:ascii="宋体" w:hAnsi="宋体" w:eastAsia="宋体" w:cs="宋体"/>
          <w:color w:val="000000"/>
          <w:sz w:val="24"/>
          <w:highlight w:val="none"/>
          <w:lang w:val="en-US" w:eastAsia="zh-CN"/>
        </w:rPr>
        <w:t xml:space="preserve">柜体性能依据GB/T 13448-2019标准进行检测，经耐水浸泡、耐酸碱溶液浸泡试验后，外观色泽及光泽变化情况符合标准技术要求。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1.2.3.1.3钢制柜体主结构、抽屉、门板、活动层板、试剂架、水电管道功能立柱、装饰封板等钢材基本厚度≥1.0mm冷轧碳素钢板；表面使用品牌环氧树脂粉末喷涂防腐处理。</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1.2.3.1.4实验台需符合GB/T 35607-2024《绿色产品评价家具》标准，桌面水平耐久</w:t>
      </w:r>
      <w:r>
        <w:rPr>
          <w:rFonts w:hint="eastAsia" w:ascii="宋体" w:hAnsi="宋体" w:eastAsia="宋体" w:cs="宋体"/>
          <w:color w:val="000000"/>
          <w:sz w:val="24"/>
          <w:highlight w:val="none"/>
          <w:lang w:val="en-US" w:eastAsia="zh-CN"/>
        </w:rPr>
        <w:t xml:space="preserve">性符合标准规定，产品有害物质甲醛释放量、苯、甲苯、二甲苯、总挥发性有机化合物（TVOC)</w:t>
      </w:r>
      <w:r>
        <w:rPr>
          <w:rFonts w:ascii="宋体" w:hAnsi="宋体" w:eastAsia="宋体" w:cs="宋体"/>
          <w:color w:val="000000"/>
          <w:sz w:val="24"/>
          <w:szCs w:val="24"/>
          <w:highlight w:val="none"/>
        </w:rPr>
        <w:t xml:space="preserve">等有害物质指标均满足标准规定</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▲1.2.3.1.5</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t xml:space="preserve">钢制件喷涂符合HJ2547-2016《环境标志产品技术要求家具》标准，提供包括钡、铬、镉、铅、汞、硒、锑、砷等重金属物均未检出的检测报告。</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lang w:val="en-US" w:eastAsia="zh-CN"/>
        </w:rPr>
        <w:t xml:space="preserve">1.2.3.1.6</w:t>
      </w:r>
      <w:r>
        <w:rPr>
          <w:rFonts w:ascii="宋体" w:hAnsi="宋体" w:eastAsia="宋体" w:cs="宋体"/>
          <w:color w:val="000000"/>
          <w:sz w:val="24"/>
          <w:szCs w:val="24"/>
          <w:highlight w:val="none"/>
        </w:rPr>
        <w:t xml:space="preserve">实验台相关性能按</w:t>
      </w:r>
      <w:r>
        <w:rPr>
          <w:rFonts w:ascii="宋体" w:hAnsi="宋体" w:eastAsia="宋体" w:cs="宋体"/>
          <w:color w:val="000000"/>
          <w:sz w:val="24"/>
          <w:szCs w:val="24"/>
          <w:highlight w:val="none"/>
        </w:rPr>
        <w:t xml:space="preserve">照GB/T3325-2024标准开</w:t>
      </w:r>
      <w:r>
        <w:rPr>
          <w:rFonts w:ascii="宋体" w:hAnsi="宋体" w:eastAsia="宋体" w:cs="宋体"/>
          <w:color w:val="000000"/>
          <w:sz w:val="24"/>
          <w:szCs w:val="24"/>
          <w:highlight w:val="none"/>
        </w:rPr>
        <w:t xml:space="preserve">展盐雾试验，防腐防锈性能符合该标准相关技术规定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1.2.3.1.7柜体门板为双层结构，内外面均经环氧树脂粉末静电喷涂，配置门扣组及缓冲垫；</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1.2.3.1.8抽屉面板为双层结构，内外面均经环氧树脂粉末静电喷涂；抽屉底部和四面抽墙为钢板一体成形设计，配置缓冲垫，以避免与柜体钢板碰撞，拆卸方便。</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1.2.3.1.9活动背板：采用≥1.0mm厚冷连轧碳素钢板，表面使用环氧树脂粉末喷涂防腐处理；配暗扣拉手，不用辅助工具可手工拆卸。</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1.2.3.1.10柜体五金及配件：</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1）合页：</w:t>
      </w:r>
      <w:r>
        <w:rPr>
          <w:rFonts w:ascii="宋体" w:hAnsi="宋体" w:eastAsia="宋体" w:cs="宋体"/>
          <w:color w:val="000000"/>
          <w:sz w:val="24"/>
          <w:szCs w:val="24"/>
          <w:highlight w:val="none"/>
        </w:rPr>
        <w:t xml:space="preserve">合页选用 304 及以上不锈钢材质，厚度不低于 1.5mm，适配本项目门板承重需求，材质耐酸碱腐蚀性能符合相关通用技术规范与使用环境要求。</w:t>
      </w:r>
      <w:r>
        <w:rPr>
          <w:rFonts w:ascii="宋体" w:hAnsi="宋体" w:eastAsia="宋体" w:cs="宋体"/>
          <w:color w:val="000000"/>
          <w:sz w:val="24"/>
          <w:szCs w:val="24"/>
          <w:highlight w:val="none"/>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2）把手：采用304及以上不锈钢材质把手或一体成型拉手。</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3）层板支撑扣：采用厚1.2mm及以上的304及以上不锈钢材质。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25"/>
        <w:numPr>
          <w:ilvl w:val="0"/>
          <w:numId w:val="42"/>
        </w:numPr>
        <w:ind w:firstLine="482"/>
        <w:keepLines w:val="0"/>
        <w:keepNext w:val="0"/>
        <w:pageBreakBefore w:val="0"/>
        <w:spacing w:before="0" w:after="0" w:line="360" w:lineRule="auto"/>
        <w:widowControl w:val="off"/>
        <w:rPr>
          <w:rFonts w:hint="eastAsia" w:ascii="宋体" w:hAnsi="宋体" w:cs="宋体"/>
          <w:b/>
          <w:bCs/>
          <w:color w:val="000000"/>
          <w:sz w:val="24"/>
          <w:highlight w:val="none"/>
          <w:lang w:val="en-US" w:eastAsia="zh-CN"/>
        </w:rPr>
        <w:outlineLvl w:val="2"/>
      </w:pPr>
      <w:r>
        <w:rPr>
          <w:rFonts w:hint="eastAsia" w:ascii="宋体" w:hAnsi="宋体" w:eastAsia="宋体" w:cs="宋体"/>
          <w:b/>
          <w:bCs/>
          <w:color w:val="000000"/>
          <w:sz w:val="24"/>
          <w:highlight w:val="none"/>
          <w:lang w:val="en-US" w:eastAsia="zh-CN"/>
        </w:rPr>
        <w:t xml:space="preserve">通风柜</w:t>
      </w:r>
      <w:r>
        <w:rPr>
          <w:rFonts w:hint="eastAsia" w:ascii="宋体" w:hAnsi="宋体" w:cs="宋体"/>
          <w:b/>
          <w:bCs/>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2.1通用技术要求：</w:t>
      </w:r>
      <w:r>
        <w:rPr>
          <w:rFonts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实验室专用排风设备的材料及其配套件性能、技术及其安装位置应满足招标人提供的有关文件和设计要求：</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2.1.1</w:t>
      </w:r>
      <w:r>
        <w:rPr>
          <w:rFonts w:hint="eastAsia" w:ascii="宋体" w:hAnsi="宋体" w:eastAsia="宋体" w:cs="宋体"/>
          <w:color w:val="000000"/>
          <w:sz w:val="24"/>
          <w:highlight w:val="none"/>
          <w:lang w:val="zh-TW" w:eastAsia="zh-CN"/>
        </w:rPr>
        <w:t xml:space="preserve">排风柜整体结构采用</w:t>
      </w:r>
      <w:r>
        <w:rPr>
          <w:rFonts w:hint="eastAsia" w:ascii="宋体" w:hAnsi="宋体" w:eastAsia="宋体" w:cs="宋体"/>
          <w:color w:val="000000"/>
          <w:sz w:val="24"/>
          <w:highlight w:val="none"/>
          <w:lang w:val="en-US" w:eastAsia="zh-CN"/>
        </w:rPr>
        <w:t xml:space="preserve">优质冷轧钢板</w:t>
      </w:r>
      <w:r>
        <w:rPr>
          <w:rFonts w:hint="eastAsia" w:ascii="宋体" w:hAnsi="宋体" w:eastAsia="宋体" w:cs="宋体"/>
          <w:color w:val="000000"/>
          <w:sz w:val="24"/>
          <w:highlight w:val="none"/>
          <w:lang w:val="zh-TW" w:eastAsia="zh-CN"/>
        </w:rPr>
        <w:t xml:space="preserve">及工业铝合金型材制作。（不接受铝合金型材+木制板材组合结构）</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2.1.2</w:t>
      </w:r>
      <w:r>
        <w:rPr>
          <w:rFonts w:hint="eastAsia" w:ascii="宋体" w:hAnsi="宋体" w:eastAsia="宋体" w:cs="宋体"/>
          <w:color w:val="000000"/>
          <w:sz w:val="24"/>
          <w:highlight w:val="none"/>
          <w:lang w:val="zh-TW" w:eastAsia="zh-CN"/>
        </w:rPr>
        <w:t xml:space="preserve">主体支撑采用</w:t>
      </w:r>
      <w:r>
        <w:rPr>
          <w:rFonts w:hint="eastAsia" w:ascii="宋体" w:hAnsi="宋体" w:eastAsia="宋体" w:cs="宋体"/>
          <w:color w:val="000000"/>
          <w:sz w:val="24"/>
          <w:highlight w:val="none"/>
          <w:lang w:val="en-US" w:eastAsia="zh-CN"/>
        </w:rPr>
        <w:t xml:space="preserve">全钢材料，</w:t>
      </w:r>
      <w:r>
        <w:rPr>
          <w:rFonts w:hint="eastAsia" w:ascii="宋体" w:hAnsi="宋体" w:eastAsia="宋体" w:cs="宋体"/>
          <w:color w:val="000000"/>
          <w:sz w:val="24"/>
          <w:highlight w:val="none"/>
          <w:lang w:val="zh-TW" w:eastAsia="zh-CN"/>
        </w:rPr>
        <w:t xml:space="preserve">厚度≥</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val="zh-TW" w:eastAsia="zh-CN"/>
        </w:rPr>
        <w:t xml:space="preserve">mm</w:t>
      </w:r>
      <w:r>
        <w:rPr>
          <w:rFonts w:hint="eastAsia" w:ascii="宋体" w:hAnsi="宋体" w:eastAsia="宋体" w:cs="宋体"/>
          <w:color w:val="000000"/>
          <w:sz w:val="24"/>
          <w:highlight w:val="none"/>
          <w:lang w:val="en-US" w:eastAsia="zh-CN"/>
        </w:rPr>
        <w:t xml:space="preserve">首钢优质冷轧钢板</w:t>
      </w:r>
      <w:r>
        <w:rPr>
          <w:rFonts w:hint="eastAsia" w:ascii="宋体" w:hAnsi="宋体" w:eastAsia="宋体" w:cs="宋体"/>
          <w:color w:val="000000"/>
          <w:sz w:val="24"/>
          <w:highlight w:val="none"/>
          <w:lang w:val="zh-TW" w:eastAsia="zh-CN"/>
        </w:rPr>
        <w:t xml:space="preserve">，表面为耐腐蚀材料；</w:t>
      </w:r>
      <w:bookmarkStart w:id="110" w:name="_Hlk188355902"/>
      <w:r>
        <w:rPr>
          <w:rFonts w:hint="eastAsia" w:ascii="宋体" w:hAnsi="宋体" w:eastAsia="宋体" w:cs="宋体"/>
          <w:color w:val="000000"/>
          <w:sz w:val="24"/>
          <w:highlight w:val="none"/>
          <w:lang w:val="zh-TW" w:eastAsia="zh-CN"/>
        </w:rPr>
        <w:t xml:space="preserve">工业铝合金型材主体厚度≥1.5mm；</w:t>
      </w:r>
      <w:bookmarkEnd w:id="110"/>
      <w:r>
        <w:rPr>
          <w:rFonts w:hint="eastAsia" w:ascii="宋体" w:hAnsi="宋体" w:eastAsia="宋体" w:cs="宋体"/>
          <w:color w:val="000000"/>
          <w:sz w:val="24"/>
          <w:highlight w:val="none"/>
          <w:lang w:val="zh-TW" w:eastAsia="zh-CN"/>
        </w:rPr>
        <w:t xml:space="preserve">工作台面下方内部空间可布置公用设施管道、配件等。</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2.1.3</w:t>
      </w:r>
      <w:r>
        <w:rPr>
          <w:rFonts w:hint="eastAsia" w:ascii="宋体" w:hAnsi="宋体" w:eastAsia="宋体" w:cs="宋体"/>
          <w:color w:val="000000"/>
          <w:sz w:val="24"/>
          <w:highlight w:val="none"/>
          <w:lang w:val="zh-TW" w:eastAsia="zh-CN"/>
        </w:rPr>
        <w:t xml:space="preserve">为方便后期产品维修维护便捷，产品上</w:t>
      </w:r>
      <w:r>
        <w:rPr>
          <w:rFonts w:hint="eastAsia" w:ascii="宋体" w:hAnsi="宋体" w:eastAsia="宋体" w:cs="宋体"/>
          <w:color w:val="000000"/>
          <w:sz w:val="24"/>
          <w:highlight w:val="none"/>
          <w:lang w:val="en-US" w:eastAsia="zh-CN"/>
        </w:rPr>
        <w:t xml:space="preserve">面板具备</w:t>
      </w:r>
      <w:r>
        <w:rPr>
          <w:rFonts w:hint="eastAsia" w:ascii="宋体" w:hAnsi="宋体" w:eastAsia="宋体" w:cs="宋体"/>
          <w:color w:val="000000"/>
          <w:sz w:val="24"/>
          <w:highlight w:val="none"/>
          <w:lang w:val="zh-TW" w:eastAsia="zh-CN"/>
        </w:rPr>
        <w:t xml:space="preserve">上翻打开结构，</w:t>
      </w:r>
      <w:r>
        <w:rPr>
          <w:rFonts w:hint="eastAsia" w:ascii="宋体" w:hAnsi="宋体" w:eastAsia="宋体" w:cs="宋体"/>
          <w:color w:val="000000"/>
          <w:sz w:val="24"/>
          <w:highlight w:val="none"/>
          <w:lang w:val="en-US" w:eastAsia="zh-CN"/>
        </w:rPr>
        <w:t xml:space="preserve">方便</w:t>
      </w:r>
      <w:r>
        <w:rPr>
          <w:rFonts w:hint="eastAsia" w:ascii="宋体" w:hAnsi="宋体" w:eastAsia="宋体" w:cs="宋体"/>
          <w:color w:val="000000"/>
          <w:sz w:val="24"/>
          <w:highlight w:val="none"/>
          <w:lang w:val="zh-TW" w:eastAsia="zh-CN"/>
        </w:rPr>
        <w:t xml:space="preserve">检修维护等。</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2.1.4</w:t>
      </w:r>
      <w:r>
        <w:rPr>
          <w:rFonts w:hint="eastAsia" w:ascii="宋体" w:hAnsi="宋体" w:eastAsia="宋体" w:cs="宋体"/>
          <w:color w:val="000000"/>
          <w:sz w:val="24"/>
          <w:highlight w:val="none"/>
          <w:lang w:val="zh-TW" w:eastAsia="zh-CN"/>
        </w:rPr>
        <w:t xml:space="preserve">所有</w:t>
      </w:r>
      <w:r>
        <w:rPr>
          <w:rFonts w:hint="eastAsia" w:ascii="宋体" w:hAnsi="宋体" w:eastAsia="宋体" w:cs="宋体"/>
          <w:color w:val="000000"/>
          <w:sz w:val="24"/>
          <w:highlight w:val="none"/>
          <w:lang w:val="en-US" w:eastAsia="zh-CN"/>
        </w:rPr>
        <w:t xml:space="preserve">金属</w:t>
      </w:r>
      <w:r>
        <w:rPr>
          <w:rFonts w:hint="eastAsia" w:ascii="宋体" w:hAnsi="宋体" w:eastAsia="宋体" w:cs="宋体"/>
          <w:color w:val="000000"/>
          <w:sz w:val="24"/>
          <w:highlight w:val="none"/>
          <w:lang w:val="zh-TW" w:eastAsia="zh-CN"/>
        </w:rPr>
        <w:t xml:space="preserve">表面</w:t>
      </w:r>
      <w:r>
        <w:rPr>
          <w:rFonts w:hint="eastAsia" w:ascii="宋体" w:hAnsi="宋体" w:eastAsia="宋体" w:cs="宋体"/>
          <w:color w:val="000000"/>
          <w:sz w:val="24"/>
          <w:highlight w:val="none"/>
          <w:lang w:val="en-US" w:eastAsia="zh-CN"/>
        </w:rPr>
        <w:t xml:space="preserve">需</w:t>
      </w:r>
      <w:r>
        <w:rPr>
          <w:rFonts w:hint="eastAsia" w:ascii="宋体" w:hAnsi="宋体" w:eastAsia="宋体" w:cs="宋体"/>
          <w:color w:val="000000"/>
          <w:sz w:val="24"/>
          <w:highlight w:val="none"/>
          <w:lang w:val="zh-TW" w:eastAsia="zh-CN"/>
        </w:rPr>
        <w:t xml:space="preserve">喷涂处理，涂层厚度≥50μm，平整光滑，不允许有喷涂层脱落、鼓泡、凹陷、压痕以及表面划伤、麻点、裂痕、崩角和刃口等。</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2.1.5</w:t>
      </w:r>
      <w:r>
        <w:rPr>
          <w:rFonts w:hint="eastAsia" w:ascii="宋体" w:hAnsi="宋体" w:eastAsia="宋体" w:cs="宋体"/>
          <w:color w:val="000000"/>
          <w:sz w:val="24"/>
          <w:highlight w:val="none"/>
          <w:lang w:val="zh-TW" w:eastAsia="zh-CN"/>
        </w:rPr>
        <w:t xml:space="preserve">喷涂后</w:t>
      </w:r>
      <w:r>
        <w:rPr>
          <w:rFonts w:hint="eastAsia" w:ascii="宋体" w:hAnsi="宋体" w:eastAsia="宋体" w:cs="宋体"/>
          <w:color w:val="000000"/>
          <w:sz w:val="24"/>
          <w:highlight w:val="none"/>
          <w:lang w:val="en-US" w:eastAsia="zh-CN"/>
        </w:rPr>
        <w:t xml:space="preserve">的金属表</w:t>
      </w:r>
      <w:r>
        <w:rPr>
          <w:rFonts w:hint="eastAsia" w:ascii="宋体" w:hAnsi="宋体" w:eastAsia="宋体" w:cs="宋体"/>
          <w:color w:val="000000"/>
          <w:sz w:val="24"/>
          <w:highlight w:val="none"/>
          <w:lang w:val="zh-TW" w:eastAsia="zh-CN"/>
        </w:rPr>
        <w:t xml:space="preserve">面呈高亮光效果，密度高，具有更优秀的防腐蚀能力。</w:t>
      </w:r>
      <w:r>
        <w:rPr>
          <w:rFonts w:hint="eastAsia" w:ascii="宋体" w:hAnsi="宋体" w:eastAsia="宋体" w:cs="宋体"/>
          <w:color w:val="000000"/>
          <w:sz w:val="24"/>
          <w:highlight w:val="none"/>
          <w:lang w:val="en-US" w:eastAsia="zh-CN"/>
        </w:rPr>
        <w:t xml:space="preserve">（不接受哑光漆面和皱纹漆面）</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2.1.6</w:t>
      </w:r>
      <w:r>
        <w:rPr>
          <w:rFonts w:hint="eastAsia" w:ascii="宋体" w:hAnsi="宋体" w:eastAsia="宋体" w:cs="宋体"/>
          <w:color w:val="000000"/>
          <w:sz w:val="24"/>
          <w:highlight w:val="none"/>
          <w:lang w:val="zh-TW" w:eastAsia="zh-CN"/>
        </w:rPr>
        <w:t xml:space="preserve">预处理：脱脂、水洗、酸洗、水洗中和、磷化、水洗等过程或纳米陶化前处理技术。</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2.1.7</w:t>
      </w:r>
      <w:r>
        <w:rPr>
          <w:rFonts w:hint="eastAsia" w:ascii="宋体" w:hAnsi="宋体" w:eastAsia="宋体" w:cs="宋体"/>
          <w:color w:val="000000"/>
          <w:sz w:val="24"/>
          <w:highlight w:val="none"/>
          <w:lang w:val="zh-TW" w:eastAsia="zh-CN"/>
        </w:rPr>
        <w:t xml:space="preserve">喷涂后的金属</w:t>
      </w:r>
      <w:r>
        <w:rPr>
          <w:rFonts w:hint="eastAsia" w:ascii="宋体" w:hAnsi="宋体" w:eastAsia="宋体" w:cs="宋体"/>
          <w:color w:val="000000"/>
          <w:sz w:val="24"/>
          <w:highlight w:val="none"/>
          <w:lang w:val="en-US" w:eastAsia="zh-CN"/>
        </w:rPr>
        <w:t xml:space="preserve">表面涂层需完成如下方面的试验：化学试剂痕迹试验、</w:t>
      </w:r>
      <w:r>
        <w:rPr>
          <w:rFonts w:hint="eastAsia" w:ascii="宋体" w:hAnsi="宋体" w:eastAsia="宋体" w:cs="宋体"/>
          <w:color w:val="000000"/>
          <w:sz w:val="24"/>
          <w:highlight w:val="none"/>
          <w:lang w:val="zh-TW" w:eastAsia="zh-CN"/>
        </w:rPr>
        <w:t xml:space="preserve">热水</w:t>
      </w:r>
      <w:r>
        <w:rPr>
          <w:rFonts w:hint="eastAsia" w:ascii="宋体" w:hAnsi="宋体" w:eastAsia="宋体" w:cs="宋体"/>
          <w:color w:val="000000"/>
          <w:sz w:val="24"/>
          <w:highlight w:val="none"/>
          <w:lang w:val="en-US" w:eastAsia="zh-CN"/>
        </w:rPr>
        <w:t xml:space="preserve">试验、</w:t>
      </w:r>
      <w:r>
        <w:rPr>
          <w:rFonts w:hint="eastAsia" w:ascii="宋体" w:hAnsi="宋体" w:eastAsia="宋体" w:cs="宋体"/>
          <w:color w:val="000000"/>
          <w:sz w:val="24"/>
          <w:highlight w:val="none"/>
          <w:lang w:val="zh-TW" w:eastAsia="zh-CN"/>
        </w:rPr>
        <w:t xml:space="preserve">冲击试验、油漆附着</w:t>
      </w:r>
      <w:r>
        <w:rPr>
          <w:rFonts w:hint="eastAsia" w:ascii="宋体" w:hAnsi="宋体" w:eastAsia="宋体" w:cs="宋体"/>
          <w:color w:val="000000"/>
          <w:sz w:val="24"/>
          <w:highlight w:val="none"/>
          <w:lang w:val="en-US" w:eastAsia="zh-CN"/>
        </w:rPr>
        <w:t xml:space="preserve">力、</w:t>
      </w:r>
      <w:r>
        <w:rPr>
          <w:rFonts w:hint="eastAsia" w:ascii="宋体" w:hAnsi="宋体" w:eastAsia="宋体" w:cs="宋体"/>
          <w:color w:val="000000"/>
          <w:sz w:val="24"/>
          <w:highlight w:val="none"/>
          <w:lang w:val="zh-TW" w:eastAsia="zh-CN"/>
        </w:rPr>
        <w:t xml:space="preserve">油漆硬度、防潮性能、盐雾试验、耐磨试验。</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2.1.8</w:t>
      </w:r>
      <w:r>
        <w:rPr>
          <w:rFonts w:hint="eastAsia" w:ascii="宋体" w:hAnsi="宋体" w:eastAsia="宋体" w:cs="宋体"/>
          <w:color w:val="000000"/>
          <w:sz w:val="24"/>
          <w:highlight w:val="none"/>
          <w:lang w:val="zh-TW" w:eastAsia="zh-CN"/>
        </w:rPr>
        <w:t xml:space="preserve">所有钣金配件的焊接处均应打磨平整以保持为平滑表面，不得于安装现场焊接加工，以避免破坏表面涂层。</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2.2性能技术要求：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2.2.1</w:t>
      </w:r>
      <w:r>
        <w:rPr>
          <w:rFonts w:hint="eastAsia" w:ascii="宋体" w:hAnsi="宋体" w:eastAsia="宋体" w:cs="宋体"/>
          <w:color w:val="000000"/>
          <w:sz w:val="24"/>
          <w:highlight w:val="none"/>
          <w:lang w:val="zh-TW" w:eastAsia="zh-CN"/>
        </w:rPr>
        <w:t xml:space="preserve">排风柜整体包含上柜与</w:t>
      </w:r>
      <w:r>
        <w:rPr>
          <w:rFonts w:hint="eastAsia" w:ascii="宋体" w:hAnsi="宋体" w:eastAsia="宋体" w:cs="宋体"/>
          <w:color w:val="000000"/>
          <w:sz w:val="24"/>
          <w:highlight w:val="none"/>
          <w:lang w:val="en-US" w:eastAsia="zh-CN"/>
        </w:rPr>
        <w:t xml:space="preserve">底柜</w:t>
      </w:r>
      <w:r>
        <w:rPr>
          <w:rFonts w:hint="eastAsia" w:ascii="宋体" w:hAnsi="宋体" w:eastAsia="宋体" w:cs="宋体"/>
          <w:color w:val="000000"/>
          <w:sz w:val="24"/>
          <w:highlight w:val="none"/>
          <w:lang w:val="zh-TW" w:eastAsia="zh-CN"/>
        </w:rPr>
        <w:t xml:space="preserve">两部分。上柜用于实验开展，底柜用于物品的储存。上柜包含可视调节门，服务水气阀，插座，工作台面等。底柜</w:t>
      </w:r>
      <w:r>
        <w:rPr>
          <w:rFonts w:hint="eastAsia" w:ascii="宋体" w:hAnsi="宋体" w:eastAsia="宋体" w:cs="宋体"/>
          <w:color w:val="000000"/>
          <w:sz w:val="24"/>
          <w:highlight w:val="none"/>
          <w:lang w:val="en-US" w:eastAsia="zh-CN"/>
        </w:rPr>
        <w:t xml:space="preserve">含</w:t>
      </w:r>
      <w:r>
        <w:rPr>
          <w:rFonts w:hint="eastAsia" w:ascii="宋体" w:hAnsi="宋体" w:eastAsia="宋体" w:cs="宋体"/>
          <w:color w:val="000000"/>
          <w:sz w:val="24"/>
          <w:highlight w:val="none"/>
          <w:lang w:val="zh-TW" w:eastAsia="zh-CN"/>
        </w:rPr>
        <w:t xml:space="preserve">门板,可调隔板等，坚固耐用,具有耐腐蚀功能,方便维护。</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2.2.2</w:t>
      </w:r>
      <w:r>
        <w:rPr>
          <w:rFonts w:hint="eastAsia" w:ascii="宋体" w:hAnsi="宋体" w:eastAsia="宋体" w:cs="宋体"/>
          <w:color w:val="000000"/>
          <w:sz w:val="24"/>
          <w:highlight w:val="none"/>
          <w:lang w:val="zh-TW" w:eastAsia="zh-TW"/>
        </w:rPr>
        <w:t xml:space="preserve">规格：整体尺寸W宽度</w:t>
      </w:r>
      <w:r>
        <w:rPr>
          <w:rFonts w:hint="eastAsia" w:ascii="宋体" w:hAnsi="宋体" w:eastAsia="宋体" w:cs="宋体"/>
          <w:color w:val="000000"/>
          <w:sz w:val="24"/>
          <w:highlight w:val="none"/>
          <w:lang w:val="en-US" w:eastAsia="zh-CN"/>
        </w:rPr>
        <w:t xml:space="preserve">1500mm</w:t>
      </w:r>
      <w:r>
        <w:rPr>
          <w:rFonts w:hint="eastAsia" w:ascii="宋体" w:hAnsi="宋体" w:eastAsia="宋体" w:cs="宋体"/>
          <w:color w:val="000000"/>
          <w:sz w:val="24"/>
          <w:highlight w:val="none"/>
          <w:lang w:val="zh-TW" w:eastAsia="zh-TW"/>
        </w:rPr>
        <w:t xml:space="preserve">D深度≥900mm， H高度≥2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TW" w:eastAsia="zh-TW"/>
        </w:rPr>
        <w:t xml:space="preserve">00mm。</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▲2.2.3排风柜前立柱宽度需≤50mm，以提供内部更大的使用操作空间。</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Start w:id="111" w:name="_Hlk188356551"/>
      <w:r>
        <w:rPr>
          <w:rFonts w:hint="eastAsia" w:ascii="宋体" w:hAnsi="宋体" w:eastAsia="宋体" w:cs="宋体"/>
          <w:color w:val="000000"/>
          <w:sz w:val="24"/>
          <w:highlight w:val="none"/>
          <w:lang w:val="en-US" w:eastAsia="zh-CN"/>
        </w:rPr>
        <w:t xml:space="preserve">▲2.2.4排风柜内部空间高度≥1200mm（工作台面距离顶板），提供内部更高的使用操作空间。</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End w:id="111"/>
      <w:r>
        <w:rPr>
          <w:rFonts w:hint="eastAsia" w:ascii="宋体" w:hAnsi="宋体" w:eastAsia="宋体" w:cs="宋体"/>
          <w:color w:val="000000"/>
          <w:sz w:val="24"/>
          <w:highlight w:val="none"/>
          <w:lang w:val="en-US" w:eastAsia="zh-CN"/>
        </w:rPr>
        <w:t xml:space="preserve">2.2.5工作台面：采用厚度≥12.7mm的实芯理化板</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2.2.6内衬/导流板：采用内衬材料厚度为≥5mm厚抗倍特板</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2.2.7导流板通过防腐塑料材质固定座固定，用户可以不需使用工具轻易地将导流板拆卸清洗，固定件同时具备安装蒸馏架功能。</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2.2.8柜内顶板上面装有LED节能灯，灯光光线柔和，无频闪、快速启动类型，照明光源由塑料面板与柜内空间隔开。</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2.2.9柜内工作空间顶部应有泄压口设计，当工作空间实验装置发生意外爆炸时，泄压口可以分担柜内压力并释放，以减少对调节门玻璃的冲击力，最大化保护操作人员。</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2.2.10排风柜操作台面的平均照度不应小于800lx，并应采用节能及无频闪的照明灯具。</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2.2.11排</w:t>
      </w:r>
      <w:r>
        <w:rPr>
          <w:rFonts w:hint="eastAsia" w:ascii="宋体" w:hAnsi="宋体" w:eastAsia="宋体" w:cs="宋体"/>
          <w:color w:val="000000"/>
          <w:sz w:val="24"/>
          <w:highlight w:val="none"/>
          <w:lang w:val="zh-TW" w:eastAsia="zh-CN"/>
        </w:rPr>
        <w:t xml:space="preserve">风柜的前部</w:t>
      </w:r>
      <w:r>
        <w:rPr>
          <w:rFonts w:hint="eastAsia" w:ascii="宋体" w:hAnsi="宋体" w:eastAsia="宋体" w:cs="宋体"/>
          <w:color w:val="000000"/>
          <w:sz w:val="24"/>
          <w:highlight w:val="none"/>
          <w:lang w:val="en-US" w:eastAsia="zh-CN"/>
        </w:rPr>
        <w:t xml:space="preserve">为</w:t>
      </w:r>
      <w:r>
        <w:rPr>
          <w:rFonts w:hint="eastAsia" w:ascii="宋体" w:hAnsi="宋体" w:eastAsia="宋体" w:cs="宋体"/>
          <w:color w:val="000000"/>
          <w:sz w:val="24"/>
          <w:highlight w:val="none"/>
          <w:lang w:val="zh-TW" w:eastAsia="zh-CN"/>
        </w:rPr>
        <w:t xml:space="preserve">垂直</w:t>
      </w:r>
      <w:r>
        <w:rPr>
          <w:rFonts w:hint="eastAsia" w:ascii="宋体" w:hAnsi="宋体" w:eastAsia="宋体" w:cs="宋体"/>
          <w:color w:val="000000"/>
          <w:sz w:val="24"/>
          <w:highlight w:val="none"/>
          <w:lang w:val="en-US" w:eastAsia="zh-CN"/>
        </w:rPr>
        <w:t xml:space="preserve">升降</w:t>
      </w:r>
      <w:r>
        <w:rPr>
          <w:rFonts w:hint="eastAsia" w:ascii="宋体" w:hAnsi="宋体" w:eastAsia="宋体" w:cs="宋体"/>
          <w:color w:val="000000"/>
          <w:sz w:val="24"/>
          <w:highlight w:val="none"/>
          <w:lang w:val="zh-TW" w:eastAsia="zh-CN"/>
        </w:rPr>
        <w:t xml:space="preserve">安全</w:t>
      </w:r>
      <w:r>
        <w:rPr>
          <w:rFonts w:hint="eastAsia" w:ascii="宋体" w:hAnsi="宋体" w:eastAsia="宋体" w:cs="宋体"/>
          <w:color w:val="000000"/>
          <w:sz w:val="24"/>
          <w:highlight w:val="none"/>
          <w:lang w:val="en-US" w:eastAsia="zh-CN"/>
        </w:rPr>
        <w:t xml:space="preserve">调节门。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2.2.12调节门玻璃采用不低于2+2mm厚的安全夹层玻璃，可保证万一破碎时不会伤及人员，移门最大开启高度不得低于720mm，调节门最高和最低位置有限位装置；调节门拉手和调节门同宽，为减小进风阻力，使气流顺畅进入排风柜内，拉手结构应为弧形设计，门框及拉手整体使用工业铝合金型材，经环氧树脂喷涂制作。</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2.2.13调节门滑块应使用防腐蚀的塑料材质，增加耐腐性,调节门开关时更加顺畅和安静。</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2.2.14平衡系统使用同步带传动结构，可以保证调节门不倾斜，并且可用一只手轻松操控升、降调节门，采用高强度钢丝芯聚氨酯同步带，具有低噪声高性能和足够的承重能力并保证防腐蚀。</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▲2.2.15</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同步带材质力学性能、耐温耐水耐油耐久性能均满足行业优质用材技术要求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zh-TW" w:eastAsia="zh-CN"/>
        </w:rPr>
        <w:t xml:space="preserve">检测报告至少包含以下测试项目：</w:t>
      </w:r>
      <w:r>
        <w:rPr>
          <w:rFonts w:hint="eastAsia" w:ascii="宋体" w:hAnsi="宋体" w:eastAsia="宋体" w:cs="宋体"/>
          <w:color w:val="000000"/>
          <w:sz w:val="24"/>
          <w:highlight w:val="none"/>
          <w:lang w:val="en-US" w:eastAsia="zh-CN"/>
        </w:rPr>
        <w:t xml:space="preserve">拉伸强度、齿体剪切强度、齿体剪切强度(100℃x70h耐油性后)，拉伸强度(100℃(沸水)x3h,(25士5)℃(水)x30min耐水后)。</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2.2.16排风柜的调节门启动、关闭应轻便灵活，在开关行程范围内无卡阻，并可在任意位置停留。</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2.2.17调节门</w:t>
      </w:r>
      <w:r>
        <w:rPr>
          <w:rFonts w:hint="eastAsia" w:ascii="宋体" w:hAnsi="宋体" w:eastAsia="宋体" w:cs="宋体"/>
          <w:color w:val="000000"/>
          <w:sz w:val="24"/>
          <w:highlight w:val="none"/>
          <w:lang w:val="zh-TW" w:eastAsia="zh-CN"/>
        </w:rPr>
        <w:t xml:space="preserve">向上推至</w:t>
      </w:r>
      <w:r>
        <w:rPr>
          <w:rFonts w:hint="eastAsia" w:ascii="宋体" w:hAnsi="宋体" w:eastAsia="宋体" w:cs="宋体"/>
          <w:color w:val="000000"/>
          <w:sz w:val="24"/>
          <w:highlight w:val="none"/>
          <w:lang w:val="en-US" w:eastAsia="zh-CN"/>
        </w:rPr>
        <w:t xml:space="preserve">设计</w:t>
      </w:r>
      <w:r>
        <w:rPr>
          <w:rFonts w:hint="eastAsia" w:ascii="宋体" w:hAnsi="宋体" w:eastAsia="宋体" w:cs="宋体"/>
          <w:color w:val="000000"/>
          <w:sz w:val="24"/>
          <w:highlight w:val="none"/>
          <w:lang w:val="zh-TW" w:eastAsia="zh-CN"/>
        </w:rPr>
        <w:t xml:space="preserve">高</w:t>
      </w:r>
      <w:r>
        <w:rPr>
          <w:rFonts w:hint="eastAsia" w:ascii="宋体" w:hAnsi="宋体" w:eastAsia="宋体" w:cs="宋体"/>
          <w:color w:val="000000"/>
          <w:sz w:val="24"/>
          <w:highlight w:val="none"/>
          <w:lang w:val="en-US" w:eastAsia="zh-CN"/>
        </w:rPr>
        <w:t xml:space="preserve">度</w:t>
      </w:r>
      <w:r>
        <w:rPr>
          <w:rFonts w:hint="eastAsia" w:ascii="宋体" w:hAnsi="宋体" w:eastAsia="宋体" w:cs="宋体"/>
          <w:color w:val="000000"/>
          <w:sz w:val="24"/>
          <w:highlight w:val="none"/>
          <w:lang w:val="zh-TW" w:eastAsia="zh-CN"/>
        </w:rPr>
        <w:t xml:space="preserve">时，</w:t>
      </w:r>
      <w:r>
        <w:rPr>
          <w:rFonts w:hint="eastAsia" w:ascii="宋体" w:hAnsi="宋体" w:eastAsia="宋体" w:cs="宋体"/>
          <w:color w:val="000000"/>
          <w:sz w:val="24"/>
          <w:highlight w:val="none"/>
          <w:lang w:val="en-US" w:eastAsia="zh-CN"/>
        </w:rPr>
        <w:t xml:space="preserve">需有限位装置</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en-US" w:eastAsia="zh-CN"/>
        </w:rPr>
        <w:t xml:space="preserve">如需更大开度时，可单手解除限位，再将调节门打开至最大，关闭调节门时限位装置无需手动操作。</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Start w:id="112" w:name="_Hlk188356914"/>
      <w:r>
        <w:rPr>
          <w:rFonts w:hint="eastAsia" w:ascii="宋体" w:hAnsi="宋体" w:eastAsia="宋体" w:cs="宋体"/>
          <w:color w:val="000000"/>
          <w:sz w:val="24"/>
          <w:highlight w:val="none"/>
          <w:lang w:val="en-US" w:eastAsia="zh-CN"/>
        </w:rPr>
        <w:t xml:space="preserve">2.2.18调节门上方为固定式天窗，玻璃采用不低于2+2mm厚的安全夹层玻璃，提供最大视野以观察排风柜内试验装置。</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End w:id="112"/>
      <w:r>
        <w:rPr>
          <w:rFonts w:hint="eastAsia" w:ascii="宋体" w:hAnsi="宋体" w:eastAsia="宋体" w:cs="宋体"/>
          <w:color w:val="000000"/>
          <w:sz w:val="24"/>
          <w:highlight w:val="none"/>
          <w:lang w:val="en-US" w:eastAsia="zh-CN"/>
        </w:rPr>
        <w:t xml:space="preserve">2.2.19调节门配置防坠落功能，即一侧同步带突然断开，调节门也会停留在最初位置附近，下落距离不大于25mm。防止调节门急速坠落发生意外事故。</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2.2.20</w:t>
      </w:r>
      <w:r>
        <w:rPr>
          <w:rFonts w:ascii="宋体" w:hAnsi="宋体" w:eastAsia="宋体" w:cs="宋体"/>
          <w:color w:val="000000"/>
          <w:sz w:val="24"/>
          <w:szCs w:val="24"/>
          <w:highlight w:val="none"/>
        </w:rPr>
        <w:t xml:space="preserve">气翼（下导流翼）整体采用工业铝合金型材制作，结构贴合空气动力学设计，表面施加特氟龙防护涂层，各项理化性能、耐化学腐蚀性能均满足实验室严苛使用环境要求。</w:t>
      </w:r>
      <w:r>
        <w:rPr>
          <w:rFonts w:hint="eastAsia" w:ascii="宋体" w:hAnsi="宋体" w:eastAsia="宋体" w:cs="宋体"/>
          <w:color w:val="000000"/>
          <w:sz w:val="24"/>
          <w:highlight w:val="none"/>
          <w:lang w:val="en-US" w:eastAsia="zh-CN"/>
        </w:rPr>
        <w:t xml:space="preserve">可抵抗强酸强碱，表面涂层性能试验、耐化学性能试验，试验内容至少包括：化学试剂痕迹试验、</w:t>
      </w:r>
      <w:r>
        <w:rPr>
          <w:rFonts w:hint="eastAsia" w:ascii="宋体" w:hAnsi="宋体" w:eastAsia="宋体" w:cs="宋体"/>
          <w:color w:val="000000"/>
          <w:sz w:val="24"/>
          <w:highlight w:val="none"/>
          <w:lang w:val="zh-TW" w:eastAsia="zh-CN"/>
        </w:rPr>
        <w:t xml:space="preserve">热水</w:t>
      </w:r>
      <w:r>
        <w:rPr>
          <w:rFonts w:hint="eastAsia" w:ascii="宋体" w:hAnsi="宋体" w:eastAsia="宋体" w:cs="宋体"/>
          <w:color w:val="000000"/>
          <w:sz w:val="24"/>
          <w:highlight w:val="none"/>
          <w:lang w:val="en-US" w:eastAsia="zh-CN"/>
        </w:rPr>
        <w:t xml:space="preserve">试验、</w:t>
      </w:r>
      <w:r>
        <w:rPr>
          <w:rFonts w:hint="eastAsia" w:ascii="宋体" w:hAnsi="宋体" w:eastAsia="宋体" w:cs="宋体"/>
          <w:color w:val="000000"/>
          <w:sz w:val="24"/>
          <w:highlight w:val="none"/>
          <w:lang w:val="zh-TW" w:eastAsia="zh-CN"/>
        </w:rPr>
        <w:t xml:space="preserve">冲击试验、油漆附着</w:t>
      </w:r>
      <w:r>
        <w:rPr>
          <w:rFonts w:hint="eastAsia" w:ascii="宋体" w:hAnsi="宋体" w:eastAsia="宋体" w:cs="宋体"/>
          <w:color w:val="000000"/>
          <w:sz w:val="24"/>
          <w:highlight w:val="none"/>
          <w:lang w:val="en-US" w:eastAsia="zh-CN"/>
        </w:rPr>
        <w:t xml:space="preserve">力、</w:t>
      </w:r>
      <w:r>
        <w:rPr>
          <w:rFonts w:hint="eastAsia" w:ascii="宋体" w:hAnsi="宋体" w:eastAsia="宋体" w:cs="宋体"/>
          <w:color w:val="000000"/>
          <w:sz w:val="24"/>
          <w:highlight w:val="none"/>
          <w:lang w:val="zh-TW" w:eastAsia="zh-CN"/>
        </w:rPr>
        <w:t xml:space="preserve">油漆硬度、防潮性能、盐雾试验、耐磨试验。</w:t>
      </w:r>
      <w:r>
        <w:rPr>
          <w:rFonts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2.2.21集气罩要求防腐蚀塑料材质，锥形缩口设计，应具良好的锥形集气角度及圆滑度，保证低噪音，气流均匀，以获得良好集气平均性及低压损。</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2.2.22</w:t>
      </w:r>
      <w:r>
        <w:rPr>
          <w:rFonts w:hint="eastAsia" w:ascii="宋体" w:hAnsi="宋体" w:eastAsia="宋体" w:cs="宋体"/>
          <w:color w:val="000000"/>
          <w:sz w:val="24"/>
          <w:highlight w:val="none"/>
          <w:lang w:val="zh-TW" w:eastAsia="zh-CN"/>
        </w:rPr>
        <w:t xml:space="preserve">电气设施安装在</w:t>
      </w:r>
      <w:r>
        <w:rPr>
          <w:rFonts w:hint="eastAsia" w:ascii="宋体" w:hAnsi="宋体" w:eastAsia="宋体" w:cs="宋体"/>
          <w:color w:val="000000"/>
          <w:sz w:val="24"/>
          <w:highlight w:val="none"/>
          <w:lang w:val="en-US" w:eastAsia="zh-CN"/>
        </w:rPr>
        <w:t xml:space="preserve">排</w:t>
      </w:r>
      <w:r>
        <w:rPr>
          <w:rFonts w:hint="eastAsia" w:ascii="宋体" w:hAnsi="宋体" w:eastAsia="宋体" w:cs="宋体"/>
          <w:color w:val="000000"/>
          <w:sz w:val="24"/>
          <w:highlight w:val="none"/>
          <w:lang w:val="zh-TW" w:eastAsia="zh-CN"/>
        </w:rPr>
        <w:t xml:space="preserve">风柜的功能面板上，功能面板</w:t>
      </w:r>
      <w:r>
        <w:rPr>
          <w:rFonts w:hint="eastAsia" w:ascii="宋体" w:hAnsi="宋体" w:eastAsia="宋体" w:cs="宋体"/>
          <w:color w:val="000000"/>
          <w:sz w:val="24"/>
          <w:highlight w:val="none"/>
          <w:lang w:val="en-US" w:eastAsia="zh-CN"/>
        </w:rPr>
        <w:t xml:space="preserve">具备灵活的拆卸结构，方便后期功能调整，</w:t>
      </w:r>
      <w:r>
        <w:rPr>
          <w:rFonts w:hint="eastAsia" w:ascii="宋体" w:hAnsi="宋体" w:eastAsia="宋体" w:cs="宋体"/>
          <w:color w:val="000000"/>
          <w:sz w:val="24"/>
          <w:highlight w:val="none"/>
          <w:lang w:val="zh-TW" w:eastAsia="zh-CN"/>
        </w:rPr>
        <w:t xml:space="preserve">灵活性强</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TW" w:eastAsia="zh-CN"/>
        </w:rPr>
        <w:t xml:space="preserve">同时安装有</w:t>
      </w:r>
      <w:r>
        <w:rPr>
          <w:rFonts w:hint="eastAsia" w:ascii="宋体" w:hAnsi="宋体" w:eastAsia="宋体" w:cs="宋体"/>
          <w:color w:val="000000"/>
          <w:sz w:val="24"/>
          <w:highlight w:val="none"/>
          <w:lang w:val="en-US" w:eastAsia="zh-CN"/>
        </w:rPr>
        <w:t xml:space="preserve">1个25A断路器+漏电保护装置</w:t>
      </w:r>
      <w:r>
        <w:rPr>
          <w:rFonts w:hint="eastAsia" w:ascii="宋体" w:hAnsi="宋体" w:eastAsia="宋体" w:cs="宋体"/>
          <w:color w:val="000000"/>
          <w:sz w:val="24"/>
          <w:highlight w:val="none"/>
          <w:lang w:val="zh-TW" w:eastAsia="zh-CN"/>
        </w:rPr>
        <w:t xml:space="preserve">，不少于4 个</w:t>
      </w:r>
      <w:r>
        <w:rPr>
          <w:rFonts w:hint="eastAsia" w:ascii="宋体" w:hAnsi="宋体" w:eastAsia="宋体" w:cs="宋体"/>
          <w:color w:val="000000"/>
          <w:sz w:val="24"/>
          <w:highlight w:val="none"/>
          <w:lang w:val="en-US" w:eastAsia="zh-CN"/>
        </w:rPr>
        <w:t xml:space="preserve">三孔或五孔防尘</w:t>
      </w:r>
      <w:r>
        <w:rPr>
          <w:rFonts w:hint="eastAsia" w:ascii="宋体" w:hAnsi="宋体" w:eastAsia="宋体" w:cs="宋体"/>
          <w:color w:val="000000"/>
          <w:sz w:val="24"/>
          <w:highlight w:val="none"/>
          <w:lang w:val="zh-TW" w:eastAsia="zh-CN"/>
        </w:rPr>
        <w:t xml:space="preserve">插座，220V，10A</w:t>
      </w:r>
      <w:r>
        <w:rPr>
          <w:rFonts w:hint="eastAsia" w:ascii="宋体" w:hAnsi="宋体" w:eastAsia="宋体" w:cs="宋体"/>
          <w:color w:val="000000"/>
          <w:sz w:val="24"/>
          <w:highlight w:val="none"/>
          <w:lang w:val="en-US" w:eastAsia="zh-CN"/>
        </w:rPr>
        <w:t xml:space="preserve">/16A</w:t>
      </w:r>
      <w:r>
        <w:rPr>
          <w:rFonts w:hint="eastAsia" w:ascii="宋体" w:hAnsi="宋体" w:eastAsia="宋体" w:cs="宋体"/>
          <w:color w:val="000000"/>
          <w:sz w:val="24"/>
          <w:highlight w:val="none"/>
          <w:lang w:val="zh-TW" w:eastAsia="zh-CN"/>
        </w:rPr>
        <w:t xml:space="preserve">，，插座保护盒外部尺寸不大于宽 90×高 90×厚30mm（含盖）以匹配整体外观，</w:t>
      </w:r>
      <w:r>
        <w:rPr>
          <w:rFonts w:hint="eastAsia" w:ascii="宋体" w:hAnsi="宋体" w:eastAsia="宋体" w:cs="宋体"/>
          <w:color w:val="000000"/>
          <w:sz w:val="24"/>
          <w:highlight w:val="none"/>
          <w:lang w:val="en-US" w:eastAsia="zh-CN"/>
        </w:rPr>
        <w:t xml:space="preserve">方便设备使用</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2.2.23</w:t>
      </w:r>
      <w:r>
        <w:rPr>
          <w:rFonts w:hint="eastAsia" w:ascii="宋体" w:hAnsi="宋体" w:eastAsia="宋体" w:cs="宋体"/>
          <w:color w:val="000000"/>
          <w:sz w:val="24"/>
          <w:highlight w:val="none"/>
          <w:lang w:val="zh-TW" w:eastAsia="zh-CN"/>
        </w:rPr>
        <w:t xml:space="preserve">电器设施配置接线底盒，</w:t>
      </w:r>
      <w:r>
        <w:rPr>
          <w:rFonts w:hint="eastAsia" w:ascii="宋体" w:hAnsi="宋体" w:eastAsia="宋体" w:cs="宋体"/>
          <w:color w:val="000000"/>
          <w:sz w:val="24"/>
          <w:highlight w:val="none"/>
          <w:lang w:val="en-US" w:eastAsia="zh-CN"/>
        </w:rPr>
        <w:t xml:space="preserve">可以同时起到连接电线，保障各种电气线路的过渡和保护线路安全的作用。</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▲2.2.24排风柜立柱/气翼（下导流翼）向柜内方向设计有辅助气流系统，可为两侧立柱/</w:t>
      </w:r>
      <w:bookmarkStart w:id="113" w:name="_Hlk188357301"/>
      <w:r>
        <w:rPr>
          <w:rFonts w:hint="eastAsia" w:ascii="宋体" w:hAnsi="宋体" w:eastAsia="宋体" w:cs="宋体"/>
          <w:color w:val="000000"/>
          <w:sz w:val="24"/>
          <w:highlight w:val="none"/>
          <w:lang w:val="en-US" w:eastAsia="zh-CN"/>
        </w:rPr>
        <w:t xml:space="preserve">气翼边缘</w:t>
      </w:r>
      <w:bookmarkEnd w:id="113"/>
      <w:r>
        <w:rPr>
          <w:rFonts w:hint="eastAsia" w:ascii="宋体" w:hAnsi="宋体" w:eastAsia="宋体" w:cs="宋体"/>
          <w:color w:val="000000"/>
          <w:sz w:val="24"/>
          <w:highlight w:val="none"/>
          <w:lang w:val="en-US" w:eastAsia="zh-CN"/>
        </w:rPr>
        <w:t xml:space="preserve">提供向柜内的稳定气流，气流分布均匀，提高排风柜安全性能和抗干扰性能。</w:t>
      </w:r>
      <w:bookmarkStart w:id="114" w:name="_Hlk188357480"/>
      <w:r>
        <w:rPr>
          <w:rFonts w:hint="eastAsia" w:ascii="宋体" w:hAnsi="宋体" w:eastAsia="宋体" w:cs="宋体"/>
          <w:color w:val="000000"/>
          <w:sz w:val="24"/>
          <w:highlight w:val="none"/>
          <w:lang w:val="en-US" w:eastAsia="zh-CN"/>
        </w:rPr>
        <w:t xml:space="preserve">辅助气流应预留启停控制点位，方便排风柜的变风量控制系统接入联动启停。</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2.2.25</w:t>
      </w:r>
      <w:r>
        <w:rPr>
          <w:rFonts w:hint="eastAsia" w:ascii="宋体" w:hAnsi="宋体" w:eastAsia="宋体" w:cs="宋体"/>
          <w:color w:val="000000"/>
          <w:sz w:val="24"/>
          <w:highlight w:val="none"/>
          <w:lang w:val="zh-TW" w:eastAsia="zh-CN"/>
        </w:rPr>
        <w:t xml:space="preserve">前框</w:t>
      </w:r>
      <w:r>
        <w:rPr>
          <w:rFonts w:hint="eastAsia" w:ascii="宋体" w:hAnsi="宋体" w:eastAsia="宋体" w:cs="宋体"/>
          <w:color w:val="000000"/>
          <w:sz w:val="24"/>
          <w:highlight w:val="none"/>
          <w:lang w:val="en-US" w:eastAsia="zh-CN"/>
        </w:rPr>
        <w:t xml:space="preserve">两侧立柱整体使用工业铝合金型材，经环氧树脂喷涂制作。</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End w:id="114"/>
      <w:r>
        <w:rPr>
          <w:rFonts w:hint="eastAsia" w:ascii="宋体" w:hAnsi="宋体" w:eastAsia="宋体" w:cs="宋体"/>
          <w:color w:val="000000"/>
          <w:sz w:val="24"/>
          <w:highlight w:val="none"/>
          <w:lang w:val="en-US" w:eastAsia="zh-CN"/>
        </w:rPr>
        <w:t xml:space="preserve">2.2.26调节门两侧边框与滑槽间有旁通设计，提高柜内气流稳定性。</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2.2.27底柜柜体与实验台柜体制作要求同。每个柜体均应为完整独立的落地型全钢制柜体设计，除有特别说明者外，每台排风柜配置两只双开门款式底柜单元。底柜后方应具备容易拆装的活动背板，顶部封有顶板将柜体密封，根据需要可对接排风。</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2.2.28根据需要也可配置框架支撑结构，底柜可选配安全柜或废液收集柜(废液收集柜需配置有PP托盘，托盘并可轻易拉出)。</w:t>
      </w:r>
      <w:r>
        <w:rPr>
          <w:rFonts w:hint="eastAsia" w:ascii="宋体" w:hAnsi="宋体" w:eastAsia="宋体" w:cs="宋体"/>
          <w:color w:val="000000"/>
          <w:sz w:val="24"/>
          <w:highlight w:val="none"/>
          <w:lang w:val="en-US" w:eastAsia="zh-CN"/>
        </w:rPr>
      </w:r>
      <w:r/>
    </w:p>
    <w:p>
      <w:pPr>
        <w:pStyle w:val="825"/>
        <w:ind w:left="479" w:firstLine="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▲2.2.29</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t xml:space="preserve">排风柜阻力小于50Pa。</w:t>
      </w:r>
      <w:r>
        <w:rPr>
          <w:rFonts w:hint="eastAsia" w:ascii="宋体" w:hAnsi="宋体" w:eastAsia="宋体" w:cs="宋体"/>
          <w:color w:val="000000"/>
          <w:sz w:val="24"/>
          <w:szCs w:val="24"/>
          <w:highlight w:val="none"/>
          <w:lang w:val="en-US" w:eastAsia="zh-CN"/>
        </w:rPr>
      </w:r>
      <w:r/>
    </w:p>
    <w:p>
      <w:pPr>
        <w:pStyle w:val="825"/>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25"/>
        <w:numPr>
          <w:ilvl w:val="0"/>
          <w:numId w:val="42"/>
        </w:numPr>
        <w:ind w:left="0" w:firstLine="482"/>
        <w:jc w:val="left"/>
        <w:keepLines w:val="0"/>
        <w:keepNext w:val="0"/>
        <w:pageBreakBefore w:val="0"/>
        <w:spacing w:line="24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通风柜控制系统技术要求 </w:t>
      </w:r>
      <w:r>
        <w:rPr>
          <w:rFonts w:hint="eastAsia" w:ascii="宋体" w:hAnsi="宋体" w:eastAsia="宋体" w:cs="宋体"/>
          <w:b/>
          <w:bCs/>
          <w:color w:val="000000"/>
          <w:sz w:val="24"/>
          <w:highlight w:val="none"/>
          <w:lang w:val="en-US" w:eastAsia="zh-CN"/>
        </w:rPr>
      </w:r>
      <w:r/>
    </w:p>
    <w:p>
      <w:pPr>
        <w:pStyle w:val="825"/>
        <w:numPr>
          <w:ilvl w:val="0"/>
          <w:numId w:val="0"/>
        </w:numPr>
        <w:ind w:firstLine="480"/>
        <w:jc w:val="left"/>
        <w:keepLines w:val="0"/>
        <w:keepNext w:val="0"/>
        <w:pageBreakBefore w:val="0"/>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TW" w:eastAsia="zh-CN"/>
        </w:rPr>
        <w:t xml:space="preserve">变风量控制系统应采用成套产品，以保持控制完整性以及维护可靠性。</w:t>
      </w:r>
      <w:r>
        <w:rPr>
          <w:rFonts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bookmarkStart w:id="115" w:name="_Toc491929021"/>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zh-TW" w:eastAsia="zh-CN"/>
        </w:rPr>
        <w:t xml:space="preserve">通风柜面风速控制系统</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3.1.1</w:t>
      </w:r>
      <w:r>
        <w:rPr>
          <w:rFonts w:hint="eastAsia" w:ascii="宋体" w:hAnsi="宋体" w:eastAsia="宋体" w:cs="宋体"/>
          <w:color w:val="000000"/>
          <w:sz w:val="24"/>
          <w:highlight w:val="none"/>
          <w:lang w:val="zh-TW" w:eastAsia="zh-CN"/>
        </w:rPr>
        <w:t xml:space="preserve">通风柜面风速控制系统采用位移与管道实测风量和需求风量对比双路控制方式，调节窗动作时，由位移传感器检测视窗开度，通风柜控制器调节变风量流量控制阀至标定风量，稳定后转为流量反馈微调，从而保证内通风柜面风速恒定。</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3.1.2</w:t>
      </w:r>
      <w:r>
        <w:rPr>
          <w:rFonts w:hint="eastAsia" w:ascii="宋体" w:hAnsi="宋体" w:eastAsia="宋体" w:cs="宋体"/>
          <w:color w:val="000000"/>
          <w:sz w:val="24"/>
          <w:highlight w:val="none"/>
          <w:lang w:val="zh-TW" w:eastAsia="zh-CN"/>
        </w:rPr>
        <w:t xml:space="preserve">每台通风柜配置一套高品质VAV面风速控制系统。该控制系统保证通风柜调节门在任意位置下通风柜面风速能迅速稳定到设定值。VAV面风速控制系统一般包括如下产品：一个不小于5.0吋全触摸液晶显示面板、一个通风柜控制器、一个流量传感器、一个调节窗位移传感器，一个防腐型变风量流量蝶阀。</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3.1.3</w:t>
      </w:r>
      <w:r>
        <w:rPr>
          <w:rFonts w:ascii="宋体" w:hAnsi="宋体" w:eastAsia="宋体" w:cs="宋体"/>
          <w:color w:val="000000"/>
          <w:sz w:val="24"/>
          <w:szCs w:val="24"/>
          <w:highlight w:val="none"/>
        </w:rPr>
        <w:t xml:space="preserve">通风柜视窗</w:t>
      </w:r>
      <w:r>
        <w:rPr>
          <w:rFonts w:hint="eastAsia" w:ascii="宋体" w:hAnsi="宋体" w:eastAsia="宋体" w:cs="宋体"/>
          <w:color w:val="000000"/>
          <w:sz w:val="24"/>
          <w:szCs w:val="24"/>
          <w:highlight w:val="none"/>
          <w:lang w:val="en-US" w:eastAsia="zh-CN"/>
        </w:rPr>
        <w:t xml:space="preserve">100%</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50%</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rPr>
        <w:t xml:space="preserve">等不同操作开度工况检测内容，设备多档位开度下面风速均匀性偏差、风速调节响应速度等核心性能指标均符合规范使用要求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szCs w:val="24"/>
          <w:highlight w:val="none"/>
          <w:lang w:val="en-US" w:eastAsia="zh-CN"/>
        </w:rPr>
        <w:t xml:space="preserve">3.1.4</w:t>
      </w:r>
      <w:r>
        <w:rPr>
          <w:rFonts w:ascii="宋体" w:hAnsi="宋体" w:eastAsia="宋体" w:cs="宋体"/>
          <w:color w:val="000000"/>
          <w:sz w:val="24"/>
          <w:szCs w:val="24"/>
          <w:highlight w:val="none"/>
        </w:rPr>
        <w:t xml:space="preserve">设备控制系统分别在 50℃高温环境连续运行 12 小时、0℃低温环境连续运行 12 小时工况下，均可稳定正常运行，各项功能无异常。</w:t>
      </w:r>
      <w:r>
        <w:rPr>
          <w:rFonts w:hint="eastAsia" w:ascii="宋体" w:hAnsi="宋体" w:eastAsia="宋体" w:cs="宋体"/>
          <w:color w:val="000000"/>
          <w:sz w:val="24"/>
          <w:highlight w:val="none"/>
          <w:lang w:val="zh-TW" w:eastAsia="zh-CN"/>
        </w:rPr>
        <w:t xml:space="preserve">VAV面风速控制系统具有以下功能特性：自动调节以恒定不同状态下的安全面风速设定要求；不安全的条件下，声音及显示报警；支持实测面风速并数字显示面风速值；支持显示当前变风量阀门状态以提醒用户通风柜使用状态；支持一键最大风量紧急排放功能；面风速目标值参数可设定；报警阈值参数可设定。</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w:t>
      </w:r>
      <w:r>
        <w:rPr>
          <w:rFonts w:hint="eastAsia" w:ascii="宋体" w:hAnsi="宋体" w:eastAsia="宋体" w:cs="宋体"/>
          <w:color w:val="000000"/>
          <w:sz w:val="24"/>
          <w:highlight w:val="none"/>
          <w:lang w:val="zh-TW" w:eastAsia="zh-CN"/>
        </w:rPr>
        <w:t xml:space="preserve">产品技术要求：</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3.2.1</w:t>
      </w:r>
      <w:r>
        <w:rPr>
          <w:rFonts w:hint="eastAsia" w:ascii="宋体" w:hAnsi="宋体" w:eastAsia="宋体" w:cs="宋体"/>
          <w:color w:val="000000"/>
          <w:sz w:val="24"/>
          <w:highlight w:val="none"/>
          <w:lang w:val="zh-TW" w:eastAsia="zh-CN"/>
        </w:rPr>
        <w:t xml:space="preserve">通风柜液晶显示面板</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zh-TW" w:eastAsia="zh-CN"/>
        </w:rPr>
        <w:t xml:space="preserve">不小于5.0吋彩色高清液晶触摸显示面板，电容屏，可实时显示当前通风柜面风速值，并能进行相关参数设置。所有参数均可就地设置，液晶显示屏应有调整相应指示，且进入界面应设置密码保护避免误操作。可依据室内气流环境，调整面风速或流量传感器敏感度，减少系统波动。具备紧急排风按键，紧急情况下，通过此按键实现最大排风操作。通过液晶屏显示当前安全/危险运行状态，具有声光报警功能，可设定面风速报警上下限及调节窗位移报警阈值。</w:t>
      </w:r>
      <w:r>
        <w:rPr>
          <w:rFonts w:ascii="宋体" w:hAnsi="宋体" w:eastAsia="宋体" w:cs="宋体"/>
          <w:color w:val="000000"/>
          <w:sz w:val="24"/>
          <w:szCs w:val="24"/>
          <w:highlight w:val="none"/>
        </w:rPr>
        <w:t xml:space="preserve">通风柜液晶显示面板燃烧性能</w:t>
      </w:r>
      <w:r>
        <w:rPr>
          <w:rFonts w:ascii="宋体" w:hAnsi="宋体" w:eastAsia="宋体" w:cs="宋体"/>
          <w:color w:val="000000"/>
          <w:sz w:val="24"/>
          <w:szCs w:val="24"/>
          <w:highlight w:val="none"/>
        </w:rPr>
        <w:t xml:space="preserve">需符合GB8624-2012标准相关规定，燃烧性能达到A（A1）级。</w:t>
      </w:r>
      <w:r>
        <w:rPr>
          <w:rFonts w:hint="eastAsia" w:ascii="宋体" w:hAnsi="宋体" w:eastAsia="宋体" w:cs="宋体"/>
          <w:color w:val="000000"/>
          <w:sz w:val="24"/>
          <w:highlight w:val="none"/>
          <w:lang w:val="zh-TW" w:eastAsia="zh-CN"/>
        </w:rPr>
        <w:t xml:space="preserve">按照GB/T17626.4-2018标准进行电快速瞬变脉冲群抗扰度试验，试验期间，屏幕能正常显示，有数据更新；试验后，屏幕能正常显示，有数据更新，可以触控。</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3.2.2</w:t>
      </w:r>
      <w:r>
        <w:rPr>
          <w:rFonts w:hint="eastAsia" w:ascii="宋体" w:hAnsi="宋体" w:eastAsia="宋体" w:cs="宋体"/>
          <w:color w:val="000000"/>
          <w:sz w:val="24"/>
          <w:highlight w:val="none"/>
          <w:lang w:val="zh-TW" w:eastAsia="zh-CN"/>
        </w:rPr>
        <w:t xml:space="preserve">通风柜控制器</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连接液晶显示面板、风量传感器、位移传感器、快速执行器元器件。采用位移与管道实测风量和需求风量对比双路控制方式，调节窗动作时，由位移传感器检测视窗开度，通风柜控制器调节变风量流量控制阀至标定风量，稳定后转为流量反馈微调，从而保证内通风柜面风速恒定。支持视窗自动升降扩展功能，并触摸控制视窗高度。支持</w:t>
      </w:r>
      <w:r>
        <w:rPr>
          <w:rFonts w:hint="eastAsia" w:ascii="宋体" w:hAnsi="宋体" w:eastAsia="宋体" w:cs="宋体"/>
          <w:color w:val="000000"/>
          <w:sz w:val="24"/>
          <w:highlight w:val="none"/>
          <w:lang w:val="en-US" w:eastAsia="zh-CN"/>
        </w:rPr>
        <w:t xml:space="preserve">RS-485</w:t>
      </w:r>
      <w:r>
        <w:rPr>
          <w:rFonts w:hint="eastAsia" w:ascii="宋体" w:hAnsi="宋体" w:eastAsia="宋体" w:cs="宋体"/>
          <w:color w:val="000000"/>
          <w:sz w:val="24"/>
          <w:highlight w:val="none"/>
          <w:lang w:val="zh-TW" w:eastAsia="zh-CN"/>
        </w:rPr>
        <w:t xml:space="preserve">或以太网通信功能。支持物联网通信功能，支持</w:t>
      </w:r>
      <w:r>
        <w:rPr>
          <w:rFonts w:hint="eastAsia" w:ascii="宋体" w:hAnsi="宋体" w:eastAsia="宋体" w:cs="宋体"/>
          <w:color w:val="000000"/>
          <w:sz w:val="24"/>
          <w:highlight w:val="none"/>
          <w:lang w:val="en-US" w:eastAsia="zh-CN"/>
        </w:rPr>
        <w:t xml:space="preserve">NB</w:t>
      </w:r>
      <w:r>
        <w:rPr>
          <w:rFonts w:hint="eastAsia" w:ascii="宋体" w:hAnsi="宋体" w:eastAsia="宋体" w:cs="宋体"/>
          <w:color w:val="000000"/>
          <w:sz w:val="24"/>
          <w:highlight w:val="none"/>
          <w:lang w:val="zh-TW" w:eastAsia="zh-CN"/>
        </w:rPr>
        <w:t xml:space="preserve">或</w:t>
      </w:r>
      <w:r>
        <w:rPr>
          <w:rFonts w:hint="eastAsia" w:ascii="宋体" w:hAnsi="宋体" w:eastAsia="宋体" w:cs="宋体"/>
          <w:color w:val="000000"/>
          <w:sz w:val="24"/>
          <w:highlight w:val="none"/>
          <w:lang w:val="en-US" w:eastAsia="zh-CN"/>
        </w:rPr>
        <w:t xml:space="preserve">LORA</w:t>
      </w:r>
      <w:r>
        <w:rPr>
          <w:rFonts w:hint="eastAsia" w:ascii="宋体" w:hAnsi="宋体" w:eastAsia="宋体" w:cs="宋体"/>
          <w:color w:val="000000"/>
          <w:sz w:val="24"/>
          <w:highlight w:val="none"/>
          <w:lang w:val="zh-TW" w:eastAsia="zh-CN"/>
        </w:rPr>
        <w:t xml:space="preserve">物联网无线通信模式。</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3.2.3</w:t>
      </w:r>
      <w:r>
        <w:rPr>
          <w:rFonts w:hint="eastAsia" w:ascii="宋体" w:hAnsi="宋体" w:eastAsia="宋体" w:cs="宋体"/>
          <w:color w:val="000000"/>
          <w:sz w:val="24"/>
          <w:highlight w:val="none"/>
          <w:lang w:val="zh-TW" w:eastAsia="zh-CN"/>
        </w:rPr>
        <w:t xml:space="preserve">风量传感器</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GB" w:eastAsia="zh-CN"/>
        </w:rPr>
      </w:pPr>
      <w:r>
        <w:rPr>
          <w:rFonts w:hint="eastAsia" w:ascii="宋体" w:hAnsi="宋体" w:eastAsia="宋体" w:cs="宋体"/>
          <w:color w:val="000000"/>
          <w:sz w:val="24"/>
          <w:highlight w:val="none"/>
          <w:lang w:val="en-GB" w:eastAsia="zh-CN"/>
        </w:rPr>
        <w:t xml:space="preserve">风量传感器集成于通风柜控制器，测量经过阀门测量段两端的压力差，确保测量风量的精度。量程：100～2000m3/h，精度±1%FS</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GB" w:eastAsia="zh-CN"/>
        </w:rPr>
        <w:t xml:space="preserve">反应时间为0.5ms。</w:t>
      </w:r>
      <w:r>
        <w:rPr>
          <w:rFonts w:hint="eastAsia" w:ascii="宋体" w:hAnsi="宋体" w:eastAsia="宋体" w:cs="宋体"/>
          <w:color w:val="000000"/>
          <w:sz w:val="24"/>
          <w:highlight w:val="none"/>
          <w:lang w:val="en-GB"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3.2.4</w:t>
      </w:r>
      <w:r>
        <w:rPr>
          <w:rFonts w:hint="eastAsia" w:ascii="宋体" w:hAnsi="宋体" w:eastAsia="宋体" w:cs="宋体"/>
          <w:color w:val="000000"/>
          <w:sz w:val="24"/>
          <w:highlight w:val="none"/>
          <w:lang w:val="zh-TW" w:eastAsia="zh-CN"/>
        </w:rPr>
        <w:t xml:space="preserve">位移传感器</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高精度电位器带一条钢丝，钢丝直连到调节门或者其配重上。调节门开关，电位器电阻改变，通风柜控制器上产生一个0～10VDC的调节门开度信号。行程范围为0-1000mm，适用于通用通风柜调节窗。轮彀材料：绝缘颗粒涂层阳极氧化铝。测量精度：0.25mm。可重复性：0.12mm。位移传感器的铅、镉、汞、六价铬、多溴联苯、多溴二苯醚、DBP、BBP、DEHP、DIBP  10项均符合RoHS2011/65/EU及修订指令（EU）2015/863附录II要求。</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w:t>
      </w:r>
      <w:r>
        <w:rPr>
          <w:rFonts w:hint="eastAsia" w:ascii="宋体" w:hAnsi="宋体" w:eastAsia="宋体" w:cs="宋体"/>
          <w:color w:val="000000"/>
          <w:sz w:val="24"/>
          <w:highlight w:val="none"/>
          <w:lang w:val="zh-TW" w:eastAsia="zh-CN"/>
        </w:rPr>
        <w:t xml:space="preserve">变风量蝶阀</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3.2.5.1</w:t>
      </w:r>
      <w:r>
        <w:rPr>
          <w:rFonts w:hint="eastAsia" w:ascii="宋体" w:hAnsi="宋体" w:eastAsia="宋体" w:cs="宋体"/>
          <w:color w:val="000000"/>
          <w:sz w:val="24"/>
          <w:highlight w:val="none"/>
          <w:lang w:val="zh-TW" w:eastAsia="zh-CN"/>
        </w:rPr>
        <w:t xml:space="preserve">变风量蝶阀是高速反应的风量控制设备。按照要求风量的变化，在小于3秒的时间内，完成精确的风量控制，防止有害气体的扩散。阀体采用抗腐蚀PP材质制成，带文丘里流量测量段，带法兰，带气密环，阀片带橡胶密封胶条。风量控制精度：≤±6%。高速反应，执行器驱动方式：电动，0～90°全行程≤2。变风量蝶阀</w:t>
      </w:r>
      <w:r>
        <w:rPr>
          <w:rFonts w:hint="eastAsia" w:ascii="宋体" w:hAnsi="宋体" w:eastAsia="宋体" w:cs="宋体"/>
          <w:color w:val="000000"/>
          <w:sz w:val="24"/>
          <w:highlight w:val="none"/>
          <w:lang w:val="en-US" w:eastAsia="zh-CN"/>
        </w:rPr>
        <w:t xml:space="preserve">根据</w:t>
      </w:r>
      <w:r>
        <w:rPr>
          <w:rFonts w:hint="eastAsia" w:ascii="宋体" w:hAnsi="宋体" w:eastAsia="宋体" w:cs="宋体"/>
          <w:color w:val="000000"/>
          <w:sz w:val="24"/>
          <w:highlight w:val="none"/>
          <w:lang w:val="zh-TW" w:eastAsia="zh-CN"/>
        </w:rPr>
        <w:t xml:space="preserve">GB8624-2012燃烧性能不低于B1等级，防火阻燃等级为UL 94 V-0级。变风量蝶阀阀片密封胶条的阻燃等级为UL 94 V-1级。变风量蝶阀在设定风量为600m3/h、800m3/h、1000m3/h和1200m3/h，阀前静压为-150Pa、-300Pa、-450Pa、-600Pa、-750Pa及-900Pa的情况下，风量偏差≤±6% </w:t>
      </w:r>
      <w:r>
        <w:rPr>
          <w:rFonts w:ascii="宋体" w:hAnsi="宋体" w:eastAsia="宋体" w:cs="宋体"/>
          <w:color w:val="000000"/>
          <w:sz w:val="24"/>
          <w:szCs w:val="24"/>
          <w:highlight w:val="none"/>
        </w:rPr>
        <w:t xml:space="preserve">。</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3.2.5.2</w:t>
      </w:r>
      <w:r>
        <w:rPr>
          <w:rFonts w:hint="eastAsia" w:ascii="宋体" w:hAnsi="宋体" w:eastAsia="宋体" w:cs="宋体"/>
          <w:color w:val="000000"/>
          <w:sz w:val="24"/>
          <w:highlight w:val="none"/>
          <w:lang w:val="zh-TW" w:eastAsia="zh-CN"/>
        </w:rPr>
        <w:t xml:space="preserve">变风量蝶阀阀片漏风量在阀片两侧设定压差为500Pa、1000Pa、1500Pa、2000Pa、2500Pa的情况下，单位面积阀片小于8.6m3/h 。</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3.2.5.3</w:t>
      </w:r>
      <w:r>
        <w:rPr>
          <w:rFonts w:hint="eastAsia" w:ascii="宋体" w:hAnsi="宋体" w:eastAsia="宋体" w:cs="宋体"/>
          <w:color w:val="000000"/>
          <w:sz w:val="24"/>
          <w:highlight w:val="none"/>
          <w:lang w:val="zh-TW" w:eastAsia="zh-CN"/>
        </w:rPr>
        <w:t xml:space="preserve">变风量蝶阀铅、镉、汞、六价铬、多溴联苯、多溴二苯醚、DBP、BBP、DEHP、DIBP  10项均符合RoHS2011/65/EU及修订指令（EU）2015/863附录II要求。</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3.2.5.4</w:t>
      </w:r>
      <w:r>
        <w:rPr>
          <w:rFonts w:hint="eastAsia" w:ascii="宋体" w:hAnsi="宋体" w:eastAsia="宋体" w:cs="宋体"/>
          <w:color w:val="000000"/>
          <w:sz w:val="24"/>
          <w:highlight w:val="none"/>
          <w:lang w:val="zh-TW" w:eastAsia="zh-CN"/>
        </w:rPr>
        <w:t xml:space="preserve">变风量蝶阀采用甲醇、15%HCL、10%NaOH、15%H2SO4在常温下进行检测，检测时间不低于24h，外观无明显变化。</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3.2.5.5</w:t>
      </w:r>
      <w:r>
        <w:rPr>
          <w:rFonts w:hint="eastAsia" w:ascii="宋体" w:hAnsi="宋体" w:eastAsia="宋体" w:cs="宋体"/>
          <w:color w:val="000000"/>
          <w:sz w:val="24"/>
          <w:highlight w:val="none"/>
          <w:lang w:val="zh-TW" w:eastAsia="zh-CN"/>
        </w:rPr>
        <w:t xml:space="preserve">变风量蝶阀按照GB/T17626.4-2018标准进行电快速瞬变脉冲群抗扰度试验，试验过程中及试验后，控制器显示面板无闪烁、死机等异常现象，控制器能控制变风量蝶阀的开关。</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▲3.2.5.6</w:t>
      </w:r>
      <w:r>
        <w:rPr>
          <w:rFonts w:hint="eastAsia" w:ascii="宋体" w:hAnsi="宋体" w:eastAsia="宋体" w:cs="宋体"/>
          <w:color w:val="000000"/>
          <w:sz w:val="24"/>
          <w:highlight w:val="none"/>
          <w:lang w:val="zh-TW" w:eastAsia="zh-CN"/>
        </w:rPr>
        <w:t xml:space="preserve">变风量阀厂家需要</w:t>
      </w:r>
      <w:r>
        <w:rPr>
          <w:rFonts w:hint="eastAsia" w:ascii="宋体" w:hAnsi="宋体" w:eastAsia="宋体" w:cs="宋体"/>
          <w:color w:val="000000"/>
          <w:sz w:val="24"/>
          <w:highlight w:val="none"/>
          <w:lang w:val="en-US" w:eastAsia="zh-CN"/>
        </w:rPr>
        <w:t xml:space="preserve">具有</w:t>
      </w:r>
      <w:r>
        <w:rPr>
          <w:rFonts w:hint="eastAsia" w:ascii="宋体" w:hAnsi="宋体" w:eastAsia="宋体" w:cs="宋体"/>
          <w:color w:val="000000"/>
          <w:sz w:val="24"/>
          <w:highlight w:val="none"/>
          <w:lang w:val="zh-TW" w:eastAsia="zh-CN"/>
        </w:rPr>
        <w:t xml:space="preserve">由国家空调设备质量监督检验中心或第三方机构出具的关于风量标定台/空气动力性能试验台符合标准GB/T1236-2017《工业通风机 用标准化风道性能试验》规定的性能检测报告，风量标定台/空气动力性能试验台所配备仪器、设备均有有效期内的标定/校准证书；风量标定台/空气动力性能试验台风量检测相对偏差≤2%；风量标定台/空气动力性能试验台在1000Pa压力下，漏风率≤0.5%。</w:t>
      </w:r>
      <w:bookmarkEnd w:id="115"/>
      <w:r>
        <w:rPr>
          <w:rFonts w:hint="eastAsia" w:ascii="宋体" w:hAnsi="宋体" w:eastAsia="宋体" w:cs="宋体"/>
          <w:color w:val="000000"/>
          <w:sz w:val="24"/>
          <w:szCs w:val="24"/>
          <w:highlight w:val="none"/>
          <w:lang w:val="en-US" w:eastAsia="zh-CN"/>
        </w:rPr>
      </w:r>
      <w:r/>
    </w:p>
    <w:p>
      <w:pPr>
        <w:pStyle w:val="825"/>
        <w:numPr>
          <w:ilvl w:val="0"/>
          <w:numId w:val="42"/>
        </w:numPr>
        <w:ind w:left="0" w:firstLine="482"/>
        <w:keepLines w:val="0"/>
        <w:keepNext w:val="0"/>
        <w:pageBreakBefore w:val="0"/>
        <w:spacing w:line="240" w:lineRule="auto"/>
        <w:widowControl w:val="off"/>
        <w:rPr>
          <w:rFonts w:hint="eastAsia" w:ascii="宋体" w:hAnsi="宋体" w:eastAsia="宋体" w:cs="宋体"/>
          <w:b/>
          <w:bCs/>
          <w:color w:val="000000"/>
          <w:sz w:val="24"/>
          <w:highlight w:val="none"/>
          <w:lang w:val="en-US" w:eastAsia="zh-CN"/>
        </w:rPr>
        <w:outlineLvl w:val="2"/>
      </w:pPr>
      <w:r>
        <w:rPr>
          <w:rFonts w:hint="eastAsia" w:ascii="宋体" w:hAnsi="宋体" w:eastAsia="宋体" w:cs="宋体"/>
          <w:b/>
          <w:bCs/>
          <w:color w:val="000000"/>
          <w:sz w:val="24"/>
          <w:highlight w:val="none"/>
          <w:lang w:val="en-US" w:eastAsia="zh-CN"/>
        </w:rPr>
        <w:t xml:space="preserve">水配件</w:t>
      </w:r>
      <w:r>
        <w:rPr>
          <w:rFonts w:hint="eastAsia" w:ascii="宋体" w:hAnsi="宋体" w:eastAsia="宋体" w:cs="宋体"/>
          <w:b/>
          <w:bCs/>
          <w:color w:val="000000"/>
          <w:sz w:val="24"/>
          <w:highlight w:val="none"/>
          <w:lang w:val="en-US" w:eastAsia="zh-CN"/>
        </w:rPr>
      </w:r>
      <w:r/>
    </w:p>
    <w:p>
      <w:pPr>
        <w:pStyle w:val="825"/>
        <w:ind w:firstLine="480"/>
        <w:jc w:val="left"/>
        <w:keepLines w:val="0"/>
        <w:keepNext w:val="0"/>
        <w:pageBreakBefore w:val="0"/>
        <w:spacing w:line="24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4.1 PP水槽</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4.1.1水槽采用全新PP料及进口色母料，无碳酸钙成分；下水口与水槽一体注塑成型，水槽内壁无缩印，四边平整，表面光滑顺畅，不有划伤、裂纹、气泡、爆边等明显缺陷。水槽壁厚＞5mm；为防止水槽中间或四周有积液，槽体底部有导流线。耐污染性能、紫外老化测试、低温老化性、拉伸强度符合相关标准要求。</w:t>
      </w:r>
      <w:r>
        <w:rPr>
          <w:rFonts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4.2 实验室化验水龙头</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4.2.1龙头选用H63黄铜管，使用红冲锻造工艺，不出现砂眼；涂层经哑光环氧树脂粉末涂料热固处理，防紫外线辐射，耐化学腐蚀；陶瓷阀芯可90度旋转、耐磨、耐腐蚀，开关使用寿命测试可达60万次，静态最大耐压2.5MPa，鹅颈出水管可360度旋转；旋钮把手为PP全新料无添加碳酸钙；供水软管：长度1.5米，软性PVC管外覆不锈钢网，外层包裹PE管，有效防止生锈、渗漏。</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4.2.2耐液体化学试剂性能、抗菌性、连接软管抗弯曲性、连接软管耐压性符合相关标准要求。</w:t>
      </w:r>
      <w:r>
        <w:rPr>
          <w:rFonts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4.3洗眼器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4.3.1主体：加厚铜质H59-1；</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4.3.2洗眼喷头：加厚铜质环氧树脂涂层外加软性橡胶，出水经缓压处理呈泡沫状水柱，防止冲伤眼睛；</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4.3.3莲蓬头护罩：Φ70橡胶质护杯，以避免紧急使用时瞬间接触眼部造成碰撞二次伤害；</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4.3.4防尘盖：PP材质，平常可防尘，使用时可随时被水冲开，并降低突然时短暂的高水压，防止冲伤眼睛，防尘盖有连接于护罩可防尘脱落。使用时自动被水冲开；</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4.3.5水流锁定开关：水流开启，水流锁定功能一次完成，方便使用；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4.3.6前置过滤器：配有小型前置过滤器主要的去除管道所产生的沉淀杂质和细菌、微生物残骸、铁锈、沙泥等大于5微米以上的颗粒杂质，避免眼睛及人体肌肤受到伤害；</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4.3.7供水软管：长度1.5米，软性PVC管外覆不锈钢网，外层包裹PE管，有效防止生锈、渗漏。</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4.3.8洗眼量：＞6L/min。</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▲4.3.9</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t xml:space="preserve">包含以下项目：（1）测试压力0.20MPa，测试时间3min/次，样品提供冲洗液流量：≥10.3L/min，能保持洗眼时间：15min；（2）阀门在0.64s的时间内能完全打开。阀门一经打开，除使用者有意关闭的情况之外，能始终保持开启状态；（3）喷头位于距离使用者站立的水平面的高度距离可调（838mm～1143mm），距离墙壁或最近的障碍物距离可调（≥153mm）。</w:t>
      </w:r>
      <w:r>
        <w:rPr>
          <w:rFonts w:hint="eastAsia" w:ascii="宋体" w:hAnsi="宋体" w:eastAsia="宋体" w:cs="宋体"/>
          <w:color w:val="000000"/>
          <w:sz w:val="24"/>
          <w:highlight w:val="none"/>
          <w:lang w:val="en-US" w:eastAsia="zh-CN"/>
        </w:rPr>
      </w:r>
      <w:r/>
    </w:p>
    <w:p>
      <w:pPr>
        <w:pStyle w:val="825"/>
        <w:numPr>
          <w:ilvl w:val="0"/>
          <w:numId w:val="0"/>
        </w:numPr>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4.3.10耐污染性能、氙弧灯老化测试、金属污染物析出、中性盐雾试验符合相关标准要求。</w:t>
      </w:r>
      <w:r>
        <w:rPr>
          <w:rFonts w:hint="eastAsia" w:ascii="宋体" w:hAnsi="宋体" w:eastAsia="宋体" w:cs="宋体"/>
          <w:color w:val="000000"/>
          <w:sz w:val="24"/>
          <w:highlight w:val="none"/>
          <w:lang w:val="en-US" w:eastAsia="zh-CN"/>
        </w:rPr>
      </w:r>
      <w:r/>
    </w:p>
    <w:p>
      <w:pPr>
        <w:pStyle w:val="825"/>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4.4滴水架</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4.4.1材料：采用高密度PP，一体成型，无异味；表面光洁，无缩印，无划痕，无飞边；内部无气泡、无气纹；</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4.4.2款式：滴水棒卡扣设计为嵌入式，可拆卸，安装简便，插好后不易脱落，左右摇晃&lt;1mm；</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4.4.3接水底部：中间设有排水孔；</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4.4.4可拆卸式滴水棒，滴水棒27/61根；</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4.4.5安装方式：壁挂式/台式。</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4.4.6耐污染性能、紫外老化测试、弯曲强度、抗压强度符合相关标准要求。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4.5万向抽气罩</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4.5.1.主体：PP材质；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4.5.2.直管及罩子旋转装置要求铝合金材料确保装置稳定，并且360°旋转；</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4.5.3.关节PP全新料生产，可360°旋转调节方向，易拆卸、重组及清洗；</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4.5.4.关节连接杆：304不锈钢；</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4.5.5.关节松紧旋钮：全铜材质确保螺纹不滑丝，内嵌不锈钢轴承，与关节连接杆锁合；</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4.5.6.气流调节阀：手动调节外部阀门旋钮，控制进入之气流量； </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4.5.7.伸缩导管Φ75PP管；</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4.5.8.拱形/杯形集气罩：高密度PP/PC材质；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4.5.9.固定底座：采用PP材质。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4.5.10.耐污染性能、抗菌性、简支梁缺口冲击强度、氧指数符合相关标准要求。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4.6紧急冲淋洗眼器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4.6.1、规格：立式</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4.6.2、材质：304不锈钢，冲淋阀门及洗眼器阀门需快开陶瓷阀（非球阀）方便维保。</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4.6.3、技术参数：</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4.6.3.3.1、紧急喷淋铬（Cr）含量大于18%、镍（Ni）含量大于8%；</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4.6.3.3.2、喷淋性能</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（1）喷淋流量：达到至少76L/min，确保快速有效地覆盖受影响区域</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（2）喷淋持续时间：连续供水时间至少为15分钟，以满足紧急情况下的清洗需求。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（3）喷淋角度与范围：确保360度全方位喷淋，覆盖范围广</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4.6.3.3.3、系统设计与安装</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（1）安装位置：靠近危险区域，确保人员在紧急情况下能够迅速到达。</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（2）材料选择：采用不锈钢材质，确保系统的稳定性和耐用性。</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（3）操作方式：需具有手拉式、脚踏式，便于快速启动。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4.6.3.3.4、出水要求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（1）出水温度：使用常温水，避免对皮肤造成刺激。</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（2）水质要求：使用清洁的自来水或去离子水，确保清洗效果。</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4.6.3.3.5、安全标识：设备周围设置明显的安全标识和操作流程，确保人员的正确使用。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4.6.3.3.6、应急喷淋器一般要求、应急喷淋器控制阀门、洗眼器、洗眼/洗脸器符合相关标准要求。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4.6.3.3.7、耐污染性能、耐人工气候老化性、中性盐雾试验、不锈钢元素含量符合相关标准要求。</w:t>
      </w:r>
      <w:r>
        <w:rPr>
          <w:rFonts w:hint="eastAsia" w:ascii="宋体" w:hAnsi="宋体" w:eastAsia="宋体" w:cs="宋体"/>
          <w:color w:val="000000"/>
          <w:sz w:val="24"/>
          <w:highlight w:val="none"/>
          <w:lang w:val="en-US" w:eastAsia="zh-CN"/>
        </w:rPr>
      </w:r>
      <w:r/>
    </w:p>
    <w:p>
      <w:pPr>
        <w:pStyle w:val="924"/>
        <w:ind w:firstLine="241"/>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（三）说明：</w:t>
      </w:r>
      <w:r>
        <w:rPr>
          <w:rFonts w:hint="eastAsia" w:ascii="宋体" w:hAnsi="宋体" w:eastAsia="宋体" w:cs="宋体"/>
          <w:b/>
          <w:bCs/>
          <w:color w:val="000000"/>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进口产品投标（注：本文件所称进口品牌是指通过中国海关报关验放进入中国境内且产自关境外的品牌）。</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根据招标文件要求，并结合本项目特点，制订完善的项目实施方案、培训计划，方案至少需包括全部产品的安装部署、调试方案、人员安排、供货期、验收方案等；方案应做到完整全面、科学可行，并有针对性，配备具有相应资质和经验的项目经理及技术服务人员，服从采购人管理要求，确保在规定的交付时限内完成。</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中标后，招标人将对投标人提交的检测报告及技术条款响应真实性进行查验，若存在弄虚作假行为，将取消其中标资格，并依法追究相关责任。</w:t>
      </w:r>
      <w:r>
        <w:rPr>
          <w:rFonts w:hint="eastAsia" w:ascii="宋体" w:hAnsi="宋体" w:eastAsia="宋体" w:cs="宋体"/>
          <w:b/>
          <w:color w:val="000000"/>
          <w:sz w:val="24"/>
          <w:szCs w:val="24"/>
          <w:highlight w:val="none"/>
        </w:rPr>
      </w:r>
      <w:r/>
    </w:p>
    <w:p>
      <w:pPr>
        <w:pStyle w:val="825"/>
        <w:numPr>
          <w:ilvl w:val="0"/>
          <w:numId w:val="41"/>
        </w:numPr>
        <w:spacing w:after="5"/>
        <w:rPr>
          <w:rFonts w:hint="eastAsia" w:ascii="宋体" w:hAnsi="宋体" w:eastAsia="宋体" w:cs="宋体"/>
          <w:b/>
          <w:color w:val="000000"/>
          <w:sz w:val="28"/>
          <w:szCs w:val="28"/>
          <w:highlight w:val="none"/>
        </w:rPr>
        <w:outlineLvl w:val="1"/>
      </w:pPr>
      <w:r/>
      <w:bookmarkStart w:id="116" w:name="_Toc32321"/>
      <w:r/>
      <w:bookmarkStart w:id="117" w:name="_Toc28503"/>
      <w:r>
        <w:rPr>
          <w:rFonts w:hint="eastAsia" w:ascii="宋体" w:hAnsi="宋体" w:eastAsia="宋体" w:cs="宋体"/>
          <w:b/>
          <w:color w:val="000000"/>
          <w:sz w:val="28"/>
          <w:szCs w:val="28"/>
          <w:highlight w:val="none"/>
        </w:rPr>
        <w:t xml:space="preserve"> 商务要求：</w:t>
      </w:r>
      <w:bookmarkEnd w:id="109"/>
      <w:r/>
      <w:bookmarkEnd w:id="116"/>
      <w:r/>
      <w:bookmarkEnd w:id="117"/>
      <w:r>
        <w:rPr>
          <w:rFonts w:hint="eastAsia" w:ascii="宋体" w:hAnsi="宋体" w:eastAsia="宋体" w:cs="宋体"/>
          <w:b/>
          <w:color w:val="000000"/>
          <w:sz w:val="28"/>
          <w:szCs w:val="28"/>
          <w:highlight w:val="none"/>
        </w:rPr>
      </w:r>
      <w:r/>
    </w:p>
    <w:p>
      <w:pPr>
        <w:pStyle w:val="825"/>
        <w:ind w:firstLine="42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（一）服务要求：</w:t>
      </w:r>
      <w:r>
        <w:rPr>
          <w:rFonts w:hint="eastAsia" w:ascii="宋体" w:hAnsi="宋体" w:eastAsia="宋体" w:cs="宋体"/>
          <w:b/>
          <w:color w:val="000000"/>
          <w:sz w:val="24"/>
          <w:szCs w:val="24"/>
          <w:highlight w:val="none"/>
        </w:rPr>
      </w:r>
      <w:r/>
    </w:p>
    <w:p>
      <w:pPr>
        <w:pStyle w:val="825"/>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1.交货期及交货地点：</w:t>
      </w:r>
      <w:r>
        <w:rPr>
          <w:rFonts w:hint="eastAsia" w:ascii="宋体" w:hAnsi="宋体" w:eastAsia="宋体" w:cs="宋体"/>
          <w:b/>
          <w:bCs/>
          <w:color w:val="000000"/>
          <w:sz w:val="24"/>
          <w:szCs w:val="24"/>
          <w:highlight w:val="none"/>
        </w:rPr>
      </w:r>
      <w:r/>
    </w:p>
    <w:p>
      <w:pPr>
        <w:pStyle w:val="82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（1）交货时间：</w:t>
      </w:r>
      <w:r>
        <w:rPr>
          <w:rFonts w:hint="eastAsia" w:ascii="宋体" w:hAnsi="宋体" w:eastAsia="宋体" w:cs="宋体"/>
          <w:color w:val="000000"/>
          <w:sz w:val="24"/>
          <w:szCs w:val="24"/>
          <w:highlight w:val="none"/>
          <w:lang w:eastAsia="zh-CN"/>
        </w:rPr>
        <w:t xml:space="preserve">合同签订后2个月内供齐所有货物</w:t>
      </w:r>
      <w:r>
        <w:rPr>
          <w:rFonts w:hint="eastAsia" w:ascii="宋体" w:hAnsi="宋体" w:eastAsia="宋体" w:cs="宋体"/>
          <w:color w:val="000000"/>
          <w:sz w:val="24"/>
          <w:szCs w:val="24"/>
          <w:highlight w:val="none"/>
        </w:rPr>
        <w:t xml:space="preserve">，并完成安装、调试、服务及初步验收。</w:t>
      </w:r>
      <w:r>
        <w:rPr>
          <w:rFonts w:hint="eastAsia" w:ascii="宋体" w:hAnsi="宋体" w:eastAsia="宋体" w:cs="宋体"/>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（2）交货地点：</w:t>
      </w:r>
      <w:r>
        <w:rPr>
          <w:rFonts w:hint="eastAsia" w:ascii="宋体" w:hAnsi="宋体" w:eastAsia="宋体" w:cs="宋体"/>
          <w:bCs/>
          <w:color w:val="000000"/>
          <w:sz w:val="24"/>
          <w:szCs w:val="24"/>
          <w:highlight w:val="none"/>
        </w:rPr>
        <w:t xml:space="preserve">江苏省计量科学研究院（江苏省能源计量数据中心）（南京市栖霞区文澜路95号）或指定地点。</w:t>
      </w:r>
      <w:r>
        <w:rPr>
          <w:rFonts w:hint="eastAsia" w:ascii="宋体" w:hAnsi="宋体" w:eastAsia="宋体" w:cs="宋体"/>
          <w:bCs/>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设备包装要求：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包装材料必须符合中国进口动植物检验检疫的有关规定。</w:t>
      </w:r>
      <w:r>
        <w:rPr>
          <w:rFonts w:hint="eastAsia" w:ascii="宋体" w:hAnsi="宋体" w:eastAsia="宋体" w:cs="宋体"/>
          <w:bCs/>
          <w:color w:val="000000"/>
          <w:sz w:val="24"/>
          <w:szCs w:val="24"/>
          <w:highlight w:val="none"/>
        </w:rPr>
      </w:r>
      <w:r/>
    </w:p>
    <w:p>
      <w:pPr>
        <w:pStyle w:val="825"/>
        <w:ind w:firstLine="482"/>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color w:val="000000"/>
          <w:sz w:val="24"/>
          <w:szCs w:val="24"/>
          <w:highlight w:val="none"/>
        </w:rPr>
      </w:r>
      <w:r/>
    </w:p>
    <w:p>
      <w:pPr>
        <w:pStyle w:val="825"/>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后一个月内，采购人向供应商预付合同总价30%的货款；设备、材料全部运抵交货地点，安装结束、调试完毕、验收合格后，采购人向供应商支付合同总价60%的货款。设备验收合格后稳定运行一年后，相关稳定性指标满足要求, 采购人向供应商支付合同总价10%的货款。</w:t>
      </w:r>
      <w:r>
        <w:rPr>
          <w:rFonts w:hint="eastAsia" w:ascii="宋体" w:hAnsi="宋体" w:eastAsia="宋体" w:cs="宋体"/>
          <w:bCs/>
          <w:color w:val="000000"/>
          <w:sz w:val="24"/>
          <w:szCs w:val="24"/>
          <w:highlight w:val="none"/>
        </w:rPr>
      </w:r>
      <w:r/>
    </w:p>
    <w:p>
      <w:pPr>
        <w:pStyle w:val="825"/>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在收到采购人通知后开具合法有效发票，采购人收到发票后支付相应款项。若因发票瑕疵导致付款延误，责任由供应商承担。若产品存在质量问题，则不受该付款条件约束，应按照本合同条款其他要求以及民法典有关规定执行。</w:t>
      </w:r>
      <w:r>
        <w:rPr>
          <w:rFonts w:hint="eastAsia" w:ascii="宋体" w:hAnsi="宋体" w:eastAsia="宋体" w:cs="宋体"/>
          <w:bCs/>
          <w:color w:val="000000"/>
          <w:sz w:val="24"/>
          <w:szCs w:val="24"/>
          <w:highlight w:val="none"/>
        </w:rPr>
      </w:r>
      <w:r/>
    </w:p>
    <w:p>
      <w:pPr>
        <w:pStyle w:val="825"/>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3.安装调试：</w:t>
      </w:r>
      <w:r>
        <w:rPr>
          <w:rFonts w:hint="eastAsia" w:ascii="宋体" w:hAnsi="宋体" w:eastAsia="宋体" w:cs="宋体"/>
          <w:b/>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设备到货后，供应商应安排人员进行开箱、安装、调试等服务。在安装调试过程中，供应商应向采购人提供完整的技术说明书、用户手册及维修手册等相关技术文档资料。如采购人发现所提供设备不符合要求或有明显损坏，以及在调试过程中有任何软、硬件故障发生，供应商必须更换不合格的部件，并重新进行安装调试，由此引起的全部费用由供应商承担。</w:t>
      </w:r>
      <w:r>
        <w:rPr>
          <w:rFonts w:hint="eastAsia" w:ascii="宋体" w:hAnsi="宋体" w:eastAsia="宋体" w:cs="宋体"/>
          <w:bCs/>
          <w:color w:val="000000"/>
          <w:sz w:val="24"/>
          <w:szCs w:val="24"/>
          <w:highlight w:val="none"/>
        </w:rPr>
      </w:r>
      <w:r/>
    </w:p>
    <w:p>
      <w:pPr>
        <w:pStyle w:val="825"/>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4..技术支持以及售后服务：</w:t>
      </w:r>
      <w:r>
        <w:rPr>
          <w:rFonts w:hint="eastAsia" w:ascii="宋体" w:hAnsi="宋体" w:eastAsia="宋体" w:cs="宋体"/>
          <w:b/>
          <w:color w:val="000000"/>
          <w:sz w:val="24"/>
          <w:szCs w:val="24"/>
          <w:highlight w:val="none"/>
        </w:rPr>
      </w:r>
      <w:r/>
    </w:p>
    <w:p>
      <w:pPr>
        <w:pStyle w:val="825"/>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江苏省计量检测基地(二期)实验室家具采购</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eastAsia="zh-CN"/>
        </w:rPr>
        <w:t xml:space="preserve">整体质保期</w:t>
      </w:r>
      <w:r>
        <w:rPr>
          <w:rFonts w:hint="eastAsia" w:ascii="宋体" w:hAnsi="宋体" w:eastAsia="宋体" w:cs="宋体"/>
          <w:bCs/>
          <w:color w:val="000000"/>
          <w:sz w:val="24"/>
          <w:szCs w:val="24"/>
          <w:highlight w:val="none"/>
        </w:rPr>
        <w:t xml:space="preserve">为验收合格之日起</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t xml:space="preserve">年</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25"/>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（2）质保期内：实行“三包”，采购人所购设备各部件发生非人为故障，供应商免费更换同种品牌不低于原价位、规格、型号的部件。 </w:t>
      </w:r>
      <w:r>
        <w:rPr>
          <w:rFonts w:hint="eastAsia" w:ascii="宋体" w:hAnsi="宋体" w:eastAsia="宋体" w:cs="宋体"/>
          <w:bCs/>
          <w:color w:val="000000"/>
          <w:sz w:val="24"/>
          <w:szCs w:val="24"/>
          <w:highlight w:val="none"/>
        </w:rPr>
      </w:r>
      <w:r/>
    </w:p>
    <w:p>
      <w:pPr>
        <w:pStyle w:val="825"/>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质保期后：供应商提供终身优惠服务和技术支持，设备出现故障需要修理时，设备制造商须在接到故障信息后24小时内回应，通过电话等方式指导采购人排除故障；若故障仍不能排除，在48小时内上门调试维修排故，所换零件按成本价收取。</w:t>
      </w:r>
      <w:r>
        <w:rPr>
          <w:rFonts w:hint="eastAsia" w:ascii="宋体" w:hAnsi="宋体" w:eastAsia="宋体" w:cs="宋体"/>
          <w:bCs/>
          <w:color w:val="000000"/>
          <w:sz w:val="24"/>
          <w:szCs w:val="24"/>
          <w:highlight w:val="none"/>
        </w:rPr>
      </w:r>
      <w:r/>
    </w:p>
    <w:p>
      <w:pPr>
        <w:pStyle w:val="825"/>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（4）如规程规范发生变更，终生免费升级系统软件。</w:t>
      </w:r>
      <w:r>
        <w:rPr>
          <w:rFonts w:hint="eastAsia" w:ascii="宋体" w:hAnsi="宋体" w:eastAsia="宋体" w:cs="宋体"/>
          <w:bCs/>
          <w:color w:val="000000"/>
          <w:sz w:val="24"/>
          <w:szCs w:val="24"/>
          <w:highlight w:val="none"/>
        </w:rPr>
      </w:r>
      <w:r/>
    </w:p>
    <w:p>
      <w:pPr>
        <w:pStyle w:val="825"/>
        <w:ind w:firstLine="422"/>
        <w:tabs>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（二）报价要求及违约责任：</w:t>
      </w:r>
      <w:r>
        <w:rPr>
          <w:rFonts w:hint="eastAsia" w:ascii="宋体" w:hAnsi="宋体" w:eastAsia="宋体" w:cs="宋体"/>
          <w:b/>
          <w:color w:val="000000"/>
          <w:sz w:val="24"/>
          <w:szCs w:val="24"/>
          <w:highlight w:val="none"/>
        </w:rPr>
      </w:r>
      <w:r/>
    </w:p>
    <w:p>
      <w:pPr>
        <w:pStyle w:val="825"/>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1.本项目报价，应包括本次采购范围内全部设备、材料、随设备提供的备品配件及专用工具的价格、全部税费、包装费、运杂费（运抵甲方项目现场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保险费、安装费、调试费、甲方操作维护人员培训费、及供应商认为需要的其他费用等，本合同执行期间合同总价款不变。</w:t>
      </w:r>
      <w:r>
        <w:rPr>
          <w:rFonts w:hint="eastAsia" w:ascii="宋体" w:hAnsi="宋体" w:eastAsia="宋体" w:cs="宋体"/>
          <w:color w:val="000000"/>
          <w:sz w:val="24"/>
          <w:szCs w:val="24"/>
          <w:highlight w:val="none"/>
        </w:rPr>
      </w:r>
      <w:r/>
    </w:p>
    <w:p>
      <w:pPr>
        <w:pStyle w:val="825"/>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color w:val="000000"/>
          <w:sz w:val="24"/>
          <w:szCs w:val="24"/>
          <w:highlight w:val="none"/>
        </w:rPr>
      </w:r>
      <w:r/>
    </w:p>
    <w:p>
      <w:pPr>
        <w:pStyle w:val="825"/>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3.供应商的任何错漏、优惠、竞争性报价不得作为减轻责任、减少服务、增加收费、降低质量的理由。</w:t>
      </w:r>
      <w:r>
        <w:rPr>
          <w:rFonts w:hint="eastAsia" w:ascii="宋体" w:hAnsi="宋体" w:eastAsia="宋体" w:cs="宋体"/>
          <w:color w:val="000000"/>
          <w:sz w:val="24"/>
          <w:szCs w:val="24"/>
          <w:highlight w:val="none"/>
        </w:rPr>
      </w:r>
      <w:r/>
    </w:p>
    <w:p>
      <w:pPr>
        <w:pStyle w:val="825"/>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color w:val="000000"/>
          <w:sz w:val="24"/>
          <w:szCs w:val="24"/>
          <w:highlight w:val="none"/>
        </w:rPr>
      </w:r>
      <w:r/>
    </w:p>
    <w:p>
      <w:pPr>
        <w:pStyle w:val="82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color w:val="000000"/>
          <w:sz w:val="24"/>
          <w:szCs w:val="24"/>
          <w:highlight w:val="none"/>
        </w:rPr>
      </w:r>
      <w:r/>
    </w:p>
    <w:p>
      <w:pPr>
        <w:pStyle w:val="825"/>
        <w:numPr>
          <w:ilvl w:val="0"/>
          <w:numId w:val="41"/>
        </w:numPr>
        <w:spacing w:after="5"/>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val="en-US" w:eastAsia="zh-CN"/>
        </w:rPr>
        <w:t xml:space="preserve">样品</w:t>
      </w:r>
      <w:r>
        <w:rPr>
          <w:rFonts w:hint="eastAsia" w:ascii="宋体" w:hAnsi="宋体" w:eastAsia="宋体" w:cs="宋体"/>
          <w:b/>
          <w:color w:val="000000"/>
          <w:sz w:val="28"/>
          <w:szCs w:val="28"/>
          <w:highlight w:val="none"/>
        </w:rPr>
        <w:t xml:space="preserve">要求：</w:t>
      </w:r>
      <w:r>
        <w:rPr>
          <w:rFonts w:hint="eastAsia" w:ascii="宋体" w:hAnsi="宋体" w:eastAsia="宋体" w:cs="宋体"/>
          <w:b/>
          <w:color w:val="000000"/>
          <w:sz w:val="28"/>
          <w:szCs w:val="28"/>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）请供应商提供所投货物（设备）的样品如下，包括：</w:t>
      </w:r>
      <w:r>
        <w:rPr>
          <w:rFonts w:hint="eastAsia" w:ascii="宋体" w:hAnsi="宋体" w:eastAsia="宋体" w:cs="宋体"/>
          <w:color w:val="000000"/>
          <w:sz w:val="24"/>
          <w:szCs w:val="24"/>
          <w:highlight w:val="none"/>
        </w:rPr>
      </w:r>
      <w:r/>
    </w:p>
    <w:p>
      <w:pPr>
        <w:pStyle w:val="825"/>
        <w:ind w:firstLine="480"/>
        <w:spacing w:before="0" w:after="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.分包1：</w:t>
      </w:r>
      <w:r>
        <w:rPr>
          <w:rFonts w:ascii="宋体" w:hAnsi="宋体" w:eastAsia="宋体" w:cs="宋体"/>
          <w:color w:val="000000"/>
          <w:sz w:val="24"/>
          <w:szCs w:val="24"/>
          <w:highlight w:val="none"/>
          <w:lang w:val="en-US" w:eastAsia="zh-CN"/>
        </w:rPr>
      </w:r>
      <w:r/>
    </w:p>
    <w:p>
      <w:pPr>
        <w:pStyle w:val="825"/>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组</w:t>
      </w:r>
      <w:r>
        <w:rPr>
          <w:rFonts w:hint="eastAsia" w:ascii="宋体" w:hAnsi="宋体" w:eastAsia="宋体" w:cs="宋体"/>
          <w:color w:val="000000"/>
          <w:sz w:val="24"/>
          <w:szCs w:val="24"/>
          <w:highlight w:val="none"/>
        </w:rPr>
        <w:t xml:space="preserve">全钢边台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1000*750*850mm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全钢结构，陶瓷台面。</w:t>
      </w:r>
      <w:r>
        <w:rPr>
          <w:rFonts w:hint="eastAsia" w:ascii="宋体" w:hAnsi="宋体" w:eastAsia="宋体" w:cs="宋体"/>
          <w:color w:val="000000"/>
          <w:sz w:val="24"/>
          <w:szCs w:val="24"/>
          <w:highlight w:val="none"/>
          <w:lang w:eastAsia="zh-CN"/>
        </w:rPr>
      </w:r>
      <w:r/>
    </w:p>
    <w:p>
      <w:pPr>
        <w:pStyle w:val="825"/>
        <w:ind w:firstLine="480"/>
        <w:spacing w:before="0" w:after="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.分包2：</w:t>
      </w:r>
      <w:r>
        <w:rPr>
          <w:rFonts w:hint="eastAsia" w:ascii="宋体" w:hAnsi="宋体" w:eastAsia="宋体" w:cs="宋体"/>
          <w:color w:val="000000"/>
          <w:sz w:val="24"/>
          <w:szCs w:val="24"/>
          <w:highlight w:val="none"/>
          <w:lang w:val="en-US" w:eastAsia="zh-CN"/>
        </w:rPr>
      </w:r>
      <w:r/>
    </w:p>
    <w:p>
      <w:pPr>
        <w:pStyle w:val="825"/>
        <w:ind w:firstLine="480"/>
        <w:spacing w:before="0" w:after="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w:t>
      </w:r>
      <w:r>
        <w:rPr>
          <w:rFonts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组</w:t>
      </w:r>
      <w:r>
        <w:rPr>
          <w:rFonts w:ascii="宋体" w:hAnsi="宋体" w:eastAsia="宋体" w:cs="宋体"/>
          <w:color w:val="000000"/>
          <w:sz w:val="24"/>
          <w:szCs w:val="24"/>
          <w:highlight w:val="none"/>
          <w:lang w:val="en-US" w:eastAsia="zh-CN"/>
        </w:rPr>
        <w:t xml:space="preserve">全钢边台</w:t>
      </w:r>
      <w:r>
        <w:rPr>
          <w:rFonts w:hint="eastAsia" w:ascii="宋体" w:hAnsi="宋体" w:eastAsia="宋体" w:cs="宋体"/>
          <w:color w:val="000000"/>
          <w:sz w:val="24"/>
          <w:szCs w:val="24"/>
          <w:highlight w:val="none"/>
          <w:lang w:val="en-US" w:eastAsia="zh-CN"/>
        </w:rPr>
        <w:t xml:space="preserve">  尺寸：</w:t>
      </w:r>
      <w:r>
        <w:rPr>
          <w:rFonts w:ascii="宋体" w:hAnsi="宋体" w:eastAsia="宋体" w:cs="宋体"/>
          <w:color w:val="000000"/>
          <w:sz w:val="24"/>
          <w:szCs w:val="24"/>
          <w:highlight w:val="none"/>
          <w:lang w:val="en-US" w:eastAsia="zh-CN"/>
        </w:rPr>
        <w:t xml:space="preserve">1000*750*850mm，</w:t>
      </w:r>
      <w:r>
        <w:rPr>
          <w:rFonts w:hint="eastAsia" w:ascii="宋体" w:hAnsi="宋体" w:eastAsia="宋体" w:cs="宋体"/>
          <w:color w:val="000000"/>
          <w:sz w:val="24"/>
          <w:szCs w:val="24"/>
          <w:highlight w:val="none"/>
          <w:lang w:eastAsia="zh-CN"/>
        </w:rPr>
        <w:t xml:space="preserve">全钢结构，</w:t>
      </w:r>
      <w:r>
        <w:rPr>
          <w:rFonts w:hint="eastAsia" w:ascii="宋体" w:hAnsi="宋体" w:eastAsia="宋体" w:cs="宋体"/>
          <w:color w:val="000000"/>
          <w:sz w:val="24"/>
          <w:szCs w:val="24"/>
          <w:highlight w:val="none"/>
          <w:lang w:val="en-US" w:eastAsia="zh-CN"/>
        </w:rPr>
        <w:t xml:space="preserve">理化板</w:t>
      </w:r>
      <w:r>
        <w:rPr>
          <w:rFonts w:hint="eastAsia" w:ascii="宋体" w:hAnsi="宋体" w:eastAsia="宋体" w:cs="宋体"/>
          <w:color w:val="000000"/>
          <w:sz w:val="24"/>
          <w:szCs w:val="24"/>
          <w:highlight w:val="none"/>
          <w:lang w:eastAsia="zh-CN"/>
        </w:rPr>
        <w:t xml:space="preserve">台面</w:t>
      </w: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中央台”中的“</w:t>
      </w:r>
      <w:r>
        <w:rPr>
          <w:rFonts w:ascii="宋体" w:hAnsi="宋体" w:eastAsia="宋体" w:cs="宋体"/>
          <w:color w:val="000000"/>
          <w:sz w:val="24"/>
          <w:szCs w:val="24"/>
          <w:highlight w:val="none"/>
          <w:lang w:val="en-US" w:eastAsia="zh-CN"/>
        </w:rPr>
        <w:t xml:space="preserve">中央水槽柜</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组</w:t>
      </w:r>
      <w:r>
        <w:rPr>
          <w:rFonts w:hint="eastAsia" w:ascii="宋体" w:hAnsi="宋体" w:eastAsia="宋体" w:cs="宋体"/>
          <w:color w:val="000000"/>
          <w:sz w:val="24"/>
          <w:szCs w:val="24"/>
          <w:highlight w:val="none"/>
          <w:lang w:val="en-US" w:eastAsia="zh-CN"/>
        </w:rPr>
        <w:t xml:space="preserve">，尺寸：</w:t>
      </w:r>
      <w:r>
        <w:rPr>
          <w:rFonts w:ascii="宋体" w:hAnsi="宋体" w:eastAsia="宋体" w:cs="宋体"/>
          <w:color w:val="000000"/>
          <w:sz w:val="24"/>
          <w:szCs w:val="24"/>
          <w:highlight w:val="none"/>
          <w:lang w:val="en-US" w:eastAsia="zh-CN"/>
        </w:rPr>
        <w:t xml:space="preserve">1500*750*850mm</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全钢结构，</w:t>
      </w:r>
      <w:r>
        <w:rPr>
          <w:rFonts w:hint="eastAsia" w:ascii="宋体" w:hAnsi="宋体" w:eastAsia="宋体" w:cs="宋体"/>
          <w:color w:val="000000"/>
          <w:sz w:val="24"/>
          <w:szCs w:val="24"/>
          <w:highlight w:val="none"/>
          <w:lang w:val="en-US" w:eastAsia="zh-CN"/>
        </w:rPr>
        <w:t xml:space="preserve">理化板</w:t>
      </w:r>
      <w:r>
        <w:rPr>
          <w:rFonts w:hint="eastAsia" w:ascii="宋体" w:hAnsi="宋体" w:eastAsia="宋体" w:cs="宋体"/>
          <w:color w:val="000000"/>
          <w:sz w:val="24"/>
          <w:szCs w:val="24"/>
          <w:highlight w:val="none"/>
          <w:lang w:eastAsia="zh-CN"/>
        </w:rPr>
        <w:t xml:space="preserve">台面</w:t>
      </w:r>
      <w:r>
        <w:rPr>
          <w:rFonts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）样品递交要求：</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样品递交时间（截止时间）：同投标文件递交截止时间，在此期间样品由投标人自行保管。采购人不接收在样品递交截止时间后递交的样品。</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样品递交地点：南京市建邺区云龙山路</w:t>
      </w:r>
      <w:r>
        <w:rPr>
          <w:rFonts w:hint="eastAsia" w:ascii="宋体" w:hAnsi="宋体" w:eastAsia="宋体" w:cs="宋体"/>
          <w:color w:val="000000"/>
          <w:sz w:val="24"/>
          <w:szCs w:val="24"/>
          <w:highlight w:val="none"/>
          <w:lang w:eastAsia="zh-CN"/>
        </w:rPr>
        <w:t xml:space="preserve">58号大唐科技大厦</w:t>
      </w:r>
      <w:r>
        <w:rPr>
          <w:rFonts w:hint="eastAsia" w:ascii="宋体" w:hAnsi="宋体" w:eastAsia="宋体" w:cs="宋体"/>
          <w:color w:val="000000"/>
          <w:sz w:val="24"/>
          <w:szCs w:val="24"/>
          <w:highlight w:val="none"/>
        </w:rPr>
        <w:t xml:space="preserve">A座高区</w:t>
      </w:r>
      <w:r>
        <w:rPr>
          <w:rFonts w:hint="eastAsia" w:ascii="宋体" w:hAnsi="宋体" w:eastAsia="宋体" w:cs="宋体"/>
          <w:color w:val="c00000"/>
          <w:sz w:val="24"/>
          <w:szCs w:val="24"/>
          <w:highlight w:val="none"/>
          <w:lang w:val="en-US" w:eastAsia="zh-CN"/>
        </w:rPr>
        <w:t xml:space="preserve">1</w:t>
      </w:r>
      <w:r>
        <w:rPr>
          <w:rFonts w:hint="eastAsia" w:ascii="宋体" w:hAnsi="宋体" w:eastAsia="宋体" w:cs="宋体"/>
          <w:color w:val="c00000"/>
          <w:sz w:val="24"/>
          <w:szCs w:val="24"/>
          <w:highlight w:val="none"/>
        </w:rPr>
        <w:t xml:space="preserve">楼</w:t>
      </w:r>
      <w:r>
        <w:rPr>
          <w:rFonts w:hint="eastAsia" w:ascii="宋体" w:hAnsi="宋体" w:eastAsia="宋体" w:cs="宋体"/>
          <w:color w:val="c00000"/>
          <w:sz w:val="24"/>
          <w:szCs w:val="24"/>
          <w:highlight w:val="none"/>
          <w:lang w:val="en-US" w:eastAsia="zh-CN"/>
        </w:rPr>
        <w:t xml:space="preserve">（送样时请联系“吴昊、方东”获取详细会议室信息）</w:t>
      </w:r>
      <w:r>
        <w:rPr>
          <w:rFonts w:hint="eastAsia" w:ascii="宋体" w:hAnsi="宋体" w:eastAsia="宋体" w:cs="宋体"/>
          <w:color w:val="c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吴昊13913827688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方东15195998576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2"/>
        <w:spacing w:before="0"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样品上需标明</w:t>
      </w:r>
      <w:r>
        <w:rPr>
          <w:rFonts w:hint="eastAsia" w:ascii="宋体" w:hAnsi="宋体" w:eastAsia="宋体" w:cs="宋体"/>
          <w:b/>
          <w:bCs/>
          <w:color w:val="000000"/>
          <w:sz w:val="24"/>
          <w:szCs w:val="24"/>
          <w:highlight w:val="none"/>
          <w:lang w:val="en-US" w:eastAsia="zh-CN"/>
        </w:rPr>
        <w:t xml:space="preserve">项目名称、分包号、</w:t>
      </w:r>
      <w:r>
        <w:rPr>
          <w:rFonts w:hint="eastAsia" w:ascii="宋体" w:hAnsi="宋体" w:eastAsia="宋体" w:cs="宋体"/>
          <w:b/>
          <w:bCs/>
          <w:color w:val="000000"/>
          <w:sz w:val="24"/>
          <w:szCs w:val="24"/>
          <w:highlight w:val="none"/>
        </w:rPr>
        <w:t xml:space="preserve">投标单位名称等相关信息。</w:t>
      </w:r>
      <w:r>
        <w:rPr>
          <w:rFonts w:hint="eastAsia" w:ascii="宋体" w:hAnsi="宋体" w:eastAsia="宋体" w:cs="宋体"/>
          <w:b/>
          <w:bCs/>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其他要求：投标人递交样品时应服从现场工作人员要求，爱护现场公共财物，对交样区财物造成损害的，应当赔偿。各投标供应商应将样品送至指定地点按要求递交样品，完成后即离开现场，不得逗留，不得翻看他人样品及进行拍照，投标人如出现违法违规行为的，视为未提交样品并按照相应法律追究责任。各供应商</w:t>
      </w:r>
      <w:r>
        <w:rPr>
          <w:rFonts w:hint="eastAsia" w:ascii="宋体" w:hAnsi="宋体" w:eastAsia="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对自身递交的样品进行整体遮盖。</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样品的规格、材质、制作等须符合招标文件的要求，详见样品清单及要求。样品所有费用由供应商自行承担，中标供应商的样品，作为采购方的验收依据。</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的退还：评审结束后中标人的样品由中标人负责运送到采购人指定地点并封存，中标人的样品由采购人负责保管、封存，并作为履约验收的参考，采购人应做好全过程的监督工作并确保样品存放安全。未中标样品由供应商自行搬离现场，</w:t>
      </w:r>
      <w:r>
        <w:rPr>
          <w:rFonts w:hint="eastAsia" w:ascii="宋体" w:hAnsi="宋体" w:eastAsia="宋体" w:cs="宋体"/>
          <w:color w:val="000000"/>
          <w:sz w:val="24"/>
          <w:szCs w:val="24"/>
          <w:highlight w:val="none"/>
          <w:lang w:val="en-US" w:eastAsia="zh-CN"/>
        </w:rPr>
        <w:t xml:space="preserve">中标结果公告后</w:t>
      </w:r>
      <w:r>
        <w:rPr>
          <w:rFonts w:hint="eastAsia" w:ascii="宋体" w:hAnsi="宋体" w:eastAsia="宋体" w:cs="宋体"/>
          <w:color w:val="000000"/>
          <w:sz w:val="24"/>
          <w:szCs w:val="24"/>
          <w:highlight w:val="none"/>
        </w:rPr>
        <w:t xml:space="preserve">超过5日未搬离的将作统一处置。</w:t>
      </w:r>
      <w:r>
        <w:rPr>
          <w:rFonts w:hint="eastAsia" w:ascii="宋体" w:hAnsi="宋体" w:eastAsia="宋体" w:cs="宋体"/>
          <w:color w:val="000000"/>
          <w:sz w:val="24"/>
          <w:szCs w:val="24"/>
          <w:highlight w:val="none"/>
        </w:rPr>
      </w:r>
      <w:r/>
    </w:p>
    <w:p>
      <w:pPr>
        <w:pStyle w:val="825"/>
        <w:numPr>
          <w:ilvl w:val="0"/>
          <w:numId w:val="41"/>
        </w:numPr>
        <w:spacing w:after="5"/>
        <w:rPr>
          <w:rFonts w:hint="eastAsia" w:ascii="宋体" w:hAnsi="宋体" w:eastAsia="宋体" w:cs="宋体"/>
          <w:b/>
          <w:color w:val="000000"/>
          <w:sz w:val="28"/>
          <w:szCs w:val="28"/>
          <w:highlight w:val="none"/>
          <w:lang w:val="en-US" w:eastAsia="zh-CN"/>
        </w:rPr>
        <w:outlineLvl w:val="1"/>
      </w:pP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val="en-US" w:eastAsia="zh-CN"/>
        </w:rPr>
        <w:t xml:space="preserve">备注：</w:t>
      </w:r>
      <w:r>
        <w:rPr>
          <w:rFonts w:hint="eastAsia" w:ascii="宋体" w:hAnsi="宋体" w:eastAsia="宋体" w:cs="宋体"/>
          <w:b/>
          <w:color w:val="000000"/>
          <w:sz w:val="28"/>
          <w:szCs w:val="28"/>
          <w:highlight w:val="none"/>
          <w:lang w:val="en-US" w:eastAsia="zh-CN"/>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号参数指标（如有）为主要技术参数要求，提供的招标文件技术参数中所要求（如有）的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带星号（“★”）的技术条款，要求投标供应商必须在投标文件中提供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24"/>
        <w:ind w:firstLine="241"/>
        <w:rPr>
          <w:rFonts w:hint="eastAsia" w:ascii="宋体" w:hAnsi="宋体" w:eastAsia="宋体" w:cs="宋体"/>
          <w:b/>
          <w:bCs/>
          <w:color w:val="000000"/>
          <w:szCs w:val="24"/>
          <w:highlight w:val="none"/>
          <w:lang w:val="en-US" w:eastAsia="zh-CN"/>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000000"/>
          <w:szCs w:val="24"/>
          <w:highlight w:val="none"/>
          <w:lang w:val="en-US" w:eastAsia="zh-CN"/>
        </w:rPr>
      </w:r>
      <w:r/>
    </w:p>
    <w:p>
      <w:pPr>
        <w:pStyle w:val="924"/>
        <w:ind w:firstLine="241"/>
        <w:rPr>
          <w:rFonts w:ascii="宋体" w:hAnsi="宋体" w:eastAsia="宋体" w:cs="宋体"/>
          <w:b/>
          <w:bCs/>
          <w:color w:val="000000"/>
          <w:szCs w:val="24"/>
          <w:highlight w:val="none"/>
          <w:lang w:val="en-US" w:eastAsia="zh-CN"/>
        </w:rPr>
      </w:pPr>
      <w:r>
        <w:rPr>
          <w:rFonts w:hint="eastAsia" w:ascii="宋体" w:hAnsi="宋体" w:eastAsia="宋体" w:cs="宋体"/>
          <w:b/>
          <w:bCs/>
          <w:color w:val="000000"/>
          <w:szCs w:val="24"/>
          <w:highlight w:val="none"/>
          <w:lang w:val="en-US" w:eastAsia="zh-CN"/>
        </w:rPr>
        <w:t xml:space="preserve">附件：实验室家具分布明细详情表</w:t>
      </w:r>
      <w:r>
        <w:rPr>
          <w:rFonts w:hint="eastAsia" w:ascii="宋体" w:hAnsi="宋体" w:eastAsia="宋体" w:cs="宋体"/>
          <w:b/>
          <w:bCs/>
          <w:color w:val="c00000"/>
          <w:szCs w:val="24"/>
          <w:highlight w:val="none"/>
          <w:lang w:val="en-US" w:eastAsia="zh-CN"/>
        </w:rPr>
        <w:t xml:space="preserve">（具体摆放位置以采购人现场实际要求为准）</w:t>
      </w:r>
      <w:r>
        <w:rPr>
          <w:rFonts w:ascii="宋体" w:hAnsi="宋体" w:eastAsia="宋体" w:cs="宋体"/>
          <w:b/>
          <w:bCs/>
          <w:color w:val="000000"/>
          <w:szCs w:val="24"/>
          <w:highlight w:val="none"/>
          <w:lang w:val="en-US" w:eastAsia="zh-CN"/>
        </w:rPr>
      </w:r>
      <w:r/>
    </w:p>
    <w:p>
      <w:pPr>
        <w:pStyle w:val="924"/>
        <w:ind w:firstLine="241"/>
        <w:rPr>
          <w:rFonts w:hint="eastAsia" w:ascii="宋体" w:hAnsi="宋体" w:eastAsia="宋体" w:cs="宋体"/>
          <w:b/>
          <w:bCs/>
          <w:color w:val="000000"/>
          <w:szCs w:val="24"/>
          <w:highlight w:val="none"/>
          <w:lang w:val="en-US" w:eastAsia="zh-CN"/>
        </w:rPr>
      </w:pPr>
      <w:r>
        <w:rPr>
          <w:rFonts w:hint="eastAsia" w:ascii="宋体" w:hAnsi="宋体" w:eastAsia="宋体" w:cs="宋体"/>
          <w:b/>
          <w:bCs/>
          <w:color w:val="000000"/>
          <w:szCs w:val="24"/>
          <w:highlight w:val="none"/>
          <w:lang w:val="en-US" w:eastAsia="zh-CN"/>
        </w:rPr>
        <w:t xml:space="preserve">分包1：普通实验边台及货架</w:t>
      </w:r>
      <w:r>
        <w:rPr>
          <w:rFonts w:hint="eastAsia" w:ascii="宋体" w:hAnsi="宋体" w:eastAsia="宋体" w:cs="宋体"/>
          <w:b/>
          <w:bCs/>
          <w:color w:val="000000"/>
          <w:szCs w:val="24"/>
          <w:highlight w:val="none"/>
          <w:lang w:val="en-US" w:eastAsia="zh-CN"/>
        </w:rPr>
      </w:r>
      <w:r/>
    </w:p>
    <w:tbl>
      <w:tblPr>
        <w:tblW w:w="1024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70"/>
        <w:gridCol w:w="1869"/>
        <w:gridCol w:w="2239"/>
        <w:gridCol w:w="775"/>
        <w:gridCol w:w="724"/>
        <w:gridCol w:w="4068"/>
      </w:tblGrid>
      <w:tr>
        <w:trPr/>
        <w:tc>
          <w:tcPr>
            <w:gridSpan w:val="6"/>
            <w:tcW w:w="1024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普通实验边台及货架（分包1）</w:t>
            </w:r>
            <w:r>
              <w:rPr>
                <w:rFonts w:hint="eastAsia" w:ascii="宋体" w:hAnsi="宋体" w:eastAsia="宋体" w:cs="宋体"/>
                <w:b/>
                <w:bCs/>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项目名称</w:t>
            </w:r>
            <w:r>
              <w:rPr>
                <w:rFonts w:hint="eastAsia" w:ascii="宋体" w:hAnsi="宋体" w:eastAsia="宋体" w:cs="宋体"/>
                <w:b/>
                <w:bCs/>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规格</w:t>
            </w:r>
            <w:r>
              <w:rPr>
                <w:rFonts w:hint="eastAsia" w:ascii="宋体" w:hAnsi="宋体" w:eastAsia="宋体" w:cs="宋体"/>
                <w:b/>
                <w:bCs/>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11101 先进称重技术实验室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11102 充电桩检测实验室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11103 国家流量计型式评价实验室（江苏）音速喷嘴法气体流量标准装置实验室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11104 控制室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 xml:space="preserve">11105 电磁兼容实验室</w:t>
            </w:r>
            <w:r>
              <w:rPr>
                <w:rFonts w:hint="eastAsia" w:ascii="宋体" w:hAnsi="宋体" w:eastAsia="宋体" w:cs="宋体"/>
                <w:b/>
                <w:bCs/>
                <w:i w:val="0"/>
                <w:iCs w:val="0"/>
                <w:color w:val="000000"/>
                <w:sz w:val="22"/>
                <w:szCs w:val="22"/>
                <w:highlight w:val="none"/>
                <w:u w:val="none"/>
                <w:lang w:val="en-US" w:eastAsia="zh-CN" w:bidi="ar"/>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11201 国家流量计型式评价实验室（江苏）微小气体流量实验室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11203 水表检测实验室省市场监管流量计量技术创新中心</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11204 在线负荷传感器实验室省市场监管负荷传感器计量重点实验室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11205 质量溯源技术实验室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11206 热量表检测实验室省市场监管流量计量技术创新中心</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11209 电磁兼容可靠性实验室国家健康与智能设备质量检验检测中心</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11210 放射性标准平面源制备间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11211 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11212 αβ平面源标准装置实验室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11215 αβ平面源标准装置实验室流转间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11216 光释光剂量计标准装置实验室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11217 热释光剂量计标准装置实验室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11218 氡测量仪标准装置实验室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11219  活度计标准装置实验室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11220 γ谱仪标准装置实验室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11221 αβ低本底标准装置实验室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11222 气溶胶实验室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11301   雷达测速仪实验室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11302   区间测速系统实验室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11303机动车综检设备检测实验室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11304机动车环保设备检测实验室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11305新能源汽车检测专用设备检测实验室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11306-2实验室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11310车载毫米波雷达射频实验室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11313</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11314省绿色低碳产业计量中心化石燃料碳计量检测实验室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11316省气体分析仪型式评价实验室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11318环流所空气流速标准实验室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11320  标准物质制备核查实验室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11321  标准物质制备核查实验室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11323  光学实验室（暗室）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11324  标准物质制备核查实验室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11325  国家流量计型式评价实验室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11327  光学实验室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11334  视觉电生理实验室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11335  溯源实验室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11336  溯源实验室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11337   民生计量实验室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11338 型式评价实验室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11344 角膜接触镜检测实验室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11345 麻醉机量传实验室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11401 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11402 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11403  粉尘大气烟尘型式评价实验室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11404  粉尘大气烟尘检测实验室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ind w:firstLine="660"/>
              <w:jc w:val="both"/>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11405  呼出气体酒精探测仪实验室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11406-1  氧气/溶解氧实验室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11406-2可燃气体报警器实验室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11407有毒有害气体实验室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11409省市场监管负荷传感器计量重点实验室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11410省市场监管负荷传感器计量重点实验室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11411流转间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11412前处理实验室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11414标准物质储存实验室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11415  流转间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11416  电化学实验室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11417  臭氧分析仪实验室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11418 动态压实验室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11419-1 动态压实验室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11419-2 动态压实验室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11420   风洞实验室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11421国家流量计型式评价实验室（江苏）标准表法气体实验室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11422压力传感器实验室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11423粉尘油烟微粒浓度检测实验室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11424  压力传感器实验室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11432  流转间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11433消费服务机器人实验室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11434呼吸麻醉实验室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11435微生物采样器校准实验室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11436 国家质检中心实验室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11437    智能可穿戴实验室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11506   省电磁环境计量重点实验室电磁辐射场强/天线/电磁兼容计量实验室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全钢结构，12.7mm防静电物理板台面，详见技术要求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11507  远程时间校准及卫星导航检测实验室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全钢结构，12.7mm防静电物理板台面，详见技术要求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11509  液位计实验室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11512  医疗机器人实验室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11521   医用超声设备实验室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11522   医用光学设备实验室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11523  国家质检中心实验室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bl>
    <w:p>
      <w:pPr>
        <w:pStyle w:val="825"/>
        <w:rPr>
          <w:color w:val="000000"/>
          <w:highlight w:val="none"/>
          <w:lang w:val="en-US" w:eastAsia="zh-CN"/>
        </w:rPr>
      </w:pPr>
      <w:r>
        <w:rPr>
          <w:color w:val="000000"/>
          <w:highlight w:val="none"/>
          <w:lang w:val="en-US" w:eastAsia="zh-CN"/>
        </w:rPr>
      </w:r>
      <w:r/>
    </w:p>
    <w:p>
      <w:pPr>
        <w:pStyle w:val="825"/>
        <w:spacing w:before="0" w:after="0"/>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分包</w:t>
      </w:r>
      <w:r>
        <w:rPr>
          <w:rFonts w:hint="eastAsia" w:ascii="宋体" w:hAnsi="宋体" w:eastAsia="宋体" w:cs="宋体"/>
          <w:b/>
          <w:bCs w:val="0"/>
          <w:color w:val="000000"/>
          <w:sz w:val="28"/>
          <w:szCs w:val="28"/>
          <w:highlight w:val="none"/>
          <w:lang w:val="en-US" w:eastAsia="zh-CN"/>
        </w:rPr>
        <w:t xml:space="preserve">2</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rPr>
        <w:t xml:space="preserve">专用实验台、通风柜及配套设施</w:t>
      </w:r>
      <w:r>
        <w:rPr>
          <w:rFonts w:hint="eastAsia" w:ascii="宋体" w:hAnsi="宋体" w:eastAsia="宋体" w:cs="宋体"/>
          <w:b/>
          <w:bCs w:val="0"/>
          <w:color w:val="000000"/>
          <w:sz w:val="28"/>
          <w:szCs w:val="28"/>
          <w:highlight w:val="none"/>
        </w:rPr>
      </w:r>
      <w:r/>
    </w:p>
    <w:tbl>
      <w:tblPr>
        <w:tblW w:w="0" w:type="auto"/>
        <w:tblInd w:w="-3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947"/>
        <w:gridCol w:w="2174"/>
        <w:gridCol w:w="761"/>
        <w:gridCol w:w="732"/>
        <w:gridCol w:w="3962"/>
      </w:tblGrid>
      <w:tr>
        <w:trPr>
          <w:trHeight w:val="490"/>
        </w:trPr>
        <w:tc>
          <w:tcPr>
            <w:gridSpan w:val="6"/>
            <w:tcW w:w="1017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专用实验台、通风柜、控制系统及配套设施（分包2）</w:t>
            </w:r>
            <w:r>
              <w:rPr>
                <w:rFonts w:hint="eastAsia" w:ascii="宋体" w:hAnsi="宋体" w:eastAsia="宋体" w:cs="宋体"/>
                <w:b/>
                <w:bCs/>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项目名称</w:t>
            </w:r>
            <w:r>
              <w:rPr>
                <w:rFonts w:hint="eastAsia" w:ascii="宋体" w:hAnsi="宋体" w:eastAsia="宋体" w:cs="宋体"/>
                <w:b/>
                <w:bCs/>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规格</w:t>
            </w:r>
            <w:r>
              <w:rPr>
                <w:rFonts w:hint="eastAsia" w:ascii="宋体" w:hAnsi="宋体" w:eastAsia="宋体" w:cs="宋体"/>
                <w:b/>
                <w:bCs/>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11210 放射性标准平面源制备间</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11211 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11218 氡测量仪标准装置实验室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11219  活度计标准装置实验室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11222 气溶胶实验室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11301   雷达测速仪实验室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11302   区间测速系统实验室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11303机动车综检设备检测实验室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11304机动车环保设备检测实验室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11305新能源汽车检测专用设备检测实验室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11310车载毫米波雷达射频实验室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11316省气体分析仪型式评价实验室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（含中央台、1套中号水槽+水龙头、1套洗眼器、1套滴水架、1套功能柱、4.45m中央试剂架）全钢结构，12.7mm理化板台面，详见技术要求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11320  标准物质制备核查实验室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9000*900*850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11321  标准物质制备核查实验室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9000*900*850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11324  标准物质制备核查实验室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11326  光学实验室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置物架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2000*800*2000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11335  溯源实验室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11336  溯源实验室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11337   民生计量实验室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11338 型式评价实验室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11344 角膜接触镜检测实验室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11345 麻醉机量传实验室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11403  粉尘大气烟尘型式评价实验室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（含中央台、1套功能柱、3m中央试剂架）全钢结构，12.7mm理化板台面，详见技术要求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11404  粉尘大气烟尘检测实验室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rPr>
                <w:rFonts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bidi="ar"/>
              </w:rPr>
              <w:t xml:space="preserve">GB</w:t>
            </w:r>
            <w:r>
              <w:rPr>
                <w:rFonts w:ascii="宋体" w:hAnsi="宋体" w:eastAsia="宋体" w:cs="宋体"/>
                <w:i w:val="0"/>
                <w:iCs w:val="0"/>
                <w:color w:val="000000"/>
                <w:sz w:val="22"/>
                <w:szCs w:val="22"/>
                <w:highlight w:val="none"/>
                <w:u w:val="none"/>
                <w:lang w:val="en-US" w:eastAsia="zh-CN"/>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11405  呼出气体酒精探测仪实验室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11406-1  氧气/溶解氧实验室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（含中央台、1套中号水槽+水龙头、1套洗眼器、1套滴水架、1套功能柱、2.9m中央试剂架）全钢结构，12.7mm理化板台面，详见技术要求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11406-2可燃气体报警器实验室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（含中央台、1套中号水槽+水龙头、1套洗眼器、1套滴水架、1套功能柱、2.9m中央试剂架）全钢结构，12.7mm理化板台面，详见技术要求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11407有毒有害气体实验室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11412前处理实验室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（含中央台、3套中号水槽+水龙头、1套洗眼器、1套滴水架、1套功能柱、4.45m中央试剂架）全钢结构，12.7mm理化板台面，详见技术要求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11414标准物质储存实验室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11416  电化学实验室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（含中央台、1套中号水槽+水龙头、1套洗眼器、1套滴水架、1套功能柱、5.85m中央试剂架）全钢结构，12.7mm理化板台面，详见技术要求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11417  臭氧分析仪实验室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11423粉尘油烟微粒浓度检测实验室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11434呼吸麻醉实验室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11435微生物采样器校准实验室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11436 国家质检中心实验室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11437    智能可穿戴实验室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11506   省电磁环境计量重点实验室电磁辐射场强/天线/电磁兼容计量实验室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全钢结构，12.7mm防静电物理板台面</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3910*1500*850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全钢结构，12.7mm防静电物理板台面</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11512  医疗机器人实验室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11521   医用超声设备实验室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11523  国家质检中心实验室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bl>
    <w:p>
      <w:pPr>
        <w:pStyle w:val="826"/>
        <w:ind w:firstLine="0"/>
        <w:jc w:val="left"/>
        <w:tabs>
          <w:tab w:val="left" w:pos="1440" w:leader="none"/>
          <w:tab w:val="left" w:pos="5670" w:leader="none"/>
        </w:tabs>
        <w:rPr>
          <w:rFonts w:hint="eastAsia" w:ascii="宋体" w:hAnsi="宋体" w:eastAsia="宋体" w:cs="宋体"/>
          <w:b w:val="0"/>
          <w:color w:val="000000"/>
          <w:sz w:val="28"/>
          <w:highlight w:val="none"/>
        </w:rPr>
      </w:pPr>
      <w:r>
        <w:rPr>
          <w:rFonts w:hint="eastAsia" w:ascii="宋体" w:hAnsi="宋体" w:eastAsia="宋体" w:cs="宋体"/>
          <w:b/>
          <w:bCs/>
          <w:color w:val="000000"/>
          <w:szCs w:val="24"/>
          <w:highlight w:val="none"/>
          <w:lang w:val="en-US" w:eastAsia="zh-CN"/>
        </w:rPr>
        <w:br w:type="page" w:clear="all"/>
      </w:r>
      <w:r>
        <w:rPr>
          <w:rFonts w:hint="eastAsia" w:ascii="宋体" w:hAnsi="宋体" w:eastAsia="宋体" w:cs="宋体"/>
          <w:b/>
          <w:bCs/>
          <w:color w:val="000000"/>
          <w:szCs w:val="24"/>
          <w:highlight w:val="none"/>
          <w:lang w:val="en-US" w:eastAsia="zh-CN"/>
        </w:rPr>
        <w:br w:type="textWrapping" w:clear="all"/>
      </w:r>
      <w:bookmarkStart w:id="118" w:name="_Toc18787"/>
      <w:r>
        <w:rPr>
          <w:rFonts w:hint="eastAsia" w:ascii="宋体" w:hAnsi="宋体" w:eastAsia="宋体" w:cs="宋体"/>
          <w:color w:val="000000"/>
          <w:highlight w:val="none"/>
        </w:rPr>
        <w:t xml:space="preserve">第五章 </w:t>
      </w:r>
      <w:bookmarkEnd w:id="105"/>
      <w:r>
        <w:rPr>
          <w:rFonts w:hint="eastAsia" w:ascii="宋体" w:hAnsi="宋体" w:eastAsia="宋体" w:cs="宋体"/>
          <w:color w:val="000000"/>
          <w:highlight w:val="none"/>
        </w:rPr>
        <w:t xml:space="preserve">拟签订的合同文本</w:t>
      </w:r>
      <w:bookmarkEnd w:id="106"/>
      <w:r/>
      <w:bookmarkEnd w:id="118"/>
      <w:r>
        <w:rPr>
          <w:rFonts w:hint="eastAsia" w:ascii="宋体" w:hAnsi="宋体" w:eastAsia="宋体" w:cs="宋体"/>
          <w:b w:val="0"/>
          <w:color w:val="000000"/>
          <w:sz w:val="28"/>
          <w:highlight w:val="none"/>
        </w:rPr>
      </w:r>
      <w:r/>
    </w:p>
    <w:p>
      <w:pPr>
        <w:pStyle w:val="825"/>
        <w:ind w:left="108" w:firstLine="482"/>
        <w:jc w:val="left"/>
        <w:spacing w:line="480" w:lineRule="exact"/>
        <w:tabs>
          <w:tab w:val="left" w:pos="4785" w:leader="none"/>
        </w:tabs>
        <w:rPr>
          <w:rFonts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rPr>
        <w:t xml:space="preserve">（货物类采购合同参考格式，本合同内容条款在正式签署前可具体补充细化，仅作参考，最终合同以采购人法务审查通过的版本为准）</w:t>
      </w:r>
      <w:bookmarkStart w:id="119" w:name="_Toc4445"/>
      <w:r>
        <w:rPr>
          <w:rFonts w:ascii="宋体" w:hAnsi="宋体" w:eastAsia="宋体" w:cs="宋体"/>
          <w:b/>
          <w:bCs/>
          <w:i/>
          <w:iCs/>
          <w:color w:val="000000"/>
          <w:sz w:val="24"/>
          <w:szCs w:val="24"/>
          <w:highlight w:val="none"/>
        </w:rPr>
      </w:r>
      <w:r/>
    </w:p>
    <w:p>
      <w:pPr>
        <w:pStyle w:val="825"/>
        <w:ind w:left="108" w:firstLine="480"/>
        <w:jc w:val="left"/>
        <w:spacing w:line="480" w:lineRule="exact"/>
        <w:tabs>
          <w:tab w:val="left" w:pos="4785"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买方（甲方）：江苏省计量科学研究院（江苏省能源计量数据中心）</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卖方（乙方）： </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采购代理机构： 江苏海外集团国际工程咨询有限公司</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一、说明：</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受买方委托，采购代理机构于2026年 月 日组织了江苏省计量科学研究院（江苏省能源计量数据中心）所需</w:t>
      </w:r>
      <w:r>
        <w:rPr>
          <w:rFonts w:hint="eastAsia" w:ascii="宋体" w:hAnsi="宋体" w:eastAsia="宋体" w:cs="宋体"/>
          <w:color w:val="000000"/>
          <w:sz w:val="24"/>
          <w:szCs w:val="24"/>
          <w:highlight w:val="none"/>
        </w:rPr>
        <w:t xml:space="preserve">检测设备</w:t>
      </w:r>
      <w:r>
        <w:rPr>
          <w:rFonts w:hint="eastAsia" w:ascii="宋体" w:hAnsi="宋体" w:eastAsia="宋体" w:cs="宋体"/>
          <w:color w:val="000000"/>
          <w:sz w:val="24"/>
          <w:szCs w:val="24"/>
          <w:highlight w:val="none"/>
        </w:rPr>
        <w:t xml:space="preserve">采购项目（项目编号：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）的评审活动，经评委认真严格地评审，确定由卖方成交。</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二、合同条款：</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合同由买卖双方签订，并依据本项目采购文件规定，按下列合同条款买方同意购入，卖方同意卖出下列设备及服务。</w:t>
      </w:r>
      <w:r>
        <w:rPr>
          <w:rFonts w:hint="eastAsia" w:ascii="宋体" w:hAnsi="宋体" w:eastAsia="宋体" w:cs="宋体"/>
          <w:color w:val="000000"/>
          <w:sz w:val="24"/>
          <w:szCs w:val="24"/>
          <w:highlight w:val="none"/>
        </w:rPr>
      </w:r>
      <w:r/>
    </w:p>
    <w:p>
      <w:pPr>
        <w:pStyle w:val="825"/>
        <w:contextualSpacing/>
        <w:ind w:left="720" w:hanging="80"/>
        <w:jc w:val="left"/>
        <w:spacing w:before="100" w:after="100" w:line="480" w:lineRule="exact"/>
        <w:widowControl/>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1.设备名称、型号规格、数量及服务内容。</w:t>
      </w:r>
      <w:r>
        <w:rPr>
          <w:rFonts w:hint="eastAsia" w:ascii="宋体" w:hAnsi="宋体" w:eastAsia="宋体" w:cs="宋体"/>
          <w:color w:val="000000"/>
          <w:sz w:val="24"/>
          <w:szCs w:val="24"/>
          <w:highlight w:val="none"/>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513"/>
        <w:gridCol w:w="1239"/>
        <w:gridCol w:w="938"/>
        <w:gridCol w:w="953"/>
        <w:gridCol w:w="1566"/>
        <w:gridCol w:w="1390"/>
      </w:tblGrid>
      <w:tr>
        <w:trPr>
          <w:trHeight w:val="19"/>
        </w:trPr>
        <w:tc>
          <w:tcPr>
            <w:tcW w:w="452"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产品名称</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型号</w:t>
            </w: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总价（元）</w:t>
            </w:r>
            <w:r>
              <w:rPr>
                <w:rFonts w:hint="eastAsia" w:ascii="宋体" w:hAnsi="宋体" w:eastAsia="宋体" w:cs="宋体"/>
                <w:color w:val="000000"/>
                <w:sz w:val="24"/>
                <w:szCs w:val="24"/>
                <w:highlight w:val="none"/>
              </w:rPr>
            </w:r>
            <w:r/>
          </w:p>
        </w:tc>
      </w:tr>
      <w:tr>
        <w:trPr>
          <w:trHeight w:val="19"/>
        </w:trPr>
        <w:tc>
          <w:tcPr>
            <w:tcW w:w="452"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
        </w:trPr>
        <w:tc>
          <w:tcPr>
            <w:tcW w:w="452"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
        </w:trPr>
        <w:tc>
          <w:tcPr>
            <w:gridSpan w:val="4"/>
            <w:tcW w:w="5545" w:type="dxa"/>
            <w:vAlign w:val="center"/>
            <w:textDirection w:val="lrTb"/>
            <w:noWrap w:val="false"/>
          </w:tcPr>
          <w:p>
            <w:pPr>
              <w:pStyle w:val="825"/>
              <w:ind w:firstLine="422"/>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合计（元）</w:t>
            </w:r>
            <w:r>
              <w:rPr>
                <w:rFonts w:hint="eastAsia" w:ascii="宋体" w:hAnsi="宋体" w:eastAsia="宋体" w:cs="宋体"/>
                <w:color w:val="000000"/>
                <w:sz w:val="24"/>
                <w:szCs w:val="24"/>
                <w:highlight w:val="none"/>
              </w:rPr>
            </w:r>
            <w:r/>
          </w:p>
        </w:tc>
        <w:tc>
          <w:tcPr>
            <w:gridSpan w:val="3"/>
            <w:tcW w:w="3909" w:type="dxa"/>
            <w:vAlign w:val="center"/>
            <w:textDirection w:val="lrTb"/>
            <w:noWrap w:val="false"/>
          </w:tcPr>
          <w:p>
            <w:pPr>
              <w:pStyle w:val="825"/>
              <w:ind w:firstLine="422"/>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825"/>
        <w:ind w:left="108" w:firstLine="480"/>
        <w:jc w:val="left"/>
        <w:spacing w:line="480" w:lineRule="exact"/>
        <w:tabs>
          <w:tab w:val="left" w:pos="478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2.合同总价（大写）：</w:t>
      </w:r>
      <w:r>
        <w:rPr>
          <w:rFonts w:hint="eastAsia" w:ascii="宋体" w:hAnsi="宋体" w:eastAsia="宋体" w:cs="宋体"/>
          <w:b/>
          <w:bCs/>
          <w:color w:val="000000"/>
          <w:sz w:val="24"/>
          <w:szCs w:val="24"/>
          <w:highlight w:val="none"/>
          <w:u w:val="single"/>
        </w:rPr>
        <w:t xml:space="preserve">人民币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（含税）</w:t>
      </w:r>
      <w:r>
        <w:rPr>
          <w:rFonts w:hint="eastAsia" w:ascii="宋体" w:hAnsi="宋体" w:eastAsia="宋体" w:cs="宋体"/>
          <w:bCs/>
          <w:color w:val="000000"/>
          <w:sz w:val="24"/>
          <w:szCs w:val="24"/>
          <w:highlight w:val="none"/>
        </w:rPr>
      </w:r>
      <w:r/>
    </w:p>
    <w:p>
      <w:pPr>
        <w:pStyle w:val="825"/>
        <w:ind w:left="108" w:firstLine="1680"/>
        <w:jc w:val="left"/>
        <w:spacing w:line="480" w:lineRule="exact"/>
        <w:tabs>
          <w:tab w:val="left" w:pos="478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（小写）：</w:t>
      </w:r>
      <w:r>
        <w:rPr>
          <w:rFonts w:hint="eastAsia" w:ascii="宋体" w:hAnsi="宋体" w:eastAsia="宋体" w:cs="宋体"/>
          <w:b/>
          <w:bCs/>
          <w:color w:val="000000"/>
          <w:sz w:val="24"/>
          <w:szCs w:val="24"/>
          <w:highlight w:val="none"/>
          <w:u w:val="single"/>
        </w:rPr>
        <w:t xml:space="preserve">￥            元。</w:t>
      </w:r>
      <w:r>
        <w:rPr>
          <w:rFonts w:hint="eastAsia" w:ascii="宋体" w:hAnsi="宋体" w:eastAsia="宋体" w:cs="宋体"/>
          <w:bCs/>
          <w:color w:val="000000"/>
          <w:sz w:val="24"/>
          <w:szCs w:val="24"/>
          <w:highlight w:val="none"/>
        </w:rPr>
      </w:r>
      <w:r/>
    </w:p>
    <w:p>
      <w:pPr>
        <w:pStyle w:val="82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bCs/>
          <w:color w:val="000000"/>
          <w:sz w:val="24"/>
          <w:szCs w:val="24"/>
          <w:highlight w:val="none"/>
        </w:rPr>
        <w:t xml:space="preserve">投标报价，应包括本次招标范围内全部设备、材料、随设备提供的备品配件及专用工具的价格、全部税费、包装费、运杂费（运抵买方项目现场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交付使用时间：</w:t>
      </w:r>
      <w:r>
        <w:rPr>
          <w:rFonts w:hint="eastAsia" w:ascii="宋体" w:hAnsi="宋体" w:eastAsia="宋体" w:cs="宋体"/>
          <w:color w:val="000000"/>
          <w:sz w:val="24"/>
          <w:szCs w:val="24"/>
          <w:highlight w:val="none"/>
          <w:u w:val="single"/>
        </w:rPr>
        <w:t xml:space="preserve">详见投标文件。</w:t>
      </w:r>
      <w:r>
        <w:rPr>
          <w:rFonts w:hint="eastAsia" w:ascii="宋体" w:hAnsi="宋体" w:eastAsia="宋体" w:cs="宋体"/>
          <w:color w:val="000000"/>
          <w:sz w:val="24"/>
          <w:szCs w:val="24"/>
          <w:highlight w:val="none"/>
        </w:rPr>
      </w:r>
      <w:r/>
    </w:p>
    <w:p>
      <w:pPr>
        <w:pStyle w:val="825"/>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收货人：</w:t>
      </w:r>
      <w:r>
        <w:rPr>
          <w:rFonts w:hint="eastAsia" w:ascii="宋体" w:hAnsi="宋体" w:eastAsia="宋体" w:cs="宋体"/>
          <w:b/>
          <w:color w:val="000000"/>
          <w:sz w:val="24"/>
          <w:szCs w:val="24"/>
          <w:highlight w:val="none"/>
          <w:u w:val="single"/>
        </w:rPr>
        <w:t xml:space="preserve">江苏省计量科学研究院（江苏省能源计量数据中心）</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825"/>
        <w:ind w:firstLine="600"/>
        <w:spacing w:line="480" w:lineRule="exact"/>
        <w:tabs>
          <w:tab w:val="left" w:pos="-235" w:leader="none"/>
        </w:tabs>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5. 交货地点：</w:t>
      </w:r>
      <w:r>
        <w:rPr>
          <w:rFonts w:hint="eastAsia" w:ascii="宋体" w:hAnsi="宋体" w:eastAsia="宋体" w:cs="宋体"/>
          <w:b/>
          <w:color w:val="000000"/>
          <w:sz w:val="24"/>
          <w:szCs w:val="24"/>
          <w:highlight w:val="none"/>
          <w:u w:val="single"/>
        </w:rPr>
        <w:t xml:space="preserve">买方指定地点。</w:t>
      </w:r>
      <w:r>
        <w:rPr>
          <w:rFonts w:hint="eastAsia" w:ascii="宋体" w:hAnsi="宋体" w:eastAsia="宋体" w:cs="宋体"/>
          <w:b/>
          <w:color w:val="000000"/>
          <w:sz w:val="24"/>
          <w:szCs w:val="24"/>
          <w:highlight w:val="none"/>
          <w:u w:val="single"/>
        </w:rPr>
      </w:r>
      <w:r/>
    </w:p>
    <w:p>
      <w:pPr>
        <w:pStyle w:val="825"/>
        <w:ind w:firstLine="600"/>
        <w:spacing w:line="480" w:lineRule="exact"/>
        <w:tabs>
          <w:tab w:val="left" w:pos="-235"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 设备的制造应符合下列标准或规范并据此验收：</w:t>
      </w:r>
      <w:r>
        <w:rPr>
          <w:rFonts w:hint="eastAsia" w:ascii="宋体" w:hAnsi="宋体" w:eastAsia="宋体" w:cs="宋体"/>
          <w:b/>
          <w:color w:val="000000"/>
          <w:sz w:val="24"/>
          <w:szCs w:val="24"/>
          <w:highlight w:val="none"/>
          <w:u w:val="single"/>
        </w:rPr>
        <w:t xml:space="preserve">招标文件、投标文件、双方签订的技术协议和国家的相关标准。</w:t>
      </w:r>
      <w:r>
        <w:rPr>
          <w:rFonts w:hint="eastAsia" w:ascii="宋体" w:hAnsi="宋体" w:eastAsia="宋体" w:cs="宋体"/>
          <w:color w:val="000000"/>
          <w:sz w:val="24"/>
          <w:szCs w:val="24"/>
          <w:highlight w:val="none"/>
          <w:u w:val="singl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买方付款方式及期限：</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合同签订生效后一个月内，买方向卖方预付合同总价30%的货款；设备、材料全部运抵交货地点，并安装结束，调试完毕，验收合格后，买方向卖方支付合同总价60%的货款。设备验收合格后稳定运行</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年后，相关稳定性指标满足要求,买方向卖方支付合同总价10%的货款。</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卖方应在收到买方通知后开具合法有效发票，买方收到发票后支付相应款项。若因发票瑕疵导致付款延误，责任由卖方承担。</w:t>
      </w:r>
      <w:r>
        <w:rPr>
          <w:rFonts w:hint="eastAsia" w:ascii="宋体" w:hAnsi="宋体" w:eastAsia="宋体" w:cs="宋体"/>
          <w:color w:val="000000"/>
          <w:sz w:val="24"/>
          <w:szCs w:val="24"/>
          <w:highlight w:val="none"/>
        </w:rPr>
        <w:t xml:space="preserve">若产品存在质量问题，则不受该付款条件约束，应按照本合同条款其他要求以及</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rPr>
        <w:t xml:space="preserve">有关规定执行。</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验收</w:t>
      </w:r>
      <w:r>
        <w:rPr>
          <w:rFonts w:hint="eastAsia" w:ascii="宋体" w:hAnsi="宋体" w:eastAsia="宋体" w:cs="宋体"/>
          <w:color w:val="000000"/>
          <w:sz w:val="24"/>
          <w:szCs w:val="24"/>
          <w:highlight w:val="none"/>
        </w:rPr>
      </w:r>
      <w:r/>
    </w:p>
    <w:p>
      <w:pPr>
        <w:pStyle w:val="825"/>
        <w:ind w:left="8" w:firstLine="650"/>
        <w:jc w:val="left"/>
        <w:spacing w:line="480" w:lineRule="exact"/>
        <w:tabs>
          <w:tab w:val="left" w:pos="4785" w:leader="none"/>
        </w:tabs>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eastAsia="宋体" w:cs="宋体"/>
          <w:b/>
          <w:color w:val="000000"/>
          <w:sz w:val="24"/>
          <w:szCs w:val="24"/>
          <w:highlight w:val="none"/>
          <w:u w:val="singl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质保期及售后服务</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卖方所供设备、材料及安装的质量保证期：</w:t>
      </w:r>
      <w:r>
        <w:rPr>
          <w:rFonts w:hint="eastAsia" w:ascii="宋体" w:hAnsi="宋体" w:eastAsia="宋体" w:cs="宋体"/>
          <w:color w:val="000000"/>
          <w:sz w:val="24"/>
          <w:szCs w:val="24"/>
          <w:highlight w:val="none"/>
          <w:u w:val="single"/>
        </w:rPr>
        <w:t xml:space="preserve">详见投标文件要求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在质保期内，因卖方所供设备、材料制造质量或安装问题出现设备故障时，卖方在接买方通知后，24小时内响应，并设备厂家工程师三个工作日内赶到买方现场，免费予以排除故障、修复，无法修复应更换所供设备。卖方还应支付因更换所发生的运输、保险、安装、检测等有关的全部费用。</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在质保期内，因买方使用不当原因出现设备故障时，卖方在接买方通知后，设备厂家工程师应在10.2条款中所述的时限内赶到买方现场，帮助排除故障、修复或更换零部件，需购买零部件时，仅收取成本费。</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质保期满后，如设备出现故障，设备厂家在接买方通知后，设备厂家工程师仍应在上述时间内响应、派人赶到买方现场，帮助排除故障、修复或更换零部件，需购买零部件时，酌情收取成本费。</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技术资料</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按投标文件技术规格、参数及其他要求中的要求提供相关资料（见附件）。</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12.货物风险承担</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12.1卖方应当按照买方指定的地点交货，需要运输的货物，卖方应当妥善保障货物在运输过程中的安全。</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12.2卖方将货物运输至买方指定的地点后，应当及时通知买方进行接收，由买方进行检验。</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12.3在货物验收合格之前毁损、灭失的风险由卖方承担，因买方原因造成货物毁损、灭失的除外。</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卖方的违约责任</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13.1卖方未按合同规定的质量要求交货，买方有权拒收，由此造成的直接损失和间接损失由卖方赔偿。</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13.3货物有合格证及说明书等资料的，在交付货物时，卖方应当一并交付合格证及说明书等资料，未交付的买方有权拒绝接收。因此造成的损失由卖方承担。</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13.4卖方不能交付或不能完成合同，买方有权解除本合同并要求卖方双倍返还买方已支付的货款。</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 货物经买方验收不符合要求的，卖方应当在买方指定的时间内调换，调换后仍不符合要求的，买方有权解除合同并要求卖方赔偿因此造成的损失。</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13.7卖方履行义务不符合合同约定时，买方将扣减10%合同款。</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13.8在合同约定的质保期内，卖方未能履行合同约定的义务，卖方应按合同总价的10%支付违约金，导致买方遭受损失的，卖方应承担因此造成的全部损失。</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买方的违约责任：</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14.1买方未按合同规定的时间和要求向卖方提供技术资料等，卖方交付时间顺延。</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卖方在设备安装、调试、验收过程中，买方提供下列条件和配合，超出下列范围的由卖方自理：无</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ascii="宋体" w:hAnsi="宋体" w:eastAsia="宋体" w:cs="宋体"/>
          <w:color w:val="000000"/>
          <w:sz w:val="24"/>
          <w:szCs w:val="24"/>
          <w:highlight w:val="none"/>
        </w:rPr>
      </w:r>
      <w:r/>
    </w:p>
    <w:p>
      <w:pPr>
        <w:pStyle w:val="825"/>
        <w:ind w:firstLine="480"/>
        <w:jc w:val="left"/>
        <w:spacing w:line="440" w:lineRule="exact"/>
        <w:tabs>
          <w:tab w:val="left" w:pos="478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合同的生效：本合同一式陆份，各份具有同等法律效力，自买卖双方签字、盖章并加盖骑缝章之日起生效。</w:t>
      </w:r>
      <w:r>
        <w:rPr>
          <w:rFonts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t xml:space="preserve">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t xml:space="preserve">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t xml:space="preserve">.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三、廉洁条款</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四、保密条款</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五、送达条款</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eastAsia="宋体" w:cs="宋体"/>
          <w:color w:val="000000"/>
          <w:sz w:val="24"/>
          <w:szCs w:val="24"/>
          <w:highlight w:val="none"/>
        </w:rPr>
      </w:r>
      <w:r/>
    </w:p>
    <w:p>
      <w:pPr>
        <w:pStyle w:val="825"/>
        <w:ind w:firstLine="480"/>
        <w:jc w:val="left"/>
        <w:spacing w:line="440" w:lineRule="exact"/>
        <w:widowControl/>
        <w:rPr>
          <w:rFonts w:hint="eastAsia" w:ascii="宋体" w:hAnsi="宋体" w:eastAsia="宋体" w:cs="宋体"/>
          <w:color w:val="000000"/>
          <w:sz w:val="24"/>
          <w:szCs w:val="24"/>
          <w:highlight w:val="none"/>
        </w:rPr>
      </w:pPr>
      <w:r/>
      <w:bookmarkEnd w:id="119"/>
      <w:r>
        <w:rPr>
          <w:rFonts w:hint="eastAsia" w:ascii="宋体" w:hAnsi="宋体" w:eastAsia="宋体" w:cs="宋体"/>
          <w:color w:val="000000"/>
          <w:sz w:val="24"/>
          <w:szCs w:val="24"/>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买方（盖章）：</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单位名称：江苏省计量科学研究院（江苏省能源计量数据中心）</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c>
          <w:tcPr>
            <w:tcW w:w="4684" w:type="dxa"/>
            <w:vAlign w:val="top"/>
            <w:textDirection w:val="lrTb"/>
            <w:noWrap w:val="false"/>
          </w:tcPr>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卖方（盖章）：</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帐号：</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税号：</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r>
    </w:tbl>
    <w:p>
      <w:pPr>
        <w:pStyle w:val="825"/>
        <w:spacing w:line="240" w:lineRule="auto"/>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color w:val="000000"/>
          <w:sz w:val="24"/>
          <w:szCs w:val="24"/>
          <w:highlight w:val="none"/>
        </w:rPr>
        <w:t xml:space="preserve">     </w:t>
      </w:r>
      <w:bookmarkStart w:id="120" w:name="_Toc27786"/>
      <w:r/>
      <w:bookmarkStart w:id="121" w:name="_Toc15343"/>
      <w:r/>
      <w:bookmarkStart w:id="122" w:name="OLE_LINK6"/>
      <w:r>
        <w:rPr>
          <w:rFonts w:hint="eastAsia" w:ascii="宋体" w:hAnsi="宋体" w:eastAsia="宋体" w:cs="宋体"/>
          <w:color w:val="000000"/>
          <w:highlight w:val="none"/>
        </w:rPr>
      </w:r>
      <w:r/>
    </w:p>
    <w:p>
      <w:pPr>
        <w:pStyle w:val="826"/>
        <w:ind w:firstLine="0"/>
        <w:tabs>
          <w:tab w:val="left" w:pos="1440" w:leader="none"/>
          <w:tab w:val="left" w:pos="5670" w:leader="none"/>
        </w:tabs>
        <w:rPr>
          <w:rFonts w:hint="eastAsia" w:ascii="宋体" w:hAnsi="宋体" w:eastAsia="宋体" w:cs="宋体"/>
          <w:color w:val="000000"/>
          <w:highlight w:val="none"/>
        </w:rPr>
      </w:pPr>
      <w:r/>
      <w:bookmarkStart w:id="123" w:name="_Toc21943"/>
      <w:r>
        <w:rPr>
          <w:rFonts w:hint="eastAsia" w:ascii="宋体" w:hAnsi="宋体" w:eastAsia="宋体" w:cs="宋体"/>
          <w:color w:val="000000"/>
          <w:highlight w:val="none"/>
        </w:rPr>
        <w:t xml:space="preserve">第六章 </w:t>
      </w:r>
      <w:bookmarkEnd w:id="120"/>
      <w:r>
        <w:rPr>
          <w:rFonts w:hint="eastAsia" w:ascii="宋体" w:hAnsi="宋体" w:eastAsia="宋体" w:cs="宋体"/>
          <w:color w:val="000000"/>
          <w:highlight w:val="none"/>
        </w:rPr>
        <w:t xml:space="preserve">投标文件格式及附件</w:t>
      </w:r>
      <w:bookmarkEnd w:id="121"/>
      <w:r/>
      <w:bookmarkEnd w:id="123"/>
      <w:r>
        <w:rPr>
          <w:rFonts w:hint="eastAsia" w:ascii="宋体" w:hAnsi="宋体" w:eastAsia="宋体" w:cs="宋体"/>
          <w:color w:val="000000"/>
          <w:highlight w:val="none"/>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jc w:val="center"/>
        <w:rPr>
          <w:rFonts w:hint="eastAsia" w:ascii="宋体" w:hAnsi="宋体" w:eastAsia="宋体" w:cs="宋体"/>
          <w:bCs/>
          <w:color w:val="000000"/>
          <w:sz w:val="40"/>
          <w:szCs w:val="40"/>
          <w:highlight w:val="none"/>
          <w:lang w:eastAsia="zh-CN"/>
        </w:rPr>
      </w:pPr>
      <w:r>
        <w:rPr>
          <w:rFonts w:hint="eastAsia" w:ascii="宋体" w:hAnsi="宋体" w:eastAsia="宋体" w:cs="宋体"/>
          <w:bCs/>
          <w:color w:val="000000"/>
          <w:sz w:val="40"/>
          <w:szCs w:val="40"/>
          <w:highlight w:val="none"/>
          <w:lang w:eastAsia="zh-CN"/>
        </w:rPr>
        <w:t xml:space="preserve">江苏省计量检测基地(二期)实验室家具采购</w:t>
      </w:r>
      <w:r>
        <w:rPr>
          <w:rFonts w:hint="eastAsia" w:ascii="宋体" w:hAnsi="宋体" w:eastAsia="宋体" w:cs="宋体"/>
          <w:bCs/>
          <w:color w:val="000000"/>
          <w:sz w:val="40"/>
          <w:szCs w:val="40"/>
          <w:highlight w:val="none"/>
          <w:lang w:eastAsia="zh-CN"/>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投标文件</w:t>
      </w:r>
      <w:r>
        <w:rPr>
          <w:rFonts w:hint="eastAsia" w:ascii="宋体" w:hAnsi="宋体" w:eastAsia="宋体" w:cs="宋体"/>
          <w:color w:val="000000"/>
          <w:sz w:val="44"/>
          <w:szCs w:val="44"/>
          <w:highlight w:val="none"/>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分包号（标段号）：</w:t>
      </w:r>
      <w:r>
        <w:rPr>
          <w:rFonts w:hint="eastAsia" w:ascii="宋体" w:hAnsi="宋体" w:eastAsia="宋体" w:cs="宋体"/>
          <w:color w:val="000000"/>
          <w:sz w:val="30"/>
          <w:szCs w:val="30"/>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投标人名称：（加盖单位公章）</w:t>
      </w:r>
      <w:r>
        <w:rPr>
          <w:rFonts w:hint="eastAsia" w:ascii="宋体" w:hAnsi="宋体" w:eastAsia="宋体" w:cs="宋体"/>
          <w:color w:val="000000"/>
          <w:sz w:val="30"/>
          <w:szCs w:val="30"/>
          <w:highlight w:val="none"/>
        </w:rPr>
      </w:r>
      <w:r/>
    </w:p>
    <w:p>
      <w:pPr>
        <w:pStyle w:val="825"/>
        <w:ind w:firstLine="1386"/>
        <w:rPr>
          <w:rFonts w:hint="eastAsia" w:ascii="宋体" w:hAnsi="宋体" w:eastAsia="宋体" w:cs="宋体"/>
          <w:bCs/>
          <w:color w:val="000000"/>
          <w:sz w:val="30"/>
          <w:szCs w:val="30"/>
          <w:highlight w:val="none"/>
        </w:rPr>
      </w:pPr>
      <w:r>
        <w:rPr>
          <w:rFonts w:hint="eastAsia" w:ascii="宋体" w:hAnsi="宋体" w:eastAsia="宋体" w:cs="宋体"/>
          <w:color w:val="000000"/>
          <w:sz w:val="30"/>
          <w:szCs w:val="30"/>
          <w:highlight w:val="none"/>
        </w:rPr>
        <w:t xml:space="preserve">联系人：</w:t>
      </w:r>
      <w:r>
        <w:rPr>
          <w:rFonts w:hint="eastAsia" w:ascii="宋体" w:hAnsi="宋体" w:eastAsia="宋体" w:cs="宋体"/>
          <w:bCs/>
          <w:color w:val="000000"/>
          <w:sz w:val="30"/>
          <w:szCs w:val="30"/>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联系方式：</w:t>
      </w:r>
      <w:r>
        <w:rPr>
          <w:rFonts w:hint="eastAsia" w:ascii="宋体" w:hAnsi="宋体" w:eastAsia="宋体" w:cs="宋体"/>
          <w:color w:val="000000"/>
          <w:sz w:val="30"/>
          <w:szCs w:val="30"/>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单位地址：</w:t>
      </w:r>
      <w:r>
        <w:rPr>
          <w:rFonts w:hint="eastAsia" w:ascii="宋体" w:hAnsi="宋体" w:eastAsia="宋体" w:cs="宋体"/>
          <w:color w:val="000000"/>
          <w:sz w:val="30"/>
          <w:szCs w:val="30"/>
          <w:highlight w:val="none"/>
        </w:rPr>
      </w:r>
      <w:r/>
    </w:p>
    <w:p>
      <w:pPr>
        <w:pStyle w:val="825"/>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年  月  日</w:t>
      </w:r>
      <w:r>
        <w:rPr>
          <w:rFonts w:hint="eastAsia" w:ascii="宋体" w:hAnsi="宋体" w:eastAsia="宋体" w:cs="宋体"/>
          <w:color w:val="000000"/>
          <w:sz w:val="30"/>
          <w:szCs w:val="30"/>
          <w:highlight w:val="none"/>
        </w:rPr>
      </w:r>
      <w:r/>
    </w:p>
    <w:p>
      <w:pPr>
        <w:pStyle w:val="865"/>
        <w:ind w:left="0"/>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825"/>
        <w:jc w:val="center"/>
        <w:rPr>
          <w:rFonts w:hint="eastAsia" w:ascii="宋体" w:hAnsi="宋体" w:eastAsia="宋体" w:cs="宋体"/>
          <w:b/>
          <w:bCs/>
          <w:color w:val="000000"/>
          <w:sz w:val="30"/>
          <w:szCs w:val="30"/>
          <w:highlight w:val="none"/>
        </w:rPr>
      </w:pPr>
      <w:r/>
      <w:bookmarkStart w:id="124" w:name="_Toc22602"/>
      <w:r/>
      <w:bookmarkStart w:id="125" w:name="_Toc489655320"/>
      <w:r/>
      <w:bookmarkStart w:id="126" w:name="_Toc23512"/>
      <w:r>
        <w:rPr>
          <w:rFonts w:hint="eastAsia" w:ascii="宋体" w:hAnsi="宋体" w:eastAsia="宋体" w:cs="宋体"/>
          <w:b/>
          <w:bCs/>
          <w:color w:val="000000"/>
          <w:sz w:val="30"/>
          <w:szCs w:val="30"/>
          <w:highlight w:val="none"/>
        </w:rPr>
        <w:t xml:space="preserve">评分索引表</w:t>
      </w:r>
      <w:bookmarkEnd w:id="124"/>
      <w:r/>
      <w:bookmarkEnd w:id="126"/>
      <w:r>
        <w:rPr>
          <w:rFonts w:hint="eastAsia" w:ascii="宋体" w:hAnsi="宋体" w:eastAsia="宋体" w:cs="宋体"/>
          <w:b/>
          <w:bCs/>
          <w:color w:val="000000"/>
          <w:sz w:val="30"/>
          <w:szCs w:val="30"/>
          <w:highlight w:val="none"/>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25"/>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472" w:type="dxa"/>
            <w:vAlign w:val="center"/>
            <w:textDirection w:val="lrTb"/>
            <w:noWrap w:val="false"/>
          </w:tcPr>
          <w:p>
            <w:pPr>
              <w:pStyle w:val="825"/>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5"/>
        <w:spacing w:line="460" w:lineRule="exact"/>
        <w:rPr>
          <w:rFonts w:hint="eastAsia" w:ascii="宋体" w:hAnsi="宋体" w:eastAsia="宋体" w:cs="宋体"/>
          <w:b/>
          <w:color w:val="000000"/>
          <w:sz w:val="30"/>
          <w:szCs w:val="30"/>
          <w:highlight w:val="none"/>
        </w:rPr>
      </w:pPr>
      <w:r>
        <w:rPr>
          <w:rFonts w:hint="eastAsia" w:ascii="宋体" w:hAnsi="宋体" w:eastAsia="宋体" w:cs="宋体"/>
          <w:color w:val="000000"/>
          <w:szCs w:val="21"/>
          <w:highlight w:val="none"/>
        </w:rPr>
        <w:t xml:space="preserve">注：此表为表样，供应商需根据第三章“评分表”自行调整，行数可自行添加，但表式不变。</w:t>
      </w:r>
      <w:r>
        <w:rPr>
          <w:rFonts w:hint="eastAsia" w:ascii="宋体" w:hAnsi="宋体" w:eastAsia="宋体" w:cs="宋体"/>
          <w:b/>
          <w:color w:val="000000"/>
          <w:sz w:val="30"/>
          <w:szCs w:val="30"/>
          <w:highlight w:val="none"/>
        </w:rPr>
      </w:r>
      <w:r/>
    </w:p>
    <w:p>
      <w:pPr>
        <w:pStyle w:val="825"/>
        <w:jc w:val="center"/>
        <w:rPr>
          <w:rFonts w:hint="eastAsia" w:ascii="宋体" w:hAnsi="宋体" w:eastAsia="宋体" w:cs="宋体"/>
          <w:color w:val="000000"/>
          <w:sz w:val="30"/>
          <w:szCs w:val="3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0"/>
          <w:szCs w:val="30"/>
          <w:highlight w:val="none"/>
        </w:rPr>
      </w:r>
      <w:r/>
    </w:p>
    <w:p>
      <w:pPr>
        <w:pStyle w:val="825"/>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资格审查索引表</w:t>
      </w:r>
      <w:r>
        <w:rPr>
          <w:rFonts w:hint="eastAsia" w:ascii="宋体" w:hAnsi="宋体" w:eastAsia="宋体" w:cs="宋体"/>
          <w:color w:val="000000"/>
          <w:sz w:val="30"/>
          <w:szCs w:val="30"/>
          <w:highlight w:val="none"/>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825"/>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144" w:type="dxa"/>
            <w:vAlign w:val="center"/>
            <w:textDirection w:val="lrTb"/>
            <w:noWrap w:val="false"/>
          </w:tcPr>
          <w:p>
            <w:pPr>
              <w:pStyle w:val="825"/>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5"/>
        <w:jc w:val="left"/>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25"/>
      <w:r/>
      <w:bookmarkStart w:id="127" w:name="_Toc19767"/>
      <w:r/>
      <w:bookmarkStart w:id="128" w:name="_Toc25564"/>
      <w:r>
        <w:rPr>
          <w:rFonts w:hint="eastAsia" w:ascii="宋体" w:hAnsi="宋体" w:eastAsia="宋体" w:cs="宋体"/>
          <w:color w:val="000000"/>
          <w:szCs w:val="21"/>
          <w:highlight w:val="none"/>
        </w:rPr>
        <w:t xml:space="preserve">注：此表为表样，供应商需根据第一章“招标公告”中“投标人资质要求”自行调整，行数可自行添加，但表式不变。</w:t>
      </w:r>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1.投标申请及声明</w:t>
      </w:r>
      <w:bookmarkEnd w:id="127"/>
      <w:r/>
      <w:bookmarkEnd w:id="128"/>
      <w:r>
        <w:rPr>
          <w:rFonts w:hint="eastAsia" w:ascii="宋体" w:hAnsi="宋体" w:eastAsia="宋体" w:cs="宋体"/>
          <w:color w:val="000000"/>
          <w:sz w:val="32"/>
          <w:szCs w:val="32"/>
          <w:highlight w:val="none"/>
        </w:rPr>
      </w:r>
      <w:r/>
    </w:p>
    <w:p>
      <w:pPr>
        <w:pStyle w:val="825"/>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（项目编号）招标邀请，正式授权下述签字人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（姓名和职务）代表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（投标人名称），提交投标文件并参加投标。</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据此函，签字人兹宣布同意如下：</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1.我们的资格条件完全符合本次采购要求，我们同意并向贵方提供了与本次采购活动有关的所有证据和资料。</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，我们的报价：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4.一旦我方中标，我方将根据招标文件的规定，严格履行合同，保证在规定的时间内完成本项目规定的服务内容。</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6.我方正式通讯方式为：</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7.我方正式开户银行和账号为：</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numPr>
          <w:ilvl w:val="0"/>
          <w:numId w:val="43"/>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br w:type="page" w:clear="all"/>
      </w:r>
      <w:bookmarkStart w:id="129" w:name="_Toc3313"/>
      <w:r/>
      <w:bookmarkStart w:id="130" w:name="_Toc7351"/>
      <w:r>
        <w:rPr>
          <w:rFonts w:hint="eastAsia" w:ascii="宋体" w:hAnsi="宋体" w:eastAsia="宋体" w:cs="宋体"/>
          <w:color w:val="000000"/>
          <w:sz w:val="32"/>
          <w:szCs w:val="32"/>
          <w:highlight w:val="none"/>
        </w:rPr>
        <w:t xml:space="preserve">授权委托书</w:t>
      </w:r>
      <w:bookmarkEnd w:id="129"/>
      <w:r/>
      <w:bookmarkEnd w:id="130"/>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法人授权委托书</w:t>
      </w:r>
      <w:r>
        <w:rPr>
          <w:rFonts w:hint="eastAsia" w:ascii="宋体" w:hAnsi="宋体" w:eastAsia="宋体" w:cs="宋体"/>
          <w:color w:val="000000"/>
          <w:sz w:val="28"/>
          <w:szCs w:val="28"/>
          <w:highlight w:val="none"/>
        </w:rPr>
      </w:r>
      <w:r/>
    </w:p>
    <w:p>
      <w:pPr>
        <w:pStyle w:val="825"/>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rPr>
        <w:t xml:space="preserve">       （供应商住址）</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（投标人名称）</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（法定代表人姓名、职务）</w:t>
      </w:r>
      <w:r>
        <w:rPr>
          <w:rFonts w:hint="eastAsia" w:ascii="宋体" w:hAnsi="宋体" w:eastAsia="宋体" w:cs="宋体"/>
          <w:color w:val="000000"/>
          <w:sz w:val="24"/>
          <w:szCs w:val="24"/>
          <w:highlight w:val="none"/>
        </w:rPr>
        <w:t xml:space="preserve">代表本公司授权在下面签字的</w:t>
      </w:r>
      <w:r>
        <w:rPr>
          <w:rFonts w:hint="eastAsia" w:ascii="宋体" w:hAnsi="宋体" w:eastAsia="宋体" w:cs="宋体"/>
          <w:color w:val="000000"/>
          <w:sz w:val="24"/>
          <w:szCs w:val="24"/>
          <w:highlight w:val="none"/>
          <w:u w:val="single"/>
        </w:rPr>
        <w:t xml:space="preserve">          （供应商代表姓名、职务）</w:t>
      </w:r>
      <w:r>
        <w:rPr>
          <w:rFonts w:hint="eastAsia" w:ascii="宋体" w:hAnsi="宋体" w:eastAsia="宋体" w:cs="宋体"/>
          <w:color w:val="000000"/>
          <w:sz w:val="24"/>
          <w:szCs w:val="24"/>
          <w:highlight w:val="none"/>
        </w:rPr>
        <w:t xml:space="preserve">为本公司的合法代理人，就贵方组织的</w:t>
      </w:r>
      <w:r>
        <w:rPr>
          <w:rFonts w:hint="eastAsia" w:ascii="宋体" w:hAnsi="宋体" w:eastAsia="宋体" w:cs="宋体"/>
          <w:color w:val="000000"/>
          <w:sz w:val="24"/>
          <w:szCs w:val="24"/>
          <w:highlight w:val="none"/>
          <w:u w:val="single"/>
        </w:rPr>
        <w:t xml:space="preserve">      （项目名称）（项目编号）</w:t>
      </w:r>
      <w:r>
        <w:rPr>
          <w:rFonts w:hint="eastAsia" w:ascii="宋体" w:hAnsi="宋体" w:eastAsia="宋体" w:cs="宋体"/>
          <w:color w:val="000000"/>
          <w:sz w:val="24"/>
          <w:szCs w:val="24"/>
          <w:highlight w:val="none"/>
        </w:rPr>
        <w:t xml:space="preserve">公开招标活动，以本公司名义处理一切与之有关的事务。</w:t>
      </w: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    年  月  日签字生效，特此声明。</w:t>
      </w:r>
      <w:r>
        <w:rPr>
          <w:rFonts w:hint="eastAsia" w:ascii="宋体" w:hAnsi="宋体" w:eastAsia="宋体" w:cs="宋体"/>
          <w:color w:val="000000"/>
          <w:sz w:val="24"/>
          <w:szCs w:val="24"/>
          <w:highlight w:val="none"/>
        </w:rPr>
      </w:r>
      <w:r/>
    </w:p>
    <w:p>
      <w:pPr>
        <w:pStyle w:val="825"/>
        <w:ind w:firstLine="48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附：法定代表人身份证复印件：</w:t>
      </w:r>
      <w:r>
        <w:rPr>
          <w:rFonts w:hint="eastAsia" w:ascii="宋体" w:hAnsi="宋体" w:eastAsia="宋体" w:cs="宋体"/>
          <w:color w:val="000000"/>
          <w:sz w:val="24"/>
          <w:szCs w:val="24"/>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05" w:type="dxa"/>
            <w:vAlign w:val="top"/>
            <w:textDirection w:val="lrTb"/>
            <w:noWrap w:val="false"/>
          </w:tcPr>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授权代表身份证复印件：</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18" w:type="dxa"/>
            <w:vAlign w:val="top"/>
            <w:textDirection w:val="lrTb"/>
            <w:noWrap w:val="false"/>
          </w:tcPr>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法定代表人签章：</w:t>
      </w:r>
      <w:r>
        <w:rPr>
          <w:rFonts w:hint="eastAsia" w:ascii="宋体" w:hAnsi="宋体" w:eastAsia="宋体" w:cs="宋体"/>
          <w:color w:val="000000"/>
          <w:sz w:val="24"/>
          <w:szCs w:val="24"/>
          <w:highlight w:val="none"/>
        </w:rPr>
      </w:r>
      <w:r/>
    </w:p>
    <w:p>
      <w:pPr>
        <w:pStyle w:val="82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授权委托书附件：</w:t>
      </w:r>
      <w:r>
        <w:rPr>
          <w:rFonts w:hint="eastAsia" w:ascii="宋体" w:hAnsi="宋体" w:eastAsia="宋体" w:cs="宋体"/>
          <w:b/>
          <w:bCs/>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授权代表社保证明：</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825"/>
              <w:rPr>
                <w:color w:val="000000"/>
                <w:highlight w:val="none"/>
              </w:rPr>
            </w:pPr>
            <w:r>
              <w:rPr>
                <w:color w:val="000000"/>
                <w:highlight w:val="none"/>
              </w:rPr>
            </w:r>
            <w:r/>
          </w:p>
        </w:tc>
      </w:tr>
    </w:tbl>
    <w:p>
      <w:pPr>
        <w:pStyle w:val="825"/>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32"/>
          <w:szCs w:val="32"/>
          <w:highlight w:val="none"/>
        </w:rPr>
      </w:pPr>
      <w:r/>
      <w:bookmarkStart w:id="131" w:name="_Toc19427"/>
      <w:r/>
      <w:bookmarkStart w:id="132" w:name="_Toc23857"/>
      <w:r>
        <w:rPr>
          <w:rFonts w:hint="eastAsia" w:ascii="宋体" w:hAnsi="宋体" w:eastAsia="宋体" w:cs="宋体"/>
          <w:color w:val="000000"/>
          <w:sz w:val="32"/>
          <w:szCs w:val="32"/>
          <w:highlight w:val="none"/>
        </w:rPr>
        <w:t xml:space="preserve">3.报价表格格式</w:t>
      </w:r>
      <w:r>
        <w:rPr>
          <w:rFonts w:hint="eastAsia" w:ascii="宋体" w:hAnsi="宋体" w:eastAsia="宋体" w:cs="宋体"/>
          <w:color w:val="000000"/>
          <w:sz w:val="32"/>
          <w:szCs w:val="32"/>
          <w:highlight w:val="none"/>
        </w:rPr>
      </w:r>
      <w:r/>
    </w:p>
    <w:p>
      <w:pPr>
        <w:pStyle w:val="825"/>
        <w:jc w:val="center"/>
        <w:widowControl/>
        <w:rPr>
          <w:rFonts w:hint="eastAsia" w:ascii="宋体" w:hAnsi="宋体" w:eastAsia="宋体" w:cs="宋体"/>
          <w:bCs/>
          <w:color w:val="000000"/>
          <w:szCs w:val="21"/>
          <w:highlight w:val="none"/>
        </w:rPr>
      </w:pPr>
      <w:r>
        <w:rPr>
          <w:rFonts w:hint="eastAsia" w:ascii="宋体" w:hAnsi="宋体" w:eastAsia="宋体" w:cs="宋体"/>
          <w:b/>
          <w:color w:val="000000"/>
          <w:sz w:val="24"/>
          <w:szCs w:val="24"/>
          <w:highlight w:val="none"/>
        </w:rPr>
        <w:t xml:space="preserve">（1）报价一览表</w:t>
      </w:r>
      <w:bookmarkEnd w:id="131"/>
      <w:r/>
      <w:bookmarkEnd w:id="132"/>
      <w:r>
        <w:rPr>
          <w:rFonts w:hint="eastAsia" w:ascii="宋体" w:hAnsi="宋体" w:eastAsia="宋体" w:cs="宋体"/>
          <w:b/>
          <w:color w:val="000000"/>
          <w:sz w:val="24"/>
          <w:szCs w:val="24"/>
          <w:highlight w:val="none"/>
        </w:rPr>
        <w:t xml:space="preserve">（格式）</w:t>
      </w:r>
      <w:r>
        <w:rPr>
          <w:rFonts w:hint="eastAsia" w:ascii="宋体" w:hAnsi="宋体" w:eastAsia="宋体" w:cs="宋体"/>
          <w:bCs/>
          <w:color w:val="000000"/>
          <w:szCs w:val="21"/>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项目名称</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1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项目编号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48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分包号（标段号）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0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投标报价（含税）</w:t>
            </w:r>
            <w:r>
              <w:rPr>
                <w:rFonts w:hint="eastAsia" w:ascii="宋体" w:hAnsi="宋体" w:eastAsia="宋体" w:cs="宋体"/>
                <w:b/>
                <w:bCs/>
                <w:color w:val="000000"/>
                <w:highlight w:val="none"/>
              </w:rPr>
            </w:r>
            <w:r/>
          </w:p>
        </w:tc>
        <w:tc>
          <w:tcPr>
            <w:gridSpan w:val="2"/>
            <w:tcW w:w="3354"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lang w:val="zh-CN"/>
              </w:rPr>
            </w:r>
            <w:r/>
          </w:p>
        </w:tc>
        <w:tc>
          <w:tcPr>
            <w:tcW w:w="4241"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u w:val="single"/>
              </w:rPr>
            </w:r>
            <w:r/>
          </w:p>
        </w:tc>
      </w:tr>
      <w:tr>
        <w:trPr>
          <w:cantSplit/>
          <w:trHeight w:val="50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税率</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zh-CN"/>
              </w:rPr>
            </w:r>
            <w:r/>
          </w:p>
        </w:tc>
      </w:tr>
      <w:tr>
        <w:trPr>
          <w:cantSplit/>
          <w:trHeight w:val="49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交货期</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r>
            <w:r/>
          </w:p>
        </w:tc>
      </w:tr>
      <w:tr>
        <w:trPr>
          <w:cantSplit/>
          <w:trHeight w:val="648"/>
        </w:trPr>
        <w:tc>
          <w:tcPr>
            <w:tcW w:w="1988" w:type="dxa"/>
            <w:vAlign w:val="center"/>
            <w:vMerge w:val="restart"/>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企业类型</w:t>
            </w:r>
            <w:r>
              <w:rPr>
                <w:rFonts w:hint="eastAsia" w:ascii="宋体" w:hAnsi="宋体" w:eastAsia="宋体" w:cs="宋体"/>
                <w:b/>
                <w:bCs/>
                <w:color w:val="000000"/>
                <w:highlight w:val="none"/>
              </w:rPr>
            </w:r>
            <w:r/>
          </w:p>
        </w:tc>
        <w:tc>
          <w:tcPr>
            <w:tcW w:w="334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是否属于小微型企业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5"/>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27"/>
        </w:trPr>
        <w:tc>
          <w:tcPr>
            <w:tcW w:w="1988" w:type="dxa"/>
            <w:vAlign w:val="center"/>
            <w:vMerge w:val="continue"/>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是否属于残疾人福利性单位</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5"/>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12"/>
        </w:trPr>
        <w:tc>
          <w:tcPr>
            <w:tcW w:w="1988" w:type="dxa"/>
            <w:vAlign w:val="center"/>
            <w:vMerge w:val="continue"/>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是否属于监狱企业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5"/>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80"/>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售后服务承诺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80"/>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优惠条件承诺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98"/>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备注</w:t>
            </w:r>
            <w:r>
              <w:rPr>
                <w:rFonts w:hint="eastAsia" w:ascii="宋体" w:hAnsi="宋体" w:eastAsia="宋体" w:cs="宋体"/>
                <w:b/>
                <w:bCs/>
                <w:color w:val="000000"/>
                <w:highlight w:val="none"/>
              </w:rPr>
            </w:r>
            <w:r/>
          </w:p>
        </w:tc>
        <w:tc>
          <w:tcPr>
            <w:gridSpan w:val="3"/>
            <w:tcW w:w="7595" w:type="dxa"/>
            <w:vAlign w:val="top"/>
            <w:textDirection w:val="lrTb"/>
            <w:noWrap w:val="false"/>
          </w:tcPr>
          <w:p>
            <w:pPr>
              <w:pStyle w:val="825"/>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5"/>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说明：</w:t>
      </w:r>
      <w:r>
        <w:rPr>
          <w:rFonts w:hint="eastAsia" w:ascii="宋体" w:hAnsi="宋体" w:eastAsia="宋体" w:cs="宋体"/>
          <w:bCs/>
          <w:color w:val="000000"/>
          <w:szCs w:val="21"/>
          <w:highlight w:val="none"/>
        </w:rPr>
      </w:r>
      <w:r/>
    </w:p>
    <w:p>
      <w:pPr>
        <w:pStyle w:val="825"/>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1.报价币种：人民币。</w:t>
      </w:r>
      <w:r>
        <w:rPr>
          <w:rFonts w:hint="eastAsia" w:ascii="宋体" w:hAnsi="宋体" w:eastAsia="宋体" w:cs="宋体"/>
          <w:bCs/>
          <w:color w:val="000000"/>
          <w:szCs w:val="21"/>
          <w:highlight w:val="none"/>
        </w:rPr>
      </w:r>
      <w:r/>
    </w:p>
    <w:p>
      <w:pPr>
        <w:pStyle w:val="825"/>
        <w:spacing w:line="240" w:lineRule="auto"/>
        <w:rPr>
          <w:rFonts w:hint="eastAsia" w:ascii="宋体" w:hAnsi="宋体" w:eastAsia="宋体" w:cs="宋体"/>
          <w:b/>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
          <w:color w:val="000000"/>
          <w:szCs w:val="21"/>
          <w:highlight w:val="none"/>
        </w:rPr>
        <w:t xml:space="preserve">在供应商“是否属于小和微型企业”、“</w:t>
      </w:r>
      <w:r>
        <w:rPr>
          <w:rFonts w:hint="eastAsia" w:ascii="宋体" w:hAnsi="宋体" w:eastAsia="宋体" w:cs="宋体"/>
          <w:b/>
          <w:color w:val="000000"/>
          <w:szCs w:val="21"/>
          <w:highlight w:val="none"/>
          <w:lang w:val="zh-CN"/>
        </w:rPr>
        <w:t xml:space="preserve">是否属于残疾人福利性单位</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zh-CN"/>
        </w:rPr>
        <w:t xml:space="preserve">是否属于监狱企业</w:t>
      </w:r>
      <w:r>
        <w:rPr>
          <w:rFonts w:hint="eastAsia" w:ascii="宋体" w:hAnsi="宋体" w:eastAsia="宋体" w:cs="宋体"/>
          <w:b/>
          <w:color w:val="000000"/>
          <w:szCs w:val="21"/>
          <w:highlight w:val="none"/>
        </w:rPr>
        <w:t xml:space="preserve">”栏后“是”或“否”上打“√”,并按要求提供分项报价表及中小企业声明函。评审过程中，如果小、微型企业报价无法划分计算的，将不予认可。</w:t>
      </w:r>
      <w:r>
        <w:rPr>
          <w:rFonts w:hint="eastAsia" w:ascii="宋体" w:hAnsi="宋体" w:eastAsia="宋体" w:cs="宋体"/>
          <w:b/>
          <w:color w:val="000000"/>
          <w:szCs w:val="21"/>
          <w:highlight w:val="none"/>
        </w:rPr>
      </w:r>
      <w:r/>
    </w:p>
    <w:p>
      <w:pPr>
        <w:pStyle w:val="825"/>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3.本项目仅接受一个价格，不得填报有选择性报价方案。如有优惠条款须注明，但不得影响报价，影响项目履约交付。</w:t>
      </w:r>
      <w:r>
        <w:rPr>
          <w:rFonts w:hint="eastAsia" w:ascii="宋体" w:hAnsi="宋体" w:eastAsia="宋体" w:cs="宋体"/>
          <w:bCs/>
          <w:color w:val="000000"/>
          <w:szCs w:val="21"/>
          <w:highlight w:val="none"/>
        </w:rPr>
      </w:r>
      <w:r/>
    </w:p>
    <w:p>
      <w:pPr>
        <w:pStyle w:val="825"/>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color w:val="000000"/>
          <w:szCs w:val="21"/>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5"/>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5"/>
        <w:jc w:val="left"/>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33" w:name="_Toc467065082"/>
      <w:r/>
      <w:bookmarkStart w:id="134" w:name="_Toc25567"/>
      <w:r/>
      <w:bookmarkStart w:id="135" w:name="_Toc403725575"/>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（2）分项价格表（格式）</w:t>
      </w:r>
      <w:r>
        <w:rPr>
          <w:rFonts w:hint="eastAsia" w:ascii="宋体" w:hAnsi="宋体" w:eastAsia="宋体" w:cs="宋体"/>
          <w:b/>
          <w:color w:val="000000"/>
          <w:sz w:val="24"/>
          <w:highlight w:val="none"/>
        </w:rPr>
      </w:r>
      <w:r/>
    </w:p>
    <w:p>
      <w:pPr>
        <w:pStyle w:val="825"/>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（项目编号）</w:t>
      </w:r>
      <w:r>
        <w:rPr>
          <w:rFonts w:hint="eastAsia" w:ascii="宋体" w:hAnsi="宋体" w:eastAsia="宋体" w:cs="宋体"/>
          <w:color w:val="000000"/>
          <w:sz w:val="24"/>
          <w:highlight w:val="none"/>
        </w:rPr>
        <w:t xml:space="preserve">                         货币单位：人民币（元）</w:t>
      </w:r>
      <w:r>
        <w:rPr>
          <w:rFonts w:hint="eastAsia" w:ascii="宋体" w:hAnsi="宋体" w:eastAsia="宋体" w:cs="宋体"/>
          <w:color w:val="000000"/>
          <w:sz w:val="24"/>
          <w:highlight w:val="none"/>
        </w:rPr>
      </w:r>
      <w:r/>
    </w:p>
    <w:p>
      <w:pPr>
        <w:pStyle w:val="825"/>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分包号（标段号）：</w:t>
      </w:r>
      <w:r>
        <w:rPr>
          <w:rFonts w:hint="eastAsia" w:ascii="宋体" w:hAnsi="宋体" w:eastAsia="宋体" w:cs="宋体"/>
          <w:color w:val="000000"/>
          <w:sz w:val="24"/>
          <w:highlight w:val="none"/>
          <w:u w:val="single"/>
        </w:rPr>
        <w:t xml:space="preserve">   （标段号）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25"/>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rPr>
        <w:t xml:space="preserve">   （项目名称）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2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分项报价清单：</w:t>
      </w:r>
      <w:r>
        <w:rPr>
          <w:rFonts w:hint="eastAsia" w:ascii="宋体" w:hAnsi="宋体" w:eastAsia="宋体" w:cs="宋体"/>
          <w:b/>
          <w:bCs/>
          <w:color w:val="000000"/>
          <w:sz w:val="24"/>
          <w:highlight w:val="none"/>
        </w:rPr>
      </w:r>
      <w:r/>
    </w:p>
    <w:tbl>
      <w:tblPr>
        <w:tblW w:w="10530"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248"/>
        <w:gridCol w:w="1387"/>
        <w:gridCol w:w="1194"/>
        <w:gridCol w:w="1659"/>
        <w:gridCol w:w="691"/>
        <w:gridCol w:w="742"/>
        <w:gridCol w:w="756"/>
        <w:gridCol w:w="664"/>
        <w:gridCol w:w="918"/>
        <w:gridCol w:w="740"/>
      </w:tblGrid>
      <w:tr>
        <w:trPr>
          <w:trHeight w:val="2317"/>
        </w:trPr>
        <w:tc>
          <w:tcPr>
            <w:tcMar>
              <w:left w:w="15" w:type="dxa"/>
              <w:top w:w="15" w:type="dxa"/>
              <w:right w:w="15" w:type="dxa"/>
              <w:bottom w:w="0" w:type="dxa"/>
            </w:tcMar>
            <w:tcW w:w="531"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Mar>
              <w:left w:w="15" w:type="dxa"/>
              <w:top w:w="15" w:type="dxa"/>
              <w:right w:w="15" w:type="dxa"/>
              <w:bottom w:w="0" w:type="dxa"/>
            </w:tcMar>
            <w:tcW w:w="1248"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名称（标的名称）</w:t>
            </w:r>
            <w:r>
              <w:rPr>
                <w:rFonts w:hint="eastAsia" w:ascii="宋体" w:hAnsi="宋体" w:eastAsia="宋体" w:cs="宋体"/>
                <w:color w:val="000000"/>
                <w:sz w:val="24"/>
                <w:highlight w:val="none"/>
              </w:rPr>
            </w:r>
            <w:r/>
          </w:p>
        </w:tc>
        <w:tc>
          <w:tcPr>
            <w:tcMar>
              <w:left w:w="15" w:type="dxa"/>
              <w:top w:w="15" w:type="dxa"/>
              <w:right w:w="15" w:type="dxa"/>
              <w:bottom w:w="0" w:type="dxa"/>
            </w:tcMar>
            <w:tcW w:w="1387"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品牌、规格、型号</w:t>
            </w:r>
            <w:r>
              <w:rPr>
                <w:rFonts w:hint="eastAsia" w:ascii="宋体" w:hAnsi="宋体" w:eastAsia="宋体" w:cs="宋体"/>
                <w:color w:val="000000"/>
                <w:sz w:val="24"/>
                <w:highlight w:val="none"/>
              </w:rPr>
            </w:r>
            <w:r/>
          </w:p>
        </w:tc>
        <w:tc>
          <w:tcPr>
            <w:tcMar>
              <w:left w:w="15" w:type="dxa"/>
              <w:top w:w="15" w:type="dxa"/>
              <w:right w:w="15" w:type="dxa"/>
              <w:bottom w:w="0" w:type="dxa"/>
            </w:tcMar>
            <w:tcW w:w="1194"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产品制造企业名称（全称）</w:t>
            </w:r>
            <w:r>
              <w:rPr>
                <w:rFonts w:hint="eastAsia" w:ascii="宋体" w:hAnsi="宋体" w:eastAsia="宋体" w:cs="宋体"/>
                <w:color w:val="000000"/>
                <w:sz w:val="24"/>
                <w:highlight w:val="none"/>
              </w:rPr>
            </w:r>
            <w:r/>
          </w:p>
        </w:tc>
        <w:tc>
          <w:tcPr>
            <w:tcMar>
              <w:left w:w="15" w:type="dxa"/>
              <w:top w:w="15" w:type="dxa"/>
              <w:right w:w="15" w:type="dxa"/>
              <w:bottom w:w="0" w:type="dxa"/>
            </w:tcMar>
            <w:tcW w:w="1659" w:type="dxa"/>
            <w:vAlign w:val="top"/>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产品制造企业的划分（注明：大型、中型、小型、微型、监狱企业、残疾人福利性单位）</w:t>
            </w:r>
            <w:r>
              <w:rPr>
                <w:rFonts w:hint="eastAsia" w:ascii="宋体" w:hAnsi="宋体" w:eastAsia="宋体" w:cs="宋体"/>
                <w:color w:val="000000"/>
                <w:sz w:val="24"/>
                <w:highlight w:val="none"/>
              </w:rPr>
            </w:r>
            <w:r/>
          </w:p>
        </w:tc>
        <w:tc>
          <w:tcPr>
            <w:tcMar>
              <w:left w:w="15" w:type="dxa"/>
              <w:top w:w="15" w:type="dxa"/>
              <w:right w:w="15" w:type="dxa"/>
              <w:bottom w:w="0" w:type="dxa"/>
            </w:tcMar>
            <w:tcW w:w="691"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Mar>
              <w:left w:w="15" w:type="dxa"/>
              <w:top w:w="15" w:type="dxa"/>
              <w:right w:w="15" w:type="dxa"/>
              <w:bottom w:w="0" w:type="dxa"/>
            </w:tcMar>
            <w:tcW w:w="742"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Mar>
              <w:left w:w="15" w:type="dxa"/>
              <w:top w:w="15" w:type="dxa"/>
              <w:right w:w="15" w:type="dxa"/>
              <w:bottom w:w="0" w:type="dxa"/>
            </w:tcMar>
            <w:tcW w:w="756"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含税单价（元）</w:t>
            </w: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小计（元）</w:t>
            </w: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符合本国产品标准的产品成本（元）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630"/>
        </w:trPr>
        <w:tc>
          <w:tcPr>
            <w:tcMar>
              <w:left w:w="15" w:type="dxa"/>
              <w:top w:w="15" w:type="dxa"/>
              <w:right w:w="15" w:type="dxa"/>
              <w:bottom w:w="0" w:type="dxa"/>
            </w:tcMar>
            <w:tcW w:w="531"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Mar>
              <w:left w:w="15" w:type="dxa"/>
              <w:top w:w="15" w:type="dxa"/>
              <w:right w:w="15" w:type="dxa"/>
              <w:bottom w:w="0" w:type="dxa"/>
            </w:tcMar>
            <w:tcW w:w="1248"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387"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194"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30"/>
        </w:trPr>
        <w:tc>
          <w:tcPr>
            <w:tcMar>
              <w:left w:w="15" w:type="dxa"/>
              <w:top w:w="15" w:type="dxa"/>
              <w:right w:w="15" w:type="dxa"/>
              <w:bottom w:w="0" w:type="dxa"/>
            </w:tcMar>
            <w:tcW w:w="531"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248"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shd w:val="clear" w:color="auto" w:fill="ffffff"/>
            <w:tcMar>
              <w:left w:w="15" w:type="dxa"/>
              <w:top w:w="15" w:type="dxa"/>
              <w:right w:w="15" w:type="dxa"/>
              <w:bottom w:w="0" w:type="dxa"/>
            </w:tcMar>
            <w:tcW w:w="1387"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194"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825"/>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825"/>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30"/>
        </w:trPr>
        <w:tc>
          <w:tcPr>
            <w:tcMar>
              <w:left w:w="15" w:type="dxa"/>
              <w:top w:w="15" w:type="dxa"/>
              <w:right w:w="15" w:type="dxa"/>
              <w:bottom w:w="0" w:type="dxa"/>
            </w:tcMar>
            <w:tcW w:w="531" w:type="dxa"/>
            <w:vAlign w:val="center"/>
            <w:textDirection w:val="lrTb"/>
            <w:noWrap w:val="false"/>
          </w:tcPr>
          <w:p>
            <w:pPr>
              <w:pStyle w:val="825"/>
              <w:jc w:val="center"/>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tc>
        <w:tc>
          <w:tcPr>
            <w:tcMar>
              <w:left w:w="15" w:type="dxa"/>
              <w:top w:w="15" w:type="dxa"/>
              <w:right w:w="15" w:type="dxa"/>
              <w:bottom w:w="0" w:type="dxa"/>
            </w:tcMar>
            <w:tcW w:w="1248"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shd w:val="clear" w:color="auto" w:fill="ffffff"/>
            <w:tcMar>
              <w:left w:w="15" w:type="dxa"/>
              <w:top w:w="15" w:type="dxa"/>
              <w:right w:w="15" w:type="dxa"/>
              <w:bottom w:w="0" w:type="dxa"/>
            </w:tcMar>
            <w:tcW w:w="1387"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194"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825"/>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825"/>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符合</w:t>
            </w:r>
            <w:r>
              <w:rPr>
                <w:rFonts w:hint="eastAsia" w:ascii="宋体" w:hAnsi="宋体" w:eastAsia="宋体" w:cs="宋体"/>
                <w:color w:val="000000"/>
                <w:sz w:val="24"/>
                <w:highlight w:val="none"/>
              </w:rPr>
              <w:t xml:space="preserve">“小型和微型和监狱企业和残疾人福利性单位”总价合计（含税）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该采购包提供的全部产品</w:t>
            </w:r>
            <w:r>
              <w:rPr>
                <w:rFonts w:hint="eastAsia" w:ascii="宋体" w:hAnsi="宋体" w:eastAsia="宋体" w:cs="宋体"/>
                <w:b/>
                <w:bCs/>
                <w:color w:val="000000"/>
                <w:sz w:val="24"/>
                <w:highlight w:val="none"/>
              </w:rPr>
              <w:t xml:space="preserve">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其中“符合本国产品标准的产品”</w:t>
            </w:r>
            <w:r>
              <w:rPr>
                <w:rFonts w:hint="eastAsia" w:ascii="宋体" w:hAnsi="宋体" w:eastAsia="宋体" w:cs="宋体"/>
                <w:b/>
                <w:bCs/>
                <w:color w:val="000000"/>
                <w:sz w:val="24"/>
                <w:highlight w:val="none"/>
              </w:rPr>
              <w:t xml:space="preserve">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10"/>
            <w:tcMar>
              <w:left w:w="15" w:type="dxa"/>
              <w:top w:w="15" w:type="dxa"/>
              <w:right w:w="15" w:type="dxa"/>
              <w:bottom w:w="0" w:type="dxa"/>
            </w:tcMar>
            <w:tcW w:w="979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本采购包中提供的</w:t>
            </w: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符合本国产品标准的产品成本之和</w:t>
            </w: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该采购包提供的全部产品成本之和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color w:val="000000"/>
                <w:sz w:val="24"/>
                <w:highlight w:val="none"/>
              </w:rPr>
              <w:t xml:space="preserve">备注：货物中有无进口产品</w:t>
            </w:r>
            <w:r>
              <w:rPr>
                <w:rFonts w:hint="eastAsia" w:ascii="宋体" w:hAnsi="宋体" w:eastAsia="宋体" w:cs="宋体"/>
                <w:b/>
                <w:bCs/>
                <w:color w:val="000000"/>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sz w:val="24"/>
                <w:highlight w:val="none"/>
                <w:lang w:val="zh-CN"/>
              </w:rPr>
              <w:t xml:space="preserve">有</w:t>
            </w:r>
            <w:r>
              <w:rPr>
                <w:rFonts w:hint="eastAsia" w:ascii="宋体" w:hAnsi="宋体" w:eastAsia="宋体" w:cs="宋体"/>
                <w:color w:val="000000"/>
                <w:sz w:val="24"/>
                <w:highlight w:val="none"/>
              </w:rPr>
              <w:t xml:space="preserve">（  ）（填写货物名称：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无</w:t>
            </w: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u w:val="singl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tc>
      </w:tr>
    </w:tbl>
    <w:p>
      <w:pPr>
        <w:pStyle w:val="825"/>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rPr>
      </w:r>
      <w:r/>
    </w:p>
    <w:p>
      <w:pPr>
        <w:pStyle w:val="825"/>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highlight w:val="none"/>
        </w:rPr>
      </w:r>
      <w:r/>
    </w:p>
    <w:p>
      <w:pPr>
        <w:pStyle w:val="8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8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1.本表格中需列明所投分包“第四章 采购需求”技术要求中全部设备。</w:t>
      </w:r>
      <w:r>
        <w:rPr>
          <w:rFonts w:hint="eastAsia" w:ascii="宋体" w:hAnsi="宋体" w:eastAsia="宋体" w:cs="宋体"/>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3.享受政府采购支持政策的残疾人福利性单位应满足的条件以《关于促进残疾人就业政府采购政策的通知》（财库〔2017〕141号）的规定为准。</w:t>
      </w:r>
      <w:r>
        <w:rPr>
          <w:rFonts w:hint="eastAsia" w:ascii="宋体" w:hAnsi="宋体" w:eastAsia="宋体" w:cs="宋体"/>
          <w:color w:val="000000"/>
          <w:sz w:val="24"/>
          <w:highlight w:val="none"/>
        </w:rPr>
      </w:r>
      <w:r/>
    </w:p>
    <w:p>
      <w:pPr>
        <w:pStyle w:val="825"/>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color w:val="000000"/>
          <w:sz w:val="24"/>
          <w:highlight w:val="none"/>
        </w:rPr>
      </w:r>
      <w:r/>
    </w:p>
    <w:p>
      <w:pPr>
        <w:pStyle w:val="825"/>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供应商“符合本国产品标准的产品”的，须算出“符合本国产品标准的产品成本之和”以及“本采购包中提供的符合本国产品标准的产品成本之和占该采购包提供的全部产品成本之和的比例”。供应商未按上述要求提供的，价格将不做相应扣除。</w:t>
      </w:r>
      <w:r>
        <w:rPr>
          <w:rFonts w:hint="eastAsia" w:ascii="宋体" w:hAnsi="宋体" w:eastAsia="宋体" w:cs="宋体"/>
          <w:b/>
          <w:bCs/>
          <w:color w:val="000000"/>
          <w:sz w:val="24"/>
          <w:highlight w:val="none"/>
        </w:rPr>
      </w:r>
      <w:r/>
    </w:p>
    <w:p>
      <w:pPr>
        <w:pStyle w:val="825"/>
        <w:ind w:firstLine="482"/>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6.在“货物中有无进口产品”栏后的“有”或“无”上打“√”，如果有进口设备，须填写货物名称。</w:t>
      </w:r>
      <w:r>
        <w:rPr>
          <w:rFonts w:hint="eastAsia" w:ascii="宋体" w:hAnsi="宋体" w:eastAsia="宋体" w:cs="宋体"/>
          <w:color w:val="000000"/>
          <w:sz w:val="24"/>
          <w:highlight w:val="none"/>
        </w:rPr>
      </w:r>
      <w:r/>
    </w:p>
    <w:p>
      <w:pPr>
        <w:pStyle w:val="825"/>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7．如果不提供详细分项报价将视为没有实质性响应招标文件。</w:t>
      </w:r>
      <w:r>
        <w:rPr>
          <w:rFonts w:hint="eastAsia" w:ascii="宋体" w:hAnsi="宋体" w:eastAsia="宋体" w:cs="宋体"/>
          <w:b/>
          <w:bCs/>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8.供应商对以上数据的真实性负责。</w:t>
      </w:r>
      <w:r>
        <w:rPr>
          <w:rFonts w:hint="eastAsia" w:ascii="宋体" w:hAnsi="宋体" w:eastAsia="宋体" w:cs="宋体"/>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9.采购人或采购代理机构有权将以上内容进行公示。</w:t>
      </w:r>
      <w:r>
        <w:rPr>
          <w:rFonts w:hint="eastAsia" w:ascii="宋体" w:hAnsi="宋体" w:eastAsia="宋体" w:cs="宋体"/>
          <w:color w:val="000000"/>
          <w:sz w:val="24"/>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jc w:val="center"/>
        <w:widowControl/>
        <w:rPr>
          <w:rFonts w:hint="eastAsia" w:ascii="宋体" w:hAnsi="宋体" w:eastAsia="宋体" w:cs="宋体"/>
          <w:b/>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color w:val="000000"/>
          <w:sz w:val="24"/>
          <w:highlight w:val="none"/>
        </w:rPr>
      </w:r>
      <w:r/>
    </w:p>
    <w:p>
      <w:pPr>
        <w:pStyle w:val="825"/>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（3）产品（含备品备件）配置清单（格式）</w:t>
      </w:r>
      <w:r>
        <w:rPr>
          <w:rFonts w:hint="eastAsia" w:ascii="宋体" w:hAnsi="宋体" w:eastAsia="宋体" w:cs="宋体"/>
          <w:b/>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74"/>
        <w:gridCol w:w="2005"/>
        <w:gridCol w:w="1032"/>
        <w:gridCol w:w="841"/>
        <w:gridCol w:w="841"/>
        <w:gridCol w:w="841"/>
        <w:gridCol w:w="951"/>
        <w:gridCol w:w="2769"/>
      </w:tblGrid>
      <w:tr>
        <w:trPr>
          <w:trHeight w:val="604"/>
        </w:trPr>
        <w:tc>
          <w:tcPr>
            <w:tcW w:w="574"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005" w:type="dxa"/>
            <w:vAlign w:val="center"/>
            <w:textDirection w:val="lrTb"/>
            <w:noWrap w:val="false"/>
          </w:tcPr>
          <w:p>
            <w:pPr>
              <w:pStyle w:val="825"/>
              <w:ind w:right="-5"/>
              <w:jc w:val="center"/>
              <w:spacing w:line="240" w:lineRule="auto"/>
              <w:tabs>
                <w:tab w:val="left" w:pos="97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产品（含备品备件）名称</w:t>
            </w:r>
            <w:r>
              <w:rPr>
                <w:rFonts w:hint="eastAsia" w:ascii="宋体" w:hAnsi="宋体" w:eastAsia="宋体" w:cs="宋体"/>
                <w:color w:val="000000"/>
                <w:szCs w:val="21"/>
                <w:highlight w:val="none"/>
              </w:rPr>
            </w:r>
            <w:r/>
          </w:p>
        </w:tc>
        <w:tc>
          <w:tcPr>
            <w:tcW w:w="1032"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型号及规格</w:t>
            </w:r>
            <w:r>
              <w:rPr>
                <w:rFonts w:hint="eastAsia" w:ascii="宋体" w:hAnsi="宋体" w:eastAsia="宋体" w:cs="宋体"/>
                <w:color w:val="000000"/>
                <w:szCs w:val="21"/>
                <w:highlight w:val="none"/>
              </w:rPr>
            </w:r>
            <w:r/>
          </w:p>
        </w:tc>
        <w:tc>
          <w:tcPr>
            <w:tcW w:w="841"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841"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单价</w:t>
            </w:r>
            <w:r>
              <w:rPr>
                <w:rFonts w:hint="eastAsia" w:ascii="宋体" w:hAnsi="宋体" w:eastAsia="宋体" w:cs="宋体"/>
                <w:color w:val="000000"/>
                <w:szCs w:val="21"/>
                <w:highlight w:val="none"/>
              </w:rPr>
            </w:r>
            <w:r/>
          </w:p>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tc>
        <w:tc>
          <w:tcPr>
            <w:tcW w:w="841"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小计</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tc>
        <w:tc>
          <w:tcPr>
            <w:tcW w:w="952"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符合本国产品标准的产品成本（元）</w:t>
            </w:r>
            <w:r>
              <w:rPr>
                <w:rFonts w:hint="eastAsia" w:ascii="宋体" w:hAnsi="宋体" w:eastAsia="宋体" w:cs="宋体"/>
                <w:color w:val="000000"/>
                <w:szCs w:val="21"/>
                <w:highlight w:val="none"/>
              </w:rPr>
            </w:r>
            <w:r/>
          </w:p>
        </w:tc>
        <w:tc>
          <w:tcPr>
            <w:tcW w:w="2769"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备注（如外购请注明产地、制造商）</w:t>
            </w:r>
            <w:r>
              <w:rPr>
                <w:rFonts w:hint="eastAsia" w:ascii="宋体" w:hAnsi="宋体" w:eastAsia="宋体" w:cs="宋体"/>
                <w:color w:val="000000"/>
                <w:szCs w:val="21"/>
                <w:highlight w:val="none"/>
              </w:rPr>
            </w:r>
            <w:r/>
          </w:p>
        </w:tc>
      </w:tr>
      <w:tr>
        <w:trPr>
          <w:trHeight w:val="628"/>
        </w:trPr>
        <w:tc>
          <w:tcPr>
            <w:tcW w:w="574"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825"/>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74"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825"/>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74"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825"/>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74"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825"/>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gridSpan w:val="4"/>
            <w:tcW w:w="4452" w:type="dxa"/>
            <w:vAlign w:val="center"/>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color w:val="000000"/>
                <w:sz w:val="24"/>
                <w:highlight w:val="none"/>
              </w:rPr>
              <w:t xml:space="preserve">其中“符合本国产品标准的产品”成本之和</w:t>
            </w:r>
            <w:r>
              <w:rPr>
                <w:rFonts w:hint="eastAsia" w:ascii="宋体" w:hAnsi="宋体" w:eastAsia="宋体" w:cs="宋体"/>
                <w:b/>
                <w:color w:val="000000"/>
                <w:szCs w:val="21"/>
                <w:highlight w:val="none"/>
              </w:rPr>
            </w:r>
            <w:r/>
          </w:p>
        </w:tc>
        <w:tc>
          <w:tcPr>
            <w:gridSpan w:val="4"/>
            <w:tcW w:w="5402" w:type="dxa"/>
            <w:vAlign w:val="top"/>
            <w:textDirection w:val="lrTb"/>
            <w:noWrap w:val="false"/>
          </w:tcPr>
          <w:p>
            <w:pPr>
              <w:pStyle w:val="825"/>
              <w:ind w:right="-5"/>
              <w:jc w:val="righ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元</w:t>
            </w:r>
            <w:r>
              <w:rPr>
                <w:rFonts w:hint="eastAsia" w:ascii="宋体" w:hAnsi="宋体" w:eastAsia="宋体" w:cs="宋体"/>
                <w:b/>
                <w:color w:val="000000"/>
                <w:szCs w:val="21"/>
                <w:highlight w:val="none"/>
              </w:rPr>
            </w:r>
            <w:r/>
          </w:p>
        </w:tc>
      </w:tr>
      <w:tr>
        <w:trPr>
          <w:trHeight w:val="604"/>
        </w:trPr>
        <w:tc>
          <w:tcPr>
            <w:gridSpan w:val="4"/>
            <w:tcW w:w="4452" w:type="dxa"/>
            <w:vAlign w:val="center"/>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color w:val="000000"/>
                <w:sz w:val="24"/>
                <w:highlight w:val="none"/>
              </w:rPr>
              <w:t xml:space="preserve">供应商提供的全部产品成本之和</w:t>
            </w:r>
            <w:r>
              <w:rPr>
                <w:rFonts w:hint="eastAsia" w:ascii="宋体" w:hAnsi="宋体" w:eastAsia="宋体" w:cs="宋体"/>
                <w:b/>
                <w:color w:val="000000"/>
                <w:szCs w:val="21"/>
                <w:highlight w:val="none"/>
              </w:rPr>
            </w:r>
            <w:r/>
          </w:p>
        </w:tc>
        <w:tc>
          <w:tcPr>
            <w:gridSpan w:val="4"/>
            <w:tcW w:w="5402" w:type="dxa"/>
            <w:vAlign w:val="top"/>
            <w:textDirection w:val="lrTb"/>
            <w:noWrap w:val="false"/>
          </w:tcPr>
          <w:p>
            <w:pPr>
              <w:pStyle w:val="825"/>
              <w:ind w:right="-5"/>
              <w:jc w:val="righ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元</w:t>
            </w:r>
            <w:r>
              <w:rPr>
                <w:rFonts w:hint="eastAsia" w:ascii="宋体" w:hAnsi="宋体" w:eastAsia="宋体" w:cs="宋体"/>
                <w:b/>
                <w:color w:val="000000"/>
                <w:szCs w:val="21"/>
                <w:highlight w:val="none"/>
              </w:rPr>
            </w:r>
            <w:r/>
          </w:p>
        </w:tc>
      </w:tr>
      <w:tr>
        <w:trPr>
          <w:trHeight w:val="604"/>
        </w:trPr>
        <w:tc>
          <w:tcPr>
            <w:gridSpan w:val="8"/>
            <w:tcW w:w="9854" w:type="dxa"/>
            <w:vAlign w:val="center"/>
            <w:textDirection w:val="lrTb"/>
            <w:noWrap w:val="false"/>
          </w:tcPr>
          <w:p>
            <w:pPr>
              <w:pStyle w:val="825"/>
              <w:ind w:right="-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bl>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（4）中小企业声明函（货物类）</w:t>
      </w:r>
      <w:r>
        <w:rPr>
          <w:rFonts w:hint="eastAsia" w:ascii="宋体" w:hAnsi="宋体" w:eastAsia="宋体" w:cs="宋体"/>
          <w:b/>
          <w:color w:val="000000"/>
          <w:sz w:val="24"/>
          <w:szCs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本公司郑重声明，根据《政府采购促进中小企业发展管理办法》（财库﹝2020﹞46 号）的规定，本公司参加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w:t>
      </w:r>
      <w:r>
        <w:rPr>
          <w:rFonts w:hint="eastAsia" w:ascii="宋体" w:hAnsi="宋体" w:eastAsia="宋体" w:cs="宋体"/>
          <w:b/>
          <w:bCs/>
          <w:color w:val="000000"/>
          <w:sz w:val="24"/>
          <w:highlight w:val="none"/>
        </w:rPr>
        <w:t xml:space="preserve">提供的货物全部由符合政策要求的中小企业制造</w:t>
      </w:r>
      <w:r>
        <w:rPr>
          <w:rFonts w:hint="eastAsia" w:ascii="宋体" w:hAnsi="宋体" w:eastAsia="宋体" w:cs="宋体"/>
          <w:color w:val="000000"/>
          <w:sz w:val="24"/>
          <w:highlight w:val="none"/>
        </w:rPr>
        <w:t xml:space="preserve">。相关企业（含联合体中的中小企业、签订分包意向协议的中小企业）的具体情况如下： </w:t>
      </w:r>
      <w:r>
        <w:rPr>
          <w:rFonts w:hint="eastAsia" w:ascii="宋体" w:hAnsi="宋体" w:eastAsia="宋体" w:cs="宋体"/>
          <w:color w:val="000000"/>
          <w:sz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（招标文件中明确的所属行业） </w:t>
      </w:r>
      <w:r>
        <w:rPr>
          <w:rFonts w:hint="eastAsia" w:ascii="宋体" w:hAnsi="宋体" w:eastAsia="宋体" w:cs="宋体"/>
          <w:color w:val="000000"/>
          <w:sz w:val="24"/>
          <w:highlight w:val="none"/>
        </w:rPr>
        <w:t xml:space="preserve">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，属于（招标文件中明确的所属行业） 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highlight w:val="none"/>
        </w:rPr>
      </w:r>
      <w:r/>
    </w:p>
    <w:p>
      <w:pPr>
        <w:pStyle w:val="825"/>
        <w:ind w:firstLine="482"/>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本企业对上述声明内容的真实性负责。如有虚假，将依法承担相应责任。 </w:t>
      </w:r>
      <w:r>
        <w:rPr>
          <w:rFonts w:hint="eastAsia" w:ascii="宋体" w:hAnsi="宋体" w:eastAsia="宋体" w:cs="宋体"/>
          <w:b/>
          <w:bCs/>
          <w:color w:val="000000"/>
          <w:sz w:val="24"/>
          <w:highlight w:val="none"/>
        </w:rPr>
      </w:r>
      <w:r/>
    </w:p>
    <w:p>
      <w:pPr>
        <w:pStyle w:val="825"/>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25"/>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投标人名称（公章）：</w:t>
      </w:r>
      <w:r>
        <w:rPr>
          <w:rFonts w:hint="eastAsia" w:ascii="宋体" w:hAnsi="宋体" w:eastAsia="宋体" w:cs="宋体"/>
          <w:color w:val="000000"/>
          <w:sz w:val="24"/>
          <w:highlight w:val="none"/>
        </w:rPr>
      </w:r>
      <w:r/>
    </w:p>
    <w:p>
      <w:pPr>
        <w:pStyle w:val="825"/>
        <w:ind w:firstLine="420"/>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32"/>
          <w:szCs w:val="32"/>
          <w:highlight w:val="none"/>
        </w:rPr>
      </w:r>
      <w:r/>
    </w:p>
    <w:p>
      <w:pPr>
        <w:pStyle w:val="82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825"/>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注：1、从业人员、营业收入、资产总额填报上一年度数据，无上一年度数据的新成立企业可不填报。</w:t>
      </w:r>
      <w:r>
        <w:rPr>
          <w:rFonts w:hint="eastAsia" w:ascii="宋体" w:hAnsi="宋体" w:eastAsia="宋体" w:cs="宋体"/>
          <w:b/>
          <w:color w:val="000000"/>
          <w:sz w:val="22"/>
          <w:szCs w:val="22"/>
          <w:highlight w:val="none"/>
        </w:rPr>
      </w:r>
      <w:r/>
    </w:p>
    <w:p>
      <w:pPr>
        <w:pStyle w:val="825"/>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2、上述“相关企业”含联合体中的中小企业、签订分包意向协议的中小企业；</w:t>
      </w:r>
      <w:r>
        <w:rPr>
          <w:rFonts w:hint="eastAsia" w:ascii="宋体" w:hAnsi="宋体" w:eastAsia="宋体" w:cs="宋体"/>
          <w:b/>
          <w:color w:val="000000"/>
          <w:sz w:val="22"/>
          <w:szCs w:val="22"/>
          <w:highlight w:val="none"/>
        </w:rPr>
      </w:r>
      <w:r/>
    </w:p>
    <w:p>
      <w:pPr>
        <w:pStyle w:val="825"/>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eastAsia="宋体" w:cs="宋体"/>
          <w:b/>
          <w:color w:val="000000"/>
          <w:sz w:val="22"/>
          <w:szCs w:val="22"/>
          <w:highlight w:val="none"/>
        </w:rPr>
      </w:r>
      <w:r/>
    </w:p>
    <w:p>
      <w:pPr>
        <w:pStyle w:val="825"/>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color w:val="000000"/>
          <w:sz w:val="22"/>
          <w:szCs w:val="22"/>
          <w:highlight w:val="none"/>
        </w:rPr>
      </w:r>
      <w:r/>
    </w:p>
    <w:p>
      <w:pPr>
        <w:pStyle w:val="825"/>
        <w:jc w:val="center"/>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825"/>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5"/>
        <w:ind w:firstLine="482"/>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b/>
          <w:bCs/>
          <w:color w:val="000000"/>
          <w:sz w:val="24"/>
          <w:szCs w:val="28"/>
          <w:highlight w:val="none"/>
        </w:rPr>
        <w:t xml:space="preserve">附：</w:t>
      </w:r>
      <w:r>
        <w:rPr>
          <w:rFonts w:hint="eastAsia" w:ascii="仿宋" w:hAnsi="仿宋" w:eastAsia="仿宋" w:cs="仿宋"/>
          <w:color w:val="000000"/>
          <w:sz w:val="24"/>
          <w:szCs w:val="28"/>
          <w:highlight w:val="none"/>
        </w:rPr>
        <w:t xml:space="preserve">中小企业划型标准规定</w:t>
      </w:r>
      <w:r>
        <w:rPr>
          <w:rFonts w:hint="eastAsia" w:ascii="仿宋" w:hAnsi="仿宋" w:eastAsia="仿宋" w:cs="仿宋"/>
          <w:color w:val="000000"/>
          <w:highlight w:val="none"/>
        </w:rPr>
      </w:r>
      <w:r/>
    </w:p>
    <w:p>
      <w:pPr>
        <w:pStyle w:val="825"/>
        <w:ind w:firstLine="420"/>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工信部联企业〔2011〕300号</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四、各行业划型标准为：</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highlight w:val="none"/>
        </w:rPr>
      </w:r>
      <w:r/>
    </w:p>
    <w:p>
      <w:pPr>
        <w:pStyle w:val="825"/>
        <w:ind w:firstLine="422"/>
        <w:spacing w:before="0" w:after="0" w:line="336" w:lineRule="auto"/>
        <w:shd w:val="clear" w:color="auto" w:fill="ffffff"/>
        <w:widowControl/>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五、企业类型的划分以统计部门的统计数据为依据。</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color w:val="000000"/>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color w:val="000000"/>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（5）残疾人福利性单位声明函（如需）</w:t>
      </w:r>
      <w:r>
        <w:rPr>
          <w:rFonts w:hint="eastAsia" w:ascii="宋体" w:hAnsi="宋体" w:eastAsia="宋体" w:cs="宋体"/>
          <w:b/>
          <w:color w:val="000000"/>
          <w:sz w:val="24"/>
          <w:szCs w:val="24"/>
          <w:highlight w:val="none"/>
        </w:rPr>
      </w:r>
      <w:r/>
    </w:p>
    <w:p>
      <w:pPr>
        <w:pStyle w:val="825"/>
        <w:ind w:firstLine="42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本</w:t>
      </w:r>
      <w:r>
        <w:rPr>
          <w:rFonts w:hint="eastAsia" w:ascii="宋体" w:hAnsi="宋体" w:eastAsia="宋体" w:cs="宋体"/>
          <w:color w:val="000000"/>
          <w:sz w:val="24"/>
          <w:szCs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825"/>
        <w:ind w:firstLine="482"/>
        <w:spacing w:before="0"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本单位对上述声明的真实性负责。如有虚假，将依法承担相应责任。</w:t>
      </w:r>
      <w:r>
        <w:rPr>
          <w:rFonts w:hint="eastAsia" w:ascii="宋体" w:hAnsi="宋体" w:eastAsia="宋体" w:cs="宋体"/>
          <w:b/>
          <w:bCs/>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7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（6）属于监狱企业的证明文件（如需）</w:t>
      </w:r>
      <w:r>
        <w:rPr>
          <w:rFonts w:hint="eastAsia" w:ascii="宋体" w:hAnsi="宋体" w:eastAsia="宋体" w:cs="宋体"/>
          <w:b/>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5"/>
        <w:ind w:left="0"/>
        <w:rPr>
          <w:rFonts w:hint="eastAsia" w:ascii="宋体" w:hAnsi="宋体" w:cs="宋体"/>
          <w:color w:val="000000"/>
          <w:highlight w:val="none"/>
        </w:rPr>
      </w:pPr>
      <w:r>
        <w:rPr>
          <w:rFonts w:hint="eastAsia" w:ascii="宋体" w:hAnsi="宋体" w:cs="宋体"/>
          <w:color w:val="000000"/>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33"/>
      <w:r/>
      <w:bookmarkEnd w:id="134"/>
      <w:r/>
      <w:bookmarkEnd w:id="135"/>
      <w:r/>
      <w:bookmarkStart w:id="136" w:name="_Toc27811"/>
      <w:r/>
      <w:bookmarkStart w:id="137" w:name="_Toc788"/>
      <w:r/>
      <w:bookmarkStart w:id="138" w:name="_Toc5019"/>
      <w:r>
        <w:rPr>
          <w:rFonts w:hint="eastAsia" w:ascii="宋体" w:hAnsi="宋体" w:eastAsia="宋体" w:cs="宋体"/>
          <w:color w:val="000000"/>
          <w:sz w:val="32"/>
          <w:szCs w:val="32"/>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（7）关于符合本国产品标准的声明函</w:t>
      </w:r>
      <w:r>
        <w:rPr>
          <w:rFonts w:hint="eastAsia" w:ascii="宋体" w:hAnsi="宋体" w:eastAsia="宋体" w:cs="宋体"/>
          <w:b/>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25"/>
        <w:ind w:firstLine="480"/>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2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left"/>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r>
      <w:r/>
    </w:p>
    <w:p>
      <w:pPr>
        <w:pStyle w:val="825"/>
        <w:ind w:firstLine="482"/>
        <w:spacing w:before="0" w:after="0" w:line="240" w:lineRule="auto"/>
        <w:rPr>
          <w:rFonts w:hint="eastAsia" w:ascii="宋体" w:hAnsi="宋体" w:eastAsia="仿宋" w:cs="宋体"/>
          <w:color w:val="000000"/>
          <w:sz w:val="24"/>
          <w:szCs w:val="24"/>
          <w:highlight w:val="none"/>
        </w:rPr>
      </w:pPr>
      <w:r>
        <w:rPr>
          <w:rStyle w:val="912"/>
          <w:rFonts w:hint="eastAsia" w:ascii="仿宋" w:hAnsi="仿宋" w:eastAsia="仿宋" w:cs="仿宋"/>
          <w:i w:val="0"/>
          <w:iCs w:val="0"/>
          <w:color w:val="000000"/>
          <w:spacing w:val="0"/>
          <w:sz w:val="24"/>
          <w:szCs w:val="24"/>
          <w:highlight w:val="none"/>
          <w:shd w:val="clear" w:color="auto" w:fill="ffffff"/>
        </w:rPr>
        <w:t xml:space="preserve">“（产品名称）</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1</w:t>
      </w:r>
      <w:r>
        <w:rPr>
          <w:rFonts w:hint="eastAsia" w:ascii="仿宋" w:hAnsi="仿宋" w:eastAsia="仿宋" w:cs="仿宋"/>
          <w:color w:val="000000"/>
          <w:sz w:val="24"/>
          <w:szCs w:val="24"/>
          <w:highlight w:val="none"/>
          <w:shd w:val="clear" w:color="auto" w:fill="ffffff"/>
        </w:rPr>
        <w:t xml:space="preserve">，生产厂为</w:t>
      </w:r>
      <w:r>
        <w:rPr>
          <w:rStyle w:val="912"/>
          <w:rFonts w:hint="eastAsia" w:ascii="仿宋" w:hAnsi="仿宋" w:eastAsia="仿宋" w:cs="仿宋"/>
          <w:i w:val="0"/>
          <w:iCs w:val="0"/>
          <w:color w:val="000000"/>
          <w:spacing w:val="0"/>
          <w:sz w:val="24"/>
          <w:szCs w:val="24"/>
          <w:highlight w:val="none"/>
          <w:shd w:val="clear" w:color="auto" w:fill="ffffff"/>
        </w:rPr>
        <w:t xml:space="preserve">（厂名）</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2</w:t>
      </w:r>
      <w:r>
        <w:rPr>
          <w:rFonts w:hint="eastAsia" w:ascii="仿宋" w:hAnsi="仿宋" w:eastAsia="仿宋" w:cs="仿宋"/>
          <w:color w:val="000000"/>
          <w:sz w:val="24"/>
          <w:szCs w:val="24"/>
          <w:highlight w:val="none"/>
          <w:shd w:val="clear" w:color="auto" w:fill="ffffff"/>
        </w:rPr>
        <w:t xml:space="preserve">，厂址为</w:t>
      </w:r>
      <w:r>
        <w:rPr>
          <w:rStyle w:val="912"/>
          <w:rFonts w:hint="eastAsia" w:ascii="仿宋" w:hAnsi="仿宋" w:eastAsia="仿宋" w:cs="仿宋"/>
          <w:i w:val="0"/>
          <w:iCs w:val="0"/>
          <w:color w:val="000000"/>
          <w:spacing w:val="0"/>
          <w:sz w:val="24"/>
          <w:szCs w:val="24"/>
          <w:highlight w:val="non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Style w:val="912"/>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的中国境内生产的组件成本占比≥</w:t>
      </w:r>
      <w:r>
        <w:rPr>
          <w:rStyle w:val="912"/>
          <w:rFonts w:hint="eastAsia" w:ascii="仿宋" w:hAnsi="仿宋" w:eastAsia="仿宋" w:cs="仿宋"/>
          <w:i w:val="0"/>
          <w:iCs w:val="0"/>
          <w:color w:val="000000"/>
          <w:spacing w:val="0"/>
          <w:sz w:val="24"/>
          <w:szCs w:val="24"/>
          <w:highlight w:val="none"/>
          <w:shd w:val="clear" w:color="auto" w:fill="ffffff"/>
        </w:rPr>
        <w:t xml:space="preserve">（规定比例）</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3</w:t>
      </w:r>
      <w:r>
        <w:rPr>
          <w:rFonts w:hint="eastAsia" w:ascii="仿宋" w:hAnsi="仿宋" w:eastAsia="仿宋" w:cs="仿宋"/>
          <w:color w:val="000000"/>
          <w:sz w:val="24"/>
          <w:szCs w:val="24"/>
          <w:highlight w:val="none"/>
          <w:shd w:val="clear" w:color="auto" w:fill="ffffff"/>
        </w:rPr>
        <w:t xml:space="preserve">。</w:t>
      </w:r>
      <w:r>
        <w:rPr>
          <w:rStyle w:val="912"/>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912"/>
          <w:rFonts w:hint="eastAsia" w:ascii="仿宋" w:hAnsi="仿宋" w:eastAsia="仿宋" w:cs="仿宋"/>
          <w:i w:val="0"/>
          <w:iCs w:val="0"/>
          <w:color w:val="000000"/>
          <w:spacing w:val="0"/>
          <w:sz w:val="24"/>
          <w:szCs w:val="24"/>
          <w:highlight w:val="none"/>
          <w:shd w:val="clear" w:color="auto" w:fill="ffffff"/>
        </w:rPr>
        <w:t xml:space="preserve">（关键组件）</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4</w:t>
      </w:r>
      <w:r>
        <w:rPr>
          <w:rFonts w:hint="eastAsia" w:ascii="仿宋" w:hAnsi="仿宋" w:eastAsia="仿宋" w:cs="仿宋"/>
          <w:color w:val="000000"/>
          <w:sz w:val="24"/>
          <w:szCs w:val="24"/>
          <w:highlight w:val="none"/>
          <w:shd w:val="clear" w:color="auto" w:fill="ffffff"/>
        </w:rPr>
        <w:t xml:space="preserve">在中国境内生产。</w:t>
      </w:r>
      <w:r>
        <w:rPr>
          <w:rStyle w:val="912"/>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912"/>
          <w:rFonts w:hint="eastAsia" w:ascii="仿宋" w:hAnsi="仿宋" w:eastAsia="仿宋" w:cs="仿宋"/>
          <w:i w:val="0"/>
          <w:iCs w:val="0"/>
          <w:color w:val="000000"/>
          <w:spacing w:val="0"/>
          <w:sz w:val="24"/>
          <w:szCs w:val="24"/>
          <w:highlight w:val="none"/>
          <w:shd w:val="clear" w:color="auto" w:fill="ffffff"/>
        </w:rPr>
        <w:t xml:space="preserve">（关键工序）</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5</w:t>
      </w:r>
      <w:r>
        <w:rPr>
          <w:rFonts w:hint="eastAsia" w:ascii="仿宋" w:hAnsi="仿宋" w:eastAsia="仿宋" w:cs="仿宋"/>
          <w:color w:val="000000"/>
          <w:sz w:val="24"/>
          <w:szCs w:val="24"/>
          <w:highlight w:val="none"/>
          <w:shd w:val="clear" w:color="auto" w:fill="ffffff"/>
        </w:rPr>
        <w:t xml:space="preserve">在中国境内完成。”</w:t>
      </w:r>
      <w:r>
        <w:rPr>
          <w:rFonts w:hint="eastAsia" w:ascii="宋体" w:hAnsi="宋体" w:eastAsia="仿宋"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1.产品如有型号，请在“产品名称”栏一并填写。</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4.该产品的关键组件要求实施前，“关键组件”栏可不填，下同。</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5.该产品的关键工序要求实施前，“关键工序”栏可不填，下同。</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6.采购人或采购代理机构有权将以上内容进行公示。</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《关于符合本国产品标准的声明函》附件</w:t>
      </w:r>
      <w:r>
        <w:rPr>
          <w:rFonts w:hint="eastAsia" w:ascii="宋体" w:hAnsi="宋体" w:eastAsia="宋体" w:cs="宋体"/>
          <w:b/>
          <w:color w:val="000000"/>
          <w:sz w:val="28"/>
          <w:szCs w:val="28"/>
          <w:highlight w:val="none"/>
        </w:rPr>
      </w:r>
      <w:r/>
    </w:p>
    <w:p>
      <w:pPr>
        <w:pStyle w:val="825"/>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成本比例声明函</w:t>
      </w:r>
      <w:r>
        <w:rPr>
          <w:rFonts w:hint="eastAsia" w:ascii="宋体" w:hAnsi="宋体" w:eastAsia="宋体" w:cs="宋体"/>
          <w:b/>
          <w:color w:val="000000"/>
          <w:sz w:val="28"/>
          <w:szCs w:val="28"/>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(适用于采购项目或者采购包中含有多种产品时，不提供或者提供声明的比例达不到要求时，不享受价格扣除)</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%(填写具体百分比)。</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年  月  日</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4.资格审查</w:t>
      </w:r>
      <w:r>
        <w:rPr>
          <w:rFonts w:hint="eastAsia" w:ascii="宋体" w:hAnsi="宋体" w:eastAsia="宋体" w:cs="宋体"/>
          <w:color w:val="000000"/>
          <w:sz w:val="32"/>
          <w:szCs w:val="32"/>
          <w:highlight w:val="none"/>
        </w:rPr>
      </w:r>
      <w:r/>
    </w:p>
    <w:p>
      <w:pPr>
        <w:pStyle w:val="825"/>
        <w:ind w:firstLine="480"/>
        <w:jc w:val="left"/>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供应商根据第一章招标公告中第二项投标人资质要求，逐一提供相应资质文件，并加盖公章；根据文件内容提供</w:t>
      </w:r>
      <w:r>
        <w:rPr>
          <w:rFonts w:hint="eastAsia" w:ascii="宋体" w:hAnsi="宋体" w:eastAsia="宋体" w:cs="宋体"/>
          <w:color w:val="000000"/>
          <w:sz w:val="24"/>
          <w:szCs w:val="24"/>
          <w:highlight w:val="none"/>
        </w:rPr>
        <w:t xml:space="preserve">相关承诺，格式自拟，并</w:t>
      </w:r>
      <w:r>
        <w:rPr>
          <w:rFonts w:hint="eastAsia" w:ascii="宋体" w:hAnsi="宋体" w:eastAsia="宋体" w:cs="宋体"/>
          <w:bCs/>
          <w:color w:val="000000"/>
          <w:sz w:val="24"/>
          <w:szCs w:val="24"/>
          <w:highlight w:val="none"/>
        </w:rPr>
        <w:t xml:space="preserve">加盖公章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jc w:val="center"/>
        <w:spacing w:before="0" w:after="0"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（1）资格审查承诺函（格式）</w:t>
      </w:r>
      <w:r>
        <w:rPr>
          <w:rFonts w:hint="eastAsia" w:ascii="宋体" w:hAnsi="宋体" w:eastAsia="宋体" w:cs="宋体"/>
          <w:b/>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招标工作顺利进行，我公司在此承诺：</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1.我公司未处于被责令停业、投标资格被取消或者财产被接管，冻结和破产状态。</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2.我公司的资格审查资料中的重要内容没有失实或弄虚作假。</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3.我公司符合法律、法规规定的其他条件。</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4.我公司无下列行为：</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（1）有违反法律、法规行为，依法被取消投标资格且期限未满的；</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（2）因招标活动中有违法违规和不良行为，被有关行政监督部门公示且公示期限未满的。</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5.在参加本次政府采购活动中不存在与参加本项目的其他供应商单位负责人为同一人或者存在直接控股、管理关系的情形。</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6.我公司中标后，不对本项目转包、分包。</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7.我公司未为采购项目提供整体设计、规范编制或者项目管理、监理、检测等服务。</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8.我公司投标文件中的重要内容没有失实或弄虚作假。</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本公司对上述承诺的真实性负责。如有虚假，将依法承担相应责任。</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825"/>
        <w:ind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5"/>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5"/>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（2）无重大违法记录声明函（格式）</w:t>
      </w:r>
      <w:r>
        <w:rPr>
          <w:rFonts w:hint="eastAsia" w:ascii="宋体" w:hAnsi="宋体" w:eastAsia="宋体" w:cs="宋体"/>
          <w:b/>
          <w:color w:val="000000"/>
          <w:sz w:val="28"/>
          <w:szCs w:val="28"/>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4"/>
        <w:rPr>
          <w:rFonts w:hint="eastAsia"/>
          <w:color w:val="000000"/>
          <w:highlight w:val="none"/>
        </w:rPr>
      </w:pPr>
      <w:r>
        <w:rPr>
          <w:rFonts w:hint="eastAsia"/>
          <w:color w:val="000000"/>
          <w:highlight w:val="none"/>
        </w:rPr>
      </w:r>
      <w:r/>
    </w:p>
    <w:p>
      <w:pPr>
        <w:pStyle w:val="825"/>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（3）具备履行合同所必需的设备和专业技术能力的书面声明（格式）</w:t>
      </w:r>
      <w:r>
        <w:rPr>
          <w:rFonts w:hint="eastAsia" w:ascii="宋体" w:hAnsi="宋体" w:eastAsia="宋体" w:cs="宋体"/>
          <w:b/>
          <w:color w:val="000000"/>
          <w:sz w:val="28"/>
          <w:szCs w:val="28"/>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color w:val="000000"/>
          <w:sz w:val="24"/>
          <w:szCs w:val="24"/>
          <w:highlight w:val="none"/>
        </w:rPr>
      </w:r>
      <w:r/>
    </w:p>
    <w:p>
      <w:pPr>
        <w:pStyle w:val="825"/>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（4）声明函（格式）</w:t>
      </w:r>
      <w:r>
        <w:rPr>
          <w:rFonts w:hint="eastAsia" w:ascii="宋体" w:hAnsi="宋体" w:eastAsia="宋体" w:cs="宋体"/>
          <w:b/>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我公司郑重声明：在提交投标文件时，未被国家财政部指定的信用记录查询渠道（中国政府采购网www.ccgp.gov.cn、信用中国网站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）列入失信被执行主体、重大税收违法案件当事主体、政府采购严重违法失信行为当事主体等严重失信记录名单。</w:t>
      </w:r>
      <w:r>
        <w:rPr>
          <w:rFonts w:hint="eastAsia" w:ascii="宋体" w:hAnsi="宋体" w:eastAsia="宋体" w:cs="宋体"/>
          <w:color w:val="000000"/>
          <w:highlight w:val="none"/>
        </w:rPr>
      </w:r>
      <w:r/>
    </w:p>
    <w:p>
      <w:pPr>
        <w:pStyle w:val="825"/>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24"/>
        <w:rPr>
          <w:rFonts w:hint="eastAsia"/>
          <w:color w:val="000000"/>
          <w:highlight w:val="none"/>
        </w:rPr>
      </w:pPr>
      <w:r>
        <w:rPr>
          <w:rFonts w:hint="eastAsia"/>
          <w:color w:val="000000"/>
          <w:highlight w:val="none"/>
        </w:rPr>
      </w:r>
      <w:r/>
    </w:p>
    <w:p>
      <w:pPr>
        <w:pStyle w:val="825"/>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中国政府采购网自查截图：</w:t>
      </w:r>
      <w:r>
        <w:rPr>
          <w:rFonts w:hint="eastAsia" w:ascii="宋体" w:hAnsi="宋体" w:eastAsia="宋体" w:cs="宋体"/>
          <w:b/>
          <w:bCs/>
          <w:color w:val="000000"/>
          <w:sz w:val="24"/>
          <w:szCs w:val="24"/>
          <w:highlight w:val="none"/>
        </w:rPr>
      </w:r>
      <w:r/>
    </w:p>
    <w:p>
      <w:pPr>
        <w:pStyle w:val="825"/>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信用中国网站自查截图：</w:t>
      </w:r>
      <w:r>
        <w:rPr>
          <w:rFonts w:hint="eastAsia" w:ascii="宋体" w:hAnsi="宋体" w:eastAsia="宋体" w:cs="宋体"/>
          <w:b/>
          <w:bCs/>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（5）“不存在与参加本项目的其他供应商单位负责人为同一人或者存在直接控股、管理关系”的承诺函（格式）</w:t>
      </w:r>
      <w:r>
        <w:rPr>
          <w:rFonts w:hint="eastAsia" w:ascii="宋体" w:hAnsi="宋体" w:eastAsia="宋体" w:cs="宋体"/>
          <w:b/>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825"/>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（盖章/加盖CA电子公章）</w:t>
      </w:r>
      <w:r>
        <w:rPr>
          <w:rFonts w:hint="eastAsia" w:ascii="宋体" w:hAnsi="宋体" w:eastAsia="宋体" w:cs="宋体"/>
          <w:color w:val="000000"/>
          <w:sz w:val="24"/>
          <w:szCs w:val="24"/>
          <w:highlight w:val="none"/>
        </w:rPr>
      </w:r>
      <w:r/>
    </w:p>
    <w:p>
      <w:pPr>
        <w:pStyle w:val="825"/>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left"/>
        <w:widowControl/>
        <w:rPr>
          <w:rFonts w:hint="eastAsia" w:ascii="宋体" w:hAnsi="宋体" w:eastAsia="宋体" w:cs="宋体"/>
          <w:b/>
          <w:bCs/>
          <w:color w:val="000000"/>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000000"/>
          <w:sz w:val="28"/>
          <w:szCs w:val="28"/>
          <w:highlight w:val="none"/>
          <w:lang w:bidi="ar"/>
        </w:rPr>
      </w:r>
      <w:r/>
    </w:p>
    <w:p>
      <w:pPr>
        <w:pStyle w:val="825"/>
        <w:jc w:val="left"/>
        <w:widowControl/>
        <w:rPr>
          <w:rFonts w:hint="eastAsia" w:ascii="宋体" w:hAnsi="宋体" w:eastAsia="宋体" w:cs="宋体"/>
          <w:color w:val="000000"/>
          <w:sz w:val="20"/>
          <w:szCs w:val="18"/>
          <w:highlight w:val="none"/>
        </w:rPr>
      </w:pPr>
      <w:r>
        <w:rPr>
          <w:rFonts w:hint="eastAsia" w:ascii="宋体" w:hAnsi="宋体" w:eastAsia="宋体" w:cs="宋体"/>
          <w:b/>
          <w:bCs/>
          <w:color w:val="000000"/>
          <w:sz w:val="24"/>
          <w:szCs w:val="24"/>
          <w:highlight w:val="none"/>
          <w:lang w:bidi="ar"/>
        </w:rPr>
        <w:t xml:space="preserve">单位负责人、公司控股关系及公司管理关系释义：</w:t>
      </w:r>
      <w:r>
        <w:rPr>
          <w:rFonts w:hint="eastAsia" w:ascii="宋体" w:hAnsi="宋体" w:eastAsia="宋体" w:cs="宋体"/>
          <w:color w:val="000000"/>
          <w:sz w:val="20"/>
          <w:szCs w:val="18"/>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①单位负责人：</w:t>
      </w:r>
      <w:r>
        <w:rPr>
          <w:rFonts w:hint="eastAsia" w:ascii="宋体" w:hAnsi="宋体" w:eastAsia="宋体" w:cs="宋体"/>
          <w:color w:val="000000"/>
          <w:sz w:val="24"/>
          <w:szCs w:val="24"/>
          <w:highlight w:val="none"/>
          <w:lang w:bidi="ar"/>
        </w:rPr>
        <w:t xml:space="preserve">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单位法定代表人</w:t>
      </w:r>
      <w:r>
        <w:rPr>
          <w:rFonts w:hint="eastAsia" w:ascii="宋体" w:hAnsi="宋体" w:eastAsia="宋体" w:cs="宋体"/>
          <w:color w:val="000000"/>
          <w:sz w:val="24"/>
          <w:szCs w:val="24"/>
          <w:highlight w:val="none"/>
          <w:lang w:bidi="ar"/>
        </w:rPr>
        <w:t xml:space="preserve">或者 </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法律、行政法规规定代表单位行使职权的主要负责人。 </w:t>
      </w:r>
      <w:r>
        <w:rPr>
          <w:rFonts w:hint="eastAsia" w:ascii="宋体" w:hAnsi="宋体" w:eastAsia="宋体" w:cs="宋体"/>
          <w:color w:val="000000"/>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A：所谓法定代表人：</w:t>
      </w:r>
      <w:r>
        <w:rPr>
          <w:rFonts w:hint="eastAsia" w:ascii="宋体" w:hAnsi="宋体" w:eastAsia="宋体" w:cs="宋体"/>
          <w:color w:val="000000"/>
          <w:sz w:val="24"/>
          <w:szCs w:val="24"/>
          <w:highlight w:val="none"/>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color w:val="000000"/>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B：所谓法律、行政法规规定代表单位行使职权的主要负责人：</w:t>
      </w:r>
      <w:r>
        <w:rPr>
          <w:rFonts w:hint="eastAsia" w:ascii="宋体" w:hAnsi="宋体" w:eastAsia="宋体" w:cs="宋体"/>
          <w:color w:val="000000"/>
          <w:sz w:val="24"/>
          <w:szCs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color w:val="000000"/>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②控股关系：</w:t>
      </w:r>
      <w:r>
        <w:rPr>
          <w:rFonts w:hint="eastAsia" w:ascii="宋体" w:hAnsi="宋体" w:eastAsia="宋体" w:cs="宋体"/>
          <w:color w:val="000000"/>
          <w:sz w:val="24"/>
          <w:szCs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color w:val="000000"/>
          <w:sz w:val="24"/>
          <w:szCs w:val="24"/>
          <w:highlight w:val="none"/>
          <w:lang w:bidi="ar"/>
        </w:rPr>
        <w:t xml:space="preserve">（二）控股股东，是指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color w:val="000000"/>
          <w:sz w:val="24"/>
          <w:szCs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color w:val="000000"/>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③管理关系：</w:t>
      </w:r>
      <w:r>
        <w:rPr>
          <w:rFonts w:hint="eastAsia" w:ascii="宋体" w:hAnsi="宋体" w:eastAsia="宋体" w:cs="宋体"/>
          <w:color w:val="000000"/>
          <w:sz w:val="24"/>
          <w:szCs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color w:val="000000"/>
          <w:highlight w:val="none"/>
        </w:rPr>
      </w:r>
      <w:r/>
    </w:p>
    <w:p>
      <w:pPr>
        <w:pStyle w:val="861"/>
        <w:jc w:val="center"/>
        <w:spacing w:before="240" w:after="240"/>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861"/>
        <w:jc w:val="left"/>
        <w:spacing w:before="0" w:after="0"/>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（6）具有独立承担民事责任的能力（提供法人或者其他组织的营业执照；供应商为自然人的，提供其身份证）</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营业执照复印件：</w:t>
      </w:r>
      <w:r>
        <w:rPr>
          <w:rFonts w:hint="eastAsia" w:ascii="宋体" w:hAnsi="宋体" w:eastAsia="宋体" w:cs="宋体"/>
          <w:bCs/>
          <w:color w:val="000000"/>
          <w:sz w:val="24"/>
          <w:szCs w:val="24"/>
          <w:highlight w:val="none"/>
        </w:rPr>
      </w:r>
      <w:r/>
    </w:p>
    <w:p>
      <w:pPr>
        <w:pStyle w:val="861"/>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w:t>
      </w:r>
      <w:r>
        <w:rPr>
          <w:rFonts w:hint="eastAsia" w:ascii="宋体" w:hAnsi="宋体" w:eastAsia="宋体" w:cs="宋体"/>
          <w:b/>
          <w:color w:val="000000"/>
          <w:sz w:val="24"/>
          <w:szCs w:val="24"/>
          <w:highlight w:val="none"/>
          <w:lang w:eastAsia="zh-CN"/>
        </w:rPr>
        <w:t xml:space="preserve">2025年度经审计的财务报告</w:t>
      </w:r>
      <w:r>
        <w:rPr>
          <w:rFonts w:hint="eastAsia" w:ascii="宋体" w:hAnsi="宋体" w:eastAsia="宋体" w:cs="宋体"/>
          <w:b/>
          <w:color w:val="000000"/>
          <w:sz w:val="24"/>
          <w:szCs w:val="24"/>
          <w:highlight w:val="none"/>
        </w:rPr>
        <w:t xml:space="preserve">复印件加盖公章装订在投标文件中，否则视为未提供)</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相关资料：</w:t>
      </w:r>
      <w:r>
        <w:rPr>
          <w:rFonts w:hint="eastAsia" w:ascii="宋体" w:hAnsi="宋体" w:eastAsia="宋体" w:cs="宋体"/>
          <w:bCs/>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（8）有依法缴纳税收的良好记录(提供距开标时间六个月内任一月份的缴纳税收凭据复印件加盖公章(依法免税的应提供相应文件说明）)</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缴纳税收的相关资料：</w:t>
      </w:r>
      <w:r>
        <w:rPr>
          <w:rFonts w:hint="eastAsia" w:ascii="宋体" w:hAnsi="宋体" w:eastAsia="宋体" w:cs="宋体"/>
          <w:bCs/>
          <w:color w:val="000000"/>
          <w:sz w:val="24"/>
          <w:szCs w:val="24"/>
          <w:highlight w:val="none"/>
        </w:rPr>
      </w:r>
      <w:r/>
    </w:p>
    <w:p>
      <w:pPr>
        <w:pStyle w:val="861"/>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依法缴纳社会保障资金的相关资料：</w:t>
      </w:r>
      <w:r>
        <w:rPr>
          <w:rFonts w:hint="eastAsia" w:ascii="宋体" w:hAnsi="宋体" w:eastAsia="宋体" w:cs="宋体"/>
          <w:bCs/>
          <w:color w:val="000000"/>
          <w:sz w:val="24"/>
          <w:szCs w:val="24"/>
          <w:highlight w:val="none"/>
        </w:rPr>
      </w:r>
      <w:r/>
    </w:p>
    <w:p>
      <w:pPr>
        <w:pStyle w:val="825"/>
        <w:spacing w:line="440" w:lineRule="exact"/>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61"/>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（10）招标公告中“投标人资质要求”所要求其他的证明材料</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color w:val="000000"/>
          <w:sz w:val="24"/>
          <w:szCs w:val="24"/>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4"/>
          <w:szCs w:val="24"/>
          <w:highlight w:val="none"/>
        </w:rPr>
        <w:t xml:space="preserve">（投标文件按照第一章招标公告中“投标人资质要求”要求，逐条提供除以上资格审查格式以外的其他证明材料）</w:t>
      </w:r>
      <w:r>
        <w:rPr>
          <w:rFonts w:hint="eastAsia" w:ascii="宋体" w:hAnsi="宋体" w:eastAsia="宋体" w:cs="宋体"/>
          <w:color w:val="000000"/>
          <w:sz w:val="24"/>
          <w:szCs w:val="24"/>
          <w:highlight w:val="none"/>
          <w:lang w:bidi="ar"/>
        </w:rPr>
      </w:r>
      <w:r/>
    </w:p>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32"/>
          <w:szCs w:val="32"/>
          <w:highlight w:val="none"/>
        </w:rPr>
        <w:t xml:space="preserve">5.</w:t>
      </w:r>
      <w:bookmarkEnd w:id="136"/>
      <w:r/>
      <w:bookmarkEnd w:id="137"/>
      <w:r/>
      <w:bookmarkEnd w:id="138"/>
      <w:r>
        <w:rPr>
          <w:rFonts w:hint="eastAsia" w:ascii="宋体" w:hAnsi="宋体" w:eastAsia="宋体" w:cs="宋体"/>
          <w:color w:val="000000"/>
          <w:sz w:val="32"/>
          <w:szCs w:val="32"/>
          <w:highlight w:val="none"/>
        </w:rPr>
        <w:t xml:space="preserve">技术条款偏离表（技术要求响应表）</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1454"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招标文件条目号</w:t>
            </w:r>
            <w:r>
              <w:rPr>
                <w:rFonts w:hint="eastAsia" w:ascii="宋体" w:hAnsi="宋体" w:eastAsia="宋体" w:cs="宋体"/>
                <w:bCs/>
                <w:color w:val="000000"/>
                <w:sz w:val="24"/>
                <w:highlight w:val="none"/>
              </w:rPr>
            </w:r>
            <w:r/>
          </w:p>
        </w:tc>
        <w:tc>
          <w:tcPr>
            <w:tcW w:w="2161"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招标文件要求的规格、参数</w:t>
            </w:r>
            <w:r>
              <w:rPr>
                <w:rFonts w:hint="eastAsia" w:ascii="宋体" w:hAnsi="宋体" w:eastAsia="宋体" w:cs="宋体"/>
                <w:bCs/>
                <w:color w:val="000000"/>
                <w:sz w:val="24"/>
                <w:highlight w:val="none"/>
              </w:rPr>
            </w:r>
            <w:r/>
          </w:p>
        </w:tc>
        <w:tc>
          <w:tcPr>
            <w:tcW w:w="2202"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投标响应</w:t>
            </w:r>
            <w:r>
              <w:rPr>
                <w:rFonts w:hint="eastAsia" w:ascii="宋体" w:hAnsi="宋体" w:eastAsia="宋体" w:cs="宋体"/>
                <w:bCs/>
                <w:color w:val="000000"/>
                <w:sz w:val="24"/>
                <w:highlight w:val="none"/>
              </w:rPr>
            </w:r>
            <w:r/>
          </w:p>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规格、参数</w:t>
            </w:r>
            <w:r>
              <w:rPr>
                <w:rFonts w:hint="eastAsia" w:ascii="宋体" w:hAnsi="宋体" w:eastAsia="宋体" w:cs="宋体"/>
                <w:bCs/>
                <w:color w:val="000000"/>
                <w:sz w:val="24"/>
                <w:highlight w:val="none"/>
              </w:rPr>
            </w:r>
            <w:r/>
          </w:p>
        </w:tc>
        <w:tc>
          <w:tcPr>
            <w:tcW w:w="1648"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bCs/>
                <w:color w:val="000000"/>
                <w:sz w:val="24"/>
                <w:highlight w:val="none"/>
              </w:rPr>
            </w:r>
            <w:r/>
          </w:p>
        </w:tc>
        <w:tc>
          <w:tcPr>
            <w:tcW w:w="765"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证明材料页码</w:t>
            </w:r>
            <w:r>
              <w:rPr>
                <w:rFonts w:hint="eastAsia" w:ascii="宋体" w:hAnsi="宋体" w:eastAsia="宋体" w:cs="宋体"/>
                <w:bCs/>
                <w:color w:val="000000"/>
                <w:sz w:val="24"/>
                <w:highlight w:val="none"/>
              </w:rPr>
            </w:r>
            <w:r/>
          </w:p>
        </w:tc>
        <w:tc>
          <w:tcPr>
            <w:tcW w:w="735"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备注</w:t>
            </w: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25"/>
        <w:rPr>
          <w:rFonts w:hint="eastAsia" w:ascii="宋体" w:hAnsi="宋体" w:eastAsia="宋体" w:cs="宋体"/>
          <w:color w:val="000000"/>
          <w:szCs w:val="21"/>
          <w:highlight w:val="none"/>
        </w:rPr>
      </w:pPr>
      <w:r/>
      <w:bookmarkStart w:id="139" w:name="_Toc11669"/>
      <w:r/>
      <w:bookmarkStart w:id="140" w:name="_Toc10292"/>
      <w:r/>
      <w:bookmarkStart w:id="141" w:name="_Toc5552"/>
      <w:r>
        <w:rPr>
          <w:rFonts w:hint="eastAsia" w:ascii="宋体" w:hAnsi="宋体" w:eastAsia="宋体" w:cs="宋体"/>
          <w:color w:val="000000"/>
          <w:szCs w:val="21"/>
          <w:highlight w:val="none"/>
        </w:rPr>
        <w:t xml:space="preserve">说明：①此表为表样，行数可自行添加，但表式不变。</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②是否偏离用符号“+、=、-”分别表示正偏离、完全响应、负偏离。</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5"/>
        <w:spacing w:line="420" w:lineRule="exact"/>
        <w:rPr>
          <w:rFonts w:hint="eastAsia" w:ascii="宋体" w:hAnsi="宋体" w:eastAsia="宋体" w:cs="宋体"/>
          <w:b/>
          <w:color w:val="000000"/>
          <w:sz w:val="24"/>
          <w:szCs w:val="24"/>
          <w:highlight w:val="none"/>
          <w:lang w:val="zh-CN"/>
        </w:rPr>
      </w:pPr>
      <w:r/>
      <w:bookmarkStart w:id="142" w:name="_Toc22168"/>
      <w:r/>
      <w:bookmarkStart w:id="143" w:name="_Toc23012"/>
      <w:r>
        <w:rPr>
          <w:rFonts w:hint="eastAsia"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
          <w:color w:val="000000"/>
          <w:sz w:val="24"/>
          <w:szCs w:val="24"/>
          <w:highlight w:val="none"/>
        </w:rPr>
        <w:t xml:space="preserve">及</w:t>
      </w:r>
      <w:r>
        <w:rPr>
          <w:rFonts w:hint="eastAsia" w:ascii="宋体" w:hAnsi="宋体" w:eastAsia="宋体" w:cs="宋体"/>
          <w:b/>
          <w:color w:val="000000"/>
          <w:sz w:val="24"/>
          <w:szCs w:val="24"/>
          <w:highlight w:val="none"/>
          <w:lang w:val="zh-CN"/>
        </w:rPr>
        <w:t xml:space="preserve">“▲”参数技术支持材料</w:t>
      </w:r>
      <w:bookmarkEnd w:id="142"/>
      <w:r/>
      <w:bookmarkEnd w:id="143"/>
      <w:r>
        <w:rPr>
          <w:rFonts w:hint="eastAsia" w:ascii="宋体" w:hAnsi="宋体" w:eastAsia="宋体" w:cs="宋体"/>
          <w:b/>
          <w:color w:val="000000"/>
          <w:sz w:val="24"/>
          <w:szCs w:val="24"/>
          <w:highlight w:val="none"/>
          <w:lang w:val="zh-CN"/>
        </w:rPr>
      </w:r>
      <w:r/>
    </w:p>
    <w:p>
      <w:pPr>
        <w:pStyle w:val="865"/>
        <w:ind w:left="0"/>
        <w:rPr>
          <w:rFonts w:hint="eastAsia" w:ascii="宋体" w:hAnsi="宋体" w:cs="宋体"/>
          <w:color w:val="000000"/>
          <w:highlight w:val="none"/>
        </w:rPr>
      </w:pPr>
      <w:r>
        <w:rPr>
          <w:rFonts w:hint="eastAsia" w:ascii="宋体" w:hAnsi="宋体" w:cs="宋体"/>
          <w:color w:val="000000"/>
          <w:highlight w:val="none"/>
        </w:rPr>
      </w:r>
      <w:r/>
    </w:p>
    <w:p>
      <w:pPr>
        <w:pStyle w:val="865"/>
        <w:ind w:left="0" w:firstLine="420"/>
        <w:rPr>
          <w:rFonts w:hint="eastAsia" w:ascii="宋体" w:hAnsi="宋体" w:cs="宋体"/>
          <w:color w:val="000000"/>
          <w:highlight w:val="none"/>
        </w:rPr>
      </w:pPr>
      <w:r>
        <w:rPr>
          <w:rFonts w:hint="eastAsia" w:ascii="宋体" w:hAnsi="宋体" w:cs="宋体"/>
          <w:color w:val="000000"/>
          <w:highlight w:val="none"/>
        </w:rPr>
        <w:t xml:space="preserve">供应商应当根据招标文件要求编制投标文件，投标文件应对招标文件提出的要求和条件作出实质性响应，对带星号（“★”）的技术条款须在投标文件中提供招标文件技术参数中所要求的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cs="宋体"/>
          <w:color w:val="000000"/>
          <w:highlight w:val="none"/>
        </w:rPr>
      </w:r>
      <w:r/>
    </w:p>
    <w:p>
      <w:pPr>
        <w:pStyle w:val="865"/>
        <w:ind w:left="0" w:firstLine="420"/>
        <w:rPr>
          <w:rFonts w:hint="eastAsia" w:ascii="宋体" w:hAnsi="宋体" w:cs="宋体"/>
          <w:color w:val="000000"/>
          <w:highlight w:val="none"/>
        </w:rPr>
      </w:pPr>
      <w:r>
        <w:rPr>
          <w:rFonts w:hint="eastAsia" w:ascii="宋体" w:hAnsi="宋体" w:cs="宋体"/>
          <w:color w:val="000000"/>
          <w:highlight w:val="none"/>
        </w:rPr>
        <w:t xml:space="preserve">对带▲号参数指标（如有）为主要技术参数要求，投标文件中须提供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w:t>
      </w:r>
      <w:bookmarkEnd w:id="139"/>
      <w:r/>
      <w:bookmarkEnd w:id="140"/>
      <w:r/>
      <w:bookmarkEnd w:id="141"/>
      <w:r>
        <w:rPr>
          <w:rFonts w:hint="eastAsia" w:ascii="宋体" w:hAnsi="宋体" w:eastAsia="宋体" w:cs="宋体"/>
          <w:color w:val="000000"/>
          <w:sz w:val="32"/>
          <w:szCs w:val="32"/>
          <w:highlight w:val="none"/>
        </w:rPr>
        <w:t xml:space="preserve">商务条款偏离表（商务要求响应表）</w:t>
      </w:r>
      <w:r>
        <w:rPr>
          <w:rFonts w:hint="eastAsia" w:ascii="宋体" w:hAnsi="宋体" w:eastAsia="宋体" w:cs="宋体"/>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招标文件商务部分要求</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供应商的响应及承诺</w:t>
            </w: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jc w:val="center"/>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2"/>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1"/>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1"/>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1"/>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偏离包括正、负偏离，正偏离指供应商的响应高于招标文件要求，负偏离指供应商的响应低于招标文件要求。是否偏离用符号“+、=、-”分别表示正偏离、完全响应、负偏离。</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如供应商将此表空白，视为供应商无任何偏离。</w:t>
      </w:r>
      <w:r>
        <w:rPr>
          <w:rFonts w:hint="eastAsia" w:ascii="宋体" w:hAnsi="宋体" w:eastAsia="宋体" w:cs="宋体"/>
          <w:color w:val="000000"/>
          <w:szCs w:val="21"/>
          <w:highlight w:val="none"/>
        </w:rPr>
      </w:r>
      <w:r/>
    </w:p>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5"/>
        <w:jc w:val="left"/>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numPr>
          <w:ilvl w:val="0"/>
          <w:numId w:val="44"/>
        </w:numPr>
        <w:jc w:val="center"/>
        <w:tabs>
          <w:tab w:val="left" w:pos="312" w:leader="none"/>
        </w:tabs>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44" w:name="_Toc29152"/>
      <w:r/>
      <w:bookmarkStart w:id="145" w:name="_Toc25254"/>
      <w:r/>
      <w:bookmarkStart w:id="146" w:name="_Toc12051"/>
      <w:r/>
      <w:bookmarkStart w:id="147" w:name="_Toc12952"/>
      <w:r>
        <w:rPr>
          <w:rFonts w:hint="eastAsia" w:ascii="宋体" w:hAnsi="宋体" w:eastAsia="宋体" w:cs="宋体"/>
          <w:color w:val="000000"/>
          <w:sz w:val="32"/>
          <w:szCs w:val="32"/>
          <w:highlight w:val="none"/>
        </w:rPr>
      </w:r>
      <w:r/>
    </w:p>
    <w:p>
      <w:pPr>
        <w:pStyle w:val="825"/>
        <w:numPr>
          <w:ilvl w:val="0"/>
          <w:numId w:val="44"/>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经营业绩（提供合同复印件）</w:t>
      </w:r>
      <w:bookmarkEnd w:id="144"/>
      <w:r/>
      <w:bookmarkEnd w:id="145"/>
      <w:r/>
      <w:bookmarkEnd w:id="146"/>
      <w:r/>
      <w:bookmarkEnd w:id="147"/>
      <w:r>
        <w:rPr>
          <w:rFonts w:hint="eastAsia" w:ascii="宋体" w:hAnsi="宋体" w:eastAsia="宋体" w:cs="宋体"/>
          <w:color w:val="000000"/>
          <w:sz w:val="32"/>
          <w:szCs w:val="32"/>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业绩名称</w:t>
            </w:r>
            <w:r>
              <w:rPr>
                <w:rFonts w:hint="eastAsia" w:ascii="宋体" w:hAnsi="宋体" w:eastAsia="宋体" w:cs="宋体"/>
                <w:color w:val="000000"/>
                <w:sz w:val="24"/>
                <w:szCs w:val="24"/>
                <w:highlight w:val="none"/>
              </w:rPr>
            </w:r>
            <w:r/>
          </w:p>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采购单位及联系人、联系方式</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w:t>
            </w:r>
            <w:r>
              <w:rPr>
                <w:rFonts w:hint="eastAsia" w:ascii="宋体" w:hAnsi="宋体" w:eastAsia="宋体" w:cs="宋体"/>
                <w:color w:val="000000"/>
                <w:sz w:val="24"/>
                <w:szCs w:val="24"/>
                <w:highlight w:val="none"/>
              </w:rPr>
            </w:r>
            <w:r/>
          </w:p>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rPr>
            </w:r>
            <w:r/>
          </w:p>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（第几页—第几页）</w:t>
            </w:r>
            <w:r>
              <w:rPr>
                <w:rFonts w:hint="eastAsia" w:ascii="宋体" w:hAnsi="宋体" w:eastAsia="宋体" w:cs="宋体"/>
                <w:color w:val="000000"/>
                <w:sz w:val="24"/>
                <w:szCs w:val="24"/>
                <w:highlight w:val="none"/>
              </w:rPr>
            </w:r>
            <w:r/>
          </w:p>
        </w:tc>
      </w:tr>
      <w:tr>
        <w:trPr>
          <w:trHeight w:val="530"/>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8"/>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注：此表为表样，行数可自行添加，但表式不变。根据评分标准要求，附上业绩证明材料</w:t>
      </w:r>
      <w:r>
        <w:rPr>
          <w:rFonts w:hint="eastAsia" w:ascii="宋体" w:hAnsi="宋体" w:eastAsia="宋体" w:cs="宋体"/>
          <w:color w:val="000000"/>
          <w:szCs w:val="21"/>
          <w:highlight w:val="none"/>
        </w:rPr>
      </w:r>
      <w:r/>
    </w:p>
    <w:p>
      <w:pPr>
        <w:pStyle w:val="825"/>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附：供应商业绩合同复印件</w:t>
      </w:r>
      <w:bookmarkStart w:id="148" w:name="_Toc478493367"/>
      <w:r/>
      <w:bookmarkStart w:id="149" w:name="_Toc30172"/>
      <w:r/>
      <w:bookmarkStart w:id="150" w:name="_Toc3055"/>
      <w:r/>
      <w:bookmarkStart w:id="151" w:name="_Toc17430"/>
      <w:r/>
      <w:bookmarkStart w:id="152" w:name="_Toc5435"/>
      <w:r/>
      <w:bookmarkStart w:id="153" w:name="_Toc448874878"/>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5"/>
        <w:jc w:val="center"/>
        <w:rPr>
          <w:rFonts w:hint="eastAsia" w:ascii="宋体" w:hAnsi="宋体" w:eastAsia="宋体" w:cs="宋体"/>
          <w:b/>
          <w:bCs/>
          <w:color w:val="000000"/>
          <w:sz w:val="32"/>
          <w:szCs w:val="32"/>
          <w:highlight w:val="none"/>
        </w:rPr>
      </w:pPr>
      <w:r>
        <w:rPr>
          <w:rFonts w:hint="eastAsia" w:ascii="宋体" w:hAnsi="宋体" w:eastAsia="宋体" w:cs="宋体"/>
          <w:color w:val="000000"/>
          <w:sz w:val="32"/>
          <w:szCs w:val="32"/>
          <w:highlight w:val="none"/>
        </w:rPr>
        <w:t xml:space="preserve">8.项目实施方案</w:t>
      </w:r>
      <w:bookmarkEnd w:id="148"/>
      <w:r/>
      <w:bookmarkEnd w:id="149"/>
      <w:r/>
      <w:bookmarkEnd w:id="150"/>
      <w:r/>
      <w:bookmarkEnd w:id="151"/>
      <w:r/>
      <w:bookmarkEnd w:id="152"/>
      <w:r/>
      <w:bookmarkEnd w:id="153"/>
      <w:r>
        <w:rPr>
          <w:rFonts w:hint="eastAsia" w:ascii="宋体" w:hAnsi="宋体" w:eastAsia="宋体" w:cs="宋体"/>
          <w:b/>
          <w:bCs/>
          <w:color w:val="000000"/>
          <w:sz w:val="32"/>
          <w:szCs w:val="32"/>
          <w:highlight w:val="none"/>
        </w:rPr>
      </w:r>
      <w:r/>
    </w:p>
    <w:p>
      <w:pPr>
        <w:pStyle w:val="825"/>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本项应包含且不限于下列内容：</w:t>
      </w:r>
      <w:r>
        <w:rPr>
          <w:rFonts w:hint="eastAsia" w:ascii="宋体" w:hAnsi="宋体" w:eastAsia="宋体" w:cs="宋体"/>
          <w:color w:val="000000"/>
          <w:sz w:val="24"/>
          <w:szCs w:val="24"/>
          <w:highlight w:val="none"/>
        </w:rPr>
      </w:r>
      <w:r/>
    </w:p>
    <w:p>
      <w:pPr>
        <w:pStyle w:val="825"/>
        <w:numPr>
          <w:ilvl w:val="0"/>
          <w:numId w:val="45"/>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人员配备方案；</w:t>
      </w:r>
      <w:r>
        <w:rPr>
          <w:rFonts w:hint="eastAsia" w:ascii="宋体" w:hAnsi="宋体" w:eastAsia="宋体" w:cs="宋体"/>
          <w:color w:val="000000"/>
          <w:sz w:val="24"/>
          <w:szCs w:val="24"/>
          <w:highlight w:val="none"/>
        </w:rPr>
      </w:r>
      <w:r/>
    </w:p>
    <w:p>
      <w:pPr>
        <w:pStyle w:val="825"/>
        <w:numPr>
          <w:ilvl w:val="0"/>
          <w:numId w:val="45"/>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rPr>
      </w:r>
      <w:r/>
    </w:p>
    <w:p>
      <w:pPr>
        <w:pStyle w:val="825"/>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5"/>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jc w:val="center"/>
        <w:rPr>
          <w:rFonts w:hint="eastAsia" w:ascii="宋体" w:hAnsi="宋体" w:eastAsia="宋体" w:cs="宋体"/>
          <w:color w:val="000000"/>
          <w:highlight w:val="none"/>
        </w:rPr>
      </w:pPr>
      <w:r/>
      <w:bookmarkStart w:id="154" w:name="_Toc8684"/>
      <w:r/>
      <w:bookmarkStart w:id="155" w:name="_Toc9040"/>
      <w:r>
        <w:rPr>
          <w:rFonts w:hint="eastAsia" w:ascii="宋体" w:hAnsi="宋体" w:eastAsia="宋体" w:cs="宋体"/>
          <w:color w:val="000000"/>
          <w:highlight w:val="none"/>
        </w:rPr>
        <w:br w:type="page" w:clear="all"/>
      </w:r>
      <w:bookmarkStart w:id="156" w:name="_Toc1628"/>
      <w:r>
        <w:rPr>
          <w:rFonts w:hint="eastAsia" w:ascii="宋体" w:hAnsi="宋体" w:eastAsia="宋体" w:cs="宋体"/>
          <w:color w:val="000000"/>
          <w:sz w:val="32"/>
          <w:szCs w:val="32"/>
          <w:highlight w:val="none"/>
        </w:rPr>
        <w:t xml:space="preserve">9.人员配备、资质及人员管理</w:t>
      </w:r>
      <w:bookmarkEnd w:id="154"/>
      <w:r/>
      <w:bookmarkEnd w:id="156"/>
      <w:r>
        <w:rPr>
          <w:rFonts w:hint="eastAsia" w:ascii="宋体" w:hAnsi="宋体" w:eastAsia="宋体" w:cs="宋体"/>
          <w:color w:val="000000"/>
          <w:highlight w:val="none"/>
        </w:rPr>
      </w:r>
      <w:r/>
    </w:p>
    <w:p>
      <w:pPr>
        <w:pStyle w:val="825"/>
        <w:ind w:firstLine="465"/>
        <w:spacing w:before="4"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人员配备一览表</w:t>
      </w:r>
      <w:r>
        <w:rPr>
          <w:rFonts w:hint="eastAsia" w:ascii="宋体" w:hAnsi="宋体" w:eastAsia="宋体" w:cs="宋体"/>
          <w:color w:val="000000"/>
          <w:sz w:val="24"/>
          <w:szCs w:val="24"/>
          <w:highlight w:val="none"/>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在本项目中担任的职务</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岗位职称</w:t>
            </w:r>
            <w:r>
              <w:rPr>
                <w:rFonts w:hint="eastAsia" w:ascii="宋体" w:hAnsi="宋体" w:eastAsia="宋体" w:cs="宋体"/>
                <w:color w:val="000000"/>
                <w:sz w:val="24"/>
                <w:szCs w:val="24"/>
                <w:highlight w:val="none"/>
              </w:rPr>
            </w:r>
            <w:r/>
          </w:p>
        </w:tc>
        <w:tc>
          <w:tcPr>
            <w:tcW w:w="1010"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主要资历、经验</w:t>
            </w: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项目负责人（项目经理）</w:t>
            </w:r>
            <w:r>
              <w:rPr>
                <w:rFonts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ascii="宋体" w:hAnsi="宋体" w:eastAsia="宋体" w:cs="宋体"/>
                <w:color w:val="000000"/>
                <w:sz w:val="24"/>
                <w:szCs w:val="24"/>
                <w:highlight w:val="none"/>
              </w:rPr>
              <w:framePr w:vAnchor="text" w:hAnchor="page" w:x="1241" w:y="375"/>
            </w:pPr>
            <w:r>
              <w:rPr>
                <w:rFonts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bl>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w:t>
      </w:r>
      <w:r>
        <w:rPr>
          <w:rFonts w:hint="eastAsia" w:ascii="宋体" w:hAnsi="宋体" w:eastAsia="宋体" w:cs="宋体"/>
          <w:color w:val="000000"/>
          <w:szCs w:val="21"/>
          <w:highlight w:val="none"/>
        </w:rPr>
      </w:r>
      <w:r/>
    </w:p>
    <w:p>
      <w:pPr>
        <w:pStyle w:val="825"/>
        <w:ind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bookmarkEnd w:id="122"/>
      <w:r/>
      <w:bookmarkEnd w:id="155"/>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5"/>
        <w:jc w:val="center"/>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10.相关承诺</w:t>
      </w:r>
      <w:r>
        <w:rPr>
          <w:rFonts w:ascii="宋体" w:hAnsi="宋体" w:eastAsia="宋体" w:cs="宋体"/>
          <w:color w:val="000000"/>
          <w:sz w:val="32"/>
          <w:szCs w:val="32"/>
          <w:highlight w:val="none"/>
        </w:rPr>
      </w:r>
      <w:r/>
    </w:p>
    <w:p>
      <w:pPr>
        <w:pStyle w:val="825"/>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招标采购需求中</w:t>
      </w:r>
      <w:r>
        <w:rPr>
          <w:rFonts w:hint="eastAsia" w:ascii="宋体" w:hAnsi="宋体" w:eastAsia="宋体" w:cs="宋体"/>
          <w:color w:val="000000"/>
          <w:sz w:val="24"/>
          <w:szCs w:val="24"/>
          <w:highlight w:val="none"/>
          <w:lang w:val="zh-CN"/>
        </w:rPr>
        <w:t xml:space="preserve">有关的</w:t>
      </w:r>
      <w:r>
        <w:rPr>
          <w:rFonts w:hint="eastAsia" w:ascii="宋体" w:hAnsi="宋体" w:eastAsia="宋体" w:cs="宋体"/>
          <w:color w:val="000000"/>
          <w:sz w:val="24"/>
          <w:szCs w:val="24"/>
          <w:highlight w:val="none"/>
        </w:rPr>
        <w:t xml:space="preserve">承诺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25"/>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11.其他材料</w:t>
      </w:r>
      <w:r>
        <w:rPr>
          <w:rFonts w:hint="eastAsia" w:ascii="宋体" w:hAnsi="宋体" w:eastAsia="宋体" w:cs="宋体"/>
          <w:color w:val="000000"/>
          <w:sz w:val="32"/>
          <w:szCs w:val="32"/>
          <w:highlight w:val="none"/>
        </w:rPr>
      </w:r>
      <w:r/>
    </w:p>
    <w:p>
      <w:pPr>
        <w:pStyle w:val="825"/>
        <w:ind w:firstLine="480"/>
        <w:spacing w:before="0" w:after="0"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有关的其他材料）</w:t>
      </w:r>
      <w:r>
        <w:rPr>
          <w:rFonts w:hint="eastAsia" w:ascii="宋体" w:hAnsi="宋体" w:eastAsia="宋体" w:cs="宋体"/>
          <w:bCs/>
          <w:color w:val="000000"/>
          <w:sz w:val="24"/>
          <w:szCs w:val="24"/>
          <w:highlight w:val="none"/>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p>
    <w:pPr>
      <w:pStyle w:val="8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p>
    <w:pPr>
      <w:pStyle w:val="8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p>
    <w:pPr>
      <w:pStyle w:val="82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877"/>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- 38 -</w:t>
                          </w:r>
                          <w:r>
                            <w:rPr>
                              <w:sz w:val="24"/>
                              <w:szCs w:val="28"/>
                            </w:rPr>
                            <w:fldChar w:fldCharType="end"/>
                          </w:r>
                          <w:r>
                            <w:rPr>
                              <w:sz w:val="24"/>
                              <w:szCs w:val="28"/>
                            </w:rPr>
                          </w:r>
                          <w:r/>
                        </w:p>
                        <w:p>
                          <w:pPr>
                            <w:pStyle w:val="82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877"/>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- 38 -</w:t>
                    </w:r>
                    <w:r>
                      <w:rPr>
                        <w:sz w:val="24"/>
                        <w:szCs w:val="28"/>
                      </w:rPr>
                      <w:fldChar w:fldCharType="end"/>
                    </w:r>
                    <w:r>
                      <w:rPr>
                        <w:sz w:val="24"/>
                        <w:szCs w:val="28"/>
                      </w:rPr>
                    </w:r>
                    <w:r/>
                  </w:p>
                  <w:p>
                    <w:pPr>
                      <w:pStyle w:val="825"/>
                    </w:pPr>
                    <w:r/>
                    <w:r/>
                  </w:p>
                </w:txbxContent>
              </v:textbox>
            </v:shape>
          </w:pict>
        </mc:Fallback>
      </mc:AlternateContent>
    </w:r>
    <w:r/>
  </w:p>
  <w:p>
    <w:pPr>
      <w:pStyle w:val="8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right"/>
      <w:rPr>
        <w:b/>
        <w:bCs/>
        <w:color w:val="2f5496"/>
        <w:sz w:val="16"/>
        <w:szCs w:val="15"/>
      </w:rPr>
    </w:pPr>
    <w:r>
      <w:rPr>
        <w:rFonts w:hint="eastAsia"/>
        <w:b/>
        <w:bCs/>
        <w:color w:val="2f5496"/>
        <w:sz w:val="16"/>
        <w:szCs w:val="15"/>
      </w:rPr>
      <w:t xml:space="preserve">·</w:t>
    </w: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p>
    <w:pPr>
      <w:pStyle w:val="82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right"/>
      <w:rPr>
        <w:rFonts w:hint="eastAsia" w:eastAsia="宋体"/>
        <w:b/>
        <w:bCs/>
        <w:color w:val="243f61"/>
        <w:sz w:val="15"/>
        <w:szCs w:val="13"/>
        <w:lang w:eastAsia="zh-CN"/>
      </w:rPr>
    </w:pPr>
    <w:r/>
    <w:bookmarkStart w:id="157" w:name="OLE_LINK11"/>
    <w:r>
      <w:rPr>
        <w:b/>
        <w:bCs/>
        <w:color w:val="243f61"/>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-48259</wp:posOffset>
              </wp:positionH>
              <wp:positionV relativeFrom="paragraph">
                <wp:posOffset>42545</wp:posOffset>
              </wp:positionV>
              <wp:extent cx="1862455" cy="2400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62455" cy="240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3.8pt;mso-position-horizontal:absolute;mso-position-vertical-relative:text;margin-top:3.3pt;mso-position-vertical:absolute;width:146.7pt;height:18.9pt;mso-wrap-distance-left:9.0pt;mso-wrap-distance-top:0.0pt;mso-wrap-distance-right:9.0pt;mso-wrap-distance-bottom:0.0pt;" stroked="f">
              <v:path textboxrect="0,0,0,0"/>
              <v:imagedata r:id="rId1" o:title=""/>
            </v:shape>
          </w:pict>
        </mc:Fallback>
      </mc:AlternateContent>
    </w:r>
    <w:r>
      <w:rPr>
        <w:rFonts w:hint="eastAsia"/>
        <w:b/>
        <w:bCs/>
        <w:color w:val="243f61"/>
        <w:sz w:val="20"/>
        <w:szCs w:val="18"/>
      </w:rPr>
      <w:t xml:space="preserve"> </w:t>
    </w:r>
    <w:r>
      <w:rPr>
        <w:rFonts w:hint="eastAsia" w:ascii="宋体" w:hAnsi="宋体" w:eastAsia="宋体" w:cs="宋体"/>
        <w:b/>
        <w:bCs/>
        <w:color w:val="243f61"/>
        <w:sz w:val="22"/>
        <w:szCs w:val="21"/>
      </w:rPr>
      <w:t xml:space="preserve">项目编号：</w:t>
    </w:r>
    <w:bookmarkEnd w:id="157"/>
    <w:r>
      <w:rPr>
        <w:rFonts w:hint="eastAsia" w:ascii="宋体" w:hAnsi="宋体" w:eastAsia="宋体" w:cs="宋体"/>
        <w:b/>
        <w:bCs/>
        <w:color w:val="243f61"/>
        <w:sz w:val="22"/>
        <w:szCs w:val="21"/>
        <w:lang w:eastAsia="zh-CN"/>
      </w:rPr>
      <w:t xml:space="preserve">0675-266JOC004415</w:t>
    </w:r>
    <w:r>
      <w:rPr>
        <w:rFonts w:hint="eastAsia" w:eastAsia="宋体"/>
        <w:b/>
        <w:bCs/>
        <w:color w:val="243f61"/>
        <w:sz w:val="15"/>
        <w:szCs w:val="13"/>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825"/>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8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1"/>
      <w:numFmt w:val="decimal"/>
      <w:isLgl w:val="false"/>
      <w:suff w:val="nothing"/>
      <w:lvlText w:val="%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8.%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space"/>
      <w:lvlText w:val="4.%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6.%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pStyle w:val="8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pStyle w:val="8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139"/>
      <w:isLgl w:val="false"/>
      <w:suff w:val="tab"/>
      <w:lvlText w:val=""/>
      <w:lvlJc w:val="left"/>
      <w:pPr>
        <w:pStyle w:val="825"/>
        <w:ind w:left="420" w:hanging="420"/>
        <w:tabs>
          <w:tab w:val="num" w:pos="420" w:leader="none"/>
        </w:tabs>
      </w:pPr>
      <w:rPr>
        <w:rFonts w:ascii="Wingdings" w:hAnsi="Wingdings"/>
      </w:rPr>
    </w:lvl>
    <w:lvl w:ilvl="1">
      <w:start w:val="1"/>
      <w:numFmt w:val="decimal"/>
      <w:isLgl w:val="false"/>
      <w:suff w:val="tab"/>
      <w:lvlText w:val="（%2）"/>
      <w:lvlJc w:val="left"/>
      <w:pPr>
        <w:pStyle w:val="825"/>
        <w:ind w:left="1500" w:hanging="1080"/>
        <w:tabs>
          <w:tab w:val="num" w:pos="1500" w:leader="none"/>
        </w:tabs>
      </w:pPr>
      <w:rPr>
        <w:rFonts w:hint="eastAsia"/>
      </w:rPr>
    </w:lvl>
    <w:lvl w:ilvl="2">
      <w:start w:val="1"/>
      <w:numFmt w:val="decimal"/>
      <w:isLgl w:val="false"/>
      <w:suff w:val="tab"/>
      <w:lvlText w:val="（%3）"/>
      <w:lvlJc w:val="left"/>
      <w:pPr>
        <w:pStyle w:val="825"/>
        <w:ind w:left="1560" w:hanging="720"/>
        <w:tabs>
          <w:tab w:val="num" w:pos="1560" w:leader="none"/>
        </w:tabs>
      </w:pPr>
      <w:rPr>
        <w:rFonts w:hint="eastAsia"/>
      </w:rPr>
    </w:lvl>
    <w:lvl w:ilvl="3">
      <w:start w:val="1"/>
      <w:numFmt w:val="decimal"/>
      <w:isLgl w:val="false"/>
      <w:suff w:val="tab"/>
      <w:lvlText w:val="%4."/>
      <w:lvlJc w:val="left"/>
      <w:pPr>
        <w:pStyle w:val="825"/>
        <w:ind w:left="1680" w:hanging="420"/>
        <w:tabs>
          <w:tab w:val="num" w:pos="1680" w:leader="none"/>
        </w:tabs>
      </w:pPr>
    </w:lvl>
    <w:lvl w:ilvl="4">
      <w:start w:val="1"/>
      <w:numFmt w:val="lowerLetter"/>
      <w:isLgl w:val="false"/>
      <w:suff w:val="tab"/>
      <w:lvlText w:val="%5)"/>
      <w:lvlJc w:val="left"/>
      <w:pPr>
        <w:pStyle w:val="825"/>
        <w:ind w:left="2100" w:hanging="420"/>
        <w:tabs>
          <w:tab w:val="num" w:pos="2100" w:leader="none"/>
        </w:tabs>
      </w:pPr>
    </w:lvl>
    <w:lvl w:ilvl="5">
      <w:start w:val="1"/>
      <w:numFmt w:val="lowerRoman"/>
      <w:isLgl w:val="false"/>
      <w:suff w:val="tab"/>
      <w:lvlText w:val="%6."/>
      <w:lvlJc w:val="right"/>
      <w:pPr>
        <w:pStyle w:val="825"/>
        <w:ind w:left="2520" w:hanging="420"/>
        <w:tabs>
          <w:tab w:val="num" w:pos="2520" w:leader="none"/>
        </w:tabs>
      </w:pPr>
    </w:lvl>
    <w:lvl w:ilvl="6">
      <w:start w:val="1"/>
      <w:numFmt w:val="decimal"/>
      <w:isLgl w:val="false"/>
      <w:suff w:val="tab"/>
      <w:lvlText w:val="%7."/>
      <w:lvlJc w:val="left"/>
      <w:pPr>
        <w:pStyle w:val="825"/>
        <w:ind w:left="2940" w:hanging="420"/>
        <w:tabs>
          <w:tab w:val="num" w:pos="2940" w:leader="none"/>
        </w:tabs>
      </w:pPr>
    </w:lvl>
    <w:lvl w:ilvl="7">
      <w:start w:val="1"/>
      <w:numFmt w:val="lowerLetter"/>
      <w:isLgl w:val="false"/>
      <w:suff w:val="tab"/>
      <w:lvlText w:val="%8)"/>
      <w:lvlJc w:val="left"/>
      <w:pPr>
        <w:pStyle w:val="825"/>
        <w:ind w:left="3360" w:hanging="420"/>
        <w:tabs>
          <w:tab w:val="num" w:pos="3360" w:leader="none"/>
        </w:tabs>
      </w:pPr>
    </w:lvl>
    <w:lvl w:ilvl="8">
      <w:start w:val="1"/>
      <w:numFmt w:val="lowerRoman"/>
      <w:isLgl w:val="false"/>
      <w:suff w:val="tab"/>
      <w:lvlText w:val="%9."/>
      <w:lvlJc w:val="right"/>
      <w:pPr>
        <w:pStyle w:val="825"/>
        <w:ind w:left="3780" w:hanging="420"/>
        <w:tabs>
          <w:tab w:val="num" w:pos="3780" w:leader="none"/>
        </w:tabs>
      </w:pPr>
    </w:lvl>
  </w:abstractNum>
  <w:abstractNum w:abstractNumId="20">
    <w:multiLevelType w:val="hybridMultilevel"/>
    <w:lvl w:ilvl="0">
      <w:start w:val="1"/>
      <w:numFmt w:val="decimal"/>
      <w:pStyle w:val="1207"/>
      <w:isLgl w:val="false"/>
      <w:suff w:val="tab"/>
      <w:lvlText w:val="(%1)"/>
      <w:lvlJc w:val="left"/>
      <w:pPr>
        <w:pStyle w:val="825"/>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25"/>
        <w:ind w:left="840" w:hanging="420"/>
        <w:tabs>
          <w:tab w:val="num" w:pos="840" w:leader="none"/>
        </w:tabs>
      </w:pPr>
    </w:lvl>
    <w:lvl w:ilvl="2">
      <w:start w:val="1"/>
      <w:numFmt w:val="lowerRoman"/>
      <w:isLgl w:val="false"/>
      <w:suff w:val="tab"/>
      <w:lvlText w:val="%3."/>
      <w:lvlJc w:val="right"/>
      <w:pPr>
        <w:pStyle w:val="825"/>
        <w:ind w:left="1260" w:hanging="420"/>
        <w:tabs>
          <w:tab w:val="num" w:pos="1260" w:leader="none"/>
        </w:tabs>
      </w:pPr>
    </w:lvl>
    <w:lvl w:ilvl="3">
      <w:start w:val="1"/>
      <w:numFmt w:val="decimal"/>
      <w:isLgl w:val="false"/>
      <w:suff w:val="tab"/>
      <w:lvlText w:val="%4."/>
      <w:lvlJc w:val="left"/>
      <w:pPr>
        <w:pStyle w:val="825"/>
        <w:ind w:left="1680" w:hanging="420"/>
        <w:tabs>
          <w:tab w:val="num" w:pos="1680" w:leader="none"/>
        </w:tabs>
      </w:pPr>
    </w:lvl>
    <w:lvl w:ilvl="4">
      <w:start w:val="1"/>
      <w:numFmt w:val="lowerLetter"/>
      <w:pStyle w:val="1191"/>
      <w:isLgl w:val="false"/>
      <w:suff w:val="tab"/>
      <w:lvlText w:val="%5)"/>
      <w:lvlJc w:val="left"/>
      <w:pPr>
        <w:pStyle w:val="825"/>
        <w:ind w:left="2100" w:hanging="420"/>
        <w:tabs>
          <w:tab w:val="num" w:pos="2100" w:leader="none"/>
        </w:tabs>
      </w:pPr>
    </w:lvl>
    <w:lvl w:ilvl="5">
      <w:start w:val="1"/>
      <w:numFmt w:val="lowerRoman"/>
      <w:isLgl w:val="false"/>
      <w:suff w:val="tab"/>
      <w:lvlText w:val="%6."/>
      <w:lvlJc w:val="right"/>
      <w:pPr>
        <w:pStyle w:val="825"/>
        <w:ind w:left="2520" w:hanging="420"/>
        <w:tabs>
          <w:tab w:val="num" w:pos="2520" w:leader="none"/>
        </w:tabs>
      </w:pPr>
    </w:lvl>
    <w:lvl w:ilvl="6">
      <w:start w:val="1"/>
      <w:numFmt w:val="decimal"/>
      <w:isLgl w:val="false"/>
      <w:suff w:val="tab"/>
      <w:lvlText w:val="%7."/>
      <w:lvlJc w:val="left"/>
      <w:pPr>
        <w:pStyle w:val="825"/>
        <w:ind w:left="2940" w:hanging="420"/>
        <w:tabs>
          <w:tab w:val="num" w:pos="2940" w:leader="none"/>
        </w:tabs>
      </w:pPr>
    </w:lvl>
    <w:lvl w:ilvl="7">
      <w:start w:val="1"/>
      <w:numFmt w:val="lowerLetter"/>
      <w:isLgl w:val="false"/>
      <w:suff w:val="tab"/>
      <w:lvlText w:val="%8)"/>
      <w:lvlJc w:val="left"/>
      <w:pPr>
        <w:pStyle w:val="825"/>
        <w:ind w:left="3360" w:hanging="420"/>
        <w:tabs>
          <w:tab w:val="num" w:pos="3360" w:leader="none"/>
        </w:tabs>
      </w:pPr>
    </w:lvl>
    <w:lvl w:ilvl="8">
      <w:start w:val="1"/>
      <w:numFmt w:val="lowerRoman"/>
      <w:isLgl w:val="false"/>
      <w:suff w:val="tab"/>
      <w:lvlText w:val="%9."/>
      <w:lvlJc w:val="right"/>
      <w:pPr>
        <w:pStyle w:val="825"/>
        <w:ind w:left="3780" w:hanging="420"/>
        <w:tabs>
          <w:tab w:val="num" w:pos="3780" w:leader="none"/>
        </w:tabs>
      </w:pPr>
    </w:lvl>
  </w:abstractNum>
  <w:abstractNum w:abstractNumId="21">
    <w:multiLevelType w:val="hybridMultilevel"/>
    <w:lvl w:ilvl="0">
      <w:start w:val="1"/>
      <w:numFmt w:val="bullet"/>
      <w:pStyle w:val="1088"/>
      <w:isLgl w:val="false"/>
      <w:suff w:val="tab"/>
      <w:lvlText w:val=""/>
      <w:lvlJc w:val="left"/>
      <w:pPr>
        <w:pStyle w:val="825"/>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050"/>
      <w:isLgl w:val="false"/>
      <w:suff w:val="tab"/>
      <w:lvlText w:val="%1"/>
      <w:lvlJc w:val="left"/>
      <w:pPr>
        <w:pStyle w:val="825"/>
        <w:ind w:left="567" w:hanging="567"/>
        <w:tabs>
          <w:tab w:val="num" w:pos="567" w:leader="none"/>
        </w:tabs>
      </w:pPr>
      <w:rPr>
        <w:rFonts w:hint="eastAsia"/>
      </w:rPr>
    </w:lvl>
    <w:lvl w:ilvl="1">
      <w:start w:val="1"/>
      <w:numFmt w:val="decimal"/>
      <w:pStyle w:val="1159"/>
      <w:isLgl w:val="false"/>
      <w:suff w:val="tab"/>
      <w:lvlText w:val="%1.%2"/>
      <w:lvlJc w:val="left"/>
      <w:pPr>
        <w:pStyle w:val="825"/>
        <w:ind w:left="567" w:hanging="283"/>
        <w:tabs>
          <w:tab w:val="num" w:pos="1004" w:leader="none"/>
        </w:tabs>
      </w:pPr>
      <w:rPr>
        <w:rFonts w:hint="eastAsia"/>
      </w:rPr>
    </w:lvl>
    <w:lvl w:ilvl="2">
      <w:start w:val="1"/>
      <w:numFmt w:val="decimal"/>
      <w:pStyle w:val="1160"/>
      <w:isLgl w:val="false"/>
      <w:suff w:val="tab"/>
      <w:lvlText w:val="%1.%2.%3"/>
      <w:lvlJc w:val="left"/>
      <w:pPr>
        <w:pStyle w:val="825"/>
        <w:ind w:left="1134" w:hanging="567"/>
        <w:tabs>
          <w:tab w:val="num" w:pos="1647" w:leader="none"/>
        </w:tabs>
      </w:pPr>
      <w:rPr>
        <w:rFonts w:hint="eastAsia"/>
      </w:rPr>
    </w:lvl>
    <w:lvl w:ilvl="3">
      <w:start w:val="1"/>
      <w:numFmt w:val="decimal"/>
      <w:isLgl w:val="false"/>
      <w:suff w:val="tab"/>
      <w:lvlText w:val="%1.%2.%3.%4"/>
      <w:lvlJc w:val="left"/>
      <w:pPr>
        <w:pStyle w:val="825"/>
        <w:ind w:left="2851" w:hanging="708"/>
        <w:tabs>
          <w:tab w:val="num" w:pos="3223" w:leader="none"/>
        </w:tabs>
      </w:pPr>
      <w:rPr>
        <w:rFonts w:hint="eastAsia"/>
      </w:rPr>
    </w:lvl>
    <w:lvl w:ilvl="4">
      <w:start w:val="1"/>
      <w:numFmt w:val="decimal"/>
      <w:isLgl w:val="false"/>
      <w:suff w:val="tab"/>
      <w:lvlText w:val="%1.%2.%3.%4.%5"/>
      <w:lvlJc w:val="left"/>
      <w:pPr>
        <w:pStyle w:val="825"/>
        <w:ind w:left="3418" w:hanging="850"/>
        <w:tabs>
          <w:tab w:val="num" w:pos="3648" w:leader="none"/>
        </w:tabs>
      </w:pPr>
      <w:rPr>
        <w:rFonts w:hint="eastAsia"/>
      </w:rPr>
    </w:lvl>
    <w:lvl w:ilvl="5">
      <w:start w:val="1"/>
      <w:numFmt w:val="decimal"/>
      <w:isLgl w:val="false"/>
      <w:suff w:val="tab"/>
      <w:lvlText w:val="%1.%2.%3.%4.%5.%6"/>
      <w:lvlJc w:val="left"/>
      <w:pPr>
        <w:pStyle w:val="825"/>
        <w:ind w:left="4127" w:hanging="1134"/>
        <w:tabs>
          <w:tab w:val="num" w:pos="4433" w:leader="none"/>
        </w:tabs>
      </w:pPr>
      <w:rPr>
        <w:rFonts w:hint="eastAsia"/>
      </w:rPr>
    </w:lvl>
    <w:lvl w:ilvl="6">
      <w:start w:val="1"/>
      <w:numFmt w:val="decimal"/>
      <w:isLgl w:val="false"/>
      <w:suff w:val="tab"/>
      <w:lvlText w:val="%1.%2.%3.%4.%5.%6.%7"/>
      <w:lvlJc w:val="left"/>
      <w:pPr>
        <w:pStyle w:val="825"/>
        <w:ind w:left="4694" w:hanging="1276"/>
        <w:tabs>
          <w:tab w:val="num" w:pos="4858" w:leader="none"/>
        </w:tabs>
      </w:pPr>
      <w:rPr>
        <w:rFonts w:hint="eastAsia"/>
      </w:rPr>
    </w:lvl>
    <w:lvl w:ilvl="7">
      <w:start w:val="1"/>
      <w:numFmt w:val="decimal"/>
      <w:isLgl w:val="false"/>
      <w:suff w:val="tab"/>
      <w:lvlText w:val="%1.%2.%3.%4.%5.%6.%7.%8"/>
      <w:lvlJc w:val="left"/>
      <w:pPr>
        <w:pStyle w:val="825"/>
        <w:ind w:left="5261" w:hanging="1418"/>
        <w:tabs>
          <w:tab w:val="num" w:pos="5643" w:leader="none"/>
        </w:tabs>
      </w:pPr>
      <w:rPr>
        <w:rFonts w:hint="eastAsia"/>
      </w:rPr>
    </w:lvl>
    <w:lvl w:ilvl="8">
      <w:start w:val="1"/>
      <w:numFmt w:val="decimal"/>
      <w:isLgl w:val="false"/>
      <w:suff w:val="tab"/>
      <w:lvlText w:val="%1.%2.%3.%4.%5.%6.%7.%8.%9"/>
      <w:lvlJc w:val="left"/>
      <w:pPr>
        <w:pStyle w:val="825"/>
        <w:ind w:left="5969" w:hanging="1700"/>
        <w:tabs>
          <w:tab w:val="num" w:pos="6429" w:leader="none"/>
        </w:tabs>
      </w:pPr>
      <w:rPr>
        <w:rFonts w:hint="eastAsia"/>
      </w:rPr>
    </w:lvl>
  </w:abstractNum>
  <w:abstractNum w:abstractNumId="23">
    <w:multiLevelType w:val="hybridMultilevel"/>
    <w:lvl w:ilvl="0">
      <w:start w:val="7"/>
      <w:numFmt w:val="decimal"/>
      <w:isLgl w:val="false"/>
      <w:suff w:val="tab"/>
      <w:lvlText w:val="%1."/>
      <w:lvlJc w:val="left"/>
      <w:pPr>
        <w:pStyle w:val="8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8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pStyle w:val="825"/>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24.%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2.%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3.%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5.%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22.%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6"/>
      <w:numFmt w:val="decimal"/>
      <w:isLgl w:val="false"/>
      <w:suff w:val="nothing"/>
      <w:lvlText w:val="%1、"/>
      <w:lvlJc w:val="left"/>
      <w:pPr>
        <w:pStyle w:val="825"/>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19.2.%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22.2.2.%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9.%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9.1.%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6.%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1.%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20.%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2.%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3.%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space"/>
      <w:lvlText w:val="14.%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21"/>
  </w:num>
  <w:num w:numId="3">
    <w:abstractNumId w:val="19"/>
  </w:num>
  <w:num w:numId="4">
    <w:abstractNumId w:val="20"/>
  </w:num>
  <w:num w:numId="5">
    <w:abstractNumId w:val="6"/>
  </w:num>
  <w:num w:numId="6">
    <w:abstractNumId w:val="12"/>
  </w:num>
  <w:num w:numId="7">
    <w:abstractNumId w:val="41"/>
  </w:num>
  <w:num w:numId="8">
    <w:abstractNumId w:val="42"/>
  </w:num>
  <w:num w:numId="9">
    <w:abstractNumId w:val="0"/>
  </w:num>
  <w:num w:numId="10">
    <w:abstractNumId w:val="2"/>
  </w:num>
  <w:num w:numId="11">
    <w:abstractNumId w:val="15"/>
  </w:num>
  <w:num w:numId="12">
    <w:abstractNumId w:val="7"/>
  </w:num>
  <w:num w:numId="13">
    <w:abstractNumId w:val="31"/>
  </w:num>
  <w:num w:numId="14">
    <w:abstractNumId w:val="38"/>
  </w:num>
  <w:num w:numId="15">
    <w:abstractNumId w:val="9"/>
  </w:num>
  <w:num w:numId="16">
    <w:abstractNumId w:val="32"/>
  </w:num>
  <w:num w:numId="17">
    <w:abstractNumId w:val="39"/>
  </w:num>
  <w:num w:numId="18">
    <w:abstractNumId w:val="44"/>
  </w:num>
  <w:num w:numId="19">
    <w:abstractNumId w:val="16"/>
  </w:num>
  <w:num w:numId="20">
    <w:abstractNumId w:val="3"/>
  </w:num>
  <w:num w:numId="21">
    <w:abstractNumId w:val="14"/>
  </w:num>
  <w:num w:numId="22">
    <w:abstractNumId w:val="36"/>
  </w:num>
  <w:num w:numId="23">
    <w:abstractNumId w:val="37"/>
  </w:num>
  <w:num w:numId="24">
    <w:abstractNumId w:val="34"/>
  </w:num>
  <w:num w:numId="25">
    <w:abstractNumId w:val="40"/>
  </w:num>
  <w:num w:numId="26">
    <w:abstractNumId w:val="13"/>
  </w:num>
  <w:num w:numId="27">
    <w:abstractNumId w:val="8"/>
  </w:num>
  <w:num w:numId="28">
    <w:abstractNumId w:val="30"/>
  </w:num>
  <w:num w:numId="29">
    <w:abstractNumId w:val="27"/>
  </w:num>
  <w:num w:numId="30">
    <w:abstractNumId w:val="25"/>
  </w:num>
  <w:num w:numId="31">
    <w:abstractNumId w:val="1"/>
  </w:num>
  <w:num w:numId="32">
    <w:abstractNumId w:val="43"/>
  </w:num>
  <w:num w:numId="33">
    <w:abstractNumId w:val="35"/>
  </w:num>
  <w:num w:numId="34">
    <w:abstractNumId w:val="33"/>
  </w:num>
  <w:num w:numId="35">
    <w:abstractNumId w:val="4"/>
  </w:num>
  <w:num w:numId="36">
    <w:abstractNumId w:val="28"/>
  </w:num>
  <w:num w:numId="37">
    <w:abstractNumId w:val="10"/>
  </w:num>
  <w:num w:numId="38">
    <w:abstractNumId w:val="26"/>
  </w:num>
  <w:num w:numId="39">
    <w:abstractNumId w:val="29"/>
  </w:num>
  <w:num w:numId="40">
    <w:abstractNumId w:val="5"/>
  </w:num>
  <w:num w:numId="41">
    <w:abstractNumId w:val="17"/>
  </w:num>
  <w:num w:numId="42">
    <w:abstractNumId w:val="11"/>
  </w:num>
  <w:num w:numId="43">
    <w:abstractNumId w:val="18"/>
  </w:num>
  <w:num w:numId="44">
    <w:abstractNumId w:val="23"/>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5"/>
    <w:next w:val="8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5"/>
    <w:next w:val="82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5"/>
    <w:next w:val="8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5"/>
    <w:next w:val="8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5"/>
    <w:next w:val="8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5"/>
    <w:next w:val="8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5"/>
    <w:next w:val="8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5"/>
    <w:next w:val="8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5"/>
    <w:next w:val="8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25"/>
    <w:next w:val="82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5"/>
    <w:next w:val="82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5"/>
    <w:next w:val="825"/>
    <w:link w:val="38"/>
    <w:uiPriority w:val="29"/>
    <w:qFormat/>
    <w:pPr>
      <w:ind w:left="720" w:right="720"/>
    </w:pPr>
    <w:rPr>
      <w:i/>
    </w:rPr>
  </w:style>
  <w:style w:type="character" w:styleId="38">
    <w:name w:val="Quote Char"/>
    <w:link w:val="37"/>
    <w:uiPriority w:val="29"/>
    <w:rPr>
      <w:i/>
    </w:rPr>
  </w:style>
  <w:style w:type="paragraph" w:styleId="39">
    <w:name w:val="Intense Quote"/>
    <w:basedOn w:val="825"/>
    <w:next w:val="8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5"/>
    <w:next w:val="82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5"/>
    <w:next w:val="825"/>
    <w:uiPriority w:val="39"/>
    <w:unhideWhenUsed/>
    <w:pPr>
      <w:ind w:left="0" w:right="0" w:firstLine="0"/>
      <w:spacing w:after="57"/>
    </w:pPr>
  </w:style>
  <w:style w:type="paragraph" w:styleId="181">
    <w:name w:val="toc 2"/>
    <w:basedOn w:val="825"/>
    <w:next w:val="825"/>
    <w:uiPriority w:val="39"/>
    <w:unhideWhenUsed/>
    <w:pPr>
      <w:ind w:left="283" w:right="0" w:firstLine="0"/>
      <w:spacing w:after="57"/>
    </w:pPr>
  </w:style>
  <w:style w:type="paragraph" w:styleId="182">
    <w:name w:val="toc 3"/>
    <w:basedOn w:val="825"/>
    <w:next w:val="825"/>
    <w:uiPriority w:val="39"/>
    <w:unhideWhenUsed/>
    <w:pPr>
      <w:ind w:left="567" w:right="0" w:firstLine="0"/>
      <w:spacing w:after="57"/>
    </w:pPr>
  </w:style>
  <w:style w:type="paragraph" w:styleId="183">
    <w:name w:val="toc 4"/>
    <w:basedOn w:val="825"/>
    <w:next w:val="825"/>
    <w:uiPriority w:val="39"/>
    <w:unhideWhenUsed/>
    <w:pPr>
      <w:ind w:left="850" w:right="0" w:firstLine="0"/>
      <w:spacing w:after="57"/>
    </w:pPr>
  </w:style>
  <w:style w:type="paragraph" w:styleId="184">
    <w:name w:val="toc 5"/>
    <w:basedOn w:val="825"/>
    <w:next w:val="825"/>
    <w:uiPriority w:val="39"/>
    <w:unhideWhenUsed/>
    <w:pPr>
      <w:ind w:left="1134" w:right="0" w:firstLine="0"/>
      <w:spacing w:after="57"/>
    </w:pPr>
  </w:style>
  <w:style w:type="paragraph" w:styleId="185">
    <w:name w:val="toc 6"/>
    <w:basedOn w:val="825"/>
    <w:next w:val="825"/>
    <w:uiPriority w:val="39"/>
    <w:unhideWhenUsed/>
    <w:pPr>
      <w:ind w:left="1417" w:right="0" w:firstLine="0"/>
      <w:spacing w:after="57"/>
    </w:pPr>
  </w:style>
  <w:style w:type="paragraph" w:styleId="186">
    <w:name w:val="toc 7"/>
    <w:basedOn w:val="825"/>
    <w:next w:val="825"/>
    <w:uiPriority w:val="39"/>
    <w:unhideWhenUsed/>
    <w:pPr>
      <w:ind w:left="1701" w:right="0" w:firstLine="0"/>
      <w:spacing w:after="57"/>
    </w:pPr>
  </w:style>
  <w:style w:type="paragraph" w:styleId="187">
    <w:name w:val="toc 8"/>
    <w:basedOn w:val="825"/>
    <w:next w:val="825"/>
    <w:uiPriority w:val="39"/>
    <w:unhideWhenUsed/>
    <w:pPr>
      <w:ind w:left="1984" w:right="0" w:firstLine="0"/>
      <w:spacing w:after="57"/>
    </w:pPr>
  </w:style>
  <w:style w:type="paragraph" w:styleId="188">
    <w:name w:val="toc 9"/>
    <w:basedOn w:val="825"/>
    <w:next w:val="8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5"/>
    <w:next w:val="825"/>
    <w:uiPriority w:val="99"/>
    <w:unhideWhenUsed/>
    <w:pPr>
      <w:spacing w:after="0" w:afterAutospacing="0"/>
    </w:pPr>
  </w:style>
  <w:style w:type="paragraph" w:styleId="825" w:default="1">
    <w:name w:val="Normal"/>
    <w:next w:val="825"/>
    <w:link w:val="825"/>
    <w:qFormat/>
    <w:pPr>
      <w:jc w:val="both"/>
      <w:spacing w:before="120" w:after="120" w:line="360" w:lineRule="auto"/>
      <w:widowControl w:val="off"/>
    </w:pPr>
    <w:rPr>
      <w:rFonts w:eastAsia="微软雅黑"/>
      <w:sz w:val="21"/>
      <w:lang w:val="en-US" w:eastAsia="zh-CN" w:bidi="ar-SA"/>
    </w:rPr>
  </w:style>
  <w:style w:type="paragraph" w:styleId="826">
    <w:name w:val="标题 1"/>
    <w:basedOn w:val="825"/>
    <w:next w:val="825"/>
    <w:link w:val="837"/>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827">
    <w:name w:val="标题 2"/>
    <w:basedOn w:val="825"/>
    <w:next w:val="825"/>
    <w:link w:val="838"/>
    <w:qFormat/>
    <w:pPr>
      <w:jc w:val="left"/>
      <w:keepLines/>
      <w:keepNext/>
      <w:outlineLvl w:val="1"/>
    </w:pPr>
    <w:rPr>
      <w:rFonts w:ascii="宋体" w:hAnsi="宋体"/>
      <w:b/>
      <w:sz w:val="28"/>
      <w:szCs w:val="24"/>
    </w:rPr>
  </w:style>
  <w:style w:type="paragraph" w:styleId="828">
    <w:name w:val="标题 3"/>
    <w:basedOn w:val="825"/>
    <w:next w:val="825"/>
    <w:link w:val="839"/>
    <w:qFormat/>
    <w:pPr>
      <w:keepLines/>
      <w:keepNext/>
      <w:spacing w:line="390" w:lineRule="atLeast"/>
      <w:shd w:val="clear" w:color="auto" w:fill="ffffff"/>
      <w:outlineLvl w:val="2"/>
    </w:pPr>
    <w:rPr>
      <w:rFonts w:ascii="宋体" w:hAnsi="宋体"/>
      <w:b/>
      <w:sz w:val="24"/>
      <w:szCs w:val="21"/>
    </w:rPr>
  </w:style>
  <w:style w:type="paragraph" w:styleId="829">
    <w:name w:val="标题 4"/>
    <w:basedOn w:val="825"/>
    <w:next w:val="825"/>
    <w:link w:val="840"/>
    <w:qFormat/>
    <w:pPr>
      <w:keepLines/>
      <w:keepNext/>
      <w:spacing w:before="120" w:after="120"/>
      <w:outlineLvl w:val="3"/>
    </w:pPr>
    <w:rPr>
      <w:rFonts w:ascii="Arial" w:hAnsi="Arial" w:eastAsia="黑体"/>
      <w:b/>
      <w:sz w:val="28"/>
    </w:rPr>
  </w:style>
  <w:style w:type="paragraph" w:styleId="830">
    <w:name w:val="标题 5"/>
    <w:basedOn w:val="825"/>
    <w:next w:val="842"/>
    <w:link w:val="841"/>
    <w:qFormat/>
    <w:pPr>
      <w:keepNext/>
      <w:spacing w:before="145" w:after="145"/>
      <w:outlineLvl w:val="4"/>
    </w:pPr>
    <w:rPr>
      <w:rFonts w:ascii="黑体" w:eastAsia="黑体"/>
      <w:b/>
      <w:color w:val="000000"/>
      <w:sz w:val="28"/>
    </w:rPr>
  </w:style>
  <w:style w:type="paragraph" w:styleId="831">
    <w:name w:val="标题 6"/>
    <w:basedOn w:val="825"/>
    <w:next w:val="825"/>
    <w:link w:val="843"/>
    <w:qFormat/>
    <w:pPr>
      <w:keepLines/>
      <w:keepNext/>
      <w:spacing w:before="240" w:after="64" w:line="320" w:lineRule="auto"/>
      <w:outlineLvl w:val="5"/>
    </w:pPr>
    <w:rPr>
      <w:rFonts w:ascii="Arial" w:hAnsi="Arial" w:eastAsia="黑体"/>
      <w:b/>
      <w:bCs/>
      <w:sz w:val="24"/>
      <w:szCs w:val="24"/>
    </w:rPr>
  </w:style>
  <w:style w:type="paragraph" w:styleId="832">
    <w:name w:val="标题 7"/>
    <w:basedOn w:val="825"/>
    <w:next w:val="825"/>
    <w:link w:val="844"/>
    <w:qFormat/>
    <w:pPr>
      <w:keepLines/>
      <w:keepNext/>
      <w:spacing w:before="240" w:after="64" w:line="320" w:lineRule="auto"/>
      <w:outlineLvl w:val="6"/>
    </w:pPr>
    <w:rPr>
      <w:rFonts w:eastAsia="宋体"/>
      <w:b/>
      <w:bCs/>
      <w:sz w:val="24"/>
      <w:szCs w:val="24"/>
    </w:rPr>
  </w:style>
  <w:style w:type="paragraph" w:styleId="833">
    <w:name w:val="标题 8"/>
    <w:basedOn w:val="825"/>
    <w:next w:val="825"/>
    <w:link w:val="845"/>
    <w:qFormat/>
    <w:pPr>
      <w:keepLines/>
      <w:keepNext/>
      <w:spacing w:before="240" w:after="64" w:line="320" w:lineRule="auto"/>
      <w:outlineLvl w:val="7"/>
    </w:pPr>
    <w:rPr>
      <w:rFonts w:ascii="Arial" w:hAnsi="Arial" w:eastAsia="黑体"/>
      <w:sz w:val="24"/>
      <w:szCs w:val="24"/>
    </w:rPr>
  </w:style>
  <w:style w:type="paragraph" w:styleId="834">
    <w:name w:val="标题 9"/>
    <w:basedOn w:val="825"/>
    <w:next w:val="825"/>
    <w:link w:val="846"/>
    <w:qFormat/>
    <w:pPr>
      <w:keepLines/>
      <w:keepNext/>
      <w:spacing w:before="240" w:after="64" w:line="320" w:lineRule="auto"/>
      <w:outlineLvl w:val="8"/>
    </w:pPr>
    <w:rPr>
      <w:rFonts w:ascii="Arial" w:hAnsi="Arial" w:eastAsia="黑体"/>
      <w:szCs w:val="21"/>
    </w:rPr>
  </w:style>
  <w:style w:type="character" w:styleId="835">
    <w:name w:val="默认段落字体"/>
    <w:next w:val="835"/>
    <w:link w:val="825"/>
    <w:rPr>
      <w:rFonts w:ascii="Times New Roman" w:hAnsi="Times New Roman" w:eastAsia="宋体" w:cs="Times New Roman"/>
    </w:rPr>
  </w:style>
  <w:style w:type="table" w:styleId="836">
    <w:name w:val="普通表格"/>
    <w:next w:val="836"/>
    <w:link w:val="825"/>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837">
    <w:name w:val="标题 1 字符"/>
    <w:next w:val="837"/>
    <w:link w:val="826"/>
    <w:rPr>
      <w:rFonts w:ascii="黑体" w:hAnsi="Times New Roman" w:eastAsia="微软雅黑" w:cs="Times New Roman"/>
      <w:b/>
      <w:sz w:val="32"/>
      <w:szCs w:val="28"/>
    </w:rPr>
  </w:style>
  <w:style w:type="character" w:styleId="838">
    <w:name w:val="标题 2 字符"/>
    <w:next w:val="838"/>
    <w:link w:val="827"/>
    <w:rPr>
      <w:rFonts w:ascii="宋体" w:hAnsi="宋体" w:eastAsia="微软雅黑" w:cs="Times New Roman"/>
      <w:b/>
      <w:sz w:val="28"/>
      <w:szCs w:val="24"/>
    </w:rPr>
  </w:style>
  <w:style w:type="character" w:styleId="839">
    <w:name w:val="标题 3 字符"/>
    <w:next w:val="839"/>
    <w:link w:val="828"/>
    <w:rPr>
      <w:rFonts w:ascii="宋体" w:hAnsi="宋体" w:eastAsia="微软雅黑" w:cs="Times New Roman"/>
      <w:b/>
      <w:sz w:val="24"/>
      <w:szCs w:val="21"/>
      <w:shd w:val="clear" w:color="auto" w:fill="ffffff"/>
    </w:rPr>
  </w:style>
  <w:style w:type="character" w:styleId="840">
    <w:name w:val="标题 4 字符"/>
    <w:next w:val="840"/>
    <w:link w:val="829"/>
    <w:rPr>
      <w:rFonts w:ascii="Arial" w:hAnsi="Arial" w:eastAsia="黑体" w:cs="Times New Roman"/>
      <w:b/>
      <w:sz w:val="28"/>
      <w:lang w:val="en-US" w:eastAsia="zh-CN" w:bidi="ar-SA"/>
    </w:rPr>
  </w:style>
  <w:style w:type="character" w:styleId="841">
    <w:name w:val="标题 5 字符"/>
    <w:next w:val="841"/>
    <w:link w:val="830"/>
    <w:rPr>
      <w:rFonts w:ascii="黑体" w:hAnsi="Times New Roman" w:eastAsia="黑体" w:cs="Times New Roman"/>
      <w:b/>
      <w:color w:val="000000"/>
      <w:sz w:val="28"/>
      <w:lang w:val="en-US" w:eastAsia="zh-CN" w:bidi="ar-SA"/>
    </w:rPr>
  </w:style>
  <w:style w:type="paragraph" w:styleId="842">
    <w:name w:val="正文缩进"/>
    <w:basedOn w:val="825"/>
    <w:next w:val="842"/>
    <w:link w:val="825"/>
    <w:pPr>
      <w:ind w:firstLine="420"/>
    </w:pPr>
    <w:rPr>
      <w:rFonts w:ascii="Times New Roman" w:hAnsi="Times New Roman" w:eastAsia="宋体" w:cs="Times New Roman"/>
    </w:rPr>
  </w:style>
  <w:style w:type="character" w:styleId="843">
    <w:name w:val="标题 6 字符"/>
    <w:next w:val="843"/>
    <w:link w:val="831"/>
    <w:rPr>
      <w:rFonts w:ascii="Arial" w:hAnsi="Arial" w:eastAsia="黑体" w:cs="Times New Roman"/>
      <w:b/>
      <w:bCs/>
      <w:sz w:val="24"/>
      <w:szCs w:val="24"/>
      <w:lang w:val="en-US" w:eastAsia="zh-CN" w:bidi="ar-SA"/>
    </w:rPr>
  </w:style>
  <w:style w:type="character" w:styleId="844">
    <w:name w:val="标题 7 字符"/>
    <w:next w:val="844"/>
    <w:link w:val="832"/>
    <w:rPr>
      <w:rFonts w:ascii="Times New Roman" w:hAnsi="Times New Roman" w:eastAsia="宋体" w:cs="Times New Roman"/>
      <w:b/>
      <w:bCs/>
      <w:sz w:val="24"/>
      <w:szCs w:val="24"/>
      <w:lang w:val="en-US" w:eastAsia="zh-CN" w:bidi="ar-SA"/>
    </w:rPr>
  </w:style>
  <w:style w:type="character" w:styleId="845">
    <w:name w:val="标题 8 字符"/>
    <w:next w:val="845"/>
    <w:link w:val="833"/>
    <w:rPr>
      <w:rFonts w:ascii="Arial" w:hAnsi="Arial" w:eastAsia="黑体" w:cs="Times New Roman"/>
      <w:sz w:val="24"/>
      <w:szCs w:val="24"/>
      <w:lang w:val="en-US" w:eastAsia="zh-CN" w:bidi="ar-SA"/>
    </w:rPr>
  </w:style>
  <w:style w:type="character" w:styleId="846">
    <w:name w:val="标题 9 字符"/>
    <w:next w:val="846"/>
    <w:link w:val="834"/>
    <w:rPr>
      <w:rFonts w:ascii="Arial" w:hAnsi="Arial" w:eastAsia="黑体" w:cs="Times New Roman"/>
      <w:sz w:val="21"/>
      <w:szCs w:val="21"/>
      <w:lang w:val="en-US" w:eastAsia="zh-CN" w:bidi="ar-SA"/>
    </w:rPr>
  </w:style>
  <w:style w:type="paragraph" w:styleId="847">
    <w:name w:val="列表 3"/>
    <w:basedOn w:val="825"/>
    <w:next w:val="847"/>
    <w:link w:val="825"/>
    <w:pPr>
      <w:ind w:left="1260" w:hanging="420"/>
    </w:pPr>
    <w:rPr>
      <w:rFonts w:ascii="Times New Roman" w:hAnsi="Times New Roman" w:eastAsia="宋体" w:cs="Times New Roman"/>
    </w:rPr>
  </w:style>
  <w:style w:type="paragraph" w:styleId="848">
    <w:name w:val="目录 7"/>
    <w:basedOn w:val="825"/>
    <w:next w:val="825"/>
    <w:link w:val="825"/>
    <w:pPr>
      <w:ind w:left="1680"/>
      <w:jc w:val="left"/>
      <w:spacing w:before="0" w:after="0"/>
    </w:pPr>
    <w:rPr>
      <w:rFonts w:ascii="Calibri" w:hAnsi="Calibri" w:eastAsia="宋体" w:cs="Times New Roman"/>
      <w:sz w:val="18"/>
      <w:szCs w:val="18"/>
    </w:rPr>
  </w:style>
  <w:style w:type="paragraph" w:styleId="849">
    <w:name w:val="列表编号 2"/>
    <w:basedOn w:val="825"/>
    <w:next w:val="849"/>
    <w:link w:val="825"/>
    <w:pPr>
      <w:ind w:left="1440" w:hanging="1440"/>
      <w:spacing w:line="360" w:lineRule="auto"/>
      <w:tabs>
        <w:tab w:val="left" w:pos="1440" w:leader="none"/>
      </w:tabs>
    </w:pPr>
    <w:rPr>
      <w:rFonts w:ascii="Times New Roman" w:hAnsi="Times New Roman" w:eastAsia="宋体" w:cs="Times New Roman"/>
      <w:sz w:val="24"/>
      <w:szCs w:val="24"/>
    </w:rPr>
  </w:style>
  <w:style w:type="paragraph" w:styleId="850">
    <w:name w:val="索引 8"/>
    <w:basedOn w:val="825"/>
    <w:next w:val="825"/>
    <w:link w:val="825"/>
    <w:pPr>
      <w:ind w:left="2940"/>
    </w:pPr>
    <w:rPr>
      <w:rFonts w:ascii="Times New Roman" w:hAnsi="Times New Roman" w:eastAsia="宋体" w:cs="Times New Roman"/>
    </w:rPr>
  </w:style>
  <w:style w:type="paragraph" w:styleId="851">
    <w:name w:val="列表编号"/>
    <w:basedOn w:val="825"/>
    <w:next w:val="851"/>
    <w:link w:val="825"/>
    <w:pPr>
      <w:ind w:left="2952" w:hanging="432"/>
      <w:tabs>
        <w:tab w:val="left" w:pos="2952" w:leader="none"/>
      </w:tabs>
    </w:pPr>
    <w:rPr>
      <w:rFonts w:ascii="Times New Roman" w:hAnsi="Times New Roman" w:eastAsia="宋体" w:cs="Times New Roman"/>
      <w:szCs w:val="24"/>
    </w:rPr>
  </w:style>
  <w:style w:type="paragraph" w:styleId="852">
    <w:name w:val="索引 5"/>
    <w:basedOn w:val="825"/>
    <w:next w:val="825"/>
    <w:link w:val="825"/>
    <w:pPr>
      <w:ind w:left="1680"/>
    </w:pPr>
    <w:rPr>
      <w:rFonts w:ascii="Times New Roman" w:hAnsi="Times New Roman" w:eastAsia="宋体" w:cs="Times New Roman"/>
    </w:rPr>
  </w:style>
  <w:style w:type="paragraph" w:styleId="853">
    <w:name w:val="文档结构图"/>
    <w:basedOn w:val="825"/>
    <w:next w:val="853"/>
    <w:link w:val="854"/>
    <w:pPr>
      <w:shd w:val="clear" w:color="auto" w:fill="000080"/>
    </w:pPr>
    <w:rPr>
      <w:rFonts w:eastAsia="宋体"/>
    </w:rPr>
  </w:style>
  <w:style w:type="character" w:styleId="854">
    <w:name w:val="文档结构图 字符"/>
    <w:next w:val="854"/>
    <w:link w:val="853"/>
    <w:rPr>
      <w:rFonts w:ascii="Times New Roman" w:hAnsi="Times New Roman" w:eastAsia="宋体" w:cs="Times New Roman"/>
      <w:sz w:val="21"/>
      <w:lang w:val="en-US" w:eastAsia="zh-CN" w:bidi="ar-SA"/>
    </w:rPr>
  </w:style>
  <w:style w:type="paragraph" w:styleId="855">
    <w:name w:val="引文目录标题"/>
    <w:basedOn w:val="825"/>
    <w:next w:val="825"/>
    <w:link w:val="825"/>
    <w:uiPriority w:val="99"/>
    <w:qFormat/>
    <w:pPr>
      <w:spacing w:before="120"/>
    </w:pPr>
    <w:rPr>
      <w:rFonts w:ascii="Cambria" w:hAnsi="Cambria"/>
      <w:sz w:val="24"/>
    </w:rPr>
  </w:style>
  <w:style w:type="paragraph" w:styleId="856">
    <w:name w:val="批注文字"/>
    <w:basedOn w:val="825"/>
    <w:next w:val="856"/>
    <w:link w:val="857"/>
    <w:pPr>
      <w:jc w:val="left"/>
    </w:pPr>
    <w:rPr>
      <w:rFonts w:hint="eastAsia" w:ascii="微软雅黑" w:hAnsi="微软雅黑"/>
    </w:rPr>
  </w:style>
  <w:style w:type="character" w:styleId="857">
    <w:name w:val="批注文字 字符"/>
    <w:next w:val="857"/>
    <w:link w:val="856"/>
    <w:rPr>
      <w:rFonts w:hint="eastAsia" w:ascii="微软雅黑" w:hAnsi="微软雅黑" w:eastAsia="微软雅黑" w:cs="微软雅黑"/>
      <w:sz w:val="21"/>
    </w:rPr>
  </w:style>
  <w:style w:type="paragraph" w:styleId="858">
    <w:name w:val="索引 6"/>
    <w:basedOn w:val="825"/>
    <w:next w:val="825"/>
    <w:link w:val="825"/>
    <w:pPr>
      <w:ind w:left="2100"/>
    </w:pPr>
    <w:rPr>
      <w:rFonts w:ascii="Times New Roman" w:hAnsi="Times New Roman" w:eastAsia="宋体" w:cs="Times New Roman"/>
    </w:rPr>
  </w:style>
  <w:style w:type="paragraph" w:styleId="859">
    <w:name w:val="称呼"/>
    <w:basedOn w:val="825"/>
    <w:next w:val="825"/>
    <w:link w:val="825"/>
    <w:rPr>
      <w:rFonts w:ascii="仿宋_GB2312" w:hAnsi="Times New Roman" w:eastAsia="仿宋_GB2312" w:cs="Times New Roman"/>
      <w:sz w:val="28"/>
    </w:rPr>
  </w:style>
  <w:style w:type="paragraph" w:styleId="860">
    <w:name w:val="正文文本 3"/>
    <w:basedOn w:val="825"/>
    <w:next w:val="860"/>
    <w:link w:val="825"/>
    <w:rPr>
      <w:rFonts w:ascii="仿宋_GB2312" w:hAnsi="Arial" w:eastAsia="仿宋_GB2312" w:cs="Times New Roman"/>
      <w:sz w:val="32"/>
    </w:rPr>
  </w:style>
  <w:style w:type="paragraph" w:styleId="861">
    <w:name w:val="正文文本"/>
    <w:basedOn w:val="825"/>
    <w:next w:val="825"/>
    <w:link w:val="825"/>
    <w:rPr>
      <w:rFonts w:ascii="楷体_GB2312" w:hAnsi="Arial" w:eastAsia="楷体_GB2312" w:cs="Times New Roman"/>
      <w:sz w:val="28"/>
    </w:rPr>
  </w:style>
  <w:style w:type="paragraph" w:styleId="862">
    <w:name w:val="正文文本缩进"/>
    <w:basedOn w:val="825"/>
    <w:next w:val="862"/>
    <w:link w:val="863"/>
    <w:pPr>
      <w:ind w:firstLine="645"/>
    </w:pPr>
    <w:rPr>
      <w:rFonts w:ascii="楷体_GB2312" w:eastAsia="楷体_GB2312"/>
      <w:sz w:val="32"/>
    </w:rPr>
  </w:style>
  <w:style w:type="character" w:styleId="863">
    <w:name w:val="正文文本缩进 字符"/>
    <w:next w:val="863"/>
    <w:link w:val="862"/>
    <w:rPr>
      <w:rFonts w:ascii="楷体_GB2312" w:hAnsi="Times New Roman" w:eastAsia="楷体_GB2312" w:cs="Times New Roman"/>
      <w:sz w:val="32"/>
      <w:lang w:val="en-US" w:eastAsia="zh-CN" w:bidi="ar-SA"/>
    </w:rPr>
  </w:style>
  <w:style w:type="paragraph" w:styleId="864">
    <w:name w:val="文本块"/>
    <w:basedOn w:val="825"/>
    <w:next w:val="864"/>
    <w:link w:val="825"/>
    <w:pPr>
      <w:ind w:left="1440" w:right="1440"/>
      <w:spacing w:after="120"/>
    </w:pPr>
    <w:rPr>
      <w:rFonts w:ascii="Times New Roman" w:hAnsi="Times New Roman" w:eastAsia="宋体" w:cs="Times New Roman"/>
    </w:rPr>
  </w:style>
  <w:style w:type="paragraph" w:styleId="865">
    <w:name w:val="索引 4"/>
    <w:basedOn w:val="825"/>
    <w:next w:val="825"/>
    <w:link w:val="825"/>
    <w:pPr>
      <w:ind w:left="1260"/>
    </w:pPr>
    <w:rPr>
      <w:rFonts w:ascii="Times New Roman" w:hAnsi="Times New Roman" w:eastAsia="宋体" w:cs="Times New Roman"/>
    </w:rPr>
  </w:style>
  <w:style w:type="paragraph" w:styleId="866">
    <w:name w:val="目录 5"/>
    <w:basedOn w:val="825"/>
    <w:next w:val="825"/>
    <w:link w:val="825"/>
    <w:pPr>
      <w:ind w:left="1120"/>
      <w:jc w:val="left"/>
      <w:spacing w:before="0" w:after="0"/>
    </w:pPr>
    <w:rPr>
      <w:rFonts w:ascii="Calibri" w:hAnsi="Calibri" w:eastAsia="宋体" w:cs="Times New Roman"/>
      <w:sz w:val="18"/>
      <w:szCs w:val="18"/>
    </w:rPr>
  </w:style>
  <w:style w:type="paragraph" w:styleId="867">
    <w:name w:val="目录 3"/>
    <w:basedOn w:val="825"/>
    <w:next w:val="825"/>
    <w:link w:val="825"/>
    <w:pPr>
      <w:ind w:left="560"/>
      <w:jc w:val="left"/>
      <w:spacing w:before="0" w:after="0"/>
    </w:pPr>
    <w:rPr>
      <w:rFonts w:ascii="Calibri" w:hAnsi="Calibri" w:eastAsia="宋体" w:cs="Times New Roman"/>
      <w:i/>
      <w:iCs/>
      <w:sz w:val="20"/>
    </w:rPr>
  </w:style>
  <w:style w:type="paragraph" w:styleId="868">
    <w:name w:val="纯文本"/>
    <w:basedOn w:val="825"/>
    <w:next w:val="868"/>
    <w:link w:val="869"/>
    <w:rPr>
      <w:rFonts w:ascii="宋体" w:hAnsi="Courier New" w:eastAsia="宋体"/>
    </w:rPr>
  </w:style>
  <w:style w:type="character" w:styleId="869">
    <w:name w:val="纯文本 字符"/>
    <w:next w:val="869"/>
    <w:link w:val="868"/>
    <w:rPr>
      <w:rFonts w:ascii="宋体" w:hAnsi="Courier New" w:eastAsia="宋体" w:cs="Times New Roman"/>
      <w:sz w:val="21"/>
      <w:lang w:val="en-US" w:eastAsia="zh-CN" w:bidi="ar-SA"/>
    </w:rPr>
  </w:style>
  <w:style w:type="paragraph" w:styleId="870">
    <w:name w:val="目录 8"/>
    <w:basedOn w:val="825"/>
    <w:next w:val="825"/>
    <w:link w:val="825"/>
    <w:pPr>
      <w:ind w:left="1960"/>
      <w:jc w:val="left"/>
      <w:spacing w:before="0" w:after="0"/>
    </w:pPr>
    <w:rPr>
      <w:rFonts w:ascii="Calibri" w:hAnsi="Calibri" w:eastAsia="宋体" w:cs="Times New Roman"/>
      <w:sz w:val="18"/>
      <w:szCs w:val="18"/>
    </w:rPr>
  </w:style>
  <w:style w:type="paragraph" w:styleId="871">
    <w:name w:val="索引 3"/>
    <w:basedOn w:val="825"/>
    <w:next w:val="825"/>
    <w:link w:val="825"/>
    <w:pPr>
      <w:ind w:left="840"/>
    </w:pPr>
    <w:rPr>
      <w:rFonts w:ascii="Times New Roman" w:hAnsi="Times New Roman" w:eastAsia="宋体" w:cs="Times New Roman"/>
    </w:rPr>
  </w:style>
  <w:style w:type="paragraph" w:styleId="872">
    <w:name w:val="日期"/>
    <w:basedOn w:val="825"/>
    <w:next w:val="825"/>
    <w:link w:val="825"/>
    <w:pPr>
      <w:ind w:left="100"/>
    </w:pPr>
    <w:rPr>
      <w:rFonts w:ascii="Times New Roman" w:hAnsi="Times New Roman" w:eastAsia="宋体" w:cs="Times New Roman"/>
      <w:sz w:val="28"/>
    </w:rPr>
  </w:style>
  <w:style w:type="paragraph" w:styleId="873">
    <w:name w:val="正文文本缩进 2"/>
    <w:basedOn w:val="825"/>
    <w:next w:val="873"/>
    <w:link w:val="874"/>
    <w:pPr>
      <w:ind w:left="630" w:firstLine="645"/>
    </w:pPr>
    <w:rPr>
      <w:rFonts w:ascii="Arial" w:hAnsi="Arial" w:eastAsia="仿宋_GB2312"/>
      <w:sz w:val="32"/>
    </w:rPr>
  </w:style>
  <w:style w:type="character" w:styleId="874">
    <w:name w:val="正文文本缩进 2 字符"/>
    <w:next w:val="874"/>
    <w:link w:val="873"/>
    <w:rPr>
      <w:rFonts w:ascii="Arial" w:hAnsi="Arial" w:eastAsia="仿宋_GB2312" w:cs="Times New Roman"/>
      <w:sz w:val="32"/>
      <w:lang w:val="en-US" w:eastAsia="zh-CN" w:bidi="ar-SA"/>
    </w:rPr>
  </w:style>
  <w:style w:type="paragraph" w:styleId="875">
    <w:name w:val="尾注文本"/>
    <w:basedOn w:val="825"/>
    <w:next w:val="875"/>
    <w:link w:val="825"/>
    <w:pPr>
      <w:jc w:val="left"/>
    </w:pPr>
    <w:rPr>
      <w:rFonts w:ascii="Times New Roman" w:hAnsi="Times New Roman" w:eastAsia="宋体" w:cs="Times New Roman"/>
      <w:sz w:val="20"/>
      <w:szCs w:val="24"/>
    </w:rPr>
  </w:style>
  <w:style w:type="paragraph" w:styleId="876">
    <w:name w:val="批注框文本"/>
    <w:basedOn w:val="825"/>
    <w:next w:val="876"/>
    <w:link w:val="825"/>
    <w:rPr>
      <w:rFonts w:ascii="Times New Roman" w:hAnsi="Times New Roman" w:eastAsia="宋体" w:cs="Times New Roman"/>
      <w:sz w:val="18"/>
      <w:szCs w:val="18"/>
    </w:rPr>
  </w:style>
  <w:style w:type="paragraph" w:styleId="877">
    <w:name w:val="页脚"/>
    <w:basedOn w:val="825"/>
    <w:next w:val="877"/>
    <w:link w:val="878"/>
    <w:pPr>
      <w:jc w:val="left"/>
      <w:tabs>
        <w:tab w:val="center" w:pos="4153" w:leader="none"/>
        <w:tab w:val="right" w:pos="8306" w:leader="none"/>
      </w:tabs>
    </w:pPr>
    <w:rPr>
      <w:rFonts w:eastAsia="宋体"/>
      <w:sz w:val="18"/>
    </w:rPr>
  </w:style>
  <w:style w:type="character" w:styleId="878">
    <w:name w:val="页脚 字符"/>
    <w:next w:val="878"/>
    <w:link w:val="877"/>
    <w:rPr>
      <w:rFonts w:ascii="Times New Roman" w:hAnsi="Times New Roman" w:eastAsia="宋体" w:cs="Times New Roman"/>
      <w:sz w:val="18"/>
    </w:rPr>
  </w:style>
  <w:style w:type="paragraph" w:styleId="879">
    <w:name w:val="寄信人地址"/>
    <w:basedOn w:val="825"/>
    <w:next w:val="879"/>
    <w:link w:val="825"/>
    <w:rPr>
      <w:rFonts w:ascii="Arial" w:hAnsi="Arial" w:eastAsia="宋体" w:cs="Times New Roman"/>
    </w:rPr>
  </w:style>
  <w:style w:type="paragraph" w:styleId="880">
    <w:name w:val="页眉"/>
    <w:basedOn w:val="825"/>
    <w:next w:val="880"/>
    <w:link w:val="825"/>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881">
    <w:name w:val="签名"/>
    <w:basedOn w:val="825"/>
    <w:next w:val="881"/>
    <w:link w:val="825"/>
    <w:pPr>
      <w:jc w:val="center"/>
      <w:spacing w:after="600" w:line="312" w:lineRule="atLeast"/>
    </w:pPr>
    <w:rPr>
      <w:rFonts w:ascii="Times New Roman" w:hAnsi="Times New Roman" w:eastAsia="仿宋_GB2312" w:cs="Times New Roman"/>
      <w:sz w:val="24"/>
    </w:rPr>
  </w:style>
  <w:style w:type="paragraph" w:styleId="882">
    <w:name w:val="目录 1"/>
    <w:basedOn w:val="825"/>
    <w:next w:val="825"/>
    <w:link w:val="825"/>
    <w:pPr>
      <w:jc w:val="left"/>
    </w:pPr>
    <w:rPr>
      <w:rFonts w:ascii="Calibri" w:hAnsi="Calibri" w:eastAsia="宋体" w:cs="Times New Roman"/>
      <w:b/>
      <w:bCs/>
      <w:caps/>
      <w:sz w:val="20"/>
    </w:rPr>
  </w:style>
  <w:style w:type="paragraph" w:styleId="883">
    <w:name w:val="目录 4"/>
    <w:basedOn w:val="825"/>
    <w:next w:val="825"/>
    <w:link w:val="825"/>
    <w:pPr>
      <w:ind w:left="840"/>
      <w:jc w:val="left"/>
      <w:spacing w:before="0" w:after="0"/>
    </w:pPr>
    <w:rPr>
      <w:rFonts w:ascii="Calibri" w:hAnsi="Calibri" w:eastAsia="宋体" w:cs="Times New Roman"/>
      <w:sz w:val="18"/>
      <w:szCs w:val="18"/>
    </w:rPr>
  </w:style>
  <w:style w:type="paragraph" w:styleId="884">
    <w:name w:val="索引标题"/>
    <w:basedOn w:val="825"/>
    <w:next w:val="885"/>
    <w:link w:val="825"/>
    <w:rPr>
      <w:rFonts w:ascii="Times New Roman" w:hAnsi="Times New Roman" w:eastAsia="宋体" w:cs="Times New Roman"/>
    </w:rPr>
  </w:style>
  <w:style w:type="paragraph" w:styleId="885">
    <w:name w:val="索引 1"/>
    <w:basedOn w:val="825"/>
    <w:next w:val="825"/>
    <w:link w:val="825"/>
    <w:rPr>
      <w:rFonts w:ascii="仿宋_GB2312" w:hAnsi="宋体" w:eastAsia="仿宋_GB2312" w:cs="Times New Roman"/>
      <w:sz w:val="30"/>
      <w:szCs w:val="24"/>
    </w:rPr>
  </w:style>
  <w:style w:type="paragraph" w:styleId="886">
    <w:name w:val="副标题"/>
    <w:basedOn w:val="825"/>
    <w:next w:val="825"/>
    <w:link w:val="825"/>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887">
    <w:name w:val="脚注文本"/>
    <w:basedOn w:val="825"/>
    <w:next w:val="887"/>
    <w:link w:val="825"/>
    <w:pPr>
      <w:jc w:val="left"/>
    </w:pPr>
    <w:rPr>
      <w:rFonts w:ascii="Times New Roman" w:hAnsi="Times New Roman" w:eastAsia="宋体" w:cs="Times New Roman"/>
      <w:sz w:val="18"/>
      <w:szCs w:val="18"/>
    </w:rPr>
  </w:style>
  <w:style w:type="paragraph" w:styleId="888">
    <w:name w:val="目录 6"/>
    <w:basedOn w:val="825"/>
    <w:next w:val="825"/>
    <w:link w:val="825"/>
    <w:pPr>
      <w:ind w:left="1400"/>
      <w:jc w:val="left"/>
      <w:spacing w:before="0" w:after="0"/>
    </w:pPr>
    <w:rPr>
      <w:rFonts w:ascii="Calibri" w:hAnsi="Calibri" w:eastAsia="宋体" w:cs="Times New Roman"/>
      <w:sz w:val="18"/>
      <w:szCs w:val="18"/>
    </w:rPr>
  </w:style>
  <w:style w:type="paragraph" w:styleId="889">
    <w:name w:val="正文文本缩进 3"/>
    <w:basedOn w:val="825"/>
    <w:next w:val="889"/>
    <w:link w:val="890"/>
    <w:pPr>
      <w:ind w:left="645" w:firstLine="645"/>
    </w:pPr>
    <w:rPr>
      <w:rFonts w:ascii="Arial" w:hAnsi="Arial" w:eastAsia="仿宋_GB2312"/>
      <w:color w:val="ffff00"/>
      <w:sz w:val="32"/>
    </w:rPr>
  </w:style>
  <w:style w:type="character" w:styleId="890">
    <w:name w:val="正文文本缩进 3 字符"/>
    <w:next w:val="890"/>
    <w:link w:val="889"/>
    <w:rPr>
      <w:rFonts w:ascii="Arial" w:hAnsi="Arial" w:eastAsia="仿宋_GB2312" w:cs="Times New Roman"/>
      <w:color w:val="ffff00"/>
      <w:sz w:val="32"/>
      <w:lang w:val="en-US" w:eastAsia="zh-CN" w:bidi="ar-SA"/>
    </w:rPr>
  </w:style>
  <w:style w:type="paragraph" w:styleId="891">
    <w:name w:val="索引 7"/>
    <w:basedOn w:val="825"/>
    <w:next w:val="825"/>
    <w:link w:val="825"/>
    <w:pPr>
      <w:ind w:left="2520"/>
    </w:pPr>
    <w:rPr>
      <w:rFonts w:ascii="Times New Roman" w:hAnsi="Times New Roman" w:eastAsia="宋体" w:cs="Times New Roman"/>
    </w:rPr>
  </w:style>
  <w:style w:type="paragraph" w:styleId="892">
    <w:name w:val="索引 9"/>
    <w:basedOn w:val="825"/>
    <w:next w:val="825"/>
    <w:link w:val="825"/>
    <w:pPr>
      <w:ind w:left="3360"/>
    </w:pPr>
    <w:rPr>
      <w:rFonts w:ascii="Times New Roman" w:hAnsi="Times New Roman" w:eastAsia="宋体" w:cs="Times New Roman"/>
    </w:rPr>
  </w:style>
  <w:style w:type="paragraph" w:styleId="893">
    <w:name w:val="图表目录"/>
    <w:basedOn w:val="825"/>
    <w:next w:val="825"/>
    <w:link w:val="825"/>
    <w:pPr>
      <w:ind w:left="840" w:hanging="420"/>
    </w:pPr>
    <w:rPr>
      <w:rFonts w:ascii="Times New Roman" w:hAnsi="Times New Roman" w:eastAsia="宋体" w:cs="Times New Roman"/>
    </w:rPr>
  </w:style>
  <w:style w:type="paragraph" w:styleId="894">
    <w:name w:val="目录 2"/>
    <w:basedOn w:val="825"/>
    <w:next w:val="825"/>
    <w:link w:val="825"/>
    <w:pPr>
      <w:ind w:left="280"/>
      <w:jc w:val="left"/>
      <w:spacing w:before="0" w:after="0"/>
    </w:pPr>
    <w:rPr>
      <w:rFonts w:ascii="Calibri" w:hAnsi="Calibri" w:eastAsia="宋体" w:cs="Times New Roman"/>
      <w:smallCaps/>
      <w:sz w:val="20"/>
    </w:rPr>
  </w:style>
  <w:style w:type="paragraph" w:styleId="895">
    <w:name w:val="目录 9"/>
    <w:basedOn w:val="825"/>
    <w:next w:val="825"/>
    <w:link w:val="825"/>
    <w:pPr>
      <w:ind w:left="2240"/>
      <w:jc w:val="left"/>
      <w:spacing w:before="0" w:after="0"/>
    </w:pPr>
    <w:rPr>
      <w:rFonts w:ascii="Calibri" w:hAnsi="Calibri" w:eastAsia="宋体" w:cs="Times New Roman"/>
      <w:sz w:val="18"/>
      <w:szCs w:val="18"/>
    </w:rPr>
  </w:style>
  <w:style w:type="paragraph" w:styleId="896">
    <w:name w:val="正文文本 2"/>
    <w:basedOn w:val="825"/>
    <w:next w:val="896"/>
    <w:link w:val="825"/>
    <w:pPr>
      <w:jc w:val="center"/>
      <w:widowControl/>
    </w:pPr>
    <w:rPr>
      <w:rFonts w:ascii="楷体_GB2312" w:hAnsi="Times New Roman" w:eastAsia="楷体_GB2312" w:cs="Times New Roman"/>
      <w:sz w:val="28"/>
    </w:rPr>
  </w:style>
  <w:style w:type="paragraph" w:styleId="897">
    <w:name w:val="HTML 预设格式"/>
    <w:basedOn w:val="825"/>
    <w:next w:val="897"/>
    <w:link w:val="89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98">
    <w:name w:val="HTML 预设格式 字符"/>
    <w:next w:val="898"/>
    <w:link w:val="897"/>
    <w:rPr>
      <w:rFonts w:ascii="黑体" w:hAnsi="Courier New" w:eastAsia="黑体" w:cs="Courier New"/>
      <w:lang w:val="en-US" w:eastAsia="zh-CN" w:bidi="ar-SA"/>
    </w:rPr>
  </w:style>
  <w:style w:type="paragraph" w:styleId="899">
    <w:name w:val="普通(网站)"/>
    <w:basedOn w:val="825"/>
    <w:next w:val="899"/>
    <w:link w:val="825"/>
    <w:pPr>
      <w:jc w:val="left"/>
      <w:spacing w:before="100" w:beforeAutospacing="1" w:after="100" w:afterAutospacing="1"/>
      <w:widowControl/>
    </w:pPr>
    <w:rPr>
      <w:rFonts w:ascii="Arial" w:hAnsi="Arial" w:eastAsia="Arial Unicode MS" w:cs="Arial"/>
      <w:sz w:val="24"/>
      <w:szCs w:val="24"/>
    </w:rPr>
  </w:style>
  <w:style w:type="paragraph" w:styleId="900">
    <w:name w:val="索引 2"/>
    <w:basedOn w:val="825"/>
    <w:next w:val="825"/>
    <w:link w:val="825"/>
    <w:pPr>
      <w:ind w:left="420"/>
    </w:pPr>
    <w:rPr>
      <w:rFonts w:ascii="Times New Roman" w:hAnsi="Times New Roman" w:eastAsia="宋体" w:cs="Times New Roman"/>
    </w:rPr>
  </w:style>
  <w:style w:type="paragraph" w:styleId="901">
    <w:name w:val="标题"/>
    <w:basedOn w:val="825"/>
    <w:next w:val="901"/>
    <w:link w:val="902"/>
    <w:qFormat/>
    <w:pPr>
      <w:jc w:val="center"/>
      <w:spacing w:line="480" w:lineRule="auto"/>
      <w:widowControl/>
    </w:pPr>
    <w:rPr>
      <w:rFonts w:ascii="微软雅黑" w:hAnsi="微软雅黑"/>
      <w:sz w:val="36"/>
      <w:szCs w:val="24"/>
      <w:lang w:val="zh-CN"/>
    </w:rPr>
  </w:style>
  <w:style w:type="character" w:styleId="902">
    <w:name w:val="标题 字符"/>
    <w:next w:val="902"/>
    <w:link w:val="901"/>
    <w:rPr>
      <w:rFonts w:ascii="微软雅黑" w:hAnsi="微软雅黑" w:eastAsia="微软雅黑" w:cs="Times New Roman"/>
      <w:sz w:val="36"/>
      <w:szCs w:val="24"/>
      <w:lang w:val="zh-CN"/>
    </w:rPr>
  </w:style>
  <w:style w:type="paragraph" w:styleId="903">
    <w:name w:val="批注主题"/>
    <w:basedOn w:val="856"/>
    <w:next w:val="856"/>
    <w:link w:val="904"/>
    <w:rPr>
      <w:rFonts w:ascii="Times New Roman" w:hAnsi="Times New Roman" w:eastAsia="宋体"/>
      <w:b/>
      <w:bCs/>
    </w:rPr>
  </w:style>
  <w:style w:type="character" w:styleId="904">
    <w:name w:val="批注主题 字符"/>
    <w:next w:val="904"/>
    <w:link w:val="903"/>
    <w:rPr>
      <w:rFonts w:ascii="Times New Roman" w:hAnsi="Times New Roman" w:eastAsia="宋体" w:cs="Times New Roman"/>
      <w:b/>
      <w:bCs/>
      <w:sz w:val="21"/>
      <w:lang w:val="en-US" w:eastAsia="zh-CN" w:bidi="ar-SA"/>
    </w:rPr>
  </w:style>
  <w:style w:type="paragraph" w:styleId="905">
    <w:name w:val="正文首行缩进"/>
    <w:basedOn w:val="861"/>
    <w:next w:val="906"/>
    <w:link w:val="825"/>
    <w:pPr>
      <w:ind w:firstLine="420"/>
      <w:spacing w:after="120"/>
    </w:pPr>
    <w:rPr>
      <w:rFonts w:ascii="Times New Roman" w:hAnsi="Times New Roman" w:eastAsia="宋体" w:cs="Times New Roman"/>
      <w:sz w:val="21"/>
      <w:szCs w:val="24"/>
    </w:rPr>
  </w:style>
  <w:style w:type="paragraph" w:styleId="906">
    <w:name w:val="正文首行缩进 2"/>
    <w:basedOn w:val="862"/>
    <w:next w:val="906"/>
    <w:link w:val="825"/>
    <w:pPr>
      <w:ind w:left="420" w:firstLine="420"/>
      <w:spacing w:after="120" w:line="240" w:lineRule="auto"/>
    </w:pPr>
    <w:rPr>
      <w:rFonts w:ascii="Times New Roman" w:hAnsi="Times New Roman" w:eastAsia="宋体" w:cs="Times New Roman"/>
      <w:sz w:val="21"/>
    </w:rPr>
  </w:style>
  <w:style w:type="table" w:styleId="907">
    <w:name w:val="网格型"/>
    <w:basedOn w:val="836"/>
    <w:next w:val="907"/>
    <w:link w:val="825"/>
    <w:pPr>
      <w:jc w:val="both"/>
      <w:widowControl w:val="off"/>
    </w:pPr>
    <w:rPr>
      <w:rFonts w:ascii="Times New Roman" w:hAnsi="Times New Roman" w:eastAsia="宋体" w:cs="Times New Roman"/>
    </w:rPr>
    <w:tblPr/>
  </w:style>
  <w:style w:type="character" w:styleId="908">
    <w:name w:val="要点"/>
    <w:next w:val="908"/>
    <w:link w:val="825"/>
    <w:qFormat/>
    <w:rPr>
      <w:rFonts w:ascii="Times New Roman" w:hAnsi="Times New Roman" w:eastAsia="宋体" w:cs="Times New Roman"/>
      <w:b/>
      <w:bCs/>
    </w:rPr>
  </w:style>
  <w:style w:type="character" w:styleId="909">
    <w:name w:val="尾注引用"/>
    <w:next w:val="909"/>
    <w:link w:val="825"/>
    <w:rPr>
      <w:rFonts w:ascii="Times New Roman" w:hAnsi="Times New Roman" w:eastAsia="宋体" w:cs="Times New Roman"/>
      <w:b w:val="0"/>
      <w:bCs w:val="0"/>
      <w:i w:val="0"/>
      <w:iCs w:val="0"/>
      <w:vertAlign w:val="superscript"/>
    </w:rPr>
  </w:style>
  <w:style w:type="character" w:styleId="910">
    <w:name w:val="页码"/>
    <w:next w:val="910"/>
    <w:link w:val="825"/>
    <w:rPr>
      <w:rFonts w:ascii="Times New Roman" w:hAnsi="Times New Roman" w:eastAsia="宋体" w:cs="Times New Roman"/>
    </w:rPr>
  </w:style>
  <w:style w:type="character" w:styleId="911">
    <w:name w:val="已访问的超链接"/>
    <w:next w:val="911"/>
    <w:link w:val="825"/>
    <w:rPr>
      <w:rFonts w:ascii="Times New Roman" w:hAnsi="Times New Roman" w:eastAsia="宋体" w:cs="Times New Roman"/>
      <w:color w:val="0076be"/>
      <w:u w:val="none"/>
    </w:rPr>
  </w:style>
  <w:style w:type="character" w:styleId="912">
    <w:name w:val="强调"/>
    <w:next w:val="912"/>
    <w:link w:val="825"/>
    <w:qFormat/>
    <w:rPr>
      <w:rFonts w:ascii="Times New Roman" w:hAnsi="Times New Roman" w:eastAsia="宋体" w:cs="Times New Roman"/>
      <w:b/>
      <w:bCs/>
      <w:i/>
      <w:iCs/>
      <w:spacing w:val="10"/>
      <w:shd w:val="clear" w:color="auto" w:fill="auto"/>
    </w:rPr>
  </w:style>
  <w:style w:type="character" w:styleId="913">
    <w:name w:val="行号"/>
    <w:next w:val="913"/>
    <w:link w:val="825"/>
    <w:rPr>
      <w:rFonts w:ascii="Times New Roman" w:hAnsi="Times New Roman" w:eastAsia="宋体" w:cs="Times New Roman"/>
    </w:rPr>
  </w:style>
  <w:style w:type="character" w:styleId="914">
    <w:name w:val="HTML 定义"/>
    <w:next w:val="914"/>
    <w:link w:val="825"/>
    <w:rPr>
      <w:rFonts w:ascii="Times New Roman" w:hAnsi="Times New Roman" w:eastAsia="宋体" w:cs="Times New Roman"/>
      <w:b w:val="0"/>
      <w:i w:val="0"/>
    </w:rPr>
  </w:style>
  <w:style w:type="character" w:styleId="915">
    <w:name w:val="HTML 打字机"/>
    <w:next w:val="915"/>
    <w:link w:val="825"/>
    <w:rPr>
      <w:rFonts w:ascii="宋体" w:hAnsi="宋体" w:eastAsia="宋体" w:cs="宋体"/>
      <w:b w:val="0"/>
      <w:bCs w:val="0"/>
      <w:i w:val="0"/>
      <w:iCs w:val="0"/>
      <w:sz w:val="24"/>
      <w:szCs w:val="24"/>
    </w:rPr>
  </w:style>
  <w:style w:type="character" w:styleId="916">
    <w:name w:val="HTML 缩写"/>
    <w:next w:val="916"/>
    <w:link w:val="825"/>
    <w:rPr>
      <w:rFonts w:ascii="Times New Roman" w:hAnsi="Times New Roman" w:eastAsia="宋体" w:cs="Times New Roman"/>
    </w:rPr>
  </w:style>
  <w:style w:type="character" w:styleId="917">
    <w:name w:val="HTML 变量"/>
    <w:next w:val="917"/>
    <w:link w:val="825"/>
    <w:rPr>
      <w:rFonts w:ascii="Times New Roman" w:hAnsi="Times New Roman" w:eastAsia="宋体" w:cs="Times New Roman"/>
      <w:b w:val="0"/>
      <w:i w:val="0"/>
    </w:rPr>
  </w:style>
  <w:style w:type="character" w:styleId="918">
    <w:name w:val="超链接"/>
    <w:next w:val="918"/>
    <w:link w:val="825"/>
    <w:rPr>
      <w:rFonts w:ascii="Times New Roman" w:hAnsi="Times New Roman" w:eastAsia="宋体" w:cs="Times New Roman"/>
      <w:color w:val="0076be"/>
      <w:u w:val="none"/>
    </w:rPr>
  </w:style>
  <w:style w:type="character" w:styleId="919">
    <w:name w:val="HTML 代码"/>
    <w:next w:val="919"/>
    <w:link w:val="825"/>
    <w:rPr>
      <w:rFonts w:ascii="Courier New" w:hAnsi="Courier New" w:eastAsia="宋体" w:cs="Times New Roman"/>
      <w:b w:val="0"/>
      <w:i w:val="0"/>
      <w:sz w:val="20"/>
    </w:rPr>
  </w:style>
  <w:style w:type="character" w:styleId="920">
    <w:name w:val="批注引用"/>
    <w:next w:val="920"/>
    <w:link w:val="825"/>
    <w:rPr>
      <w:rFonts w:ascii="Times New Roman" w:hAnsi="Times New Roman" w:eastAsia="宋体" w:cs="Times New Roman"/>
      <w:sz w:val="21"/>
    </w:rPr>
  </w:style>
  <w:style w:type="character" w:styleId="921">
    <w:name w:val="HTML 引文"/>
    <w:next w:val="921"/>
    <w:link w:val="825"/>
    <w:rPr>
      <w:rFonts w:ascii="Times New Roman" w:hAnsi="Times New Roman" w:eastAsia="宋体" w:cs="Times New Roman"/>
      <w:b w:val="0"/>
      <w:i w:val="0"/>
    </w:rPr>
  </w:style>
  <w:style w:type="character" w:styleId="922">
    <w:name w:val="脚注引用"/>
    <w:next w:val="922"/>
    <w:link w:val="825"/>
    <w:rPr>
      <w:rFonts w:ascii="Times New Roman" w:hAnsi="Times New Roman" w:eastAsia="宋体" w:cs="Times New Roman"/>
      <w:vertAlign w:val="superscript"/>
    </w:rPr>
  </w:style>
  <w:style w:type="character" w:styleId="923">
    <w:name w:val="HTML 样本"/>
    <w:next w:val="923"/>
    <w:link w:val="825"/>
    <w:rPr>
      <w:rFonts w:ascii="Courier New" w:hAnsi="宋体" w:eastAsia="宋体" w:cs="Courier New"/>
      <w:b w:val="0"/>
      <w:bCs w:val="0"/>
      <w:i w:val="0"/>
      <w:iCs w:val="0"/>
    </w:rPr>
  </w:style>
  <w:style w:type="paragraph" w:styleId="924">
    <w:name w:val="BodyText1I1"/>
    <w:basedOn w:val="925"/>
    <w:next w:val="825"/>
    <w:link w:val="825"/>
    <w:qFormat/>
    <w:pPr>
      <w:ind w:firstLine="420"/>
      <w:spacing w:after="120"/>
    </w:pPr>
    <w:rPr>
      <w:sz w:val="24"/>
    </w:rPr>
  </w:style>
  <w:style w:type="paragraph" w:styleId="925">
    <w:name w:val="BodyText1"/>
    <w:basedOn w:val="825"/>
    <w:next w:val="925"/>
    <w:link w:val="825"/>
    <w:qFormat/>
    <w:rPr>
      <w:sz w:val="32"/>
    </w:rPr>
  </w:style>
  <w:style w:type="paragraph" w:styleId="926">
    <w:name w:val="Default"/>
    <w:next w:val="926"/>
    <w:link w:val="825"/>
    <w:pPr>
      <w:widowControl w:val="off"/>
    </w:pPr>
    <w:rPr>
      <w:rFonts w:ascii="宋体" w:cs="宋体"/>
      <w:color w:val="000000"/>
      <w:sz w:val="24"/>
      <w:szCs w:val="24"/>
      <w:lang w:val="en-US" w:eastAsia="zh-CN" w:bidi="ar-SA"/>
    </w:rPr>
  </w:style>
  <w:style w:type="paragraph" w:styleId="927">
    <w:name w:val="一级条标题"/>
    <w:basedOn w:val="928"/>
    <w:next w:val="929"/>
    <w:link w:val="825"/>
    <w:qFormat/>
    <w:pPr>
      <w:outlineLvl w:val="2"/>
    </w:pPr>
    <w:rPr>
      <w:rFonts w:ascii="Calibri" w:hAnsi="Calibri" w:eastAsia="黑体" w:cs="Times New Roman"/>
      <w:sz w:val="21"/>
      <w:szCs w:val="21"/>
      <w:lang w:val="en-US" w:eastAsia="zh-CN" w:bidi="ar-SA"/>
    </w:rPr>
  </w:style>
  <w:style w:type="paragraph" w:styleId="928">
    <w:name w:val="章标题"/>
    <w:next w:val="929"/>
    <w:link w:val="825"/>
    <w:pPr>
      <w:jc w:val="both"/>
      <w:spacing w:before="156" w:after="156"/>
      <w:outlineLvl w:val="1"/>
    </w:pPr>
    <w:rPr>
      <w:rFonts w:eastAsia="黑体"/>
      <w:sz w:val="21"/>
      <w:lang w:val="en-US" w:eastAsia="zh-CN" w:bidi="ar-SA"/>
    </w:rPr>
  </w:style>
  <w:style w:type="paragraph" w:styleId="929">
    <w:name w:val="段"/>
    <w:next w:val="825"/>
    <w:link w:val="825"/>
    <w:pPr>
      <w:ind w:firstLine="200"/>
      <w:jc w:val="both"/>
    </w:pPr>
    <w:rPr>
      <w:rFonts w:ascii="宋体"/>
      <w:sz w:val="21"/>
      <w:lang w:val="en-US" w:eastAsia="zh-CN" w:bidi="ar-SA"/>
    </w:rPr>
  </w:style>
  <w:style w:type="paragraph" w:styleId="930">
    <w:name w:val="[Normal]"/>
    <w:next w:val="930"/>
    <w:link w:val="825"/>
    <w:rPr>
      <w:rFonts w:ascii="方正仿宋简体" w:hAnsi="方正仿宋简体" w:eastAsia="方正仿宋简体" w:cs="Courier New"/>
      <w:sz w:val="24"/>
      <w:szCs w:val="22"/>
      <w:lang w:val="zh-CN" w:eastAsia="zh-CN" w:bidi="ar-SA"/>
    </w:rPr>
  </w:style>
  <w:style w:type="character" w:styleId="931">
    <w:name w:val="font01"/>
    <w:next w:val="931"/>
    <w:link w:val="825"/>
    <w:rPr>
      <w:rFonts w:hint="eastAsia" w:ascii="宋体" w:hAnsi="宋体" w:eastAsia="宋体" w:cs="宋体"/>
      <w:color w:val="000000"/>
      <w:sz w:val="22"/>
      <w:szCs w:val="22"/>
      <w:u w:val="none"/>
    </w:rPr>
  </w:style>
  <w:style w:type="character" w:styleId="932">
    <w:name w:val="书籍标题"/>
    <w:next w:val="932"/>
    <w:link w:val="825"/>
    <w:qFormat/>
    <w:rPr>
      <w:rFonts w:ascii="Times New Roman" w:hAnsi="Times New Roman" w:eastAsia="宋体" w:cs="Times New Roman"/>
      <w:i/>
      <w:iCs/>
      <w:smallCaps/>
      <w:spacing w:val="5"/>
    </w:rPr>
  </w:style>
  <w:style w:type="character" w:styleId="933">
    <w:name w:val="纯文本 Char Char Char1"/>
    <w:next w:val="933"/>
    <w:link w:val="825"/>
    <w:rPr>
      <w:rFonts w:ascii="宋体" w:hAnsi="Courier New" w:eastAsia="宋体" w:cs="Times New Roman"/>
      <w:sz w:val="21"/>
      <w:szCs w:val="21"/>
      <w:lang w:val="en-US" w:eastAsia="zh-CN" w:bidi="ar-SA"/>
    </w:rPr>
  </w:style>
  <w:style w:type="character" w:styleId="934">
    <w:name w:val="纯文本 Char1"/>
    <w:next w:val="934"/>
    <w:link w:val="825"/>
    <w:rPr>
      <w:rFonts w:ascii="宋体" w:hAnsi="Courier New" w:eastAsia="宋体" w:cs="Courier New"/>
      <w:sz w:val="21"/>
      <w:szCs w:val="21"/>
    </w:rPr>
  </w:style>
  <w:style w:type="character" w:styleId="935">
    <w:name w:val="不明显参考"/>
    <w:next w:val="935"/>
    <w:link w:val="825"/>
    <w:qFormat/>
    <w:rPr>
      <w:rFonts w:ascii="Times New Roman" w:hAnsi="Times New Roman" w:eastAsia="宋体" w:cs="Times New Roman"/>
      <w:smallCaps/>
    </w:rPr>
  </w:style>
  <w:style w:type="character" w:styleId="936">
    <w:name w:val="标准小四 Char Char"/>
    <w:next w:val="936"/>
    <w:link w:val="825"/>
    <w:rPr>
      <w:rFonts w:ascii="Arial" w:hAnsi="Arial" w:eastAsia="宋体" w:cs="Times New Roman"/>
      <w:sz w:val="24"/>
      <w:szCs w:val="21"/>
      <w:lang w:val="en-US" w:eastAsia="zh-CN" w:bidi="ar-SA"/>
    </w:rPr>
  </w:style>
  <w:style w:type="character" w:styleId="937">
    <w:name w:val="style131"/>
    <w:next w:val="937"/>
    <w:link w:val="825"/>
    <w:rPr>
      <w:rFonts w:ascii="Times New Roman" w:hAnsi="Times New Roman" w:eastAsia="宋体" w:cs="Times New Roman"/>
      <w:sz w:val="18"/>
      <w:szCs w:val="18"/>
    </w:rPr>
  </w:style>
  <w:style w:type="character" w:styleId="938">
    <w:name w:val=" Char Char24"/>
    <w:next w:val="938"/>
    <w:link w:val="825"/>
    <w:rPr>
      <w:rFonts w:ascii="Times New Roman" w:hAnsi="Times New Roman" w:eastAsia="宋体" w:cs="Times New Roman"/>
      <w:b/>
      <w:bCs/>
      <w:sz w:val="28"/>
      <w:szCs w:val="28"/>
    </w:rPr>
  </w:style>
  <w:style w:type="character" w:styleId="939">
    <w:name w:val=" Char Char23"/>
    <w:next w:val="939"/>
    <w:link w:val="825"/>
    <w:rPr>
      <w:rFonts w:ascii="Arial" w:hAnsi="Arial" w:eastAsia="黑体" w:cs="Times New Roman"/>
      <w:b/>
      <w:bCs/>
      <w:sz w:val="24"/>
      <w:szCs w:val="24"/>
    </w:rPr>
  </w:style>
  <w:style w:type="character" w:styleId="940">
    <w:name w:val="t1"/>
    <w:next w:val="940"/>
    <w:link w:val="825"/>
    <w:rPr>
      <w:rFonts w:ascii="Times New Roman" w:hAnsi="Times New Roman" w:eastAsia="宋体" w:cs="Times New Roman"/>
      <w:vanish w:val="0"/>
    </w:rPr>
  </w:style>
  <w:style w:type="character" w:styleId="941">
    <w:name w:val="concon"/>
    <w:next w:val="941"/>
    <w:link w:val="825"/>
    <w:rPr>
      <w:rFonts w:ascii="Times New Roman" w:hAnsi="Times New Roman" w:eastAsia="宋体" w:cs="Times New Roman"/>
      <w:b w:val="0"/>
      <w:bCs w:val="0"/>
      <w:i w:val="0"/>
      <w:iCs w:val="0"/>
    </w:rPr>
  </w:style>
  <w:style w:type="character" w:styleId="942">
    <w:name w:val="Title1 Char,H1 Char,Normal + Font: Helvetica Char,Bold Char,Space Before 12 pt Char,Not Bold Char,h1 Char,H11 Char,H12 Char,H111 Char,H13 Char,H112 Char,1 Char,h:1 Char,h:1app Char,level 1 Char,Level 1 Head Char,heading 1 Char,Huvudrubrik Char,章 Char"/>
    <w:next w:val="942"/>
    <w:link w:val="825"/>
    <w:rPr>
      <w:rFonts w:ascii="Times New Roman" w:hAnsi="Times New Roman" w:eastAsia="宋体" w:cs="Times New Roman"/>
      <w:b/>
      <w:bCs/>
      <w:sz w:val="44"/>
      <w:szCs w:val="44"/>
      <w:lang w:val="en-US" w:eastAsia="zh-CN" w:bidi="ar-SA"/>
    </w:rPr>
  </w:style>
  <w:style w:type="character" w:styleId="943">
    <w:name w:val=" Char Char25"/>
    <w:next w:val="943"/>
    <w:link w:val="825"/>
    <w:rPr>
      <w:rFonts w:ascii="Arial" w:hAnsi="Arial" w:eastAsia="黑体" w:cs="Times New Roman"/>
      <w:b/>
      <w:sz w:val="28"/>
    </w:rPr>
  </w:style>
  <w:style w:type="character" w:styleId="944">
    <w:name w:val=" Char Char20"/>
    <w:next w:val="944"/>
    <w:link w:val="825"/>
    <w:rPr>
      <w:rFonts w:ascii="Arial" w:hAnsi="Arial" w:eastAsia="黑体" w:cs="Times New Roman"/>
      <w:sz w:val="21"/>
      <w:szCs w:val="21"/>
    </w:rPr>
  </w:style>
  <w:style w:type="character" w:styleId="945">
    <w:name w:val="小四 段落 宋体 Char Char Char Char Char"/>
    <w:next w:val="945"/>
    <w:link w:val="825"/>
    <w:rPr>
      <w:rFonts w:ascii="Times New Roman" w:hAnsi="Times New Roman" w:eastAsia="宋体" w:cs="Times New Roman"/>
      <w:sz w:val="24"/>
      <w:szCs w:val="24"/>
      <w:lang w:val="en-US" w:eastAsia="zh-CN" w:bidi="ar-SA"/>
    </w:rPr>
  </w:style>
  <w:style w:type="character" w:styleId="946">
    <w:name w:val="style13"/>
    <w:next w:val="946"/>
    <w:link w:val="825"/>
    <w:rPr>
      <w:rFonts w:ascii="Times New Roman" w:hAnsi="Times New Roman" w:eastAsia="宋体" w:cs="Times New Roman"/>
      <w:sz w:val="18"/>
      <w:szCs w:val="18"/>
    </w:rPr>
  </w:style>
  <w:style w:type="character" w:styleId="947">
    <w:name w:val="2nd level Char,h2 Char,2 Char,Header 2 Char,l2 Char,Titre2 Char,Head 2 Char,H2 Char,Heading 2 Hidden Char,Heading 2 CCBS Char,heading 2 Char,第一章 标题 2 Char,ISO1 Char,UNDERRUBRIK 1-2 Char,Underrubrik1 Char,prop2 Char,Level 2 Topic Heading Char,H21 Char"/>
    <w:next w:val="947"/>
    <w:link w:val="825"/>
    <w:rPr>
      <w:rFonts w:ascii="Arial" w:hAnsi="Arial" w:eastAsia="黑体" w:cs="Times New Roman"/>
      <w:b/>
      <w:bCs/>
      <w:sz w:val="32"/>
      <w:szCs w:val="32"/>
      <w:lang w:val="en-US" w:eastAsia="zh-CN" w:bidi="ar-SA"/>
    </w:rPr>
  </w:style>
  <w:style w:type="character" w:styleId="948">
    <w:name w:val="l-selected"/>
    <w:next w:val="948"/>
    <w:link w:val="825"/>
    <w:rPr>
      <w:rFonts w:ascii="Times New Roman" w:hAnsi="Times New Roman" w:eastAsia="宋体" w:cs="Times New Roman"/>
      <w:color w:val="355686"/>
      <w:shd w:val="clear" w:color="auto" w:fill="ffffff"/>
    </w:rPr>
  </w:style>
  <w:style w:type="character" w:styleId="949">
    <w:name w:val=" Char Char21"/>
    <w:next w:val="949"/>
    <w:link w:val="825"/>
    <w:rPr>
      <w:rFonts w:ascii="Arial" w:hAnsi="Arial" w:eastAsia="黑体" w:cs="Times New Roman"/>
      <w:sz w:val="24"/>
      <w:szCs w:val="24"/>
    </w:rPr>
  </w:style>
  <w:style w:type="character" w:styleId="950">
    <w:name w:val="content"/>
    <w:next w:val="950"/>
    <w:link w:val="825"/>
    <w:rPr>
      <w:rFonts w:ascii="Times New Roman" w:hAnsi="Times New Roman" w:eastAsia="宋体" w:cs="Times New Roman"/>
    </w:rPr>
  </w:style>
  <w:style w:type="character" w:styleId="951">
    <w:name w:val="l-open"/>
    <w:next w:val="951"/>
    <w:link w:val="825"/>
    <w:rPr>
      <w:rFonts w:ascii="Times New Roman" w:hAnsi="Times New Roman" w:eastAsia="宋体" w:cs="Times New Roman"/>
    </w:rPr>
  </w:style>
  <w:style w:type="character" w:styleId="952">
    <w:name w:val="title_emph1"/>
    <w:next w:val="952"/>
    <w:link w:val="825"/>
    <w:rPr>
      <w:rFonts w:ascii="Arial" w:hAnsi="Times New Roman" w:eastAsia="宋体" w:cs="Arial"/>
      <w:b/>
      <w:bCs/>
      <w:i w:val="0"/>
      <w:iCs w:val="0"/>
      <w:sz w:val="18"/>
      <w:szCs w:val="18"/>
    </w:rPr>
  </w:style>
  <w:style w:type="character" w:styleId="953">
    <w:name w:val="textcontents"/>
    <w:next w:val="953"/>
    <w:link w:val="825"/>
    <w:rPr>
      <w:rFonts w:ascii="Times New Roman" w:hAnsi="Times New Roman" w:eastAsia="宋体" w:cs="Times New Roman"/>
    </w:rPr>
  </w:style>
  <w:style w:type="character" w:styleId="954">
    <w:name w:val="正文 + 宋体 Char,小四 Char,黑色 Char,行距: 1.5 倍行距 Char"/>
    <w:next w:val="954"/>
    <w:link w:val="825"/>
    <w:rPr>
      <w:rFonts w:ascii="Times New Roman" w:hAnsi="Times New Roman" w:eastAsia="宋体" w:cs="Times New Roman"/>
      <w:sz w:val="21"/>
      <w:szCs w:val="24"/>
      <w:lang w:val="en-US" w:eastAsia="zh-CN" w:bidi="ar-SA"/>
    </w:rPr>
  </w:style>
  <w:style w:type="character" w:styleId="955">
    <w:name w:val="param-value"/>
    <w:next w:val="955"/>
    <w:link w:val="825"/>
    <w:rPr>
      <w:rFonts w:ascii="Times New Roman" w:hAnsi="Times New Roman" w:eastAsia="宋体" w:cs="Times New Roman"/>
    </w:rPr>
  </w:style>
  <w:style w:type="character" w:styleId="956">
    <w:name w:val=" Char Char2"/>
    <w:next w:val="956"/>
    <w:link w:val="825"/>
    <w:rPr>
      <w:rFonts w:ascii="宋体" w:hAnsi="Courier New" w:eastAsia="宋体" w:cs="Times New Roman"/>
      <w:sz w:val="21"/>
      <w:szCs w:val="21"/>
      <w:lang w:val="en-US" w:eastAsia="zh-CN" w:bidi="ar-SA"/>
    </w:rPr>
  </w:style>
  <w:style w:type="character" w:styleId="957">
    <w:name w:val="小四 段落 宋体 Char Char Char Char1"/>
    <w:next w:val="957"/>
    <w:link w:val="825"/>
    <w:rPr>
      <w:rFonts w:ascii="Times New Roman" w:hAnsi="Times New Roman" w:eastAsia="宋体" w:cs="Times New Roman"/>
      <w:sz w:val="24"/>
      <w:szCs w:val="24"/>
      <w:lang w:val="en-US" w:eastAsia="zh-CN" w:bidi="ar-SA"/>
    </w:rPr>
  </w:style>
  <w:style w:type="character" w:styleId="958">
    <w:name w:val=" Char Char28"/>
    <w:next w:val="958"/>
    <w:link w:val="825"/>
    <w:rPr>
      <w:rFonts w:ascii="Arial" w:hAnsi="Arial" w:eastAsia="黑体" w:cs="Arial"/>
      <w:b/>
      <w:bCs/>
      <w:sz w:val="32"/>
      <w:szCs w:val="32"/>
    </w:rPr>
  </w:style>
  <w:style w:type="character" w:styleId="959">
    <w:name w:val="普通文字1 Char,普通文字2 Char,普通文字3 Char,普通文字4 Char,普通文字5 Char,普通文字6 Char,普通文字11 Char,普通文字21 Char,普通文字31 Char,普通文字41 Char,普通文字7 Char Char,普通文字 Char1,普通文字 Char Char"/>
    <w:next w:val="959"/>
    <w:link w:val="825"/>
    <w:rPr>
      <w:rFonts w:ascii="宋体" w:hAnsi="Times New Roman" w:eastAsia="宋体" w:cs="Times New Roman"/>
      <w:b w:val="0"/>
      <w:bCs w:val="0"/>
      <w:i w:val="0"/>
      <w:iCs w:val="0"/>
      <w:sz w:val="21"/>
      <w:szCs w:val="21"/>
      <w:lang w:val="en-US" w:eastAsia="zh-CN" w:bidi="ar-SA"/>
    </w:rPr>
  </w:style>
  <w:style w:type="character" w:styleId="960">
    <w:name w:val="font31"/>
    <w:next w:val="960"/>
    <w:link w:val="825"/>
    <w:rPr>
      <w:rFonts w:hint="eastAsia" w:ascii="宋体" w:hAnsi="宋体" w:eastAsia="宋体" w:cs="宋体"/>
      <w:i w:val="0"/>
      <w:iCs w:val="0"/>
      <w:color w:val="000000"/>
      <w:sz w:val="18"/>
      <w:szCs w:val="18"/>
      <w:u w:val="none"/>
    </w:rPr>
  </w:style>
  <w:style w:type="character" w:styleId="961">
    <w:name w:val="￥正文 Char"/>
    <w:next w:val="961"/>
    <w:link w:val="962"/>
    <w:rPr>
      <w:rFonts w:ascii="Times New Roman" w:hAnsi="Times New Roman" w:eastAsia="宋体" w:cs="Times New Roman"/>
      <w:sz w:val="24"/>
    </w:rPr>
  </w:style>
  <w:style w:type="paragraph" w:styleId="962">
    <w:name w:val="￥正文"/>
    <w:basedOn w:val="825"/>
    <w:next w:val="962"/>
    <w:link w:val="961"/>
    <w:pPr>
      <w:ind w:firstLine="200"/>
      <w:spacing w:before="0" w:after="0"/>
    </w:pPr>
    <w:rPr>
      <w:rFonts w:eastAsia="宋体"/>
      <w:sz w:val="24"/>
    </w:rPr>
  </w:style>
  <w:style w:type="character" w:styleId="963">
    <w:name w:val="已访问的超链接1"/>
    <w:next w:val="963"/>
    <w:link w:val="825"/>
    <w:rPr>
      <w:rFonts w:ascii="Times New Roman" w:hAnsi="Times New Roman" w:eastAsia="宋体" w:cs="Times New Roman"/>
      <w:b w:val="0"/>
      <w:bCs w:val="0"/>
      <w:i w:val="0"/>
      <w:iCs w:val="0"/>
      <w:color w:val="000000"/>
      <w:u w:val="none"/>
    </w:rPr>
  </w:style>
  <w:style w:type="character" w:styleId="964">
    <w:name w:val="小四 段落 宋体 Char Char Char1"/>
    <w:next w:val="964"/>
    <w:link w:val="825"/>
    <w:rPr>
      <w:rFonts w:ascii="宋体" w:hAnsi="宋体" w:eastAsia="宋体" w:cs="Times New Roman"/>
      <w:sz w:val="24"/>
      <w:szCs w:val="24"/>
      <w:lang w:val="en-US" w:eastAsia="zh-CN" w:bidi="ar-SA"/>
    </w:rPr>
  </w:style>
  <w:style w:type="character" w:styleId="965">
    <w:name w:val="批注文字 Char"/>
    <w:next w:val="965"/>
    <w:link w:val="825"/>
    <w:rPr>
      <w:rFonts w:ascii="Times New Roman" w:hAnsi="Times New Roman" w:eastAsia="宋体" w:cs="Times New Roman"/>
      <w:sz w:val="21"/>
      <w:lang w:val="en-US" w:eastAsia="zh-CN" w:bidi="ar-SA"/>
    </w:rPr>
  </w:style>
  <w:style w:type="character" w:styleId="96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66"/>
    <w:link w:val="825"/>
    <w:rPr>
      <w:rFonts w:ascii="Times New Roman" w:hAnsi="Times New Roman" w:eastAsia="宋体" w:cs="Times New Roman"/>
      <w:b/>
      <w:bCs/>
      <w:sz w:val="32"/>
      <w:szCs w:val="32"/>
      <w:lang w:val="en-US" w:eastAsia="zh-CN" w:bidi="ar-SA"/>
    </w:rPr>
  </w:style>
  <w:style w:type="character" w:styleId="967">
    <w:name w:val="标准文本 Char"/>
    <w:next w:val="967"/>
    <w:link w:val="825"/>
    <w:rPr>
      <w:rFonts w:ascii="Times New Roman" w:hAnsi="Times New Roman" w:eastAsia="宋体" w:cs="宋体"/>
      <w:sz w:val="24"/>
      <w:szCs w:val="24"/>
      <w:lang w:val="en-US" w:eastAsia="zh-CN" w:bidi="ar-SA"/>
    </w:rPr>
  </w:style>
  <w:style w:type="character" w:styleId="968">
    <w:name w:val="point_normal1"/>
    <w:next w:val="968"/>
    <w:link w:val="825"/>
    <w:rPr>
      <w:rFonts w:ascii="Arial" w:hAnsi="Arial" w:eastAsia="宋体" w:cs="Arial"/>
      <w:sz w:val="18"/>
      <w:szCs w:val="18"/>
    </w:rPr>
  </w:style>
  <w:style w:type="character" w:styleId="969">
    <w:name w:val="font101"/>
    <w:next w:val="969"/>
    <w:link w:val="825"/>
    <w:rPr>
      <w:rFonts w:hint="eastAsia" w:ascii="宋体" w:hAnsi="宋体" w:eastAsia="宋体" w:cs="宋体"/>
      <w:i w:val="0"/>
      <w:iCs w:val="0"/>
      <w:color w:val="000000"/>
      <w:sz w:val="16"/>
      <w:szCs w:val="16"/>
      <w:u w:val="none"/>
    </w:rPr>
  </w:style>
  <w:style w:type="character" w:styleId="970">
    <w:name w:val="subtitle1"/>
    <w:next w:val="970"/>
    <w:link w:val="825"/>
    <w:rPr>
      <w:rFonts w:ascii="Georgia" w:hAnsi="Georgia" w:eastAsia="宋体" w:cs="Times New Roman"/>
      <w:b/>
      <w:bCs/>
      <w:i w:val="0"/>
      <w:iCs w:val="0"/>
      <w:color w:val="666666"/>
      <w:sz w:val="18"/>
      <w:szCs w:val="18"/>
    </w:rPr>
  </w:style>
  <w:style w:type="character" w:styleId="971">
    <w:name w:val="l-selected2"/>
    <w:next w:val="971"/>
    <w:link w:val="825"/>
    <w:rPr>
      <w:rFonts w:ascii="Times New Roman" w:hAnsi="Times New Roman" w:eastAsia="宋体" w:cs="Times New Roman"/>
      <w:color w:val="355686"/>
      <w:shd w:val="clear" w:color="auto" w:fill="ffffff"/>
    </w:rPr>
  </w:style>
  <w:style w:type="character" w:styleId="972">
    <w:name w:val="标题 Char1"/>
    <w:next w:val="972"/>
    <w:link w:val="825"/>
    <w:rPr>
      <w:rFonts w:ascii="Cambria" w:hAnsi="Times New Roman" w:eastAsia="宋体" w:cs="Times New Roman"/>
      <w:b/>
      <w:bCs/>
      <w:i w:val="0"/>
      <w:iCs w:val="0"/>
      <w:sz w:val="32"/>
      <w:szCs w:val="32"/>
    </w:rPr>
  </w:style>
  <w:style w:type="character" w:styleId="973">
    <w:name w:val="小四 段落 宋体 Char1"/>
    <w:next w:val="973"/>
    <w:link w:val="825"/>
    <w:rPr>
      <w:rFonts w:ascii="Times New Roman" w:hAnsi="Times New Roman" w:eastAsia="宋体" w:cs="Times New Roman"/>
      <w:sz w:val="24"/>
      <w:szCs w:val="24"/>
      <w:lang w:val="en-US" w:eastAsia="zh-CN" w:bidi="ar-SA"/>
    </w:rPr>
  </w:style>
  <w:style w:type="character" w:styleId="974">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974"/>
    <w:link w:val="825"/>
    <w:rPr>
      <w:rFonts w:ascii="Times New Roman" w:hAnsi="Times New Roman" w:eastAsia="宋体" w:cs="Times New Roman"/>
      <w:sz w:val="21"/>
      <w:lang w:val="en-US" w:eastAsia="zh-CN" w:bidi="ar-SA"/>
    </w:rPr>
  </w:style>
  <w:style w:type="character" w:styleId="975">
    <w:name w:val="标题 3 Char Char"/>
    <w:next w:val="975"/>
    <w:link w:val="825"/>
    <w:rPr>
      <w:rFonts w:ascii="Times New Roman" w:hAnsi="Times New Roman" w:eastAsia="仿宋_GB2312" w:cs="Times New Roman"/>
      <w:b/>
      <w:bCs/>
      <w:sz w:val="28"/>
      <w:szCs w:val="32"/>
      <w:lang w:val="en-US" w:eastAsia="zh-CN" w:bidi="ar-SA"/>
    </w:rPr>
  </w:style>
  <w:style w:type="character" w:styleId="976">
    <w:name w:val="不明显强调"/>
    <w:next w:val="976"/>
    <w:link w:val="825"/>
    <w:qFormat/>
    <w:rPr>
      <w:rFonts w:ascii="Times New Roman" w:hAnsi="Times New Roman" w:eastAsia="宋体" w:cs="Times New Roman"/>
      <w:i/>
      <w:iCs/>
    </w:rPr>
  </w:style>
  <w:style w:type="character" w:styleId="977">
    <w:name w:val=" Char Char26"/>
    <w:next w:val="977"/>
    <w:link w:val="825"/>
    <w:rPr>
      <w:rFonts w:ascii="Times New Roman" w:hAnsi="Times New Roman" w:eastAsia="宋体" w:cs="Times New Roman"/>
      <w:b/>
      <w:bCs/>
      <w:sz w:val="32"/>
      <w:szCs w:val="32"/>
    </w:rPr>
  </w:style>
  <w:style w:type="character" w:styleId="978">
    <w:name w:val="l-over"/>
    <w:next w:val="978"/>
    <w:link w:val="825"/>
    <w:rPr>
      <w:rFonts w:ascii="Times New Roman" w:hAnsi="Times New Roman" w:eastAsia="宋体" w:cs="Times New Roman"/>
    </w:rPr>
  </w:style>
  <w:style w:type="character" w:styleId="979">
    <w:name w:val="样式 首行缩进:  2 字符 Char"/>
    <w:next w:val="979"/>
    <w:link w:val="825"/>
    <w:rPr>
      <w:rFonts w:ascii="Times New Roman" w:hAnsi="Times New Roman" w:eastAsia="宋体" w:cs="宋体"/>
      <w:sz w:val="24"/>
      <w:lang w:val="en-US" w:eastAsia="zh-CN" w:bidi="ar-SA"/>
    </w:rPr>
  </w:style>
  <w:style w:type="character" w:styleId="980">
    <w:name w:val="新图表正文 Char Char"/>
    <w:next w:val="980"/>
    <w:link w:val="981"/>
    <w:rPr>
      <w:rFonts w:ascii="宋体" w:hAnsi="宋体"/>
      <w:sz w:val="18"/>
      <w:szCs w:val="21"/>
      <w:lang w:val="en-US" w:eastAsia="zh-CN" w:bidi="ar-SA"/>
    </w:rPr>
  </w:style>
  <w:style w:type="paragraph" w:styleId="981">
    <w:name w:val="新图表正文"/>
    <w:next w:val="981"/>
    <w:link w:val="980"/>
    <w:pPr>
      <w:jc w:val="both"/>
    </w:pPr>
    <w:rPr>
      <w:rFonts w:ascii="宋体" w:hAnsi="宋体"/>
      <w:sz w:val="18"/>
      <w:szCs w:val="21"/>
      <w:lang w:val="en-US" w:eastAsia="zh-CN" w:bidi="ar-SA"/>
    </w:rPr>
  </w:style>
  <w:style w:type="character" w:styleId="982">
    <w:name w:val="listbenefit"/>
    <w:next w:val="982"/>
    <w:link w:val="825"/>
    <w:rPr>
      <w:rFonts w:ascii="Times New Roman" w:hAnsi="Times New Roman" w:eastAsia="宋体" w:cs="Times New Roman"/>
      <w:b w:val="0"/>
      <w:bCs w:val="0"/>
      <w:i w:val="0"/>
      <w:iCs w:val="0"/>
    </w:rPr>
  </w:style>
  <w:style w:type="character" w:styleId="983">
    <w:name w:val="列出段落 Char,Bullet List Char,numbered Char,FooterText Char,List Paragraph1 Char,Paragraphe de liste1 Char"/>
    <w:next w:val="983"/>
    <w:link w:val="984"/>
    <w:rPr>
      <w:rFonts w:ascii="Arial" w:hAnsi="Arial" w:eastAsia="黑体" w:cs="Times New Roman"/>
      <w:sz w:val="24"/>
      <w:szCs w:val="24"/>
      <w:lang w:eastAsia="en-US"/>
    </w:rPr>
  </w:style>
  <w:style w:type="paragraph" w:styleId="984">
    <w:name w:val="列出段落1"/>
    <w:basedOn w:val="825"/>
    <w:next w:val="984"/>
    <w:link w:val="983"/>
    <w:pPr>
      <w:contextualSpacing/>
      <w:ind w:left="720"/>
      <w:jc w:val="left"/>
      <w:widowControl/>
    </w:pPr>
    <w:rPr>
      <w:rFonts w:ascii="Arial" w:hAnsi="Arial" w:eastAsia="黑体"/>
      <w:sz w:val="24"/>
      <w:szCs w:val="24"/>
      <w:lang w:eastAsia="en-US"/>
    </w:rPr>
  </w:style>
  <w:style w:type="character" w:styleId="985">
    <w:name w:val="正文缩进 Char1"/>
    <w:next w:val="985"/>
    <w:link w:val="986"/>
    <w:rPr>
      <w:rFonts w:ascii="Times New Roman" w:hAnsi="Times New Roman" w:eastAsia="宋体" w:cs="Times New Roman"/>
      <w:lang w:bidi="ar-SA"/>
    </w:rPr>
  </w:style>
  <w:style w:type="paragraph" w:styleId="986">
    <w:name w:val="Normal Indent1"/>
    <w:basedOn w:val="825"/>
    <w:next w:val="986"/>
    <w:link w:val="985"/>
    <w:pPr>
      <w:ind w:firstLine="420"/>
    </w:pPr>
    <w:rPr>
      <w:rFonts w:eastAsia="宋体"/>
      <w:sz w:val="20"/>
    </w:rPr>
  </w:style>
  <w:style w:type="character" w:styleId="987">
    <w:name w:val="font81"/>
    <w:next w:val="987"/>
    <w:link w:val="825"/>
    <w:rPr>
      <w:rFonts w:hint="eastAsia" w:ascii="宋体" w:hAnsi="宋体" w:eastAsia="宋体" w:cs="宋体"/>
      <w:i w:val="0"/>
      <w:iCs w:val="0"/>
      <w:color w:val="000000"/>
      <w:sz w:val="16"/>
      <w:szCs w:val="16"/>
      <w:u w:val="none"/>
    </w:rPr>
  </w:style>
  <w:style w:type="character" w:styleId="988">
    <w:name w:val="ih151"/>
    <w:next w:val="988"/>
    <w:link w:val="825"/>
    <w:rPr>
      <w:rFonts w:ascii="Times New Roman" w:hAnsi="Times New Roman" w:eastAsia="宋体" w:cs="Times New Roman"/>
      <w:b w:val="0"/>
      <w:bCs w:val="0"/>
      <w:i w:val="0"/>
      <w:iCs w:val="0"/>
      <w:caps w:val="0"/>
      <w:smallCaps w:val="0"/>
      <w:color w:val="666666"/>
      <w:sz w:val="18"/>
      <w:szCs w:val="18"/>
      <w:u w:val="none"/>
    </w:rPr>
  </w:style>
  <w:style w:type="character" w:styleId="989">
    <w:name w:val="纯文本 Char Char Char"/>
    <w:next w:val="989"/>
    <w:link w:val="825"/>
    <w:rPr>
      <w:rFonts w:ascii="宋体" w:hAnsi="Courier New" w:eastAsia="宋体" w:cs="Times New Roman"/>
      <w:sz w:val="21"/>
      <w:szCs w:val="21"/>
      <w:lang w:val="en-US" w:eastAsia="zh-CN" w:bidi="ar-SA"/>
    </w:rPr>
  </w:style>
  <w:style w:type="character" w:styleId="990">
    <w:name w:val="引用 字符"/>
    <w:next w:val="990"/>
    <w:link w:val="991"/>
    <w:rPr>
      <w:rFonts w:ascii="Calibri" w:hAnsi="Calibri" w:eastAsia="宋体" w:cs="Times New Roman"/>
      <w:i/>
      <w:iCs/>
      <w:sz w:val="22"/>
      <w:szCs w:val="22"/>
      <w:lang w:val="en-US" w:eastAsia="en-US" w:bidi="en-US"/>
    </w:rPr>
  </w:style>
  <w:style w:type="paragraph" w:styleId="991">
    <w:name w:val="引用"/>
    <w:basedOn w:val="825"/>
    <w:next w:val="825"/>
    <w:link w:val="990"/>
    <w:qFormat/>
    <w:pPr>
      <w:ind w:left="360" w:right="360"/>
      <w:jc w:val="left"/>
      <w:spacing w:before="200" w:line="276" w:lineRule="auto"/>
      <w:widowControl/>
    </w:pPr>
    <w:rPr>
      <w:rFonts w:ascii="Calibri" w:hAnsi="Calibri" w:eastAsia="宋体"/>
      <w:i/>
      <w:iCs/>
      <w:sz w:val="22"/>
      <w:szCs w:val="22"/>
      <w:lang w:eastAsia="en-US" w:bidi="en-US"/>
    </w:rPr>
  </w:style>
  <w:style w:type="character" w:styleId="992">
    <w:name w:val="font91"/>
    <w:next w:val="992"/>
    <w:link w:val="825"/>
    <w:rPr>
      <w:rFonts w:ascii="Arial" w:hAnsi="Arial" w:eastAsia="宋体" w:cs="Arial"/>
      <w:i w:val="0"/>
      <w:iCs w:val="0"/>
      <w:color w:val="000000"/>
      <w:sz w:val="16"/>
      <w:szCs w:val="16"/>
      <w:u w:val="none"/>
    </w:rPr>
  </w:style>
  <w:style w:type="character" w:styleId="993">
    <w:name w:val="3zw"/>
    <w:next w:val="993"/>
    <w:link w:val="825"/>
    <w:rPr>
      <w:rFonts w:ascii="Times New Roman" w:hAnsi="Times New Roman" w:eastAsia="宋体" w:cs="Times New Roman"/>
    </w:rPr>
  </w:style>
  <w:style w:type="character" w:styleId="994">
    <w:name w:val="样式 首行缩进:  2 字符 Char Char"/>
    <w:next w:val="994"/>
    <w:link w:val="995"/>
    <w:rPr>
      <w:rFonts w:ascii="Times New Roman" w:hAnsi="Times New Roman" w:eastAsia="宋体" w:cs="宋体"/>
      <w:sz w:val="24"/>
      <w:lang w:val="en-US" w:eastAsia="zh-CN" w:bidi="ar-SA"/>
    </w:rPr>
  </w:style>
  <w:style w:type="paragraph" w:styleId="995">
    <w:name w:val="样式 首行缩进:  2 字符"/>
    <w:basedOn w:val="825"/>
    <w:next w:val="995"/>
    <w:link w:val="994"/>
    <w:pPr>
      <w:ind w:firstLine="480"/>
      <w:spacing w:line="360" w:lineRule="auto"/>
    </w:pPr>
    <w:rPr>
      <w:rFonts w:eastAsia="宋体" w:cs="宋体"/>
      <w:sz w:val="24"/>
    </w:rPr>
  </w:style>
  <w:style w:type="character" w:styleId="996">
    <w:name w:val="A2"/>
    <w:next w:val="996"/>
    <w:link w:val="825"/>
    <w:rPr>
      <w:rFonts w:ascii="Times New Roman" w:hAnsi="Times New Roman" w:eastAsia="宋体" w:cs="Helvetica"/>
      <w:color w:val="000000"/>
      <w:sz w:val="18"/>
      <w:szCs w:val="18"/>
    </w:rPr>
  </w:style>
  <w:style w:type="character" w:styleId="997">
    <w:name w:val=" Char Char27"/>
    <w:next w:val="997"/>
    <w:link w:val="825"/>
    <w:rPr>
      <w:rFonts w:ascii="Times New Roman" w:hAnsi="Times New Roman" w:eastAsia="宋体" w:cs="Times New Roman"/>
      <w:b/>
      <w:bCs/>
      <w:sz w:val="44"/>
      <w:szCs w:val="44"/>
    </w:rPr>
  </w:style>
  <w:style w:type="character" w:styleId="998">
    <w:name w:val="无间隔 字符"/>
    <w:next w:val="998"/>
    <w:link w:val="999"/>
    <w:rPr>
      <w:rFonts w:eastAsia="微软雅黑"/>
      <w:sz w:val="24"/>
      <w:szCs w:val="22"/>
      <w:lang w:val="en-US" w:eastAsia="zh-CN" w:bidi="ar-SA"/>
    </w:rPr>
  </w:style>
  <w:style w:type="paragraph" w:styleId="999">
    <w:name w:val="无间隔"/>
    <w:next w:val="999"/>
    <w:link w:val="998"/>
    <w:qFormat/>
    <w:pPr>
      <w:jc w:val="both"/>
      <w:widowControl w:val="off"/>
    </w:pPr>
    <w:rPr>
      <w:rFonts w:eastAsia="微软雅黑"/>
      <w:sz w:val="24"/>
      <w:szCs w:val="22"/>
      <w:lang w:val="en-US" w:eastAsia="zh-CN" w:bidi="ar-SA"/>
    </w:rPr>
  </w:style>
  <w:style w:type="character" w:styleId="1000">
    <w:name w:val="标准文本 Char Char"/>
    <w:next w:val="1000"/>
    <w:link w:val="825"/>
    <w:rPr>
      <w:rFonts w:ascii="Times New Roman" w:hAnsi="Times New Roman" w:eastAsia="宋体" w:cs="宋体"/>
      <w:sz w:val="24"/>
      <w:szCs w:val="24"/>
      <w:lang w:val="en-US" w:eastAsia="zh-CN" w:bidi="ar-SA"/>
    </w:rPr>
  </w:style>
  <w:style w:type="character" w:styleId="1001">
    <w:name w:val=" Char Char29"/>
    <w:next w:val="1001"/>
    <w:link w:val="825"/>
    <w:rPr>
      <w:rFonts w:ascii="Times New Roman" w:hAnsi="Times New Roman" w:eastAsia="宋体" w:cs="Times New Roman"/>
      <w:b/>
      <w:bCs/>
      <w:sz w:val="44"/>
      <w:szCs w:val="44"/>
    </w:rPr>
  </w:style>
  <w:style w:type="character" w:styleId="1002">
    <w:name w:val="标准小四 Char"/>
    <w:next w:val="1002"/>
    <w:link w:val="825"/>
    <w:rPr>
      <w:rFonts w:ascii="Arial" w:hAnsi="Arial" w:eastAsia="宋体" w:cs="Times New Roman"/>
      <w:sz w:val="24"/>
      <w:szCs w:val="21"/>
      <w:lang w:val="en-US" w:eastAsia="zh-CN" w:bidi="ar-SA"/>
    </w:rPr>
  </w:style>
  <w:style w:type="character" w:styleId="1003">
    <w:name w:val="华宇段落1 Char Char Char"/>
    <w:next w:val="1003"/>
    <w:link w:val="825"/>
    <w:rPr>
      <w:rFonts w:ascii="Times New Roman" w:hAnsi="Times New Roman" w:eastAsia="宋体" w:cs="Times New Roman"/>
      <w:bCs/>
      <w:sz w:val="24"/>
      <w:szCs w:val="24"/>
      <w:lang w:val="en-US" w:eastAsia="zh-CN" w:bidi="ar-SA"/>
    </w:rPr>
  </w:style>
  <w:style w:type="character" w:styleId="1004">
    <w:name w:val="样式 非加粗"/>
    <w:next w:val="1004"/>
    <w:link w:val="825"/>
    <w:rPr>
      <w:rFonts w:ascii="Times New Roman" w:hAnsi="Times New Roman" w:eastAsia="宋体" w:cs="Times New Roman"/>
      <w:sz w:val="28"/>
    </w:rPr>
  </w:style>
  <w:style w:type="character" w:styleId="1005">
    <w:name w:val="小四 段落 宋体 Char Char Char Char Char Char Char Char"/>
    <w:next w:val="1005"/>
    <w:link w:val="825"/>
    <w:rPr>
      <w:rFonts w:ascii="Times New Roman" w:hAnsi="Times New Roman" w:eastAsia="宋体" w:cs="Times New Roman"/>
      <w:sz w:val="24"/>
      <w:szCs w:val="24"/>
      <w:lang w:val="en-US" w:eastAsia="zh-CN" w:bidi="ar-SA"/>
    </w:rPr>
  </w:style>
  <w:style w:type="character" w:styleId="1006">
    <w:name w:val="华宇段落1 Char Char"/>
    <w:next w:val="1006"/>
    <w:link w:val="825"/>
    <w:rPr>
      <w:rFonts w:ascii="Times New Roman" w:hAnsi="Times New Roman" w:eastAsia="宋体" w:cs="Times New Roman"/>
      <w:bCs/>
      <w:sz w:val="24"/>
      <w:szCs w:val="24"/>
      <w:lang w:val="en-US" w:eastAsia="zh-CN" w:bidi="ar-SA"/>
    </w:rPr>
  </w:style>
  <w:style w:type="character" w:styleId="1007">
    <w:name w:val="小四 段落 宋体 Char Char Char Char Char Char"/>
    <w:next w:val="1007"/>
    <w:link w:val="825"/>
    <w:rPr>
      <w:rFonts w:ascii="Times New Roman" w:hAnsi="Times New Roman" w:eastAsia="宋体" w:cs="Times New Roman"/>
      <w:sz w:val="24"/>
      <w:szCs w:val="24"/>
      <w:lang w:val="en-US" w:eastAsia="zh-CN" w:bidi="ar-SA"/>
    </w:rPr>
  </w:style>
  <w:style w:type="character" w:styleId="1008">
    <w:name w:val="表格抬头 Char"/>
    <w:next w:val="1008"/>
    <w:link w:val="1009"/>
    <w:rPr>
      <w:rFonts w:ascii="黑体" w:hAnsi="Times New Roman" w:eastAsia="黑体" w:cs="Times New Roman"/>
      <w:b/>
      <w:sz w:val="21"/>
      <w:lang w:bidi="ar-SA"/>
    </w:rPr>
  </w:style>
  <w:style w:type="paragraph" w:styleId="1009">
    <w:name w:val="表格抬头"/>
    <w:basedOn w:val="825"/>
    <w:next w:val="1009"/>
    <w:link w:val="1008"/>
    <w:pPr>
      <w:jc w:val="center"/>
    </w:pPr>
    <w:rPr>
      <w:rFonts w:ascii="黑体" w:eastAsia="黑体"/>
      <w:b/>
    </w:rPr>
  </w:style>
  <w:style w:type="character" w:styleId="1010">
    <w:name w:val=" Char Char22"/>
    <w:next w:val="1010"/>
    <w:link w:val="825"/>
    <w:rPr>
      <w:rFonts w:ascii="Times New Roman" w:hAnsi="Times New Roman" w:eastAsia="宋体" w:cs="Times New Roman"/>
      <w:b/>
      <w:bCs/>
      <w:sz w:val="24"/>
      <w:szCs w:val="24"/>
    </w:rPr>
  </w:style>
  <w:style w:type="character" w:styleId="1011">
    <w:name w:val="样式 宋体 小四"/>
    <w:next w:val="1011"/>
    <w:link w:val="825"/>
    <w:rPr>
      <w:rFonts w:ascii="宋体" w:hAnsi="宋体" w:eastAsia="宋体" w:cs="Times New Roman"/>
      <w:sz w:val="24"/>
    </w:rPr>
  </w:style>
  <w:style w:type="character" w:styleId="1012">
    <w:name w:val="明显引用 字符"/>
    <w:next w:val="1012"/>
    <w:link w:val="1013"/>
    <w:rPr>
      <w:rFonts w:ascii="Calibri" w:hAnsi="Calibri" w:eastAsia="宋体" w:cs="Times New Roman"/>
      <w:b/>
      <w:bCs/>
      <w:i/>
      <w:iCs/>
      <w:sz w:val="22"/>
      <w:szCs w:val="22"/>
      <w:lang w:val="en-US" w:eastAsia="en-US" w:bidi="en-US"/>
    </w:rPr>
  </w:style>
  <w:style w:type="paragraph" w:styleId="1013">
    <w:name w:val="明显引用"/>
    <w:basedOn w:val="825"/>
    <w:next w:val="825"/>
    <w:link w:val="1012"/>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014">
    <w:name w:val="明显强调"/>
    <w:next w:val="1014"/>
    <w:link w:val="825"/>
    <w:qFormat/>
    <w:rPr>
      <w:rFonts w:ascii="Times New Roman" w:hAnsi="Times New Roman" w:eastAsia="宋体" w:cs="Times New Roman"/>
      <w:b/>
      <w:bCs/>
    </w:rPr>
  </w:style>
  <w:style w:type="character" w:styleId="1015">
    <w:name w:val="标题 3 Char,h3 Char,3rd level Char,3 Char,标题4 Char,Heading 3 - old Char,标题 3 Char1,正文 + 小三 Char,H3 Char,sect1.2.3 Char,BOD 0 Char,l3 Char,CT Char,Level 3 Head Char,3rd lev...] Char Char,heading 3 Char,123456 Char,F Char Char,Map Char,H31 Char,level_3 Char"/>
    <w:next w:val="1015"/>
    <w:link w:val="825"/>
    <w:rPr>
      <w:rFonts w:ascii="宋体" w:hAnsi="宋体" w:eastAsia="宋体" w:cs="Times New Roman"/>
      <w:b/>
      <w:bCs/>
      <w:sz w:val="24"/>
      <w:szCs w:val="32"/>
      <w:lang w:val="en-US" w:eastAsia="zh-CN" w:bidi="ar-SA"/>
    </w:rPr>
  </w:style>
  <w:style w:type="character" w:styleId="1016">
    <w:name w:val="normalfont1"/>
    <w:next w:val="1016"/>
    <w:link w:val="825"/>
    <w:rPr>
      <w:rFonts w:ascii="ˎ̥" w:hAnsi="ˎ̥" w:eastAsia="宋体" w:cs="Times New Roman"/>
      <w:sz w:val="18"/>
      <w:szCs w:val="18"/>
      <w:u w:val="none"/>
    </w:rPr>
  </w:style>
  <w:style w:type="character" w:styleId="1017">
    <w:name w:val="111111 Char"/>
    <w:next w:val="1017"/>
    <w:link w:val="1018"/>
    <w:rPr>
      <w:rFonts w:ascii="宋体" w:hAnsi="宋体" w:eastAsia="黑体" w:cs="宋体"/>
      <w:b/>
      <w:bCs/>
      <w:sz w:val="21"/>
      <w:szCs w:val="21"/>
      <w:lang w:val="en-US" w:eastAsia="zh-CN" w:bidi="ar-SA"/>
    </w:rPr>
  </w:style>
  <w:style w:type="paragraph" w:styleId="1018">
    <w:name w:val="111111"/>
    <w:basedOn w:val="825"/>
    <w:next w:val="1018"/>
    <w:link w:val="1017"/>
    <w:pPr>
      <w:jc w:val="center"/>
      <w:spacing w:before="120" w:after="120"/>
    </w:pPr>
    <w:rPr>
      <w:rFonts w:ascii="宋体" w:hAnsi="宋体" w:eastAsia="黑体" w:cs="宋体"/>
      <w:b/>
      <w:bCs/>
      <w:szCs w:val="21"/>
    </w:rPr>
  </w:style>
  <w:style w:type="character" w:styleId="1019">
    <w:name w:val="apple-converted-space"/>
    <w:next w:val="1019"/>
    <w:link w:val="825"/>
    <w:rPr>
      <w:rFonts w:ascii="Times New Roman" w:hAnsi="Times New Roman" w:eastAsia="宋体" w:cs="Times New Roman"/>
    </w:rPr>
  </w:style>
  <w:style w:type="character" w:styleId="1020">
    <w:name w:val="纯文本 Char Char"/>
    <w:next w:val="1020"/>
    <w:link w:val="825"/>
    <w:rPr>
      <w:rFonts w:ascii="宋体" w:hAnsi="Courier New" w:eastAsia="宋体" w:cs="Times New Roman"/>
      <w:sz w:val="21"/>
      <w:szCs w:val="21"/>
      <w:lang w:val="en-US" w:eastAsia="zh-CN" w:bidi="ar-SA"/>
    </w:rPr>
  </w:style>
  <w:style w:type="character" w:styleId="1021">
    <w:name w:val="NormalCharacter1"/>
    <w:next w:val="1021"/>
    <w:link w:val="825"/>
    <w:rPr>
      <w:rFonts w:ascii="Times New Roman" w:hAnsi="Times New Roman" w:eastAsia="宋体" w:cs="Times New Roman"/>
      <w:sz w:val="21"/>
      <w:szCs w:val="22"/>
      <w:lang w:val="en-US" w:eastAsia="zh-CN" w:bidi="ar-SA"/>
    </w:rPr>
  </w:style>
  <w:style w:type="character" w:styleId="1022">
    <w:name w:val=" Char Char17"/>
    <w:next w:val="1022"/>
    <w:link w:val="825"/>
    <w:rPr>
      <w:rFonts w:ascii="宋体" w:hAnsi="Courier New" w:eastAsia="宋体" w:cs="Times New Roman"/>
      <w:sz w:val="21"/>
      <w:szCs w:val="21"/>
    </w:rPr>
  </w:style>
  <w:style w:type="character" w:styleId="1023">
    <w:name w:val="明显参考"/>
    <w:next w:val="1023"/>
    <w:link w:val="825"/>
    <w:qFormat/>
    <w:rPr>
      <w:rFonts w:ascii="Times New Roman" w:hAnsi="Times New Roman" w:eastAsia="宋体" w:cs="Times New Roman"/>
      <w:smallCaps/>
      <w:spacing w:val="5"/>
      <w:u w:val="single"/>
    </w:rPr>
  </w:style>
  <w:style w:type="character" w:styleId="1024">
    <w:name w:val="h Char Char"/>
    <w:next w:val="1024"/>
    <w:link w:val="825"/>
    <w:rPr>
      <w:rFonts w:ascii="Times New Roman" w:hAnsi="Times New Roman" w:eastAsia="宋体" w:cs="Times New Roman"/>
      <w:b w:val="0"/>
      <w:bCs w:val="0"/>
      <w:i w:val="0"/>
      <w:iCs w:val="0"/>
      <w:sz w:val="18"/>
      <w:szCs w:val="18"/>
      <w:lang w:val="en-US" w:eastAsia="zh-CN" w:bidi="ar-SA"/>
    </w:rPr>
  </w:style>
  <w:style w:type="character" w:styleId="1025">
    <w:name w:val="case31"/>
    <w:next w:val="1025"/>
    <w:link w:val="825"/>
    <w:rPr>
      <w:rFonts w:ascii="Times New Roman" w:hAnsi="Times New Roman" w:eastAsia="宋体" w:cs="Times New Roman"/>
      <w:b w:val="0"/>
      <w:bCs w:val="0"/>
      <w:i w:val="0"/>
      <w:iCs w:val="0"/>
      <w:sz w:val="21"/>
      <w:szCs w:val="21"/>
    </w:rPr>
  </w:style>
  <w:style w:type="character" w:styleId="1026">
    <w:name w:val="para_small"/>
    <w:next w:val="1026"/>
    <w:link w:val="825"/>
    <w:rPr>
      <w:rFonts w:ascii="Times New Roman" w:hAnsi="Times New Roman" w:eastAsia="宋体" w:cs="Times New Roman"/>
    </w:rPr>
  </w:style>
  <w:style w:type="character" w:styleId="1027">
    <w:name w:val="content_lineheight1"/>
    <w:next w:val="1027"/>
    <w:link w:val="825"/>
    <w:rPr>
      <w:rFonts w:ascii="Times New Roman" w:hAnsi="Times New Roman" w:eastAsia="宋体" w:cs="Times New Roman"/>
    </w:rPr>
  </w:style>
  <w:style w:type="paragraph" w:styleId="1028">
    <w:name w:val=" Char Char Char Char Char Char Char Char Char Char Char Char Char Char"/>
    <w:basedOn w:val="825"/>
    <w:next w:val="1028"/>
    <w:link w:val="825"/>
    <w:rPr>
      <w:rFonts w:ascii="Tahoma" w:hAnsi="Tahoma" w:eastAsia="宋体" w:cs="Times New Roman"/>
      <w:sz w:val="24"/>
    </w:rPr>
  </w:style>
  <w:style w:type="paragraph" w:styleId="1029">
    <w:name w:val="xl58"/>
    <w:basedOn w:val="825"/>
    <w:next w:val="1029"/>
    <w:link w:val="825"/>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030">
    <w:name w:val="正文缩进2字符"/>
    <w:basedOn w:val="825"/>
    <w:next w:val="1030"/>
    <w:link w:val="825"/>
    <w:pPr>
      <w:ind w:firstLine="200"/>
      <w:spacing w:line="300" w:lineRule="auto"/>
    </w:pPr>
    <w:rPr>
      <w:rFonts w:ascii="仿宋_GB2312" w:hAnsi="Times New Roman" w:eastAsia="仿宋_GB2312" w:cs="Times New Roman"/>
      <w:sz w:val="32"/>
      <w:szCs w:val="32"/>
    </w:rPr>
  </w:style>
  <w:style w:type="paragraph" w:styleId="1031">
    <w:name w:val="正文表标题"/>
    <w:next w:val="929"/>
    <w:link w:val="825"/>
    <w:pPr>
      <w:ind w:left="900" w:hanging="420"/>
      <w:jc w:val="center"/>
      <w:tabs>
        <w:tab w:val="left" w:pos="900" w:leader="none"/>
      </w:tabs>
    </w:pPr>
    <w:rPr>
      <w:rFonts w:ascii="黑体" w:eastAsia="黑体"/>
      <w:sz w:val="21"/>
      <w:lang w:val="en-US" w:eastAsia="zh-CN" w:bidi="ar-SA"/>
    </w:rPr>
  </w:style>
  <w:style w:type="paragraph" w:styleId="1032">
    <w:name w:val=" Char Char1 Char Char Char Char1 Char Char Char Char Char Char"/>
    <w:basedOn w:val="825"/>
    <w:next w:val="1032"/>
    <w:link w:val="825"/>
    <w:rPr>
      <w:rFonts w:ascii="Tahoma" w:hAnsi="Tahoma" w:eastAsia="宋体" w:cs="Times New Roman"/>
      <w:sz w:val="24"/>
    </w:rPr>
  </w:style>
  <w:style w:type="paragraph" w:styleId="1033">
    <w:name w:val="段落"/>
    <w:basedOn w:val="825"/>
    <w:next w:val="1033"/>
    <w:link w:val="825"/>
    <w:pPr>
      <w:ind w:firstLine="480"/>
      <w:spacing w:line="460" w:lineRule="exact"/>
    </w:pPr>
    <w:rPr>
      <w:rFonts w:ascii="Times New Roman" w:hAnsi="Times New Roman" w:eastAsia="宋体" w:cs="Times New Roman"/>
      <w:sz w:val="24"/>
    </w:rPr>
  </w:style>
  <w:style w:type="paragraph" w:styleId="1034">
    <w:name w:val=" Char Char"/>
    <w:basedOn w:val="825"/>
    <w:next w:val="1034"/>
    <w:link w:val="825"/>
    <w:rPr>
      <w:rFonts w:ascii="Tahoma" w:hAnsi="Tahoma" w:eastAsia="宋体" w:cs="Times New Roman"/>
      <w:sz w:val="24"/>
    </w:rPr>
  </w:style>
  <w:style w:type="paragraph" w:styleId="1035">
    <w:name w:val="xl44"/>
    <w:basedOn w:val="825"/>
    <w:next w:val="1035"/>
    <w:link w:val="8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036">
    <w:name w:val="flNote"/>
    <w:basedOn w:val="825"/>
    <w:next w:val="1036"/>
    <w:link w:val="825"/>
    <w:pPr>
      <w:jc w:val="center"/>
      <w:spacing w:before="567" w:line="360" w:lineRule="atLeast"/>
    </w:pPr>
    <w:rPr>
      <w:rFonts w:ascii="Times New Roman" w:hAnsi="Times New Roman" w:eastAsia="黑体" w:cs="Times New Roman"/>
      <w:b/>
      <w:sz w:val="24"/>
    </w:rPr>
  </w:style>
  <w:style w:type="paragraph" w:styleId="1037">
    <w:name w:val="正文文本 New New"/>
    <w:basedOn w:val="825"/>
    <w:next w:val="1037"/>
    <w:link w:val="825"/>
    <w:pPr>
      <w:ind w:firstLine="200"/>
      <w:spacing w:before="60" w:after="60" w:line="360" w:lineRule="auto"/>
      <w:widowControl/>
    </w:pPr>
    <w:rPr>
      <w:rFonts w:ascii="Times New Roman" w:hAnsi="Times New Roman" w:eastAsia="华文楷体" w:cs="Times New Roman"/>
      <w:sz w:val="24"/>
      <w:szCs w:val="24"/>
    </w:rPr>
  </w:style>
  <w:style w:type="paragraph" w:styleId="1038">
    <w:name w:val=" Char1"/>
    <w:basedOn w:val="825"/>
    <w:next w:val="1038"/>
    <w:link w:val="825"/>
    <w:pPr>
      <w:jc w:val="left"/>
      <w:spacing w:after="160" w:line="240" w:lineRule="exact"/>
      <w:widowControl/>
    </w:pPr>
    <w:rPr>
      <w:rFonts w:ascii="Verdana" w:hAnsi="Verdana" w:eastAsia="仿宋_GB2312" w:cs="Times New Roman"/>
      <w:sz w:val="24"/>
      <w:lang w:eastAsia="en-US"/>
    </w:rPr>
  </w:style>
  <w:style w:type="paragraph" w:styleId="1039">
    <w:name w:val="xl30"/>
    <w:basedOn w:val="825"/>
    <w:next w:val="1039"/>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040">
    <w:name w:val="列表内容"/>
    <w:basedOn w:val="825"/>
    <w:next w:val="825"/>
    <w:link w:val="825"/>
    <w:pPr>
      <w:ind w:left="840" w:hanging="420"/>
      <w:jc w:val="left"/>
      <w:widowControl/>
      <w:tabs>
        <w:tab w:val="left" w:pos="840" w:leader="none"/>
      </w:tabs>
    </w:pPr>
    <w:rPr>
      <w:rFonts w:ascii="Times New Roman" w:hAnsi="Times New Roman" w:eastAsia="宋体" w:cs="Times New Roman"/>
      <w:sz w:val="18"/>
      <w:szCs w:val="24"/>
    </w:rPr>
  </w:style>
  <w:style w:type="paragraph" w:styleId="1041">
    <w:name w:val="样式 样式 首行缩进:  0.74 厘米 行距: 1.5 倍行距 + 段后: 0.5 行"/>
    <w:basedOn w:val="825"/>
    <w:next w:val="1041"/>
    <w:link w:val="825"/>
    <w:pPr>
      <w:ind w:firstLine="420"/>
      <w:spacing w:line="360" w:lineRule="auto"/>
    </w:pPr>
    <w:rPr>
      <w:rFonts w:ascii="楷体_GB2312" w:hAnsi="Times New Roman" w:eastAsia="楷体_GB2312" w:cs="Times New Roman"/>
      <w:bCs/>
      <w:sz w:val="24"/>
    </w:rPr>
  </w:style>
  <w:style w:type="paragraph" w:styleId="1042">
    <w:name w:val="文档正文"/>
    <w:basedOn w:val="825"/>
    <w:next w:val="1042"/>
    <w:link w:val="825"/>
    <w:pPr>
      <w:spacing w:line="360" w:lineRule="auto"/>
    </w:pPr>
    <w:rPr>
      <w:rFonts w:ascii="宋体" w:hAnsi="宋体" w:eastAsia="宋体" w:cs="Times New Roman"/>
      <w:b/>
      <w:bCs/>
      <w:szCs w:val="24"/>
    </w:rPr>
  </w:style>
  <w:style w:type="paragraph" w:styleId="1043">
    <w:name w:val="_Style 1"/>
    <w:basedOn w:val="825"/>
    <w:next w:val="1043"/>
    <w:link w:val="825"/>
    <w:pPr>
      <w:ind w:firstLine="420"/>
    </w:pPr>
    <w:rPr>
      <w:rFonts w:ascii="Calibri" w:hAnsi="Calibri" w:eastAsia="宋体" w:cs="Times New Roman"/>
      <w:szCs w:val="22"/>
    </w:rPr>
  </w:style>
  <w:style w:type="paragraph" w:styleId="1044">
    <w:name w:val="马刚标题3"/>
    <w:basedOn w:val="825"/>
    <w:next w:val="825"/>
    <w:link w:val="825"/>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045">
    <w:name w:val="马刚标题4"/>
    <w:basedOn w:val="1044"/>
    <w:next w:val="825"/>
    <w:link w:val="825"/>
    <w:pPr>
      <w:spacing w:before="100" w:after="40"/>
      <w:tabs>
        <w:tab w:val="left" w:pos="1050" w:leader="none"/>
      </w:tabs>
      <w:outlineLvl w:val="3"/>
    </w:pPr>
    <w:rPr>
      <w:rFonts w:ascii="Times New Roman" w:hAnsi="Times New Roman" w:eastAsia="宋体" w:cs="Times New Roman"/>
      <w:b w:val="0"/>
    </w:rPr>
  </w:style>
  <w:style w:type="paragraph" w:styleId="1046">
    <w:name w:val="四号正文"/>
    <w:basedOn w:val="825"/>
    <w:next w:val="1046"/>
    <w:link w:val="825"/>
    <w:pPr>
      <w:ind w:firstLine="560"/>
      <w:spacing w:before="0" w:after="0"/>
    </w:pPr>
    <w:rPr>
      <w:rFonts w:ascii="Times New Roman" w:hAnsi="Times New Roman" w:eastAsia="宋体" w:cs="Times New Roman"/>
      <w:sz w:val="28"/>
      <w:szCs w:val="28"/>
    </w:rPr>
  </w:style>
  <w:style w:type="paragraph" w:styleId="1047">
    <w:name w:val="flName"/>
    <w:basedOn w:val="1036"/>
    <w:next w:val="1047"/>
    <w:link w:val="825"/>
    <w:pPr>
      <w:spacing w:before="0" w:line="113" w:lineRule="atLeast"/>
    </w:pPr>
    <w:rPr>
      <w:rFonts w:ascii="Times New Roman" w:hAnsi="Times New Roman" w:eastAsia="宋体" w:cs="Times New Roman"/>
    </w:rPr>
  </w:style>
  <w:style w:type="paragraph" w:styleId="1048">
    <w:name w:val="表格内容"/>
    <w:basedOn w:val="825"/>
    <w:next w:val="1048"/>
    <w:link w:val="825"/>
    <w:pPr>
      <w:jc w:val="center"/>
      <w:spacing w:before="60" w:line="300" w:lineRule="auto"/>
      <w:widowControl/>
    </w:pPr>
    <w:rPr>
      <w:rFonts w:ascii="Times New Roman" w:hAnsi="Times New Roman" w:eastAsia="宋体" w:cs="Times New Roman"/>
    </w:rPr>
  </w:style>
  <w:style w:type="paragraph" w:styleId="1049">
    <w:name w:val="丁华正文"/>
    <w:basedOn w:val="889"/>
    <w:next w:val="1049"/>
    <w:link w:val="825"/>
    <w:pPr>
      <w:ind w:left="0" w:firstLine="510"/>
      <w:spacing w:line="360" w:lineRule="auto"/>
    </w:pPr>
    <w:rPr>
      <w:rFonts w:ascii="Times New Roman" w:hAnsi="Times New Roman" w:eastAsia="宋体" w:cs="Times New Roman"/>
      <w:color w:val="000000"/>
      <w:sz w:val="24"/>
      <w:szCs w:val="16"/>
    </w:rPr>
  </w:style>
  <w:style w:type="paragraph" w:styleId="1050">
    <w:name w:val="丁华标题1"/>
    <w:basedOn w:val="826"/>
    <w:next w:val="1049"/>
    <w:link w:val="825"/>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051">
    <w:name w:val=" Char1 Char Char Char"/>
    <w:basedOn w:val="825"/>
    <w:next w:val="1051"/>
    <w:link w:val="825"/>
    <w:rPr>
      <w:rFonts w:ascii="Tahoma" w:hAnsi="Tahoma" w:eastAsia="宋体" w:cs="Times New Roman"/>
      <w:sz w:val="24"/>
    </w:rPr>
  </w:style>
  <w:style w:type="paragraph" w:styleId="1052">
    <w:name w:val="正文 + 宋体"/>
    <w:basedOn w:val="825"/>
    <w:next w:val="1052"/>
    <w:link w:val="825"/>
    <w:pPr>
      <w:ind w:firstLine="420"/>
      <w:spacing w:line="360" w:lineRule="auto"/>
    </w:pPr>
    <w:rPr>
      <w:rFonts w:ascii="Times New Roman" w:hAnsi="Times New Roman" w:eastAsia="宋体" w:cs="Times New Roman"/>
      <w:szCs w:val="24"/>
    </w:rPr>
  </w:style>
  <w:style w:type="paragraph" w:styleId="1053">
    <w:name w:val="二级标题"/>
    <w:basedOn w:val="825"/>
    <w:next w:val="1053"/>
    <w:link w:val="825"/>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054">
    <w:name w:val="Char Char Char Char Char Char Char Char Char Char Char"/>
    <w:basedOn w:val="825"/>
    <w:next w:val="1054"/>
    <w:link w:val="825"/>
    <w:rPr>
      <w:rFonts w:ascii="Tahoma" w:hAnsi="Tahoma" w:eastAsia="宋体" w:cs="Tahoma"/>
      <w:sz w:val="24"/>
    </w:rPr>
  </w:style>
  <w:style w:type="paragraph" w:styleId="1055">
    <w:name w:val="xl49"/>
    <w:basedOn w:val="825"/>
    <w:next w:val="1055"/>
    <w:link w:val="825"/>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056">
    <w:name w:val="Char Char1"/>
    <w:basedOn w:val="825"/>
    <w:next w:val="1056"/>
    <w:link w:val="825"/>
    <w:rPr>
      <w:rFonts w:ascii="Tahoma" w:hAnsi="Tahoma" w:eastAsia="宋体" w:cs="Tahoma"/>
      <w:sz w:val="24"/>
    </w:rPr>
  </w:style>
  <w:style w:type="paragraph" w:styleId="1057">
    <w:name w:val="List Paragraph"/>
    <w:basedOn w:val="825"/>
    <w:next w:val="1057"/>
    <w:link w:val="825"/>
    <w:pPr>
      <w:contextualSpacing/>
      <w:ind w:left="720"/>
      <w:jc w:val="left"/>
      <w:widowControl/>
    </w:pPr>
    <w:rPr>
      <w:rFonts w:ascii="Arial" w:hAnsi="Arial" w:eastAsia="黑体" w:cs="Times New Roman"/>
      <w:sz w:val="24"/>
      <w:szCs w:val="24"/>
      <w:lang w:eastAsia="en-US"/>
    </w:rPr>
  </w:style>
  <w:style w:type="paragraph" w:styleId="1058">
    <w:name w:val="样式"/>
    <w:basedOn w:val="825"/>
    <w:next w:val="1058"/>
    <w:link w:val="825"/>
    <w:pPr>
      <w:spacing w:before="120" w:after="120" w:line="360" w:lineRule="auto"/>
    </w:pPr>
    <w:rPr>
      <w:rFonts w:ascii="宋体" w:hAnsi="Times New Roman" w:eastAsia="宋体" w:cs="Times New Roman"/>
      <w:sz w:val="24"/>
    </w:rPr>
  </w:style>
  <w:style w:type="paragraph" w:styleId="1059">
    <w:name w:val="font14"/>
    <w:basedOn w:val="825"/>
    <w:next w:val="1059"/>
    <w:link w:val="825"/>
    <w:pPr>
      <w:jc w:val="left"/>
      <w:spacing w:before="100" w:beforeAutospacing="1" w:after="100" w:afterAutospacing="1"/>
      <w:widowControl/>
    </w:pPr>
    <w:rPr>
      <w:rFonts w:ascii="Times New Roman" w:hAnsi="Times New Roman" w:eastAsia="宋体" w:cs="Times New Roman"/>
      <w:sz w:val="36"/>
      <w:szCs w:val="36"/>
    </w:rPr>
  </w:style>
  <w:style w:type="paragraph" w:styleId="1060">
    <w:name w:val="正文 首行缩进:  2 字符 Char Char"/>
    <w:basedOn w:val="825"/>
    <w:next w:val="1060"/>
    <w:link w:val="825"/>
    <w:pPr>
      <w:ind w:firstLine="480"/>
      <w:spacing w:line="360" w:lineRule="auto"/>
    </w:pPr>
    <w:rPr>
      <w:rFonts w:ascii="楷体_GB2312" w:hAnsi="Times New Roman" w:eastAsia="楷体_GB2312" w:cs="Times New Roman"/>
      <w:bCs/>
      <w:sz w:val="24"/>
      <w:szCs w:val="24"/>
    </w:rPr>
  </w:style>
  <w:style w:type="paragraph" w:styleId="1061">
    <w:name w:val="样式1"/>
    <w:basedOn w:val="825"/>
    <w:next w:val="1061"/>
    <w:link w:val="825"/>
    <w:pPr>
      <w:ind w:firstLine="480"/>
      <w:spacing w:line="300" w:lineRule="auto"/>
    </w:pPr>
    <w:rPr>
      <w:rFonts w:ascii="Times New Roman" w:hAnsi="Times New Roman" w:eastAsia="宋体" w:cs="Times New Roman"/>
      <w:sz w:val="24"/>
      <w:szCs w:val="24"/>
    </w:rPr>
  </w:style>
  <w:style w:type="paragraph" w:styleId="1062">
    <w:name w:val="Char Char Char Char Char"/>
    <w:basedOn w:val="825"/>
    <w:next w:val="1062"/>
    <w:link w:val="825"/>
    <w:rPr>
      <w:rFonts w:ascii="Tahoma" w:hAnsi="Tahoma" w:eastAsia="宋体" w:cs="Tahoma"/>
      <w:sz w:val="24"/>
    </w:rPr>
  </w:style>
  <w:style w:type="paragraph" w:styleId="1063">
    <w:name w:val="xl31"/>
    <w:basedOn w:val="825"/>
    <w:next w:val="1063"/>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64">
    <w:name w:val="正文 首行缩进:  2 字符 Char"/>
    <w:basedOn w:val="825"/>
    <w:next w:val="1064"/>
    <w:link w:val="825"/>
    <w:pPr>
      <w:ind w:firstLine="480"/>
      <w:spacing w:line="360" w:lineRule="auto"/>
    </w:pPr>
    <w:rPr>
      <w:rFonts w:ascii="Times New Roman" w:hAnsi="Times New Roman" w:eastAsia="宋体" w:cs="宋体"/>
      <w:sz w:val="24"/>
    </w:rPr>
  </w:style>
  <w:style w:type="paragraph" w:styleId="1065">
    <w:name w:val=" Char Char Char Char Char Char Char Char Char Char Char"/>
    <w:basedOn w:val="825"/>
    <w:next w:val="1065"/>
    <w:link w:val="825"/>
    <w:rPr>
      <w:rFonts w:ascii="Tahoma" w:hAnsi="Tahoma" w:eastAsia="宋体" w:cs="Times New Roman"/>
      <w:sz w:val="24"/>
    </w:rPr>
  </w:style>
  <w:style w:type="paragraph" w:styleId="1066">
    <w:name w:val="列出段落"/>
    <w:basedOn w:val="825"/>
    <w:next w:val="1066"/>
    <w:link w:val="825"/>
    <w:qFormat/>
    <w:pPr>
      <w:ind w:firstLine="420"/>
    </w:pPr>
    <w:rPr>
      <w:rFonts w:ascii="Times New Roman" w:hAnsi="Times New Roman" w:eastAsia="宋体" w:cs="Times New Roman"/>
      <w:szCs w:val="24"/>
    </w:rPr>
  </w:style>
  <w:style w:type="paragraph" w:styleId="1067">
    <w:name w:val="No Spacing"/>
    <w:next w:val="1067"/>
    <w:link w:val="825"/>
    <w:pPr>
      <w:jc w:val="both"/>
      <w:widowControl w:val="off"/>
    </w:pPr>
    <w:rPr>
      <w:rFonts w:eastAsia="微软雅黑"/>
      <w:sz w:val="24"/>
      <w:szCs w:val="22"/>
      <w:lang w:val="en-US" w:eastAsia="zh-CN" w:bidi="ar-SA"/>
    </w:rPr>
  </w:style>
  <w:style w:type="paragraph" w:styleId="1068">
    <w:name w:val="retrait3"/>
    <w:basedOn w:val="825"/>
    <w:next w:val="1068"/>
    <w:link w:val="825"/>
    <w:pPr>
      <w:ind w:left="851"/>
      <w:jc w:val="left"/>
      <w:spacing w:before="20" w:after="20"/>
      <w:widowControl/>
    </w:pPr>
    <w:rPr>
      <w:rFonts w:ascii="Arial" w:hAnsi="Arial" w:eastAsia="宋体" w:cs="Times New Roman"/>
      <w:sz w:val="24"/>
      <w:lang w:val="en-GB"/>
    </w:rPr>
  </w:style>
  <w:style w:type="paragraph" w:styleId="1069">
    <w:name w:val="tableau"/>
    <w:basedOn w:val="825"/>
    <w:next w:val="1069"/>
    <w:link w:val="825"/>
    <w:pPr>
      <w:jc w:val="center"/>
      <w:spacing w:before="20" w:after="20"/>
      <w:widowControl/>
    </w:pPr>
    <w:rPr>
      <w:rFonts w:ascii="Arial" w:hAnsi="Arial" w:eastAsia="宋体" w:cs="Times New Roman"/>
      <w:sz w:val="16"/>
      <w:lang w:val="en-GB" w:eastAsia="en-US"/>
    </w:rPr>
  </w:style>
  <w:style w:type="paragraph" w:styleId="1070">
    <w:name w:val="xl36"/>
    <w:basedOn w:val="825"/>
    <w:next w:val="1070"/>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71">
    <w:name w:val="Char Char1 Char Char Char Char"/>
    <w:basedOn w:val="853"/>
    <w:next w:val="1071"/>
    <w:link w:val="825"/>
    <w:pPr>
      <w:ind w:left="357"/>
      <w:jc w:val="left"/>
      <w:spacing w:line="436" w:lineRule="exact"/>
      <w:outlineLvl w:val="3"/>
    </w:pPr>
    <w:rPr>
      <w:rFonts w:ascii="Tahoma" w:hAnsi="Tahoma" w:eastAsia="宋体" w:cs="Tahoma"/>
      <w:b/>
      <w:sz w:val="24"/>
      <w:szCs w:val="24"/>
    </w:rPr>
  </w:style>
  <w:style w:type="paragraph" w:styleId="1072">
    <w:name w:val="_Style 42"/>
    <w:basedOn w:val="825"/>
    <w:next w:val="861"/>
    <w:link w:val="825"/>
    <w:rPr>
      <w:rFonts w:ascii="楷体_GB2312" w:hAnsi="Arial" w:eastAsia="楷体_GB2312" w:cs="Times New Roman"/>
      <w:sz w:val="28"/>
    </w:rPr>
  </w:style>
  <w:style w:type="paragraph" w:styleId="1073">
    <w:name w:val="xl28"/>
    <w:basedOn w:val="825"/>
    <w:next w:val="1073"/>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74">
    <w:name w:val="正文格式"/>
    <w:basedOn w:val="825"/>
    <w:next w:val="1074"/>
    <w:link w:val="825"/>
    <w:pPr>
      <w:ind w:left="178" w:right="44" w:hanging="178"/>
      <w:jc w:val="left"/>
      <w:spacing w:before="78" w:line="360" w:lineRule="auto"/>
      <w:widowControl/>
    </w:pPr>
    <w:rPr>
      <w:rFonts w:ascii="宋体" w:hAnsi="宋体" w:eastAsia="宋体" w:cs="Times New Roman"/>
      <w:bCs/>
      <w:szCs w:val="21"/>
    </w:rPr>
  </w:style>
  <w:style w:type="paragraph" w:styleId="1075">
    <w:name w:val="项目符号，一级"/>
    <w:basedOn w:val="1074"/>
    <w:next w:val="1074"/>
    <w:link w:val="825"/>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076">
    <w:name w:val="xl37"/>
    <w:basedOn w:val="825"/>
    <w:next w:val="1076"/>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077">
    <w:name w:val="项目符号，二级"/>
    <w:basedOn w:val="1074"/>
    <w:next w:val="1074"/>
    <w:link w:val="825"/>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078">
    <w:name w:val="xl59"/>
    <w:basedOn w:val="825"/>
    <w:next w:val="1078"/>
    <w:link w:val="825"/>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79">
    <w:name w:val="小四 段落 宋体 Char"/>
    <w:basedOn w:val="851"/>
    <w:next w:val="1079"/>
    <w:link w:val="825"/>
    <w:pPr>
      <w:ind w:left="0" w:right="-33" w:firstLine="600"/>
      <w:jc w:val="left"/>
      <w:tabs>
        <w:tab w:val="clear" w:pos="2952" w:leader="none"/>
      </w:tabs>
    </w:pPr>
    <w:rPr>
      <w:rFonts w:ascii="仿宋_GB2312" w:hAnsi="Times New Roman" w:eastAsia="仿宋_GB2312" w:cs="Times New Roman"/>
      <w:sz w:val="30"/>
      <w:szCs w:val="30"/>
    </w:rPr>
  </w:style>
  <w:style w:type="paragraph" w:styleId="1080">
    <w:name w:val="xl60"/>
    <w:basedOn w:val="825"/>
    <w:next w:val="1080"/>
    <w:link w:val="82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081">
    <w:name w:val="Char Char Char Char Char Char Char Char Char Char Char Char Char"/>
    <w:basedOn w:val="825"/>
    <w:next w:val="1081"/>
    <w:link w:val="825"/>
    <w:pPr>
      <w:jc w:val="left"/>
      <w:spacing w:after="160" w:line="240" w:lineRule="exact"/>
      <w:widowControl/>
    </w:pPr>
    <w:rPr>
      <w:rFonts w:ascii="Times New Roman" w:hAnsi="Times New Roman" w:eastAsia="宋体" w:cs="Times New Roman"/>
      <w:szCs w:val="24"/>
    </w:rPr>
  </w:style>
  <w:style w:type="paragraph" w:styleId="1082">
    <w:name w:val="表头_5"/>
    <w:basedOn w:val="825"/>
    <w:next w:val="1082"/>
    <w:link w:val="825"/>
    <w:pPr>
      <w:spacing w:line="360" w:lineRule="auto"/>
    </w:pPr>
    <w:rPr>
      <w:rFonts w:ascii="Times New Roman" w:hAnsi="Times New Roman" w:eastAsia="宋体" w:cs="Times New Roman"/>
      <w:b/>
      <w:bCs/>
      <w:sz w:val="28"/>
      <w:szCs w:val="21"/>
    </w:rPr>
  </w:style>
  <w:style w:type="paragraph" w:styleId="1083">
    <w:name w:val="样式 标题 3H3sect1.2.3BOD 0Heading 3 - oldh3l3CTLevel 3 Head..."/>
    <w:basedOn w:val="828"/>
    <w:next w:val="1083"/>
    <w:link w:val="825"/>
    <w:pPr>
      <w:jc w:val="left"/>
      <w:spacing w:before="156" w:after="156"/>
    </w:pPr>
    <w:rPr>
      <w:rFonts w:ascii="Times New Roman" w:hAnsi="Times New Roman" w:eastAsia="宋体" w:cs="宋体"/>
      <w:bCs/>
      <w:sz w:val="30"/>
    </w:rPr>
  </w:style>
  <w:style w:type="paragraph" w:styleId="1084">
    <w:name w:val="样式2"/>
    <w:basedOn w:val="825"/>
    <w:next w:val="1084"/>
    <w:link w:val="825"/>
    <w:pPr>
      <w:ind w:left="200"/>
      <w:spacing w:line="360" w:lineRule="auto"/>
    </w:pPr>
    <w:rPr>
      <w:rFonts w:ascii="宋体" w:hAnsi="宋体" w:eastAsia="宋体" w:cs="Times New Roman"/>
      <w:b/>
      <w:sz w:val="24"/>
      <w:szCs w:val="24"/>
    </w:rPr>
  </w:style>
  <w:style w:type="paragraph" w:styleId="1085">
    <w:name w:val=" Char Char Char Char Char Char Char"/>
    <w:basedOn w:val="825"/>
    <w:next w:val="1085"/>
    <w:link w:val="825"/>
    <w:rPr>
      <w:rFonts w:ascii="Tahoma" w:hAnsi="Tahoma" w:eastAsia="宋体" w:cs="Times New Roman"/>
      <w:sz w:val="24"/>
    </w:rPr>
  </w:style>
  <w:style w:type="paragraph" w:styleId="1086">
    <w:name w:val="Default Text"/>
    <w:basedOn w:val="825"/>
    <w:next w:val="1086"/>
    <w:link w:val="825"/>
    <w:pPr>
      <w:jc w:val="left"/>
      <w:widowControl/>
    </w:pPr>
    <w:rPr>
      <w:rFonts w:ascii="Times New Roman" w:hAnsi="Times New Roman" w:eastAsia="宋体" w:cs="Times New Roman"/>
      <w:sz w:val="24"/>
      <w:lang w:eastAsia="en-US"/>
    </w:rPr>
  </w:style>
  <w:style w:type="paragraph" w:styleId="1087">
    <w:name w:val="Char Char Char Char Char Char Char Char Char Char Char Char Char Char Char Char Char Char Char Char Char Char Char"/>
    <w:basedOn w:val="825"/>
    <w:next w:val="1087"/>
    <w:link w:val="825"/>
    <w:rPr>
      <w:rFonts w:ascii="Tahoma" w:hAnsi="Tahoma" w:eastAsia="宋体" w:cs="Tahoma"/>
      <w:sz w:val="24"/>
    </w:rPr>
  </w:style>
  <w:style w:type="paragraph" w:styleId="1088">
    <w:name w:val="Bullets L1"/>
    <w:basedOn w:val="825"/>
    <w:next w:val="1088"/>
    <w:link w:val="825"/>
    <w:pPr>
      <w:numPr>
        <w:ilvl w:val="0"/>
        <w:numId w:val="2"/>
      </w:numPr>
      <w:jc w:val="left"/>
      <w:spacing w:before="60" w:after="60"/>
      <w:widowControl/>
      <w:tabs>
        <w:tab w:val="left" w:pos="360" w:leader="none"/>
      </w:tabs>
    </w:pPr>
    <w:rPr>
      <w:rFonts w:ascii="Arial" w:hAnsi="Arial" w:eastAsia="宋体" w:cs="Times New Roman"/>
      <w:sz w:val="20"/>
    </w:rPr>
  </w:style>
  <w:style w:type="paragraph" w:styleId="1089">
    <w:name w:val=" Char Char Char Char Char Char Char Char Char Char Char Char Char"/>
    <w:basedOn w:val="853"/>
    <w:next w:val="1089"/>
    <w:link w:val="825"/>
    <w:rPr>
      <w:rFonts w:ascii="Tahoma" w:hAnsi="Tahoma" w:eastAsia="宋体" w:cs="Times New Roman"/>
      <w:sz w:val="24"/>
      <w:szCs w:val="24"/>
    </w:rPr>
  </w:style>
  <w:style w:type="paragraph" w:styleId="1090">
    <w:name w:val="默认段落字体 Para Char"/>
    <w:basedOn w:val="825"/>
    <w:next w:val="1090"/>
    <w:link w:val="825"/>
    <w:rPr>
      <w:rFonts w:ascii="Times New Roman" w:hAnsi="Times New Roman" w:eastAsia="宋体" w:cs="Times New Roman"/>
      <w:sz w:val="24"/>
      <w:szCs w:val="24"/>
    </w:rPr>
  </w:style>
  <w:style w:type="paragraph" w:styleId="1091">
    <w:name w:val="标准小四"/>
    <w:basedOn w:val="825"/>
    <w:next w:val="1091"/>
    <w:link w:val="825"/>
    <w:pPr>
      <w:ind w:firstLine="480"/>
      <w:spacing w:line="360" w:lineRule="auto"/>
    </w:pPr>
    <w:rPr>
      <w:rFonts w:ascii="Arial" w:hAnsi="Arial" w:eastAsia="宋体" w:cs="Times New Roman"/>
      <w:sz w:val="24"/>
      <w:szCs w:val="21"/>
    </w:rPr>
  </w:style>
  <w:style w:type="paragraph" w:styleId="1092">
    <w:name w:val="马刚标题1"/>
    <w:basedOn w:val="826"/>
    <w:next w:val="825"/>
    <w:link w:val="825"/>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093">
    <w:name w:val="font13"/>
    <w:basedOn w:val="825"/>
    <w:next w:val="1093"/>
    <w:link w:val="825"/>
    <w:pPr>
      <w:jc w:val="left"/>
      <w:spacing w:before="100" w:beforeAutospacing="1" w:after="100" w:afterAutospacing="1"/>
      <w:widowControl/>
    </w:pPr>
    <w:rPr>
      <w:rFonts w:ascii="Times New Roman" w:hAnsi="Times New Roman" w:eastAsia="宋体" w:cs="Times New Roman"/>
      <w:i/>
      <w:iCs/>
      <w:sz w:val="36"/>
      <w:szCs w:val="36"/>
    </w:rPr>
  </w:style>
  <w:style w:type="paragraph" w:styleId="1094">
    <w:name w:val="font11"/>
    <w:basedOn w:val="825"/>
    <w:next w:val="1094"/>
    <w:link w:val="825"/>
    <w:pPr>
      <w:jc w:val="left"/>
      <w:spacing w:before="100" w:beforeAutospacing="1" w:after="100" w:afterAutospacing="1"/>
      <w:widowControl/>
    </w:pPr>
    <w:rPr>
      <w:rFonts w:ascii="Times New Roman" w:hAnsi="Times New Roman" w:eastAsia="宋体" w:cs="Times New Roman"/>
      <w:b/>
      <w:bCs/>
      <w:sz w:val="18"/>
      <w:szCs w:val="18"/>
    </w:rPr>
  </w:style>
  <w:style w:type="paragraph" w:styleId="1095">
    <w:name w:val="00-表格的正文"/>
    <w:basedOn w:val="825"/>
    <w:next w:val="1095"/>
    <w:link w:val="825"/>
    <w:pPr>
      <w:jc w:val="left"/>
      <w:spacing w:line="440" w:lineRule="exact"/>
    </w:pPr>
    <w:rPr>
      <w:rFonts w:ascii="楷体" w:hAnsi="楷体" w:eastAsia="宋体" w:cs="Times New Roman"/>
      <w:color w:val="000000"/>
      <w:sz w:val="20"/>
      <w:szCs w:val="24"/>
    </w:rPr>
  </w:style>
  <w:style w:type="paragraph" w:styleId="1096">
    <w:name w:val="a0"/>
    <w:basedOn w:val="825"/>
    <w:next w:val="1096"/>
    <w:link w:val="825"/>
    <w:pPr>
      <w:spacing w:before="100" w:beforeAutospacing="1" w:after="100" w:afterAutospacing="1"/>
      <w:widowControl/>
    </w:pPr>
    <w:rPr>
      <w:rFonts w:ascii="宋体" w:hAnsi="宋体" w:eastAsia="宋体" w:cs="宋体"/>
      <w:sz w:val="24"/>
      <w:szCs w:val="24"/>
    </w:rPr>
  </w:style>
  <w:style w:type="paragraph" w:styleId="1097">
    <w:name w:val="xl32"/>
    <w:basedOn w:val="825"/>
    <w:next w:val="1097"/>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98">
    <w:name w:val="Char Char Char Char Char Char Char Char"/>
    <w:basedOn w:val="825"/>
    <w:next w:val="1098"/>
    <w:link w:val="825"/>
    <w:rPr>
      <w:rFonts w:ascii="Tahoma" w:hAnsi="Tahoma" w:eastAsia="宋体" w:cs="Tahoma"/>
      <w:sz w:val="24"/>
    </w:rPr>
  </w:style>
  <w:style w:type="paragraph" w:styleId="1099">
    <w:name w:val="正文文本 21"/>
    <w:basedOn w:val="825"/>
    <w:next w:val="1099"/>
    <w:link w:val="825"/>
    <w:pPr>
      <w:ind w:left="720" w:hanging="720"/>
      <w:widowControl/>
    </w:pPr>
    <w:rPr>
      <w:rFonts w:ascii="Times New Roman" w:hAnsi="Times New Roman" w:eastAsia="宋体" w:cs="Times New Roman"/>
      <w:sz w:val="24"/>
      <w:lang w:val="en-GB"/>
    </w:rPr>
  </w:style>
  <w:style w:type="paragraph" w:styleId="1100">
    <w:name w:val="项目符号：一级"/>
    <w:basedOn w:val="1074"/>
    <w:next w:val="1074"/>
    <w:link w:val="825"/>
    <w:pPr>
      <w:ind w:right="-134"/>
    </w:pPr>
    <w:rPr>
      <w:rFonts w:ascii="Times New Roman" w:hAnsi="Times New Roman" w:eastAsia="宋体" w:cs="Times New Roman"/>
      <w:bCs w:val="0"/>
    </w:rPr>
  </w:style>
  <w:style w:type="paragraph" w:styleId="1101">
    <w:name w:val="符号与编号 Char"/>
    <w:basedOn w:val="825"/>
    <w:next w:val="1101"/>
    <w:link w:val="825"/>
    <w:pPr>
      <w:ind w:left="720"/>
      <w:spacing w:after="156" w:line="400" w:lineRule="atLeast"/>
      <w:tabs>
        <w:tab w:val="left" w:pos="720" w:leader="none"/>
      </w:tabs>
    </w:pPr>
    <w:rPr>
      <w:rFonts w:ascii="Times New Roman" w:hAnsi="Times New Roman" w:eastAsia="宋体" w:cs="Times New Roman"/>
      <w:sz w:val="24"/>
      <w:szCs w:val="24"/>
    </w:rPr>
  </w:style>
  <w:style w:type="paragraph" w:styleId="1102">
    <w:name w:val="a"/>
    <w:basedOn w:val="825"/>
    <w:next w:val="1102"/>
    <w:link w:val="825"/>
    <w:pPr>
      <w:spacing w:before="100" w:beforeAutospacing="1" w:after="100" w:afterAutospacing="1"/>
      <w:widowControl/>
    </w:pPr>
    <w:rPr>
      <w:rFonts w:ascii="宋体" w:hAnsi="宋体" w:eastAsia="宋体" w:cs="宋体"/>
      <w:sz w:val="24"/>
      <w:szCs w:val="24"/>
    </w:rPr>
  </w:style>
  <w:style w:type="paragraph" w:styleId="1103">
    <w:name w:val="xl57"/>
    <w:basedOn w:val="825"/>
    <w:next w:val="1103"/>
    <w:link w:val="825"/>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104">
    <w:name w:val="正文1"/>
    <w:basedOn w:val="825"/>
    <w:next w:val="825"/>
    <w:link w:val="825"/>
    <w:pPr>
      <w:ind w:firstLine="510"/>
      <w:spacing w:before="156" w:line="360" w:lineRule="auto"/>
    </w:pPr>
    <w:rPr>
      <w:rFonts w:ascii="Times New Roman" w:hAnsi="Times New Roman" w:eastAsia="宋体" w:cs="Times New Roman"/>
      <w:sz w:val="24"/>
    </w:rPr>
  </w:style>
  <w:style w:type="paragraph" w:styleId="1105">
    <w:name w:val="Char Char Char"/>
    <w:basedOn w:val="825"/>
    <w:next w:val="1105"/>
    <w:link w:val="825"/>
    <w:rPr>
      <w:rFonts w:ascii="Tahoma" w:hAnsi="Tahoma" w:eastAsia="宋体" w:cs="Times New Roman"/>
      <w:sz w:val="24"/>
    </w:rPr>
  </w:style>
  <w:style w:type="paragraph" w:styleId="1106">
    <w:name w:val="行文"/>
    <w:basedOn w:val="825"/>
    <w:next w:val="1106"/>
    <w:link w:val="825"/>
    <w:pPr>
      <w:ind w:firstLine="624"/>
      <w:spacing w:before="0" w:after="0" w:line="480" w:lineRule="exact"/>
    </w:pPr>
    <w:rPr>
      <w:rFonts w:ascii="Times New Roman" w:hAnsi="Times New Roman" w:eastAsia="仿宋_GB2312" w:cs="Times New Roman"/>
      <w:spacing w:val="8"/>
      <w:sz w:val="30"/>
    </w:rPr>
  </w:style>
  <w:style w:type="paragraph" w:styleId="1107">
    <w:name w:val="font7"/>
    <w:basedOn w:val="825"/>
    <w:next w:val="1107"/>
    <w:link w:val="825"/>
    <w:pPr>
      <w:jc w:val="left"/>
      <w:spacing w:before="100" w:beforeAutospacing="1" w:after="100" w:afterAutospacing="1"/>
      <w:widowControl/>
    </w:pPr>
    <w:rPr>
      <w:rFonts w:hint="eastAsia" w:ascii="宋体" w:hAnsi="宋体" w:eastAsia="宋体" w:cs="Times New Roman"/>
      <w:b/>
      <w:bCs/>
      <w:sz w:val="24"/>
      <w:szCs w:val="24"/>
    </w:rPr>
  </w:style>
  <w:style w:type="paragraph" w:styleId="1108">
    <w:name w:val=" Char Char Char Char Char Char Char Char"/>
    <w:basedOn w:val="825"/>
    <w:next w:val="1108"/>
    <w:link w:val="825"/>
    <w:rPr>
      <w:rFonts w:ascii="Tahoma" w:hAnsi="Tahoma" w:eastAsia="宋体" w:cs="Times New Roman"/>
      <w:sz w:val="24"/>
    </w:rPr>
  </w:style>
  <w:style w:type="paragraph" w:styleId="1109">
    <w:name w:val="样式 正文缩进2字符 + 左侧:  2 字符 首行缩进:  2 字符"/>
    <w:basedOn w:val="825"/>
    <w:next w:val="1109"/>
    <w:link w:val="825"/>
    <w:pPr>
      <w:ind w:firstLine="480"/>
      <w:spacing w:line="360" w:lineRule="auto"/>
    </w:pPr>
    <w:rPr>
      <w:rFonts w:ascii="Times New Roman" w:hAnsi="Times New Roman" w:eastAsia="宋体" w:cs="宋体"/>
      <w:bCs/>
      <w:sz w:val="24"/>
      <w:szCs w:val="20"/>
    </w:rPr>
  </w:style>
  <w:style w:type="paragraph" w:styleId="1110">
    <w:name w:val="表格内文字"/>
    <w:basedOn w:val="825"/>
    <w:next w:val="1110"/>
    <w:link w:val="825"/>
    <w:pPr>
      <w:spacing w:line="300" w:lineRule="atLeast"/>
    </w:pPr>
    <w:rPr>
      <w:rFonts w:ascii="Times New Roman" w:hAnsi="Times New Roman" w:eastAsia="宋体" w:cs="Times New Roman"/>
      <w:sz w:val="18"/>
      <w:szCs w:val="24"/>
    </w:rPr>
  </w:style>
  <w:style w:type="paragraph" w:styleId="1111">
    <w:name w:val="xl46"/>
    <w:basedOn w:val="825"/>
    <w:next w:val="1111"/>
    <w:link w:val="825"/>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12">
    <w:name w:val=" Char Char Char Char"/>
    <w:basedOn w:val="825"/>
    <w:next w:val="1112"/>
    <w:link w:val="825"/>
    <w:pPr>
      <w:jc w:val="center"/>
      <w:spacing w:after="160" w:line="240" w:lineRule="exact"/>
      <w:widowControl/>
    </w:pPr>
    <w:rPr>
      <w:rFonts w:ascii="黑体" w:hAnsi="Verdana" w:eastAsia="黑体" w:cs="Times New Roman"/>
      <w:sz w:val="32"/>
      <w:szCs w:val="32"/>
      <w:lang w:eastAsia="en-US"/>
    </w:rPr>
  </w:style>
  <w:style w:type="paragraph" w:styleId="1113">
    <w:name w:val="Normal1"/>
    <w:basedOn w:val="825"/>
    <w:next w:val="1113"/>
    <w:link w:val="825"/>
    <w:rPr>
      <w:rFonts w:ascii="Calibri" w:hAnsi="Calibri" w:eastAsia="Calibri" w:cs="宋体"/>
      <w:lang w:val="zh-CN"/>
    </w:rPr>
  </w:style>
  <w:style w:type="paragraph" w:styleId="1114">
    <w:name w:val="样式 小四 行距: 固定值 25 磅8"/>
    <w:basedOn w:val="825"/>
    <w:next w:val="825"/>
    <w:link w:val="825"/>
    <w:pPr>
      <w:ind w:firstLine="464"/>
      <w:spacing w:line="500" w:lineRule="exact"/>
    </w:pPr>
    <w:rPr>
      <w:rFonts w:ascii="Times New Roman" w:hAnsi="Times New Roman" w:eastAsia="宋体" w:cs="宋体"/>
      <w:sz w:val="24"/>
    </w:rPr>
  </w:style>
  <w:style w:type="paragraph" w:styleId="1115">
    <w:name w:val=" Char Char1"/>
    <w:basedOn w:val="825"/>
    <w:next w:val="1115"/>
    <w:link w:val="825"/>
    <w:rPr>
      <w:rFonts w:ascii="Tahoma" w:hAnsi="Tahoma" w:eastAsia="宋体" w:cs="Times New Roman"/>
      <w:sz w:val="24"/>
    </w:rPr>
  </w:style>
  <w:style w:type="paragraph" w:styleId="1116">
    <w:name w:val="af17cgridlangnp1033langf"/>
    <w:next w:val="1116"/>
    <w:link w:val="825"/>
    <w:pPr>
      <w:ind w:left="567" w:firstLine="510"/>
      <w:jc w:val="both"/>
      <w:spacing w:before="156" w:line="360" w:lineRule="atLeast"/>
      <w:widowControl w:val="off"/>
    </w:pPr>
    <w:rPr>
      <w:lang w:val="en-US" w:eastAsia="zh-CN" w:bidi="ar-SA"/>
    </w:rPr>
  </w:style>
  <w:style w:type="paragraph" w:styleId="1117">
    <w:name w:val="华宇段落1 Char"/>
    <w:basedOn w:val="825"/>
    <w:next w:val="1117"/>
    <w:link w:val="825"/>
    <w:pPr>
      <w:ind w:firstLine="200"/>
      <w:spacing w:line="360" w:lineRule="auto"/>
    </w:pPr>
    <w:rPr>
      <w:rFonts w:ascii="Times New Roman" w:hAnsi="Times New Roman" w:eastAsia="宋体" w:cs="Times New Roman"/>
      <w:bCs/>
      <w:sz w:val="24"/>
      <w:szCs w:val="24"/>
    </w:rPr>
  </w:style>
  <w:style w:type="paragraph" w:styleId="1118">
    <w:name w:val="正文lzq"/>
    <w:basedOn w:val="825"/>
    <w:next w:val="1118"/>
    <w:link w:val="825"/>
    <w:pPr>
      <w:ind w:firstLine="480"/>
      <w:spacing w:line="360" w:lineRule="auto"/>
    </w:pPr>
    <w:rPr>
      <w:rFonts w:ascii="Times New Roman" w:hAnsi="Times New Roman" w:eastAsia="宋体" w:cs="Times New Roman"/>
      <w:sz w:val="24"/>
    </w:rPr>
  </w:style>
  <w:style w:type="paragraph" w:styleId="1119">
    <w:name w:val="正文--表格内正文"/>
    <w:basedOn w:val="825"/>
    <w:next w:val="1119"/>
    <w:link w:val="825"/>
    <w:pPr>
      <w:jc w:val="center"/>
      <w:spacing w:before="156" w:line="0" w:lineRule="atLeast"/>
    </w:pPr>
    <w:rPr>
      <w:rFonts w:ascii="宋体" w:hAnsi="宋体" w:eastAsia="宋体" w:cs="Times New Roman"/>
      <w:color w:val="000000"/>
      <w:sz w:val="24"/>
      <w:szCs w:val="24"/>
    </w:rPr>
  </w:style>
  <w:style w:type="paragraph" w:styleId="1120">
    <w:name w:val="xl25"/>
    <w:basedOn w:val="825"/>
    <w:next w:val="1120"/>
    <w:link w:val="825"/>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121">
    <w:name w:val="xl34"/>
    <w:basedOn w:val="825"/>
    <w:next w:val="1121"/>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22">
    <w:name w:val="表格1"/>
    <w:basedOn w:val="825"/>
    <w:next w:val="1122"/>
    <w:link w:val="825"/>
    <w:rPr>
      <w:rFonts w:ascii="宋体" w:hAnsi="Times New Roman" w:eastAsia="宋体" w:cs="Times New Roman"/>
      <w:szCs w:val="21"/>
    </w:rPr>
  </w:style>
  <w:style w:type="paragraph" w:styleId="1123">
    <w:name w:val="xl55"/>
    <w:basedOn w:val="825"/>
    <w:next w:val="1123"/>
    <w:link w:val="825"/>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124">
    <w:name w:val=" Char Char Char"/>
    <w:basedOn w:val="853"/>
    <w:next w:val="1124"/>
    <w:link w:val="825"/>
    <w:pPr>
      <w:spacing w:line="436" w:lineRule="exact"/>
    </w:pPr>
    <w:rPr>
      <w:rFonts w:ascii="Times New Roman" w:hAnsi="Times New Roman" w:eastAsia="宋体" w:cs="Times New Roman"/>
      <w:szCs w:val="24"/>
    </w:rPr>
  </w:style>
  <w:style w:type="paragraph" w:styleId="1125">
    <w:name w:val="表蕊"/>
    <w:basedOn w:val="825"/>
    <w:next w:val="1125"/>
    <w:link w:val="825"/>
    <w:pPr>
      <w:jc w:val="left"/>
      <w:spacing w:line="320" w:lineRule="atLeast"/>
    </w:pPr>
    <w:rPr>
      <w:rFonts w:ascii="Times New Roman" w:hAnsi="Times New Roman" w:eastAsia="楷体_GB2312" w:cs="Times New Roman"/>
      <w:spacing w:val="-10"/>
    </w:rPr>
  </w:style>
  <w:style w:type="paragraph" w:styleId="1126">
    <w:name w:val="样式 段后: 0.25 行"/>
    <w:basedOn w:val="825"/>
    <w:next w:val="1126"/>
    <w:link w:val="825"/>
    <w:pPr>
      <w:ind w:firstLine="420"/>
      <w:jc w:val="left"/>
      <w:spacing w:after="78" w:line="300" w:lineRule="auto"/>
      <w:widowControl/>
    </w:pPr>
    <w:rPr>
      <w:rFonts w:ascii="Arial" w:hAnsi="Arial" w:eastAsia="宋体" w:cs="宋体"/>
      <w:sz w:val="22"/>
      <w:lang w:eastAsia="en-US" w:bidi="en-US"/>
    </w:rPr>
  </w:style>
  <w:style w:type="paragraph" w:styleId="1127">
    <w:name w:val="xl35"/>
    <w:basedOn w:val="825"/>
    <w:next w:val="1127"/>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128">
    <w:name w:val="Char Char1 Char Char Char Char Char Char Char"/>
    <w:basedOn w:val="825"/>
    <w:next w:val="1128"/>
    <w:link w:val="825"/>
    <w:rPr>
      <w:rFonts w:ascii="Tahoma" w:hAnsi="Tahoma" w:eastAsia="宋体" w:cs="Tahoma"/>
      <w:sz w:val="24"/>
    </w:rPr>
  </w:style>
  <w:style w:type="paragraph" w:styleId="1129">
    <w:name w:val="00-合正"/>
    <w:basedOn w:val="825"/>
    <w:next w:val="1129"/>
    <w:link w:val="825"/>
    <w:pPr>
      <w:ind w:firstLine="200"/>
      <w:jc w:val="left"/>
      <w:spacing w:line="560" w:lineRule="exact"/>
    </w:pPr>
    <w:rPr>
      <w:rFonts w:ascii="楷体" w:hAnsi="楷体" w:eastAsia="楷体" w:cs="Times New Roman"/>
      <w:color w:val="000000"/>
      <w:sz w:val="28"/>
      <w:szCs w:val="24"/>
    </w:rPr>
  </w:style>
  <w:style w:type="paragraph" w:styleId="1130">
    <w:name w:val="xl48"/>
    <w:basedOn w:val="825"/>
    <w:next w:val="1130"/>
    <w:link w:val="825"/>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131">
    <w:name w:val="xl47"/>
    <w:basedOn w:val="825"/>
    <w:next w:val="1131"/>
    <w:link w:val="8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132">
    <w:name w:val="Char Char Char Char Char Char Char Char Char Char Char1 Char Char Char1"/>
    <w:basedOn w:val="825"/>
    <w:next w:val="1132"/>
    <w:link w:val="825"/>
    <w:pPr>
      <w:ind w:firstLine="200"/>
      <w:jc w:val="left"/>
    </w:pPr>
    <w:rPr>
      <w:rFonts w:ascii="Tahoma" w:hAnsi="Tahoma" w:eastAsia="宋体" w:cs="Times New Roman"/>
      <w:sz w:val="24"/>
      <w:szCs w:val="24"/>
    </w:rPr>
  </w:style>
  <w:style w:type="paragraph" w:styleId="1133">
    <w:name w:val="一级标题"/>
    <w:basedOn w:val="825"/>
    <w:next w:val="1133"/>
    <w:link w:val="825"/>
    <w:pPr>
      <w:ind w:left="900" w:hanging="420"/>
      <w:spacing w:line="360" w:lineRule="auto"/>
      <w:tabs>
        <w:tab w:val="left" w:pos="903" w:leader="none"/>
      </w:tabs>
    </w:pPr>
    <w:rPr>
      <w:rFonts w:ascii="Arial" w:hAnsi="Arial" w:eastAsia="宋体" w:cs="Arial"/>
      <w:sz w:val="24"/>
    </w:rPr>
  </w:style>
  <w:style w:type="paragraph" w:styleId="1134">
    <w:name w:val="Char Char Char Char Char Char Char Char Char Char Char Char Char Char Char Char Char Char Char Char Char"/>
    <w:basedOn w:val="825"/>
    <w:next w:val="1134"/>
    <w:link w:val="825"/>
    <w:rPr>
      <w:rFonts w:ascii="Tahoma" w:hAnsi="Tahoma" w:eastAsia="宋体" w:cs="Tahoma"/>
      <w:sz w:val="24"/>
    </w:rPr>
  </w:style>
  <w:style w:type="paragraph" w:styleId="1135">
    <w:name w:val="xl38"/>
    <w:basedOn w:val="825"/>
    <w:next w:val="1135"/>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36">
    <w:name w:val="xl40"/>
    <w:basedOn w:val="825"/>
    <w:next w:val="1136"/>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37">
    <w:name w:val="普通正文"/>
    <w:basedOn w:val="825"/>
    <w:next w:val="1137"/>
    <w:link w:val="825"/>
    <w:pPr>
      <w:ind w:firstLine="480"/>
      <w:jc w:val="left"/>
    </w:pPr>
    <w:rPr>
      <w:rFonts w:ascii="Arial" w:hAnsi="Arial" w:eastAsia="宋体" w:cs="Times New Roman"/>
      <w:sz w:val="24"/>
      <w:szCs w:val="24"/>
    </w:rPr>
  </w:style>
  <w:style w:type="paragraph" w:styleId="1138">
    <w:name w:val="Char Char Char Char Char Char Char Char Char Char Char Char Char Char"/>
    <w:basedOn w:val="825"/>
    <w:next w:val="1138"/>
    <w:link w:val="825"/>
    <w:rPr>
      <w:rFonts w:ascii="Tahoma" w:hAnsi="Tahoma" w:eastAsia="宋体" w:cs="Tahoma"/>
      <w:sz w:val="24"/>
    </w:rPr>
  </w:style>
  <w:style w:type="paragraph" w:styleId="1139">
    <w:name w:val="标题6"/>
    <w:basedOn w:val="830"/>
    <w:next w:val="1139"/>
    <w:link w:val="825"/>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140">
    <w:name w:val="符号与编号 Char Char"/>
    <w:basedOn w:val="825"/>
    <w:next w:val="1140"/>
    <w:link w:val="825"/>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141">
    <w:name w:val="公文正文"/>
    <w:basedOn w:val="862"/>
    <w:next w:val="1141"/>
    <w:link w:val="825"/>
    <w:pPr>
      <w:ind w:firstLine="200"/>
    </w:pPr>
    <w:rPr>
      <w:rFonts w:ascii="仿宋_GB2312" w:hAnsi="宋体" w:eastAsia="仿宋_GB2312" w:cs="Times New Roman"/>
      <w:sz w:val="28"/>
      <w:szCs w:val="24"/>
    </w:rPr>
  </w:style>
  <w:style w:type="paragraph" w:styleId="1142">
    <w:name w:val="Pa6"/>
    <w:basedOn w:val="825"/>
    <w:next w:val="825"/>
    <w:link w:val="825"/>
    <w:pPr>
      <w:jc w:val="left"/>
      <w:spacing w:line="241" w:lineRule="atLeast"/>
    </w:pPr>
    <w:rPr>
      <w:rFonts w:ascii="汉仪大黑简" w:hAnsi="Times New Roman" w:eastAsia="汉仪大黑简" w:cs="Times New Roman"/>
      <w:sz w:val="24"/>
      <w:szCs w:val="24"/>
    </w:rPr>
  </w:style>
  <w:style w:type="paragraph" w:styleId="1143">
    <w:name w:val="修订"/>
    <w:next w:val="1143"/>
    <w:link w:val="825"/>
    <w:rPr>
      <w:sz w:val="21"/>
      <w:szCs w:val="24"/>
      <w:lang w:val="en-US" w:eastAsia="zh-CN" w:bidi="ar-SA"/>
    </w:rPr>
  </w:style>
  <w:style w:type="paragraph" w:styleId="1144">
    <w:name w:val="标准文本"/>
    <w:basedOn w:val="825"/>
    <w:next w:val="1144"/>
    <w:link w:val="825"/>
    <w:pPr>
      <w:ind w:firstLine="480"/>
      <w:spacing w:line="360" w:lineRule="auto"/>
    </w:pPr>
    <w:rPr>
      <w:rFonts w:ascii="Times New Roman" w:hAnsi="Times New Roman" w:eastAsia="宋体" w:cs="宋体"/>
      <w:sz w:val="24"/>
      <w:szCs w:val="24"/>
    </w:rPr>
  </w:style>
  <w:style w:type="paragraph" w:styleId="1145">
    <w:name w:val="公文标题 2"/>
    <w:basedOn w:val="825"/>
    <w:next w:val="1141"/>
    <w:link w:val="825"/>
    <w:pPr>
      <w:outlineLvl w:val="1"/>
    </w:pPr>
    <w:rPr>
      <w:rFonts w:ascii="仿宋_GB2312" w:hAnsi="宋体" w:eastAsia="仿宋_GB2312" w:cs="Times New Roman"/>
      <w:sz w:val="28"/>
      <w:szCs w:val="24"/>
    </w:rPr>
  </w:style>
  <w:style w:type="paragraph" w:styleId="1146">
    <w:name w:val="font12"/>
    <w:basedOn w:val="825"/>
    <w:next w:val="1146"/>
    <w:link w:val="825"/>
    <w:pPr>
      <w:jc w:val="left"/>
      <w:spacing w:before="100" w:beforeAutospacing="1" w:after="100" w:afterAutospacing="1"/>
      <w:widowControl/>
    </w:pPr>
    <w:rPr>
      <w:rFonts w:ascii="宋体" w:hAnsi="宋体" w:eastAsia="宋体" w:cs="宋体"/>
      <w:sz w:val="36"/>
      <w:szCs w:val="36"/>
    </w:rPr>
  </w:style>
  <w:style w:type="paragraph" w:styleId="1147">
    <w:name w:val="正文 + Arial Char"/>
    <w:basedOn w:val="825"/>
    <w:next w:val="1147"/>
    <w:link w:val="825"/>
    <w:pPr>
      <w:ind w:left="315" w:hanging="315"/>
      <w:spacing w:line="300" w:lineRule="auto"/>
      <w:widowControl/>
      <w:tabs>
        <w:tab w:val="left" w:pos="315" w:leader="none"/>
      </w:tabs>
    </w:pPr>
    <w:rPr>
      <w:rFonts w:ascii="Arial" w:hAnsi="Arial" w:eastAsia="宋体" w:cs="Arial"/>
      <w:b/>
      <w:color w:val="000000"/>
    </w:rPr>
  </w:style>
  <w:style w:type="paragraph" w:styleId="1148">
    <w:name w:val="我的正文"/>
    <w:basedOn w:val="825"/>
    <w:next w:val="1148"/>
    <w:link w:val="825"/>
    <w:pPr>
      <w:ind w:firstLine="420"/>
      <w:jc w:val="left"/>
      <w:spacing w:line="360" w:lineRule="auto"/>
      <w:widowControl/>
    </w:pPr>
    <w:rPr>
      <w:rFonts w:ascii="宋体" w:hAnsi="宋体" w:eastAsia="宋体" w:cs="宋体"/>
      <w:szCs w:val="21"/>
    </w:rPr>
  </w:style>
  <w:style w:type="paragraph" w:styleId="1149">
    <w:name w:val="xl24"/>
    <w:basedOn w:val="825"/>
    <w:next w:val="1149"/>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0">
    <w:name w:val="标题4，章节第四层"/>
    <w:basedOn w:val="825"/>
    <w:next w:val="825"/>
    <w:link w:val="825"/>
    <w:pPr>
      <w:spacing w:line="360" w:lineRule="auto"/>
      <w:tabs>
        <w:tab w:val="left" w:pos="0" w:leader="none"/>
      </w:tabs>
      <w:outlineLvl w:val="3"/>
    </w:pPr>
    <w:rPr>
      <w:rFonts w:ascii="宋体" w:hAnsi="宋体" w:eastAsia="宋体" w:cs="Times New Roman"/>
      <w:b/>
      <w:sz w:val="24"/>
      <w:szCs w:val="24"/>
    </w:rPr>
  </w:style>
  <w:style w:type="paragraph" w:styleId="1151">
    <w:name w:val="font10"/>
    <w:basedOn w:val="825"/>
    <w:next w:val="1151"/>
    <w:link w:val="825"/>
    <w:pPr>
      <w:jc w:val="left"/>
      <w:spacing w:before="100" w:beforeAutospacing="1" w:after="100" w:afterAutospacing="1"/>
      <w:widowControl/>
    </w:pPr>
    <w:rPr>
      <w:rFonts w:ascii="楷体_GB2312" w:hAnsi="宋体" w:eastAsia="楷体_GB2312" w:cs="宋体"/>
      <w:b/>
      <w:bCs/>
      <w:sz w:val="18"/>
      <w:szCs w:val="18"/>
    </w:rPr>
  </w:style>
  <w:style w:type="paragraph" w:styleId="1152">
    <w:name w:val="样式 加点正文 + 段前: 0.5 行 段后: 0.5 行1"/>
    <w:basedOn w:val="825"/>
    <w:next w:val="1152"/>
    <w:link w:val="825"/>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153">
    <w:name w:val="xl42"/>
    <w:basedOn w:val="825"/>
    <w:next w:val="1153"/>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4">
    <w:name w:val="font5"/>
    <w:basedOn w:val="825"/>
    <w:next w:val="1154"/>
    <w:link w:val="825"/>
    <w:pPr>
      <w:jc w:val="left"/>
      <w:spacing w:before="100" w:beforeAutospacing="1" w:after="100" w:afterAutospacing="1"/>
      <w:widowControl/>
    </w:pPr>
    <w:rPr>
      <w:rFonts w:ascii="宋体" w:hAnsi="宋体" w:eastAsia="宋体" w:cs="宋体"/>
      <w:sz w:val="18"/>
      <w:szCs w:val="18"/>
    </w:rPr>
  </w:style>
  <w:style w:type="paragraph" w:styleId="1155">
    <w:name w:val="xl41"/>
    <w:basedOn w:val="825"/>
    <w:next w:val="1155"/>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6">
    <w:name w:val="p0"/>
    <w:basedOn w:val="825"/>
    <w:next w:val="1156"/>
    <w:link w:val="825"/>
    <w:pPr>
      <w:jc w:val="left"/>
      <w:spacing w:before="100" w:beforeAutospacing="1" w:after="100" w:afterAutospacing="1"/>
      <w:widowControl/>
    </w:pPr>
    <w:rPr>
      <w:rFonts w:ascii="宋体" w:hAnsi="宋体" w:eastAsia="宋体" w:cs="宋体"/>
      <w:sz w:val="24"/>
      <w:szCs w:val="24"/>
    </w:rPr>
  </w:style>
  <w:style w:type="paragraph" w:styleId="1157">
    <w:name w:val="xl52"/>
    <w:basedOn w:val="825"/>
    <w:next w:val="1157"/>
    <w:link w:val="825"/>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158">
    <w:name w:val="小四 段落 宋体 Char Char Char"/>
    <w:basedOn w:val="851"/>
    <w:next w:val="1158"/>
    <w:link w:val="825"/>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159">
    <w:name w:val="丁华标题2"/>
    <w:basedOn w:val="827"/>
    <w:next w:val="1049"/>
    <w:link w:val="825"/>
    <w:pPr>
      <w:numPr>
        <w:ilvl w:val="1"/>
        <w:numId w:val="1"/>
      </w:numPr>
      <w:spacing w:line="415" w:lineRule="auto"/>
      <w:tabs>
        <w:tab w:val="left" w:pos="1004" w:leader="none"/>
      </w:tabs>
    </w:pPr>
    <w:rPr>
      <w:rFonts w:ascii="Arial" w:hAnsi="Arial" w:eastAsia="黑体" w:cs="Times New Roman"/>
      <w:b w:val="0"/>
      <w:sz w:val="28"/>
      <w:szCs w:val="20"/>
    </w:rPr>
  </w:style>
  <w:style w:type="paragraph" w:styleId="1160">
    <w:name w:val="丁华标题3"/>
    <w:basedOn w:val="1159"/>
    <w:next w:val="1049"/>
    <w:link w:val="825"/>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161">
    <w:name w:val="Char Char"/>
    <w:basedOn w:val="825"/>
    <w:next w:val="1161"/>
    <w:link w:val="825"/>
    <w:rPr>
      <w:rFonts w:ascii="Tahoma" w:hAnsi="Tahoma" w:eastAsia="宋体" w:cs="Tahoma"/>
      <w:sz w:val="24"/>
    </w:rPr>
  </w:style>
  <w:style w:type="paragraph" w:styleId="1162">
    <w:name w:val="Char Char Char Char Char Char Char"/>
    <w:basedOn w:val="825"/>
    <w:next w:val="1162"/>
    <w:link w:val="825"/>
    <w:pPr>
      <w:jc w:val="left"/>
    </w:pPr>
    <w:rPr>
      <w:rFonts w:ascii="Tahoma" w:hAnsi="Tahoma" w:eastAsia="宋体" w:cs="Times New Roman"/>
      <w:sz w:val="24"/>
    </w:rPr>
  </w:style>
  <w:style w:type="paragraph" w:styleId="1163">
    <w:name w:val=" Char Char Char Char Char Char Char Char Char Char Char Char Char Char Char Char Char Char Char Char Char"/>
    <w:basedOn w:val="825"/>
    <w:next w:val="1163"/>
    <w:link w:val="825"/>
    <w:rPr>
      <w:rFonts w:ascii="Tahoma" w:hAnsi="Tahoma" w:eastAsia="宋体" w:cs="Times New Roman"/>
      <w:sz w:val="24"/>
    </w:rPr>
  </w:style>
  <w:style w:type="paragraph" w:styleId="1164">
    <w:name w:val="小四 段落 宋体"/>
    <w:basedOn w:val="851"/>
    <w:next w:val="1164"/>
    <w:link w:val="825"/>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165">
    <w:name w:val="正文2"/>
    <w:basedOn w:val="825"/>
    <w:next w:val="1165"/>
    <w:link w:val="825"/>
    <w:pPr>
      <w:ind w:firstLine="510"/>
      <w:spacing w:before="156" w:line="360" w:lineRule="auto"/>
    </w:pPr>
    <w:rPr>
      <w:rFonts w:ascii="Times New Roman" w:hAnsi="Times New Roman" w:eastAsia="宋体" w:cs="Times New Roman"/>
      <w:sz w:val="24"/>
    </w:rPr>
  </w:style>
  <w:style w:type="paragraph" w:styleId="1166">
    <w:name w:val="插图"/>
    <w:basedOn w:val="825"/>
    <w:next w:val="1166"/>
    <w:link w:val="825"/>
    <w:pPr>
      <w:jc w:val="center"/>
      <w:tabs>
        <w:tab w:val="left" w:pos="1620" w:leader="none"/>
      </w:tabs>
    </w:pPr>
    <w:rPr>
      <w:rFonts w:ascii="Times New Roman" w:hAnsi="Times New Roman" w:eastAsia="宋体" w:cs="Times New Roman"/>
      <w:bCs/>
      <w:color w:val="000000"/>
      <w:szCs w:val="22"/>
    </w:rPr>
  </w:style>
  <w:style w:type="paragraph" w:styleId="1167">
    <w:name w:val="Char1"/>
    <w:basedOn w:val="825"/>
    <w:next w:val="1167"/>
    <w:link w:val="825"/>
    <w:rPr>
      <w:rFonts w:ascii="仿宋_GB2312" w:hAnsi="宋体" w:eastAsia="仿宋_GB2312" w:cs="宋体"/>
      <w:b/>
      <w:sz w:val="32"/>
      <w:szCs w:val="32"/>
    </w:rPr>
  </w:style>
  <w:style w:type="paragraph" w:styleId="1168">
    <w:name w:val=" Char Char Char Char Char"/>
    <w:basedOn w:val="825"/>
    <w:next w:val="1168"/>
    <w:link w:val="825"/>
    <w:rPr>
      <w:rFonts w:ascii="Tahoma" w:hAnsi="Tahoma" w:eastAsia="宋体" w:cs="Times New Roman"/>
      <w:sz w:val="24"/>
    </w:rPr>
  </w:style>
  <w:style w:type="paragraph" w:styleId="1169">
    <w:name w:val="zw"/>
    <w:basedOn w:val="825"/>
    <w:next w:val="1169"/>
    <w:link w:val="825"/>
    <w:pPr>
      <w:ind w:firstLine="480"/>
      <w:jc w:val="left"/>
      <w:spacing w:line="360" w:lineRule="auto"/>
      <w:widowControl/>
    </w:pPr>
    <w:rPr>
      <w:rFonts w:ascii="宋体" w:hAnsi="宋体" w:eastAsia="宋体" w:cs="Times New Roman"/>
      <w:bCs/>
      <w:sz w:val="24"/>
    </w:rPr>
  </w:style>
  <w:style w:type="paragraph" w:styleId="1170">
    <w:name w:val="xl56"/>
    <w:basedOn w:val="825"/>
    <w:next w:val="1170"/>
    <w:link w:val="82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71">
    <w:name w:val="正文 New New New New New New New New New New New New New New"/>
    <w:next w:val="1171"/>
    <w:link w:val="825"/>
    <w:pPr>
      <w:jc w:val="both"/>
      <w:widowControl w:val="off"/>
    </w:pPr>
    <w:rPr>
      <w:rFonts w:hint="eastAsia"/>
      <w:sz w:val="21"/>
      <w:lang w:val="en-US" w:eastAsia="zh-CN" w:bidi="ar-SA"/>
    </w:rPr>
  </w:style>
  <w:style w:type="paragraph" w:styleId="1172">
    <w:name w:val="xl50"/>
    <w:basedOn w:val="825"/>
    <w:next w:val="1172"/>
    <w:link w:val="825"/>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73">
    <w:name w:val="Char Char Char Char"/>
    <w:basedOn w:val="853"/>
    <w:next w:val="1173"/>
    <w:link w:val="825"/>
    <w:pPr>
      <w:spacing w:line="360" w:lineRule="auto"/>
    </w:pPr>
    <w:rPr>
      <w:rFonts w:ascii="Tahoma" w:hAnsi="Tahoma" w:eastAsia="宋体" w:cs="Times New Roman"/>
      <w:sz w:val="24"/>
      <w:szCs w:val="24"/>
    </w:rPr>
  </w:style>
  <w:style w:type="paragraph" w:styleId="1174">
    <w:name w:val="样式 样式 首行缩进:  2 字符 + 行距: 1.5 倍行距"/>
    <w:basedOn w:val="825"/>
    <w:next w:val="1174"/>
    <w:link w:val="825"/>
    <w:pPr>
      <w:ind w:firstLine="470"/>
      <w:spacing w:line="360" w:lineRule="auto"/>
    </w:pPr>
    <w:rPr>
      <w:rFonts w:ascii="Times New Roman" w:hAnsi="Times New Roman" w:eastAsia="宋体" w:cs="Times New Roman"/>
      <w:sz w:val="24"/>
    </w:rPr>
  </w:style>
  <w:style w:type="paragraph" w:styleId="1175">
    <w:name w:val="标题1，章节第一层"/>
    <w:basedOn w:val="1074"/>
    <w:next w:val="1074"/>
    <w:link w:val="825"/>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176">
    <w:name w:val="标题3"/>
    <w:basedOn w:val="828"/>
    <w:next w:val="1176"/>
    <w:link w:val="825"/>
    <w:pPr>
      <w:keepLines w:val="0"/>
      <w:keepNext w:val="0"/>
      <w:spacing w:before="0" w:after="0" w:line="360" w:lineRule="auto"/>
    </w:pPr>
    <w:rPr>
      <w:rFonts w:ascii="Times New Roman" w:hAnsi="Times New Roman" w:eastAsia="仿宋_GB2312" w:cs="Times New Roman"/>
      <w:b w:val="0"/>
      <w:bCs/>
      <w:sz w:val="30"/>
      <w:szCs w:val="32"/>
    </w:rPr>
  </w:style>
  <w:style w:type="paragraph" w:styleId="1177">
    <w:name w:val="font9"/>
    <w:basedOn w:val="825"/>
    <w:next w:val="1177"/>
    <w:link w:val="825"/>
    <w:pPr>
      <w:jc w:val="left"/>
      <w:spacing w:before="100" w:beforeAutospacing="1" w:after="100" w:afterAutospacing="1"/>
      <w:widowControl/>
    </w:pPr>
    <w:rPr>
      <w:rFonts w:ascii="Times New Roman" w:hAnsi="Times New Roman" w:eastAsia="宋体" w:cs="Times New Roman"/>
      <w:b/>
      <w:bCs/>
      <w:sz w:val="20"/>
    </w:rPr>
  </w:style>
  <w:style w:type="paragraph" w:styleId="1178">
    <w:name w:val=" Char Char Char Char Char Char Char Char Char"/>
    <w:basedOn w:val="825"/>
    <w:next w:val="1178"/>
    <w:link w:val="825"/>
    <w:pPr>
      <w:ind w:left="360" w:hanging="360"/>
      <w:tabs>
        <w:tab w:val="left" w:pos="360" w:leader="none"/>
      </w:tabs>
    </w:pPr>
    <w:rPr>
      <w:rFonts w:ascii="Times New Roman" w:hAnsi="Times New Roman" w:eastAsia="宋体" w:cs="Times New Roman"/>
      <w:sz w:val="24"/>
      <w:szCs w:val="24"/>
    </w:rPr>
  </w:style>
  <w:style w:type="paragraph" w:styleId="1179">
    <w:name w:val="样式 段后: 0.5 行 左  0.75 字符"/>
    <w:basedOn w:val="825"/>
    <w:next w:val="1179"/>
    <w:link w:val="825"/>
    <w:pPr>
      <w:ind w:firstLine="420"/>
      <w:spacing w:line="360" w:lineRule="auto"/>
      <w:widowControl/>
    </w:pPr>
    <w:rPr>
      <w:rFonts w:ascii="Times New Roman" w:hAnsi="Arial" w:eastAsia="宋体" w:cs="Arial"/>
      <w:szCs w:val="21"/>
    </w:rPr>
  </w:style>
  <w:style w:type="paragraph" w:styleId="1180">
    <w:name w:val="font8"/>
    <w:basedOn w:val="825"/>
    <w:next w:val="1180"/>
    <w:link w:val="825"/>
    <w:pPr>
      <w:jc w:val="left"/>
      <w:spacing w:before="100" w:beforeAutospacing="1" w:after="100" w:afterAutospacing="1"/>
      <w:widowControl/>
    </w:pPr>
    <w:rPr>
      <w:rFonts w:ascii="宋体" w:hAnsi="宋体" w:eastAsia="宋体" w:cs="宋体"/>
      <w:b/>
      <w:bCs/>
      <w:i/>
      <w:iCs/>
      <w:sz w:val="20"/>
    </w:rPr>
  </w:style>
  <w:style w:type="paragraph" w:styleId="1181">
    <w:name w:val="标题 4宋体"/>
    <w:basedOn w:val="829"/>
    <w:next w:val="1181"/>
    <w:link w:val="825"/>
    <w:pPr>
      <w:jc w:val="left"/>
      <w:keepLines w:val="0"/>
      <w:spacing w:before="0" w:after="0" w:line="360" w:lineRule="auto"/>
    </w:pPr>
    <w:rPr>
      <w:rFonts w:ascii="宋体" w:hAnsi="宋体" w:eastAsia="宋体" w:cs="Times New Roman"/>
      <w:bCs/>
      <w:color w:val="000000"/>
      <w:sz w:val="24"/>
    </w:rPr>
  </w:style>
  <w:style w:type="paragraph" w:styleId="1182">
    <w:name w:val="小四 段落 宋体 Char Char"/>
    <w:basedOn w:val="825"/>
    <w:next w:val="1182"/>
    <w:link w:val="825"/>
    <w:pPr>
      <w:ind w:firstLine="480"/>
      <w:spacing w:line="360" w:lineRule="auto"/>
    </w:pPr>
    <w:rPr>
      <w:rFonts w:ascii="宋体" w:hAnsi="宋体" w:eastAsia="宋体" w:cs="Times New Roman"/>
      <w:sz w:val="24"/>
      <w:szCs w:val="24"/>
    </w:rPr>
  </w:style>
  <w:style w:type="paragraph" w:styleId="1183">
    <w:name w:val="纯文本1"/>
    <w:basedOn w:val="825"/>
    <w:next w:val="1183"/>
    <w:link w:val="825"/>
    <w:rPr>
      <w:rFonts w:ascii="宋体" w:hAnsi="宋体" w:eastAsia="楷体_GB2312" w:cs="宋体"/>
      <w:sz w:val="28"/>
    </w:rPr>
  </w:style>
  <w:style w:type="paragraph" w:styleId="1184">
    <w:name w:val="xl27"/>
    <w:basedOn w:val="825"/>
    <w:next w:val="1184"/>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85">
    <w:name w:val="标题5，章节第五层"/>
    <w:basedOn w:val="825"/>
    <w:next w:val="825"/>
    <w:link w:val="825"/>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186">
    <w:name w:val="content_lineheight"/>
    <w:basedOn w:val="825"/>
    <w:next w:val="1186"/>
    <w:link w:val="825"/>
    <w:pPr>
      <w:jc w:val="left"/>
      <w:spacing w:before="100" w:beforeAutospacing="1" w:after="100" w:afterAutospacing="1"/>
      <w:widowControl/>
    </w:pPr>
    <w:rPr>
      <w:rFonts w:ascii="宋体" w:hAnsi="宋体" w:eastAsia="宋体" w:cs="Times New Roman"/>
      <w:sz w:val="24"/>
      <w:szCs w:val="24"/>
    </w:rPr>
  </w:style>
  <w:style w:type="paragraph" w:styleId="1187">
    <w:name w:val="Pa5"/>
    <w:basedOn w:val="825"/>
    <w:next w:val="825"/>
    <w:link w:val="825"/>
    <w:pPr>
      <w:jc w:val="left"/>
      <w:spacing w:line="241" w:lineRule="atLeast"/>
    </w:pPr>
    <w:rPr>
      <w:rFonts w:ascii="汉仪大黑简" w:hAnsi="Times New Roman" w:eastAsia="汉仪大黑简" w:cs="Times New Roman"/>
      <w:sz w:val="24"/>
      <w:szCs w:val="24"/>
    </w:rPr>
  </w:style>
  <w:style w:type="paragraph" w:styleId="1188">
    <w:name w:val="xl63"/>
    <w:basedOn w:val="825"/>
    <w:next w:val="1188"/>
    <w:link w:val="825"/>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189">
    <w:name w:val="小四 段落 宋体 Char Char Char Char"/>
    <w:basedOn w:val="825"/>
    <w:next w:val="1189"/>
    <w:link w:val="825"/>
    <w:pPr>
      <w:ind w:right="-33" w:firstLine="480"/>
      <w:jc w:val="left"/>
      <w:spacing w:line="360" w:lineRule="auto"/>
    </w:pPr>
    <w:rPr>
      <w:rFonts w:ascii="Times New Roman" w:hAnsi="Times New Roman" w:eastAsia="宋体" w:cs="Times New Roman"/>
      <w:sz w:val="24"/>
      <w:szCs w:val="24"/>
    </w:rPr>
  </w:style>
  <w:style w:type="paragraph" w:styleId="1190">
    <w:name w:val="列出段落2"/>
    <w:basedOn w:val="825"/>
    <w:next w:val="1190"/>
    <w:link w:val="825"/>
    <w:pPr>
      <w:ind w:left="720"/>
      <w:jc w:val="left"/>
      <w:widowControl/>
    </w:pPr>
    <w:rPr>
      <w:rFonts w:ascii="Arial" w:hAnsi="Arial" w:eastAsia="黑体" w:cs="Arial"/>
      <w:sz w:val="24"/>
      <w:szCs w:val="24"/>
      <w:lang w:eastAsia="en-US"/>
    </w:rPr>
  </w:style>
  <w:style w:type="paragraph" w:styleId="1191">
    <w:name w:val="标题2，章节第二层"/>
    <w:basedOn w:val="825"/>
    <w:next w:val="1074"/>
    <w:link w:val="825"/>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192">
    <w:name w:val="Test2"/>
    <w:basedOn w:val="827"/>
    <w:next w:val="1192"/>
    <w:link w:val="825"/>
    <w:pPr>
      <w:jc w:val="center"/>
      <w:spacing w:before="156" w:after="156" w:line="480" w:lineRule="exact"/>
      <w:widowControl/>
    </w:pPr>
    <w:rPr>
      <w:rFonts w:ascii="黑体" w:hAnsi="Arial" w:eastAsia="黑体" w:cs="Times New Roman"/>
      <w:bCs/>
      <w:sz w:val="24"/>
    </w:rPr>
  </w:style>
  <w:style w:type="paragraph" w:styleId="1193">
    <w:name w:val="样式 样式 标题 3H3sect1.2.3BOD 0Heading 3 - oldh3l3CTLevel 3 Head... +..."/>
    <w:basedOn w:val="825"/>
    <w:next w:val="1193"/>
    <w:link w:val="825"/>
    <w:pPr>
      <w:jc w:val="left"/>
      <w:keepLines/>
      <w:keepNext/>
      <w:spacing w:before="156" w:after="156"/>
      <w:outlineLvl w:val="2"/>
    </w:pPr>
    <w:rPr>
      <w:rFonts w:ascii="Times New Roman" w:hAnsi="Times New Roman" w:eastAsia="宋体" w:cs="宋体"/>
      <w:b/>
      <w:bCs/>
      <w:sz w:val="24"/>
    </w:rPr>
  </w:style>
  <w:style w:type="paragraph" w:styleId="1194">
    <w:name w:val="Char Char Char Char Char Char Char1 Char"/>
    <w:basedOn w:val="825"/>
    <w:next w:val="1194"/>
    <w:link w:val="825"/>
    <w:rPr>
      <w:rFonts w:ascii="Tahoma" w:hAnsi="Tahoma" w:eastAsia="宋体" w:cs="Tahoma"/>
      <w:sz w:val="24"/>
    </w:rPr>
  </w:style>
  <w:style w:type="paragraph" w:styleId="1195">
    <w:name w:val="xl51"/>
    <w:basedOn w:val="825"/>
    <w:next w:val="1195"/>
    <w:link w:val="82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196">
    <w:name w:val="qw"/>
    <w:next w:val="1196"/>
    <w:link w:val="825"/>
    <w:pPr>
      <w:jc w:val="both"/>
      <w:spacing w:line="312" w:lineRule="atLeast"/>
      <w:widowControl w:val="off"/>
    </w:pPr>
    <w:rPr>
      <w:rFonts w:ascii="宋体"/>
      <w:sz w:val="24"/>
      <w:lang w:val="en-US" w:eastAsia="zh-CN" w:bidi="ar-SA"/>
    </w:rPr>
  </w:style>
  <w:style w:type="paragraph" w:styleId="1197">
    <w:name w:val="xl26"/>
    <w:basedOn w:val="825"/>
    <w:next w:val="1197"/>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98">
    <w:name w:val="1"/>
    <w:basedOn w:val="825"/>
    <w:next w:val="896"/>
    <w:link w:val="825"/>
    <w:pPr>
      <w:spacing w:line="360" w:lineRule="auto"/>
    </w:pPr>
    <w:rPr>
      <w:rFonts w:ascii="Times New Roman" w:hAnsi="Times New Roman" w:eastAsia="仿宋_GB2312" w:cs="Times New Roman"/>
      <w:sz w:val="24"/>
      <w:szCs w:val="24"/>
    </w:rPr>
  </w:style>
  <w:style w:type="paragraph" w:styleId="1199">
    <w:name w:val=" Char"/>
    <w:basedOn w:val="825"/>
    <w:next w:val="1199"/>
    <w:link w:val="825"/>
    <w:pPr>
      <w:spacing w:after="156" w:line="360" w:lineRule="auto"/>
    </w:pPr>
    <w:rPr>
      <w:rFonts w:ascii="Tahoma" w:hAnsi="Tahoma" w:eastAsia="宋体" w:cs="Times New Roman"/>
      <w:sz w:val="24"/>
    </w:rPr>
  </w:style>
  <w:style w:type="paragraph" w:styleId="1200">
    <w:name w:val="Body Text 21"/>
    <w:basedOn w:val="825"/>
    <w:next w:val="1200"/>
    <w:link w:val="825"/>
    <w:pPr>
      <w:ind w:left="720" w:hanging="720"/>
      <w:widowControl/>
    </w:pPr>
    <w:rPr>
      <w:rFonts w:ascii="Times New Roman" w:hAnsi="Times New Roman" w:eastAsia="宋体" w:cs="Times New Roman"/>
      <w:sz w:val="24"/>
      <w:lang w:val="en-GB"/>
    </w:rPr>
  </w:style>
  <w:style w:type="paragraph" w:styleId="1201">
    <w:name w:val="大标题"/>
    <w:basedOn w:val="825"/>
    <w:next w:val="825"/>
    <w:link w:val="825"/>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202">
    <w:name w:val="xl43"/>
    <w:basedOn w:val="825"/>
    <w:next w:val="1202"/>
    <w:link w:val="8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03">
    <w:name w:val="font6"/>
    <w:basedOn w:val="825"/>
    <w:next w:val="1203"/>
    <w:link w:val="825"/>
    <w:pPr>
      <w:jc w:val="left"/>
      <w:spacing w:before="100" w:beforeAutospacing="1" w:after="100" w:afterAutospacing="1"/>
      <w:widowControl/>
    </w:pPr>
    <w:rPr>
      <w:rFonts w:ascii="宋体" w:hAnsi="宋体" w:eastAsia="宋体" w:cs="宋体"/>
      <w:b/>
      <w:bCs/>
      <w:sz w:val="20"/>
    </w:rPr>
  </w:style>
  <w:style w:type="paragraph" w:styleId="1204">
    <w:name w:val="Char Char1 Char"/>
    <w:basedOn w:val="825"/>
    <w:next w:val="1204"/>
    <w:link w:val="825"/>
    <w:pPr>
      <w:jc w:val="left"/>
      <w:spacing w:after="160" w:line="240" w:lineRule="exact"/>
      <w:widowControl/>
    </w:pPr>
    <w:rPr>
      <w:rFonts w:ascii="Verdana" w:hAnsi="Verdana" w:eastAsia="宋体" w:cs="Times New Roman"/>
      <w:sz w:val="20"/>
      <w:lang w:eastAsia="en-US"/>
    </w:rPr>
  </w:style>
  <w:style w:type="paragraph" w:styleId="1205">
    <w:name w:val="Body Text 22"/>
    <w:basedOn w:val="825"/>
    <w:next w:val="1205"/>
    <w:link w:val="825"/>
    <w:pPr>
      <w:ind w:left="720" w:hanging="720"/>
      <w:widowControl/>
    </w:pPr>
    <w:rPr>
      <w:rFonts w:ascii="Times New Roman" w:hAnsi="Times New Roman" w:eastAsia="宋体" w:cs="Times New Roman"/>
      <w:sz w:val="24"/>
      <w:lang w:val="en-GB"/>
    </w:rPr>
  </w:style>
  <w:style w:type="paragraph" w:styleId="1206">
    <w:name w:val="xl54"/>
    <w:basedOn w:val="825"/>
    <w:next w:val="1206"/>
    <w:link w:val="82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207">
    <w:name w:val="Item Step in Table"/>
    <w:next w:val="1207"/>
    <w:link w:val="825"/>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08">
    <w:name w:val=" Char Char1 Char"/>
    <w:basedOn w:val="825"/>
    <w:next w:val="1208"/>
    <w:link w:val="825"/>
    <w:pPr>
      <w:jc w:val="left"/>
      <w:spacing w:after="160" w:line="240" w:lineRule="exact"/>
      <w:widowControl/>
    </w:pPr>
    <w:rPr>
      <w:rFonts w:ascii="Verdana" w:hAnsi="Verdana" w:eastAsia="宋体" w:cs="Times New Roman"/>
      <w:sz w:val="20"/>
      <w:lang w:eastAsia="en-US"/>
    </w:rPr>
  </w:style>
  <w:style w:type="paragraph" w:styleId="1209">
    <w:name w:val="部分1"/>
    <w:basedOn w:val="825"/>
    <w:next w:val="1209"/>
    <w:link w:val="825"/>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210">
    <w:name w:val="Item List Char Char"/>
    <w:next w:val="1210"/>
    <w:link w:val="825"/>
    <w:pPr>
      <w:jc w:val="both"/>
      <w:spacing w:line="288" w:lineRule="auto"/>
    </w:pPr>
    <w:rPr>
      <w:rFonts w:ascii="Arial" w:hAnsi="Arial" w:cs="Arial"/>
      <w:b/>
      <w:bCs/>
      <w:sz w:val="21"/>
      <w:szCs w:val="28"/>
      <w:lang w:val="en-US" w:eastAsia="zh-CN" w:bidi="ar-SA"/>
    </w:rPr>
  </w:style>
  <w:style w:type="paragraph" w:styleId="1211">
    <w:name w:val="中等深浅网格 1 - 强调文字颜色 21"/>
    <w:basedOn w:val="825"/>
    <w:next w:val="1211"/>
    <w:link w:val="825"/>
    <w:pPr>
      <w:ind w:firstLine="420"/>
    </w:pPr>
    <w:rPr>
      <w:rFonts w:ascii="Calibri" w:hAnsi="Calibri" w:eastAsia="宋体" w:cs="Times New Roman"/>
      <w:szCs w:val="22"/>
    </w:rPr>
  </w:style>
  <w:style w:type="paragraph" w:styleId="1212">
    <w:name w:val="Normal2"/>
    <w:basedOn w:val="825"/>
    <w:next w:val="1212"/>
    <w:link w:val="825"/>
    <w:rPr>
      <w:rFonts w:ascii="Calibri" w:hAnsi="Calibri" w:eastAsia="Calibri" w:cs="宋体"/>
      <w:lang w:val="zh-CN"/>
    </w:rPr>
  </w:style>
  <w:style w:type="paragraph" w:styleId="1213">
    <w:name w:val=" Char Char Char Char Char Char Char Char Char Char Char Char Char Char Char Char Char Char Char Char Char Char Char"/>
    <w:basedOn w:val="825"/>
    <w:next w:val="1213"/>
    <w:link w:val="825"/>
    <w:rPr>
      <w:rFonts w:ascii="Tahoma" w:hAnsi="Tahoma" w:eastAsia="宋体" w:cs="Times New Roman"/>
      <w:sz w:val="24"/>
    </w:rPr>
  </w:style>
  <w:style w:type="paragraph" w:styleId="1214">
    <w:name w:val="样式3"/>
    <w:basedOn w:val="825"/>
    <w:next w:val="825"/>
    <w:link w:val="825"/>
    <w:pPr>
      <w:spacing w:line="360" w:lineRule="auto"/>
    </w:pPr>
    <w:rPr>
      <w:rFonts w:ascii="Times New Roman" w:hAnsi="Times New Roman" w:eastAsia="宋体" w:cs="Times New Roman"/>
    </w:rPr>
  </w:style>
  <w:style w:type="paragraph" w:styleId="1215">
    <w:name w:val="样式 标题 2第一章 标题 2Heading 2 HiddenHeading 2 CCBSheading 2H2h2..."/>
    <w:basedOn w:val="827"/>
    <w:next w:val="1215"/>
    <w:link w:val="825"/>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16">
    <w:name w:val="xl61"/>
    <w:basedOn w:val="825"/>
    <w:next w:val="1216"/>
    <w:link w:val="825"/>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17">
    <w:name w:val="xl53"/>
    <w:basedOn w:val="825"/>
    <w:next w:val="1217"/>
    <w:link w:val="82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18">
    <w:name w:val="xl62"/>
    <w:basedOn w:val="825"/>
    <w:next w:val="1218"/>
    <w:link w:val="82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19">
    <w:name w:val="条1"/>
    <w:basedOn w:val="825"/>
    <w:next w:val="1219"/>
    <w:link w:val="825"/>
    <w:pPr>
      <w:ind w:left="780" w:hanging="360"/>
      <w:spacing w:before="156" w:line="360" w:lineRule="auto"/>
      <w:tabs>
        <w:tab w:val="left" w:pos="780" w:leader="none"/>
      </w:tabs>
    </w:pPr>
    <w:rPr>
      <w:rFonts w:ascii="Times New Roman" w:hAnsi="Times New Roman" w:eastAsia="黑体" w:cs="Times New Roman"/>
      <w:sz w:val="24"/>
    </w:rPr>
  </w:style>
  <w:style w:type="paragraph" w:styleId="1220">
    <w:name w:val="样式4 Char"/>
    <w:basedOn w:val="825"/>
    <w:next w:val="1220"/>
    <w:link w:val="825"/>
    <w:pPr>
      <w:ind w:firstLine="480"/>
      <w:jc w:val="left"/>
      <w:spacing w:line="360" w:lineRule="auto"/>
      <w:widowControl/>
    </w:pPr>
    <w:rPr>
      <w:rFonts w:ascii="Times New Roman" w:hAnsi="Times New Roman" w:eastAsia="宋体" w:cs="宋体"/>
      <w:color w:val="000000"/>
      <w:sz w:val="24"/>
      <w:szCs w:val="24"/>
    </w:rPr>
  </w:style>
  <w:style w:type="paragraph" w:styleId="1221">
    <w:name w:val="Char Char Char Char Char Char"/>
    <w:basedOn w:val="825"/>
    <w:next w:val="1221"/>
    <w:link w:val="825"/>
    <w:rPr>
      <w:rFonts w:ascii="Tahoma" w:hAnsi="Tahoma" w:eastAsia="宋体" w:cs="Tahoma"/>
      <w:sz w:val="24"/>
    </w:rPr>
  </w:style>
  <w:style w:type="paragraph" w:styleId="1222">
    <w:name w:val="7"/>
    <w:basedOn w:val="825"/>
    <w:next w:val="899"/>
    <w:link w:val="825"/>
    <w:pPr>
      <w:jc w:val="left"/>
      <w:spacing w:before="100" w:beforeAutospacing="1" w:after="100" w:afterAutospacing="1"/>
      <w:widowControl/>
    </w:pPr>
    <w:rPr>
      <w:rFonts w:ascii="宋体" w:hAnsi="宋体" w:eastAsia="宋体" w:cs="Times New Roman"/>
      <w:sz w:val="24"/>
    </w:rPr>
  </w:style>
  <w:style w:type="paragraph" w:styleId="1223">
    <w:name w:val="普通文字"/>
    <w:basedOn w:val="825"/>
    <w:next w:val="825"/>
    <w:link w:val="825"/>
    <w:rPr>
      <w:rFonts w:ascii="宋体" w:hAnsi="宋体" w:eastAsia="宋体" w:cs="宋体"/>
      <w:sz w:val="24"/>
    </w:rPr>
  </w:style>
  <w:style w:type="paragraph" w:styleId="1224">
    <w:name w:val="Char1 Char Char Char"/>
    <w:basedOn w:val="825"/>
    <w:next w:val="1224"/>
    <w:link w:val="825"/>
    <w:rPr>
      <w:rFonts w:ascii="Tahoma" w:hAnsi="Tahoma" w:eastAsia="宋体" w:cs="Tahoma"/>
      <w:sz w:val="24"/>
    </w:rPr>
  </w:style>
  <w:style w:type="paragraph" w:styleId="1225">
    <w:name w:val="Char2 Char Char Char Char Char Char1"/>
    <w:basedOn w:val="825"/>
    <w:next w:val="1225"/>
    <w:link w:val="825"/>
    <w:pPr>
      <w:ind w:hanging="425"/>
      <w:keepNext/>
      <w:spacing w:before="80" w:after="80"/>
      <w:widowControl/>
      <w:tabs>
        <w:tab w:val="left" w:pos="425" w:leader="none"/>
      </w:tabs>
    </w:pPr>
    <w:rPr>
      <w:rFonts w:ascii="Arial" w:hAnsi="Arial" w:eastAsia="宋体" w:cs="Arial"/>
      <w:sz w:val="20"/>
    </w:rPr>
  </w:style>
  <w:style w:type="paragraph" w:styleId="1226">
    <w:name w:val="默认段落字体 Para Char Char Char Char Char Char Char"/>
    <w:basedOn w:val="825"/>
    <w:next w:val="1226"/>
    <w:link w:val="825"/>
    <w:rPr>
      <w:rFonts w:ascii="Times New Roman" w:hAnsi="Times New Roman" w:eastAsia="宋体" w:cs="Times New Roman"/>
    </w:rPr>
  </w:style>
  <w:style w:type="paragraph" w:styleId="1227">
    <w:name w:val="正文文本缩进1"/>
    <w:basedOn w:val="825"/>
    <w:next w:val="1227"/>
    <w:link w:val="825"/>
    <w:pPr>
      <w:ind w:left="420"/>
      <w:spacing w:after="120"/>
    </w:pPr>
    <w:rPr>
      <w:rFonts w:ascii="Times New Roman" w:hAnsi="Times New Roman" w:eastAsia="宋体" w:cs="Times New Roman"/>
      <w:szCs w:val="24"/>
    </w:rPr>
  </w:style>
  <w:style w:type="paragraph" w:styleId="1228">
    <w:name w:val="Table Text Char"/>
    <w:next w:val="1228"/>
    <w:link w:val="825"/>
    <w:pPr>
      <w:spacing w:before="80" w:after="80"/>
    </w:pPr>
    <w:rPr>
      <w:rFonts w:ascii="Arial" w:hAnsi="Arial" w:cs="Arial"/>
      <w:sz w:val="18"/>
      <w:szCs w:val="28"/>
      <w:lang w:val="en-US" w:eastAsia="zh-CN" w:bidi="ar-SA"/>
    </w:rPr>
  </w:style>
  <w:style w:type="paragraph" w:styleId="1229">
    <w:name w:val="方案正文"/>
    <w:basedOn w:val="825"/>
    <w:next w:val="1229"/>
    <w:link w:val="825"/>
    <w:pPr>
      <w:ind w:firstLine="359"/>
      <w:jc w:val="left"/>
      <w:spacing w:before="156" w:line="360" w:lineRule="auto"/>
    </w:pPr>
    <w:rPr>
      <w:rFonts w:ascii="Arial" w:hAnsi="Arial" w:eastAsia="宋体" w:cs="宋体"/>
      <w:sz w:val="24"/>
      <w:szCs w:val="21"/>
    </w:rPr>
  </w:style>
  <w:style w:type="paragraph" w:styleId="1230">
    <w:name w:val="Char Char Char Char Char Char Char Char Char"/>
    <w:basedOn w:val="825"/>
    <w:next w:val="1230"/>
    <w:link w:val="825"/>
    <w:pPr>
      <w:ind w:left="200" w:hanging="200"/>
      <w:tabs>
        <w:tab w:val="left" w:pos="360" w:leader="none"/>
      </w:tabs>
    </w:pPr>
    <w:rPr>
      <w:rFonts w:ascii="Times New Roman" w:hAnsi="Times New Roman" w:eastAsia="宋体" w:cs="Times New Roman"/>
      <w:sz w:val="24"/>
      <w:szCs w:val="24"/>
    </w:rPr>
  </w:style>
  <w:style w:type="paragraph" w:styleId="1231">
    <w:name w:val="Char"/>
    <w:basedOn w:val="825"/>
    <w:next w:val="1231"/>
    <w:link w:val="825"/>
    <w:rPr>
      <w:rFonts w:ascii="Tahoma" w:hAnsi="Tahoma" w:eastAsia="宋体" w:cs="仿宋_GB2312"/>
      <w:sz w:val="24"/>
      <w:szCs w:val="28"/>
    </w:rPr>
  </w:style>
  <w:style w:type="paragraph" w:styleId="1232">
    <w:name w:val="标题3，章节第三层"/>
    <w:basedOn w:val="825"/>
    <w:next w:val="1074"/>
    <w:link w:val="825"/>
    <w:pPr>
      <w:spacing w:before="78" w:line="300" w:lineRule="auto"/>
      <w:outlineLvl w:val="2"/>
    </w:pPr>
    <w:rPr>
      <w:rFonts w:ascii="Arial" w:hAnsi="Arial" w:eastAsia="华文细黑" w:cs="Times New Roman"/>
      <w:sz w:val="30"/>
      <w:szCs w:val="24"/>
    </w:rPr>
  </w:style>
  <w:style w:type="paragraph" w:styleId="1233">
    <w:name w:val="表格文字"/>
    <w:basedOn w:val="825"/>
    <w:next w:val="1233"/>
    <w:link w:val="825"/>
    <w:pPr>
      <w:ind w:firstLine="200"/>
      <w:jc w:val="left"/>
      <w:spacing w:line="360" w:lineRule="auto"/>
    </w:pPr>
    <w:rPr>
      <w:rFonts w:ascii="Arial" w:hAnsi="Arial" w:eastAsia="宋体" w:cs="Times New Roman"/>
      <w:sz w:val="24"/>
    </w:rPr>
  </w:style>
  <w:style w:type="paragraph" w:styleId="1234">
    <w:name w:val="xl45"/>
    <w:basedOn w:val="825"/>
    <w:next w:val="1234"/>
    <w:link w:val="825"/>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235">
    <w:name w:val="正文 居中"/>
    <w:basedOn w:val="825"/>
    <w:next w:val="1235"/>
    <w:link w:val="825"/>
    <w:pPr>
      <w:jc w:val="center"/>
      <w:spacing w:line="360" w:lineRule="auto"/>
    </w:pPr>
    <w:rPr>
      <w:rFonts w:ascii="Times New Roman" w:hAnsi="Times New Roman" w:eastAsia="宋体" w:cs="Times New Roman"/>
      <w:sz w:val="24"/>
    </w:rPr>
  </w:style>
  <w:style w:type="paragraph" w:styleId="1236">
    <w:name w:val="表格"/>
    <w:basedOn w:val="825"/>
    <w:next w:val="1236"/>
    <w:link w:val="825"/>
    <w:pPr>
      <w:ind w:firstLine="21"/>
    </w:pPr>
    <w:rPr>
      <w:rFonts w:ascii="宋体" w:hAnsi="宋体" w:eastAsia="宋体" w:cs="宋体"/>
      <w:sz w:val="20"/>
    </w:rPr>
  </w:style>
  <w:style w:type="paragraph" w:styleId="1237">
    <w:name w:val="greytypebeni"/>
    <w:basedOn w:val="825"/>
    <w:next w:val="1237"/>
    <w:link w:val="825"/>
    <w:pPr>
      <w:jc w:val="left"/>
      <w:widowControl/>
    </w:pPr>
    <w:rPr>
      <w:rFonts w:ascii="宋体" w:hAnsi="宋体" w:eastAsia="宋体" w:cs="宋体"/>
      <w:sz w:val="24"/>
      <w:szCs w:val="24"/>
    </w:rPr>
  </w:style>
  <w:style w:type="paragraph" w:styleId="1238">
    <w:name w:val="flType"/>
    <w:basedOn w:val="1047"/>
    <w:next w:val="1238"/>
    <w:link w:val="825"/>
    <w:pPr>
      <w:spacing w:after="284"/>
    </w:pPr>
    <w:rPr>
      <w:rFonts w:ascii="Times New Roman" w:hAnsi="Times New Roman" w:eastAsia="宋体" w:cs="Times New Roman"/>
      <w:b/>
    </w:rPr>
  </w:style>
  <w:style w:type="paragraph" w:styleId="1239">
    <w:name w:val="符号与编号"/>
    <w:basedOn w:val="825"/>
    <w:next w:val="1239"/>
    <w:link w:val="825"/>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240">
    <w:name w:val="xl33"/>
    <w:basedOn w:val="825"/>
    <w:next w:val="1240"/>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41">
    <w:name w:val="段 Char"/>
    <w:next w:val="1241"/>
    <w:link w:val="825"/>
    <w:pPr>
      <w:ind w:firstLine="200"/>
      <w:jc w:val="both"/>
    </w:pPr>
    <w:rPr>
      <w:rFonts w:ascii="宋体"/>
      <w:sz w:val="21"/>
      <w:lang w:val="en-US" w:eastAsia="zh-CN" w:bidi="ar-SA"/>
    </w:rPr>
  </w:style>
  <w:style w:type="paragraph" w:styleId="1242">
    <w:name w:val="论文正文"/>
    <w:basedOn w:val="873"/>
    <w:next w:val="1242"/>
    <w:link w:val="825"/>
    <w:pPr>
      <w:ind w:left="0" w:firstLine="200"/>
      <w:jc w:val="left"/>
      <w:spacing w:line="360" w:lineRule="auto"/>
    </w:pPr>
    <w:rPr>
      <w:rFonts w:ascii="Times New Roman" w:hAnsi="Times New Roman" w:eastAsia="宋体" w:cs="Times New Roman"/>
      <w:sz w:val="28"/>
      <w:szCs w:val="24"/>
    </w:rPr>
  </w:style>
  <w:style w:type="paragraph" w:styleId="1243">
    <w:name w:val="默认段落字体 Para Char Char Char Char Char Char Char Char Char1 Char Char Char Char Char Char Char"/>
    <w:basedOn w:val="853"/>
    <w:next w:val="1243"/>
    <w:link w:val="825"/>
    <w:rPr>
      <w:rFonts w:ascii="Times New Roman" w:hAnsi="Times New Roman" w:eastAsia="宋体" w:cs="Times New Roman"/>
    </w:rPr>
  </w:style>
  <w:style w:type="paragraph" w:styleId="1244">
    <w:name w:val="二级条标题"/>
    <w:basedOn w:val="825"/>
    <w:next w:val="929"/>
    <w:link w:val="825"/>
    <w:pPr>
      <w:ind w:hanging="420"/>
      <w:widowControl/>
      <w:tabs>
        <w:tab w:val="left" w:pos="2240" w:leader="none"/>
      </w:tabs>
      <w:outlineLvl w:val="3"/>
    </w:pPr>
    <w:rPr>
      <w:rFonts w:ascii="Times New Roman" w:hAnsi="Times New Roman" w:eastAsia="黑体" w:cs="Times New Roman"/>
    </w:rPr>
  </w:style>
  <w:style w:type="paragraph" w:styleId="1245">
    <w:name w:val="xl29"/>
    <w:basedOn w:val="825"/>
    <w:next w:val="1245"/>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46">
    <w:name w:val="TOC 71"/>
    <w:next w:val="825"/>
    <w:link w:val="825"/>
    <w:qFormat/>
    <w:pPr>
      <w:ind w:left="2550"/>
      <w:jc w:val="both"/>
    </w:pPr>
    <w:rPr>
      <w:sz w:val="21"/>
      <w:szCs w:val="22"/>
      <w:lang w:val="en-US" w:eastAsia="zh-CN" w:bidi="ar-SA"/>
    </w:rPr>
  </w:style>
  <w:style w:type="paragraph" w:styleId="1247">
    <w:name w:val="xl39"/>
    <w:basedOn w:val="825"/>
    <w:next w:val="1247"/>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48">
    <w:name w:val="A."/>
    <w:basedOn w:val="825"/>
    <w:next w:val="1248"/>
    <w:link w:val="825"/>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249">
    <w:name w:val="font61"/>
    <w:next w:val="1249"/>
    <w:link w:val="825"/>
    <w:rPr>
      <w:rFonts w:ascii="Times New Roman" w:hAnsi="Times New Roman" w:eastAsia="宋体" w:cs="Times New Roman"/>
      <w:color w:val="000000"/>
      <w:sz w:val="22"/>
      <w:szCs w:val="22"/>
      <w:u w:val="none"/>
    </w:rPr>
  </w:style>
  <w:style w:type="character" w:styleId="1250">
    <w:name w:val="font51"/>
    <w:next w:val="1250"/>
    <w:link w:val="825"/>
    <w:rPr>
      <w:rFonts w:hint="eastAsia" w:ascii="宋体" w:hAnsi="宋体" w:eastAsia="宋体" w:cs="宋体"/>
      <w:color w:val="000000"/>
      <w:sz w:val="22"/>
      <w:szCs w:val="22"/>
      <w:u w:val="none"/>
      <w:vertAlign w:val="subscript"/>
    </w:rPr>
  </w:style>
  <w:style w:type="character" w:styleId="1251">
    <w:name w:val="font41"/>
    <w:next w:val="1251"/>
    <w:link w:val="825"/>
    <w:rPr>
      <w:rFonts w:hint="eastAsia" w:ascii="宋体" w:hAnsi="宋体" w:eastAsia="宋体" w:cs="宋体"/>
      <w:color w:val="000000"/>
      <w:sz w:val="22"/>
      <w:szCs w:val="22"/>
      <w:u w:val="none"/>
    </w:rPr>
  </w:style>
  <w:style w:type="character" w:styleId="1252">
    <w:name w:val="font71"/>
    <w:next w:val="1252"/>
    <w:link w:val="825"/>
    <w:rPr>
      <w:rFonts w:ascii="Times New Roman" w:hAnsi="Times New Roman" w:eastAsia="宋体" w:cs="Times New Roman"/>
      <w:color w:val="000000"/>
      <w:sz w:val="22"/>
      <w:szCs w:val="22"/>
      <w:u w:val="none"/>
    </w:rPr>
  </w:style>
  <w:style w:type="character" w:styleId="1253">
    <w:name w:val="font21"/>
    <w:next w:val="1253"/>
    <w:link w:val="825"/>
    <w:rPr>
      <w:rFonts w:ascii="Times New Roman" w:hAnsi="Times New Roman" w:eastAsia="宋体" w:cs="Times New Roman"/>
      <w:color w:val="000000"/>
      <w:sz w:val="22"/>
      <w:szCs w:val="22"/>
      <w:u w:val="none"/>
      <w:vertAlign w:val="superscript"/>
    </w:rPr>
  </w:style>
  <w:style w:type="paragraph" w:styleId="1254">
    <w:name w:val="06列出段落"/>
    <w:basedOn w:val="825"/>
    <w:next w:val="1066"/>
    <w:link w:val="825"/>
    <w:pPr>
      <w:ind w:firstLine="420"/>
    </w:pPr>
    <w:rPr>
      <w:rFonts w:ascii="Calibri" w:hAnsi="Calibri" w:eastAsia="宋体" w:cs="Times New Roman"/>
    </w:rPr>
  </w:style>
  <w:style w:type="paragraph" w:styleId="1255">
    <w:name w:val="彩色列表 - 强调文字颜色 11"/>
    <w:basedOn w:val="825"/>
    <w:next w:val="1255"/>
    <w:link w:val="825"/>
    <w:qFormat/>
    <w:pPr>
      <w:contextualSpacing/>
      <w:ind w:left="720"/>
      <w:jc w:val="left"/>
      <w:spacing w:before="100" w:after="100" w:line="276" w:lineRule="auto"/>
      <w:widowControl/>
    </w:pPr>
    <w:rPr>
      <w:rFonts w:ascii="Arial" w:hAnsi="Arial" w:cs="Arial"/>
      <w:color w:val="0f0f0f"/>
      <w:sz w:val="20"/>
      <w:lang w:eastAsia="en-US"/>
    </w:rPr>
  </w:style>
  <w:style w:type="paragraph" w:styleId="1256">
    <w:name w:val="讲话正文"/>
    <w:basedOn w:val="825"/>
    <w:next w:val="1256"/>
    <w:link w:val="825"/>
    <w:qFormat/>
    <w:pPr>
      <w:ind w:firstLine="200"/>
      <w:spacing w:before="0" w:after="0"/>
    </w:pPr>
    <w:rPr>
      <w:rFonts w:ascii="仿宋" w:hAnsi="仿宋" w:eastAsia="仿宋"/>
      <w:sz w:val="32"/>
      <w:szCs w:val="32"/>
    </w:rPr>
  </w:style>
  <w:style w:type="paragraph" w:styleId="1257">
    <w:name w:val="首行缩进"/>
    <w:basedOn w:val="825"/>
    <w:next w:val="1257"/>
    <w:link w:val="825"/>
    <w:qFormat/>
    <w:pPr>
      <w:ind w:firstLine="480"/>
    </w:pPr>
    <w:rPr>
      <w:szCs w:val="20"/>
      <w:lang w:val="zh-CN"/>
    </w:rPr>
  </w:style>
  <w:style w:type="paragraph" w:styleId="1258">
    <w:name w:val="正文首行缩进 21"/>
    <w:basedOn w:val="1227"/>
    <w:next w:val="1258"/>
    <w:link w:val="825"/>
    <w:qFormat/>
    <w:pPr>
      <w:ind w:firstLine="420"/>
    </w:pPr>
  </w:style>
  <w:style w:type="paragraph" w:styleId="1259">
    <w:name w:val="Table Text"/>
    <w:basedOn w:val="825"/>
    <w:next w:val="1259"/>
    <w:link w:val="825"/>
    <w:semiHidden/>
    <w:qFormat/>
    <w:rPr>
      <w:rFonts w:ascii="宋体" w:hAnsi="宋体" w:cs="宋体"/>
      <w:sz w:val="24"/>
    </w:rPr>
  </w:style>
  <w:style w:type="table" w:styleId="1260">
    <w:name w:val="Table Normal"/>
    <w:next w:val="1260"/>
    <w:link w:val="825"/>
    <w:unhideWhenUsed/>
    <w:qFormat/>
    <w:rPr>
      <w:lang w:val="en-US" w:eastAsia="zh-CN" w:bidi="ar-SA"/>
    </w:rPr>
    <w:tblPr/>
  </w:style>
  <w:style w:type="paragraph" w:styleId="1261">
    <w:name w:val="一级目录"/>
    <w:next w:val="825"/>
    <w:link w:val="825"/>
    <w:uiPriority w:val="99"/>
    <w:qFormat/>
    <w:pPr>
      <w:jc w:val="center"/>
      <w:outlineLvl w:val="0"/>
    </w:pPr>
    <w:rPr>
      <w:rFonts w:ascii="黑体" w:eastAsia="黑体"/>
      <w:b/>
      <w:bCs/>
      <w:sz w:val="44"/>
      <w:szCs w:val="44"/>
      <w:lang w:val="en-US" w:eastAsia="zh-CN" w:bidi="ar-SA"/>
    </w:rPr>
  </w:style>
  <w:style w:type="paragraph" w:styleId="1262">
    <w:name w:val="MdHeading2"/>
    <w:next w:val="1262"/>
    <w:link w:val="825"/>
    <w:qFormat/>
    <w:pPr>
      <w:keepNext/>
      <w:spacing w:before="400" w:after="200"/>
      <w:outlineLvl w:val="1"/>
    </w:pPr>
    <w:rPr>
      <w:rFonts w:ascii="Calibri" w:hAnsi="Calibri"/>
      <w:b/>
      <w:bCs/>
      <w:sz w:val="32"/>
      <w:szCs w:val="32"/>
      <w:lang w:val="en-US" w:eastAsia="zh-CN" w:bidi="ar-SA"/>
    </w:rPr>
  </w:style>
  <w:style w:type="paragraph" w:styleId="1263">
    <w:name w:val="MdParagraph"/>
    <w:next w:val="1263"/>
    <w:link w:val="825"/>
    <w:qFormat/>
    <w:pPr>
      <w:spacing w:before="120" w:after="120"/>
    </w:pPr>
    <w:rPr>
      <w:rFonts w:ascii="Calibri" w:hAnsi="Calibri"/>
      <w:sz w:val="24"/>
      <w:szCs w:val="24"/>
      <w:lang w:val="en-US" w:eastAsia="zh-CN" w:bidi="ar-SA"/>
    </w:rPr>
  </w:style>
  <w:style w:type="paragraph" w:styleId="1264">
    <w:name w:val="MdSpace"/>
    <w:next w:val="1264"/>
    <w:link w:val="825"/>
    <w:qFormat/>
    <w:rPr>
      <w:rFonts w:ascii="Calibri" w:hAnsi="Calibri"/>
      <w:sz w:val="12"/>
      <w:szCs w:val="12"/>
      <w:lang w:val="en-US" w:eastAsia="zh-CN" w:bidi="ar-SA"/>
    </w:rPr>
  </w:style>
  <w:style w:type="paragraph" w:styleId="1265">
    <w:name w:val="MdTableHeader"/>
    <w:next w:val="1265"/>
    <w:link w:val="825"/>
    <w:qFormat/>
    <w:pPr>
      <w:spacing w:before="60" w:after="60"/>
    </w:pPr>
    <w:rPr>
      <w:rFonts w:ascii="Calibri" w:hAnsi="Calibri"/>
      <w:b/>
      <w:bCs/>
      <w:sz w:val="22"/>
      <w:szCs w:val="22"/>
      <w:lang w:val="en-US" w:eastAsia="zh-CN" w:bidi="ar-SA"/>
    </w:rPr>
  </w:style>
  <w:style w:type="paragraph" w:styleId="1266">
    <w:name w:val="MdTableCell"/>
    <w:next w:val="1266"/>
    <w:link w:val="825"/>
    <w:qFormat/>
    <w:pPr>
      <w:spacing w:before="40" w:after="40"/>
    </w:pPr>
    <w:rPr>
      <w:rFonts w:ascii="Calibri" w:hAnsi="Calibri"/>
      <w:lang w:val="en-US" w:eastAsia="zh-CN" w:bidi="ar-SA"/>
    </w:rPr>
  </w:style>
  <w:style w:type="character" w:styleId="1267">
    <w:name w:val="MdStrong"/>
    <w:next w:val="1267"/>
    <w:link w:val="825"/>
    <w:uiPriority w:val="99"/>
    <w:unhideWhenUsed/>
    <w:qFormat/>
    <w:rPr>
      <w:b/>
      <w:bCs/>
    </w:rPr>
  </w:style>
  <w:style w:type="paragraph" w:styleId="1268">
    <w:name w:val="标题 21"/>
    <w:basedOn w:val="825"/>
    <w:next w:val="825"/>
    <w:link w:val="825"/>
    <w:qFormat/>
    <w:pPr>
      <w:jc w:val="center"/>
      <w:keepLines/>
      <w:keepNext/>
      <w:spacing w:before="260" w:after="260" w:line="416" w:lineRule="auto"/>
      <w:outlineLvl w:val="1"/>
    </w:pPr>
    <w:rPr>
      <w:rFonts w:ascii="Arial" w:hAnsi="Arial" w:eastAsia="幼圆"/>
      <w:b/>
      <w:bCs/>
      <w:sz w:val="44"/>
      <w:szCs w:val="44"/>
    </w:rPr>
  </w:style>
  <w:style w:type="paragraph" w:styleId="1269">
    <w:name w:val="纯文本3"/>
    <w:basedOn w:val="825"/>
    <w:next w:val="1269"/>
    <w:link w:val="825"/>
    <w:qFormat/>
    <w:rPr>
      <w:rFonts w:ascii="Times New Roman" w:hAnsi="Courier New" w:eastAsia="楷体_GB2312" w:cs="Times New Roman"/>
      <w:sz w:val="26"/>
      <w:szCs w:val="20"/>
    </w:rPr>
  </w:style>
  <w:style w:type="paragraph" w:styleId="1270">
    <w:name w:val="Body text|1"/>
    <w:basedOn w:val="825"/>
    <w:next w:val="1270"/>
    <w:link w:val="825"/>
    <w:pPr>
      <w:ind w:left="660" w:firstLine="480"/>
      <w:jc w:val="left"/>
      <w:spacing w:line="463" w:lineRule="exact"/>
    </w:pPr>
    <w:rPr>
      <w:rFonts w:ascii="宋体" w:hAnsi="宋体" w:cs="宋体"/>
      <w:color w:val="5d5e5f"/>
      <w:sz w:val="24"/>
      <w:lang w:val="zh-TW" w:eastAsia="zh-TW" w:bidi="zh-TW"/>
    </w:rPr>
  </w:style>
  <w:style w:type="character" w:styleId="34115" w:default="1">
    <w:name w:val="Default Paragraph Font"/>
    <w:uiPriority w:val="1"/>
    <w:semiHidden/>
    <w:unhideWhenUsed/>
  </w:style>
  <w:style w:type="numbering" w:styleId="34116" w:default="1">
    <w:name w:val="No List"/>
    <w:uiPriority w:val="99"/>
    <w:semiHidden/>
    <w:unhideWhenUsed/>
  </w:style>
  <w:style w:type="table" w:styleId="341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2</cp:revision>
  <dcterms:created xsi:type="dcterms:W3CDTF">2026-03-19T02:48:00Z</dcterms:created>
  <dcterms:modified xsi:type="dcterms:W3CDTF">2026-07-14T13:21:06Z</dcterms:modified>
</cp:coreProperties>
</file>