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b/>
          <w:color w:val="auto"/>
          <w:sz w:val="84"/>
          <w:szCs w:val="24"/>
          <w:highlight w:val="none"/>
        </w:rPr>
      </w:pPr>
      <w:r>
        <w:rPr>
          <w:rFonts w:hint="eastAsia" w:ascii="宋体" w:hAnsi="宋体" w:eastAsia="宋体" w:cs="楷体"/>
          <w:b/>
          <w:color w:val="auto"/>
          <w:sz w:val="84"/>
          <w:szCs w:val="24"/>
          <w:highlight w:val="none"/>
        </w:rPr>
        <w:t xml:space="preserve">招   标</w:t>
      </w:r>
      <w:bookmarkStart w:id="106" w:name="_GoBack"/>
      <w:r/>
      <w:bookmarkEnd w:id="106"/>
      <w:r>
        <w:rPr>
          <w:rFonts w:hint="eastAsia" w:ascii="宋体" w:hAnsi="宋体" w:eastAsia="宋体" w:cs="楷体"/>
          <w:b/>
          <w:color w:val="auto"/>
          <w:sz w:val="84"/>
          <w:szCs w:val="24"/>
          <w:highlight w:val="none"/>
        </w:rPr>
        <w:t xml:space="preserve">   文   件</w:t>
      </w:r>
      <w:r/>
    </w:p>
    <w:p>
      <w:pPr>
        <w:jc w:val="center"/>
        <w:spacing w:line="360" w:lineRule="auto"/>
        <w:rPr>
          <w:rFonts w:ascii="宋体" w:hAnsi="宋体" w:eastAsia="宋体" w:cs="楷体"/>
          <w:color w:val="auto"/>
          <w:sz w:val="44"/>
          <w:szCs w:val="44"/>
          <w:highlight w:val="none"/>
        </w:rPr>
      </w:pPr>
      <w:r>
        <w:rPr>
          <w:rFonts w:hint="eastAsia" w:ascii="宋体" w:hAnsi="宋体" w:eastAsia="宋体" w:cs="楷体"/>
          <w:color w:val="auto"/>
          <w:sz w:val="44"/>
          <w:szCs w:val="44"/>
          <w:highlight w:val="none"/>
        </w:rPr>
        <w:t xml:space="preserve">（电子招投标）</w:t>
      </w:r>
      <w:r/>
    </w:p>
    <w:p>
      <w:pPr>
        <w:jc w:val="center"/>
        <w:spacing w:line="360" w:lineRule="auto"/>
        <w:rPr>
          <w:rFonts w:ascii="宋体" w:hAnsi="宋体" w:eastAsia="宋体" w:cs="楷体"/>
          <w:color w:val="auto"/>
          <w:sz w:val="32"/>
          <w:szCs w:val="24"/>
          <w:highlight w:val="none"/>
        </w:rPr>
      </w:pPr>
      <w:r>
        <w:rPr>
          <w:rFonts w:hint="eastAsia" w:ascii="宋体" w:hAnsi="宋体" w:eastAsia="宋体" w:cs="楷体"/>
          <w:color w:val="auto"/>
          <w:sz w:val="32"/>
          <w:szCs w:val="24"/>
          <w:highlight w:val="none"/>
        </w:rPr>
        <w:t xml:space="preserve">（货物类项目，专门面向中小微企业）</w:t>
      </w:r>
      <w:r/>
    </w:p>
    <w:p>
      <w:pPr>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hint="eastAsia" w:ascii="宋体" w:hAnsi="宋体" w:eastAsia="宋体" w:cs="楷体"/>
          <w:b/>
          <w:color w:val="auto"/>
          <w:sz w:val="36"/>
          <w:szCs w:val="36"/>
          <w:highlight w:val="none"/>
          <w:lang w:eastAsia="zh-CN"/>
        </w:rPr>
      </w:pPr>
      <w:r>
        <w:rPr>
          <w:rFonts w:hint="eastAsia" w:ascii="宋体" w:hAnsi="宋体" w:eastAsia="宋体" w:cs="楷体"/>
          <w:b/>
          <w:color w:val="auto"/>
          <w:sz w:val="36"/>
          <w:szCs w:val="36"/>
          <w:highlight w:val="none"/>
        </w:rPr>
        <w:t xml:space="preserve">项目编号：</w:t>
      </w:r>
      <w:r>
        <w:rPr>
          <w:rFonts w:hint="eastAsia" w:ascii="宋体" w:hAnsi="宋体" w:eastAsia="宋体" w:cs="楷体"/>
          <w:b/>
          <w:color w:val="auto"/>
          <w:sz w:val="36"/>
          <w:szCs w:val="36"/>
          <w:highlight w:val="none"/>
          <w:lang w:eastAsia="zh-CN"/>
        </w:rPr>
        <w:t xml:space="preserve">JSZC-321181-JZCG-G2026-0013</w:t>
      </w:r>
      <w:r/>
    </w:p>
    <w:p>
      <w:pPr>
        <w:jc w:val="center"/>
        <w:spacing w:line="360" w:lineRule="auto"/>
        <w:rPr>
          <w:rFonts w:hint="eastAsia" w:ascii="宋体" w:hAnsi="宋体" w:eastAsia="宋体" w:cs="楷体"/>
          <w:b/>
          <w:color w:val="auto"/>
          <w:sz w:val="36"/>
          <w:szCs w:val="36"/>
          <w:highlight w:val="none"/>
          <w:lang w:eastAsia="zh-CN"/>
        </w:rPr>
      </w:pPr>
      <w:r>
        <w:rPr>
          <w:rFonts w:hint="eastAsia" w:ascii="宋体" w:hAnsi="宋体" w:eastAsia="宋体" w:cs="楷体"/>
          <w:b/>
          <w:color w:val="auto"/>
          <w:sz w:val="36"/>
          <w:szCs w:val="36"/>
          <w:highlight w:val="none"/>
        </w:rPr>
        <w:t xml:space="preserve">项目名称</w:t>
      </w:r>
      <w:r>
        <w:rPr>
          <w:rFonts w:hint="eastAsia" w:ascii="宋体" w:hAnsi="宋体" w:eastAsia="宋体" w:cs="楷体"/>
          <w:color w:val="auto"/>
          <w:sz w:val="36"/>
          <w:szCs w:val="36"/>
          <w:highlight w:val="none"/>
        </w:rPr>
        <w:t xml:space="preserve">：</w:t>
      </w:r>
      <w:r>
        <w:rPr>
          <w:rFonts w:hint="eastAsia" w:ascii="宋体" w:hAnsi="宋体" w:eastAsia="宋体" w:cs="楷体"/>
          <w:b/>
          <w:color w:val="auto"/>
          <w:sz w:val="36"/>
          <w:szCs w:val="36"/>
          <w:highlight w:val="none"/>
          <w:lang w:eastAsia="zh-CN"/>
        </w:rPr>
        <w:t xml:space="preserve">丹阳市中医院新院家具采购项目</w:t>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丹阳市政府采购中心  </w:t>
      </w:r>
      <w:r/>
    </w:p>
    <w:p>
      <w:pPr>
        <w:jc w:val="center"/>
        <w:spacing w:line="360" w:lineRule="auto"/>
        <w:rPr>
          <w:rFonts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202</w:t>
      </w:r>
      <w:r>
        <w:rPr>
          <w:rFonts w:hint="eastAsia" w:ascii="宋体" w:hAnsi="宋体" w:eastAsia="宋体" w:cs="楷体"/>
          <w:b/>
          <w:color w:val="auto"/>
          <w:sz w:val="36"/>
          <w:szCs w:val="36"/>
          <w:highlight w:val="none"/>
          <w:lang w:val="en-US" w:eastAsia="zh-CN"/>
        </w:rPr>
        <w:t xml:space="preserve">6</w:t>
      </w:r>
      <w:r>
        <w:rPr>
          <w:rFonts w:hint="eastAsia" w:ascii="宋体" w:hAnsi="宋体" w:eastAsia="宋体" w:cs="楷体"/>
          <w:b/>
          <w:color w:val="auto"/>
          <w:sz w:val="36"/>
          <w:szCs w:val="36"/>
          <w:highlight w:val="none"/>
        </w:rPr>
        <w:t xml:space="preserve">年</w:t>
      </w:r>
      <w:r>
        <w:rPr>
          <w:rFonts w:hint="eastAsia" w:ascii="宋体" w:hAnsi="宋体" w:eastAsia="宋体" w:cs="楷体"/>
          <w:b/>
          <w:color w:val="auto"/>
          <w:sz w:val="36"/>
          <w:szCs w:val="36"/>
          <w:highlight w:val="none"/>
          <w:lang w:val="en-US" w:eastAsia="zh-CN"/>
        </w:rPr>
        <w:t xml:space="preserve">7</w:t>
      </w:r>
      <w:r>
        <w:rPr>
          <w:rFonts w:hint="eastAsia" w:ascii="宋体" w:hAnsi="宋体" w:eastAsia="宋体" w:cs="楷体"/>
          <w:b/>
          <w:color w:val="auto"/>
          <w:sz w:val="36"/>
          <w:szCs w:val="36"/>
          <w:highlight w:val="none"/>
        </w:rPr>
        <w:t xml:space="preserve">月</w:t>
      </w:r>
      <w:r>
        <w:rPr>
          <w:rFonts w:hint="eastAsia" w:ascii="宋体" w:hAnsi="宋体" w:eastAsia="宋体" w:cs="楷体"/>
          <w:b/>
          <w:color w:val="auto"/>
          <w:sz w:val="36"/>
          <w:szCs w:val="36"/>
          <w:highlight w:val="none"/>
          <w:lang w:val="en-US" w:eastAsia="zh-CN"/>
        </w:rPr>
        <w:t xml:space="preserve">6</w:t>
      </w:r>
      <w:r>
        <w:rPr>
          <w:rFonts w:hint="eastAsia" w:ascii="宋体" w:hAnsi="宋体" w:eastAsia="宋体" w:cs="楷体"/>
          <w:b/>
          <w:color w:val="auto"/>
          <w:sz w:val="36"/>
          <w:szCs w:val="36"/>
          <w:highlight w:val="none"/>
        </w:rPr>
        <w:t xml:space="preserve">日</w:t>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ind w:firstLine="4176"/>
        <w:spacing w:line="50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ind w:firstLine="4176"/>
        <w:spacing w:line="500" w:lineRule="exact"/>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 xml:space="preserve">提 示 函</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各政府采购供应商：</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为打造公开公平公正的政府采购营商环境，规范政府采购活动，请贵单位仔细阅读下列条款：</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一、基本要求：</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1.应当遵循公开、公平、公正和诚实信用原则；</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2.不得有串通投标、提供虚假材料等违法违规行为；</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3.不得捏造事实、提供虚假材料或者以非法手段取得证明材料进行投诉。</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二、经查实有下列行为的，将依法依规严肃处理:</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(1)提供虚假材料谋取中标、成交的;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(2)采取不正当手段诋毁、排挤其他供应商的;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(3)与采购人、其他供应商或者采购代理机构恶意串通的;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(4)向采购人、采购代理机构行贿或者提供其他不正当利益的;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(5)在招标采购过程中与采购人进行协商谈判的;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(6)拒绝有关部门监督检查或者提供虚假情况的。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2．在“信用中国”网、中国政府采购网等相关网站有失信记录按规定被依法限制参与政府采购活动的，在规定期限内不得参加本市范围内的政府采购活动。</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2"/>
          <w:szCs w:val="32"/>
          <w:highlight w:val="none"/>
        </w:rPr>
        <w:t xml:space="preserve">招标文件目录</w:t>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第一部分    投标邀请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第二部分    投标人须知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第三部分    拟签订的合同文本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第四部分    采购需求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第五部分    评标办法和标准                      </w:t>
      </w:r>
      <w:r/>
    </w:p>
    <w:p>
      <w:pPr>
        <w:jc w:val="left"/>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第六部分    投标文件（格式）                    </w:t>
      </w:r>
      <w:r/>
    </w:p>
    <w:p>
      <w:pPr>
        <w:jc w:val="center"/>
        <w:rPr>
          <w:rFonts w:ascii="宋体" w:hAnsi="宋体" w:eastAsia="宋体" w:cs="楷体"/>
          <w:b/>
          <w:color w:val="auto"/>
          <w:sz w:val="36"/>
          <w:szCs w:val="36"/>
          <w:highlight w:val="none"/>
        </w:rPr>
        <w:outlineLvl w:val="2"/>
      </w:pPr>
      <w:r>
        <w:rPr>
          <w:rFonts w:hint="eastAsia" w:ascii="宋体" w:hAnsi="宋体" w:eastAsia="宋体" w:cs="楷体"/>
          <w:b/>
          <w:color w:val="auto"/>
          <w:sz w:val="30"/>
          <w:szCs w:val="20"/>
          <w:highlight w:val="none"/>
        </w:rPr>
        <w:br w:type="page" w:clear="all"/>
      </w:r>
      <w:bookmarkStart w:id="0" w:name="_Toc100386033"/>
      <w:r/>
      <w:bookmarkStart w:id="1" w:name="_Toc20732967"/>
      <w:r/>
      <w:bookmarkStart w:id="2" w:name="_Toc92167999"/>
      <w:r>
        <w:rPr>
          <w:rFonts w:hint="eastAsia" w:ascii="宋体" w:hAnsi="宋体" w:eastAsia="宋体" w:cs="楷体"/>
          <w:b/>
          <w:color w:val="auto"/>
          <w:sz w:val="32"/>
          <w:szCs w:val="32"/>
          <w:highlight w:val="none"/>
        </w:rPr>
        <w:t xml:space="preserve">第一部分  投标邀请</w:t>
      </w:r>
      <w:bookmarkEnd w:id="0"/>
      <w:r/>
      <w:bookmarkEnd w:id="1"/>
      <w:r/>
      <w:bookmarkEnd w:id="2"/>
      <w:r/>
      <w:r/>
    </w:p>
    <w:p>
      <w:pPr>
        <w:spacing w:line="360" w:lineRule="auto"/>
        <w:rPr>
          <w:rFonts w:ascii="宋体" w:hAnsi="宋体" w:eastAsia="宋体" w:cs="楷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3" w:name="_Toc20732978"/>
      <w:r/>
      <w:bookmarkStart w:id="4" w:name="_Toc92168010"/>
      <w:r/>
      <w:bookmarkStart w:id="5" w:name="_Toc98669341"/>
      <w:r/>
      <w:bookmarkStart w:id="6" w:name="_Toc98669699"/>
      <w:r/>
      <w:bookmarkStart w:id="7" w:name="_Toc100386044"/>
      <w:r>
        <w:rPr>
          <w:rFonts w:hint="eastAsia" w:ascii="宋体" w:hAnsi="宋体" w:eastAsia="宋体" w:cs="楷体"/>
          <w:color w:val="auto"/>
          <w:sz w:val="24"/>
          <w:szCs w:val="28"/>
          <w:highlight w:val="none"/>
        </w:rPr>
        <w:t xml:space="preserve">项目概况</w:t>
      </w:r>
      <w:r/>
    </w:p>
    <w:p>
      <w:pPr>
        <w:ind w:firstLine="360"/>
        <w:spacing w:line="360" w:lineRule="auto"/>
        <w:rPr>
          <w:rFonts w:ascii="宋体" w:hAnsi="宋体" w:eastAsia="宋体" w:cs="楷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楷体"/>
          <w:color w:val="auto"/>
          <w:sz w:val="24"/>
          <w:szCs w:val="28"/>
          <w:highlight w:val="none"/>
          <w:u w:val="single"/>
          <w:lang w:eastAsia="zh-CN"/>
        </w:rPr>
        <w:t xml:space="preserve">丹阳市中医院新院家具采购项目</w:t>
      </w:r>
      <w:r>
        <w:rPr>
          <w:rFonts w:hint="eastAsia" w:ascii="宋体" w:hAnsi="宋体" w:eastAsia="宋体" w:cs="楷体"/>
          <w:color w:val="auto"/>
          <w:sz w:val="24"/>
          <w:szCs w:val="28"/>
          <w:highlight w:val="none"/>
        </w:rPr>
        <w:t xml:space="preserve">的潜在投标人应在“苏采云”电子交易平台（网址：http://jszfcg.jsczt.cn/）获取招标文件</w:t>
      </w:r>
      <w:r>
        <w:rPr>
          <w:rFonts w:hint="eastAsia" w:ascii="宋体" w:hAnsi="宋体" w:eastAsia="宋体" w:cs="楷体"/>
          <w:color w:val="auto"/>
          <w:sz w:val="24"/>
          <w:szCs w:val="28"/>
          <w:highlight w:val="none"/>
        </w:rPr>
        <w:t xml:space="preserve">，并于</w:t>
      </w:r>
      <w:r>
        <w:rPr>
          <w:rFonts w:hint="eastAsia" w:ascii="宋体" w:hAnsi="宋体" w:eastAsia="宋体" w:cs="楷体"/>
          <w:color w:val="auto"/>
          <w:sz w:val="24"/>
          <w:szCs w:val="28"/>
          <w:highlight w:val="none"/>
          <w:u w:val="single"/>
        </w:rPr>
        <w:t xml:space="preserve">202</w:t>
      </w:r>
      <w:r>
        <w:rPr>
          <w:rFonts w:hint="eastAsia" w:ascii="宋体" w:hAnsi="宋体" w:eastAsia="宋体" w:cs="楷体"/>
          <w:color w:val="auto"/>
          <w:sz w:val="24"/>
          <w:szCs w:val="28"/>
          <w:highlight w:val="none"/>
          <w:u w:val="single"/>
          <w:lang w:val="en-US" w:eastAsia="zh-CN"/>
        </w:rPr>
        <w:t xml:space="preserve">6</w:t>
      </w:r>
      <w:r>
        <w:rPr>
          <w:rFonts w:hint="eastAsia" w:ascii="宋体" w:hAnsi="宋体" w:eastAsia="宋体" w:cs="楷体"/>
          <w:color w:val="auto"/>
          <w:sz w:val="24"/>
          <w:szCs w:val="28"/>
          <w:highlight w:val="none"/>
          <w:u w:val="single"/>
        </w:rPr>
        <w:t xml:space="preserve">年</w:t>
      </w:r>
      <w:r>
        <w:rPr>
          <w:rFonts w:hint="eastAsia" w:ascii="宋体" w:hAnsi="宋体" w:eastAsia="宋体" w:cs="楷体"/>
          <w:color w:val="auto"/>
          <w:sz w:val="24"/>
          <w:szCs w:val="28"/>
          <w:highlight w:val="none"/>
          <w:u w:val="single"/>
          <w:lang w:val="en-US" w:eastAsia="zh-CN"/>
        </w:rPr>
        <w:t xml:space="preserve">8</w:t>
      </w:r>
      <w:r>
        <w:rPr>
          <w:rFonts w:hint="eastAsia" w:ascii="宋体" w:hAnsi="宋体" w:eastAsia="宋体" w:cs="楷体"/>
          <w:color w:val="auto"/>
          <w:sz w:val="24"/>
          <w:szCs w:val="28"/>
          <w:highlight w:val="none"/>
          <w:u w:val="single"/>
        </w:rPr>
        <w:t xml:space="preserve">月</w:t>
      </w:r>
      <w:r>
        <w:rPr>
          <w:rFonts w:hint="eastAsia" w:ascii="宋体" w:hAnsi="宋体" w:eastAsia="宋体" w:cs="楷体"/>
          <w:color w:val="auto"/>
          <w:sz w:val="24"/>
          <w:szCs w:val="28"/>
          <w:highlight w:val="none"/>
          <w:u w:val="single"/>
          <w:lang w:val="en-US" w:eastAsia="zh-CN"/>
        </w:rPr>
        <w:t xml:space="preserve">11</w:t>
      </w:r>
      <w:r>
        <w:rPr>
          <w:rFonts w:hint="eastAsia" w:ascii="宋体" w:hAnsi="宋体" w:eastAsia="宋体" w:cs="楷体"/>
          <w:color w:val="auto"/>
          <w:sz w:val="24"/>
          <w:szCs w:val="28"/>
          <w:highlight w:val="none"/>
          <w:u w:val="single"/>
        </w:rPr>
        <w:t xml:space="preserve">日</w:t>
      </w:r>
      <w:r>
        <w:rPr>
          <w:rFonts w:ascii="宋体" w:hAnsi="宋体" w:eastAsia="宋体" w:cs="楷体"/>
          <w:color w:val="auto"/>
          <w:sz w:val="24"/>
          <w:szCs w:val="28"/>
          <w:highlight w:val="none"/>
          <w:u w:val="single"/>
        </w:rPr>
        <w:t xml:space="preserve">9</w:t>
      </w:r>
      <w:r>
        <w:rPr>
          <w:rFonts w:hint="eastAsia" w:ascii="宋体" w:hAnsi="宋体" w:eastAsia="宋体" w:cs="楷体"/>
          <w:color w:val="auto"/>
          <w:sz w:val="24"/>
          <w:szCs w:val="28"/>
          <w:highlight w:val="none"/>
          <w:u w:val="single"/>
        </w:rPr>
        <w:t xml:space="preserve">点</w:t>
      </w:r>
      <w:r>
        <w:rPr>
          <w:rFonts w:ascii="宋体" w:hAnsi="宋体" w:eastAsia="宋体" w:cs="楷体"/>
          <w:color w:val="auto"/>
          <w:sz w:val="24"/>
          <w:szCs w:val="28"/>
          <w:highlight w:val="none"/>
          <w:u w:val="single"/>
        </w:rPr>
        <w:t xml:space="preserve">30</w:t>
      </w:r>
      <w:r>
        <w:rPr>
          <w:rFonts w:hint="eastAsia" w:ascii="宋体" w:hAnsi="宋体" w:eastAsia="宋体" w:cs="楷体"/>
          <w:color w:val="auto"/>
          <w:sz w:val="24"/>
          <w:szCs w:val="28"/>
          <w:highlight w:val="none"/>
          <w:u w:val="single"/>
        </w:rPr>
        <w:t xml:space="preserve">分（北京时间）前按要求递交投标文件。</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8" w:name="_Toc28359002"/>
      <w:r/>
      <w:bookmarkStart w:id="9" w:name="_Toc28359079"/>
      <w:r/>
      <w:bookmarkStart w:id="10" w:name="_Toc35393790"/>
      <w:r/>
      <w:bookmarkStart w:id="11" w:name="_Toc35393621"/>
      <w:r/>
      <w:bookmarkStart w:id="12" w:name="_Hlk24379207"/>
      <w:r>
        <w:rPr>
          <w:rFonts w:hint="eastAsia" w:ascii="宋体" w:hAnsi="宋体" w:eastAsia="宋体" w:cs="楷体"/>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rPr>
        <w:t xml:space="preserve">项目编号：</w:t>
      </w:r>
      <w:r>
        <w:rPr>
          <w:rFonts w:hint="eastAsia" w:ascii="宋体" w:hAnsi="宋体" w:eastAsia="宋体" w:cs="楷体"/>
          <w:color w:val="auto"/>
          <w:sz w:val="24"/>
          <w:szCs w:val="28"/>
          <w:highlight w:val="none"/>
          <w:lang w:eastAsia="zh-CN"/>
        </w:rPr>
        <w:t xml:space="preserve">JSZC-321181-JZCG-G2026-0013</w:t>
      </w:r>
      <w:r/>
    </w:p>
    <w:p>
      <w:pPr>
        <w:ind w:firstLine="480"/>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rPr>
        <w:t xml:space="preserve">项目名称：</w:t>
      </w:r>
      <w:bookmarkEnd w:id="12"/>
      <w:r/>
      <w:bookmarkStart w:id="13" w:name="OLE_LINK6"/>
      <w:r/>
      <w:bookmarkStart w:id="14" w:name="OLE_LINK7"/>
      <w:r>
        <w:rPr>
          <w:rFonts w:hint="eastAsia" w:ascii="宋体" w:hAnsi="宋体" w:eastAsia="宋体" w:cs="楷体"/>
          <w:color w:val="auto"/>
          <w:sz w:val="24"/>
          <w:szCs w:val="28"/>
          <w:highlight w:val="none"/>
          <w:lang w:eastAsia="zh-CN"/>
        </w:rPr>
        <w:t xml:space="preserve">丹阳市中医院新院家具采购项目</w:t>
      </w:r>
      <w:bookmarkEnd w:id="13"/>
      <w:r/>
      <w:bookmarkEnd w:id="14"/>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预算金额：</w:t>
      </w:r>
      <w:r>
        <w:rPr>
          <w:rFonts w:hint="eastAsia" w:ascii="宋体" w:hAnsi="宋体" w:eastAsia="宋体" w:cs="楷体"/>
          <w:color w:val="auto"/>
          <w:sz w:val="24"/>
          <w:szCs w:val="28"/>
          <w:highlight w:val="none"/>
          <w:lang w:val="en-US" w:eastAsia="zh-CN"/>
        </w:rPr>
        <w:t xml:space="preserve">1285.2万元（采购包1医疗家具：733.7 万元、采购包2办公家具：551.5 万元）</w:t>
      </w:r>
      <w:r/>
    </w:p>
    <w:p>
      <w:pPr>
        <w:ind w:firstLine="480"/>
        <w:spacing w:line="360" w:lineRule="auto"/>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rPr>
        <w:t xml:space="preserve">最高限价：</w:t>
      </w:r>
      <w:r>
        <w:rPr>
          <w:rFonts w:hint="eastAsia" w:ascii="宋体" w:hAnsi="宋体" w:eastAsia="宋体" w:cs="楷体"/>
          <w:color w:val="auto"/>
          <w:sz w:val="24"/>
          <w:szCs w:val="28"/>
          <w:highlight w:val="none"/>
          <w:lang w:val="en-US" w:eastAsia="zh-CN"/>
        </w:rPr>
        <w:t xml:space="preserve">733.7 万元（采购包1医疗家具）、551.5 万元（采购包2办公家具）</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采购需求：</w:t>
      </w:r>
      <w:bookmarkStart w:id="15" w:name="OLE_LINK28"/>
      <w:r/>
      <w:bookmarkStart w:id="16" w:name="OLE_LINK29"/>
      <w:r>
        <w:rPr>
          <w:rFonts w:hint="eastAsia" w:ascii="宋体" w:hAnsi="宋体" w:eastAsia="宋体" w:cs="楷体"/>
          <w:color w:val="auto"/>
          <w:sz w:val="24"/>
          <w:szCs w:val="28"/>
          <w:highlight w:val="none"/>
        </w:rPr>
        <w:t xml:space="preserve">详细内容及要求见采购需求</w:t>
      </w:r>
      <w:bookmarkEnd w:id="15"/>
      <w:r/>
      <w:bookmarkEnd w:id="16"/>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合同履行期限：详细内容及要求见采购需求</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4"/>
          <w:highlight w:val="none"/>
        </w:rPr>
        <w:t xml:space="preserve">本项目是否接受联合体投标：</w:t>
      </w:r>
      <w:r>
        <w:rPr>
          <w:rFonts w:hint="eastAsia" w:ascii="宋体" w:hAnsi="宋体" w:eastAsia="宋体" w:cs="楷体"/>
          <w:color w:val="auto"/>
          <w:sz w:val="24"/>
          <w:szCs w:val="28"/>
          <w:highlight w:val="none"/>
        </w:rPr>
        <w:t xml:space="preserve">不接受</w:t>
      </w:r>
      <w:r/>
    </w:p>
    <w:p>
      <w:pPr>
        <w:ind w:firstLine="480"/>
        <w:spacing w:line="360" w:lineRule="auto"/>
        <w:rPr>
          <w:rFonts w:ascii="宋体" w:hAnsi="宋体" w:eastAsia="宋体" w:cs="楷体"/>
          <w:color w:val="auto"/>
          <w:sz w:val="24"/>
          <w:szCs w:val="28"/>
          <w:highlight w:val="none"/>
        </w:rPr>
      </w:pPr>
      <w:r/>
      <w:bookmarkStart w:id="17" w:name="_Toc35393791"/>
      <w:r/>
      <w:bookmarkStart w:id="18" w:name="_Toc28359080"/>
      <w:r/>
      <w:bookmarkStart w:id="19" w:name="_Toc35393622"/>
      <w:r/>
      <w:bookmarkStart w:id="20" w:name="_Toc28359003"/>
      <w:r>
        <w:rPr>
          <w:rFonts w:hint="eastAsia" w:ascii="宋体" w:hAnsi="宋体" w:eastAsia="宋体" w:cs="楷体"/>
          <w:color w:val="auto"/>
          <w:sz w:val="24"/>
          <w:szCs w:val="28"/>
          <w:highlight w:val="none"/>
        </w:rPr>
        <w:t xml:space="preserve">二、申请人的资格要求：</w:t>
      </w:r>
      <w:bookmarkEnd w:id="17"/>
      <w:r/>
      <w:bookmarkEnd w:id="18"/>
      <w:r/>
      <w:bookmarkEnd w:id="19"/>
      <w:r/>
      <w:bookmarkEnd w:id="20"/>
      <w:r/>
      <w:r/>
    </w:p>
    <w:p>
      <w:pPr>
        <w:ind w:firstLine="480"/>
        <w:spacing w:line="360" w:lineRule="auto"/>
        <w:rPr>
          <w:rFonts w:ascii="宋体" w:hAnsi="宋体" w:eastAsia="宋体" w:cs="楷体"/>
          <w:color w:val="auto"/>
          <w:sz w:val="24"/>
          <w:szCs w:val="28"/>
          <w:highlight w:val="none"/>
        </w:rPr>
      </w:pPr>
      <w:r/>
      <w:bookmarkStart w:id="21" w:name="_Toc28359081"/>
      <w:r/>
      <w:bookmarkStart w:id="22" w:name="_Toc28359004"/>
      <w:r/>
      <w:bookmarkStart w:id="23" w:name="_Toc35393623"/>
      <w:r/>
      <w:bookmarkStart w:id="24" w:name="_Toc35393792"/>
      <w:r>
        <w:rPr>
          <w:rFonts w:hint="eastAsia" w:ascii="宋体" w:hAnsi="宋体" w:eastAsia="宋体" w:cs="楷体"/>
          <w:color w:val="auto"/>
          <w:sz w:val="24"/>
          <w:szCs w:val="28"/>
          <w:highlight w:val="none"/>
        </w:rPr>
        <w:t xml:space="preserve">1.满足《中华人民共和国政府采购法》第二十二条规定：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1.1具有独立承担民事责任的能力；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1.2具有良好的商业信誉和健全的财务会计制度；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1.3具有履行合同所必需的设备和专业技术能力；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1.4有依法缴纳税收和社会保障资金的良好记录；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1.5参加政府采购活动前三年内，在经营活动中没有重大违法记录;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1.6法律、行政法规规定的其他条件。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2.</w:t>
      </w:r>
      <w:r>
        <w:rPr>
          <w:rFonts w:hint="eastAsia" w:ascii="宋体" w:hAnsi="宋体" w:eastAsia="宋体" w:cs="楷体"/>
          <w:color w:val="auto"/>
          <w:sz w:val="24"/>
          <w:szCs w:val="24"/>
          <w:highlight w:val="none"/>
        </w:rPr>
        <w:t xml:space="preserve">落实政府采购政策需满足的资格要求：</w:t>
      </w:r>
      <w:bookmarkStart w:id="25" w:name="OLE_LINK21"/>
      <w:r/>
      <w:bookmarkStart w:id="26" w:name="OLE_LINK16"/>
      <w:r>
        <w:rPr>
          <w:rFonts w:hint="eastAsia" w:ascii="宋体" w:hAnsi="宋体" w:eastAsia="宋体" w:cs="楷体"/>
          <w:color w:val="auto"/>
          <w:sz w:val="24"/>
          <w:szCs w:val="24"/>
          <w:highlight w:val="none"/>
          <w:lang w:eastAsia="zh-CN"/>
        </w:rPr>
        <w:t xml:space="preserve">本项目专门面向中小微企业</w:t>
      </w:r>
      <w:r>
        <w:rPr>
          <w:rFonts w:hint="eastAsia" w:ascii="宋体" w:hAnsi="宋体" w:eastAsia="宋体" w:cs="楷体"/>
          <w:color w:val="auto"/>
          <w:sz w:val="24"/>
          <w:szCs w:val="24"/>
          <w:highlight w:val="none"/>
        </w:rPr>
        <w:t xml:space="preserve">。</w:t>
      </w:r>
      <w:bookmarkEnd w:id="25"/>
      <w:r/>
      <w:bookmarkEnd w:id="26"/>
      <w:r/>
      <w:r/>
    </w:p>
    <w:p>
      <w:pPr>
        <w:ind w:firstLine="480"/>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rPr>
        <w:t xml:space="preserve">3.本项目的特定资格要求：</w:t>
      </w:r>
      <w:r>
        <w:rPr>
          <w:rFonts w:hint="eastAsia" w:ascii="宋体" w:hAnsi="宋体" w:eastAsia="宋体" w:cs="楷体"/>
          <w:color w:val="auto"/>
          <w:sz w:val="24"/>
          <w:szCs w:val="28"/>
          <w:highlight w:val="none"/>
          <w:lang w:eastAsia="zh-CN"/>
        </w:rPr>
        <w:t xml:space="preserve">无</w:t>
      </w:r>
      <w:r/>
    </w:p>
    <w:p>
      <w:pPr>
        <w:ind w:firstLine="480"/>
        <w:spacing w:line="360" w:lineRule="auto"/>
        <w:rPr>
          <w:rFonts w:ascii="宋体" w:hAnsi="宋体" w:eastAsia="宋体" w:cs="楷体"/>
          <w:color w:val="auto"/>
          <w:sz w:val="24"/>
          <w:szCs w:val="28"/>
          <w:highlight w:val="none"/>
        </w:rPr>
      </w:pPr>
      <w:r>
        <w:rPr>
          <w:rFonts w:ascii="宋体" w:hAnsi="宋体" w:eastAsia="宋体" w:cs="楷体"/>
          <w:color w:val="auto"/>
          <w:sz w:val="24"/>
          <w:szCs w:val="28"/>
          <w:highlight w:val="none"/>
        </w:rPr>
      </w:r>
      <w:r/>
    </w:p>
    <w:p>
      <w:pPr>
        <w:ind w:firstLine="480"/>
        <w:keepLines/>
        <w:keepNext/>
        <w:spacing w:before="260" w:after="260" w:line="360" w:lineRule="auto"/>
        <w:rPr>
          <w:rFonts w:ascii="宋体" w:hAnsi="宋体" w:eastAsia="宋体" w:cs="楷体"/>
          <w:color w:val="auto"/>
          <w:sz w:val="24"/>
          <w:szCs w:val="28"/>
          <w:highlight w:val="none"/>
        </w:rPr>
        <w:outlineLvl w:val="1"/>
      </w:pPr>
      <w:r>
        <w:rPr>
          <w:rFonts w:hint="eastAsia" w:ascii="宋体" w:hAnsi="宋体" w:eastAsia="宋体" w:cs="楷体"/>
          <w:color w:val="auto"/>
          <w:sz w:val="24"/>
          <w:szCs w:val="28"/>
          <w:highlight w:val="none"/>
        </w:rPr>
        <w:t xml:space="preserve">三、获取招标文件</w:t>
      </w:r>
      <w:bookmarkEnd w:id="21"/>
      <w:r/>
      <w:bookmarkEnd w:id="22"/>
      <w:r/>
      <w:bookmarkEnd w:id="23"/>
      <w:r/>
      <w:bookmarkEnd w:id="24"/>
      <w:r/>
      <w:bookmarkEnd w:id="3"/>
      <w:r/>
      <w:bookmarkEnd w:id="4"/>
      <w:r/>
      <w:bookmarkEnd w:id="5"/>
      <w:r/>
      <w:bookmarkEnd w:id="6"/>
      <w:r/>
      <w:bookmarkEnd w:id="7"/>
      <w:r/>
      <w:r/>
    </w:p>
    <w:p>
      <w:pPr>
        <w:ind w:firstLine="480"/>
        <w:spacing w:line="360" w:lineRule="auto"/>
        <w:rPr>
          <w:rFonts w:ascii="宋体" w:hAnsi="宋体" w:eastAsia="宋体" w:cs="宋体"/>
          <w:color w:val="auto"/>
          <w:sz w:val="24"/>
          <w:szCs w:val="24"/>
          <w:highlight w:val="none"/>
        </w:rPr>
      </w:pPr>
      <w:r/>
      <w:bookmarkStart w:id="27" w:name="_Toc100386034"/>
      <w:r/>
      <w:bookmarkStart w:id="28" w:name="_Toc92168000"/>
      <w:r>
        <w:rPr>
          <w:rFonts w:hint="eastAsia" w:ascii="宋体" w:hAnsi="宋体" w:eastAsia="宋体" w:cs="宋体"/>
          <w:color w:val="auto"/>
          <w:sz w:val="24"/>
          <w:szCs w:val="24"/>
          <w:highlight w:val="none"/>
        </w:rPr>
        <w:t xml:space="preserve">获取时间：202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日0:00起至202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日 23:</w:t>
      </w:r>
      <w:r>
        <w:rPr>
          <w:rFonts w:hint="eastAsia" w:ascii="宋体" w:hAnsi="宋体" w:eastAsia="宋体" w:cs="宋体"/>
          <w:color w:val="auto"/>
          <w:sz w:val="24"/>
          <w:szCs w:val="24"/>
          <w:highlight w:val="none"/>
        </w:rPr>
        <w:t xml:space="preserve">59分（北京时间）</w:t>
      </w:r>
      <w:r/>
    </w:p>
    <w:p>
      <w:pPr>
        <w:ind w:firstLine="480"/>
        <w:spacing w:line="360" w:lineRule="auto"/>
        <w:rPr>
          <w:rFonts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 xml:space="preserve">获取地点：江苏政府采购网-苏采云电子交易平台</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获取方式：在线获取（“苏采云”系统用户注册--获取“CA数字证书”--CA绑定与登录--网上报名--下载招标文件，</w:t>
      </w:r>
      <w:bookmarkStart w:id="29" w:name="_Hlk153292470"/>
      <w:r>
        <w:rPr>
          <w:rFonts w:hint="eastAsia" w:ascii="宋体" w:hAnsi="宋体" w:eastAsia="宋体" w:cs="宋体"/>
          <w:color w:val="auto"/>
          <w:sz w:val="24"/>
          <w:szCs w:val="24"/>
          <w:highlight w:val="none"/>
        </w:rPr>
        <w:t xml:space="preserve">具体操作详见“苏采云”系统供应商操作指南http://www.ccgp-jiangsu.gov.cn/jiangsu/zlxz/ee/ee3a4bc5a3454aa2b0d9312230633ce9.html</w:t>
      </w:r>
      <w:r>
        <w:rPr>
          <w:rFonts w:hint="eastAsia" w:ascii="宋体" w:hAnsi="宋体" w:eastAsia="宋体" w:cs="宋体"/>
          <w:color w:val="auto"/>
          <w:sz w:val="24"/>
          <w:szCs w:val="24"/>
          <w:highlight w:val="none"/>
          <w:u w:val="single"/>
        </w:rPr>
        <w:t xml:space="preserve">）</w:t>
      </w:r>
      <w:bookmarkEnd w:id="2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采购文件售价：免费</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30" w:name="_Toc28359005"/>
      <w:r/>
      <w:bookmarkStart w:id="31" w:name="_Toc35393624"/>
      <w:r/>
      <w:bookmarkStart w:id="32" w:name="_Toc35393793"/>
      <w:r/>
      <w:bookmarkStart w:id="33" w:name="_Toc28359082"/>
      <w:r>
        <w:rPr>
          <w:rFonts w:hint="eastAsia" w:ascii="宋体" w:hAnsi="宋体" w:eastAsia="宋体" w:cs="楷体"/>
          <w:color w:val="auto"/>
          <w:sz w:val="24"/>
          <w:szCs w:val="28"/>
          <w:highlight w:val="none"/>
        </w:rPr>
        <w:t xml:space="preserve">四、</w:t>
      </w:r>
      <w:bookmarkEnd w:id="30"/>
      <w:r/>
      <w:bookmarkEnd w:id="31"/>
      <w:r/>
      <w:bookmarkEnd w:id="32"/>
      <w:r/>
      <w:bookmarkEnd w:id="33"/>
      <w:r>
        <w:rPr>
          <w:rFonts w:hint="eastAsia" w:ascii="宋体" w:hAnsi="宋体" w:eastAsia="宋体" w:cs="楷体"/>
          <w:color w:val="auto"/>
          <w:sz w:val="24"/>
          <w:szCs w:val="28"/>
          <w:highlight w:val="none"/>
        </w:rPr>
        <w:t xml:space="preserve">提交投标文件截止时间、开标时间和地点</w:t>
      </w:r>
      <w:r/>
    </w:p>
    <w:p>
      <w:pPr>
        <w:ind w:firstLine="480"/>
        <w:spacing w:line="360" w:lineRule="auto"/>
        <w:rPr>
          <w:rFonts w:ascii="宋体" w:hAnsi="宋体" w:eastAsia="宋体" w:cs="楷体"/>
          <w:bCs/>
          <w:color w:val="auto"/>
          <w:sz w:val="24"/>
          <w:szCs w:val="28"/>
          <w:highlight w:val="none"/>
          <w:u w:val="single"/>
        </w:rPr>
      </w:pPr>
      <w:r>
        <w:rPr>
          <w:rFonts w:hint="eastAsia" w:ascii="宋体" w:hAnsi="宋体" w:eastAsia="宋体" w:cs="楷体"/>
          <w:bCs/>
          <w:color w:val="auto"/>
          <w:sz w:val="24"/>
          <w:szCs w:val="28"/>
          <w:highlight w:val="none"/>
        </w:rPr>
        <w:t xml:space="preserve">提交截止时间及开标</w:t>
      </w:r>
      <w:r>
        <w:rPr>
          <w:rFonts w:hint="eastAsia" w:ascii="宋体" w:hAnsi="宋体" w:eastAsia="宋体" w:cs="楷体"/>
          <w:bCs/>
          <w:color w:val="auto"/>
          <w:sz w:val="24"/>
          <w:szCs w:val="28"/>
          <w:highlight w:val="none"/>
        </w:rPr>
        <w:t xml:space="preserve">时间：202</w:t>
      </w:r>
      <w:r>
        <w:rPr>
          <w:rFonts w:hint="eastAsia" w:ascii="宋体" w:hAnsi="宋体" w:eastAsia="宋体" w:cs="楷体"/>
          <w:bCs/>
          <w:color w:val="auto"/>
          <w:sz w:val="24"/>
          <w:szCs w:val="28"/>
          <w:highlight w:val="none"/>
          <w:lang w:val="en-US" w:eastAsia="zh-CN"/>
        </w:rPr>
        <w:t xml:space="preserve">6</w:t>
      </w:r>
      <w:r>
        <w:rPr>
          <w:rFonts w:hint="eastAsia" w:ascii="宋体" w:hAnsi="宋体" w:eastAsia="宋体" w:cs="楷体"/>
          <w:bCs/>
          <w:color w:val="auto"/>
          <w:sz w:val="24"/>
          <w:szCs w:val="28"/>
          <w:highlight w:val="none"/>
        </w:rPr>
        <w:t xml:space="preserve">年</w:t>
      </w:r>
      <w:r>
        <w:rPr>
          <w:rFonts w:hint="eastAsia" w:ascii="宋体" w:hAnsi="宋体" w:eastAsia="宋体" w:cs="楷体"/>
          <w:bCs/>
          <w:color w:val="auto"/>
          <w:sz w:val="24"/>
          <w:szCs w:val="28"/>
          <w:highlight w:val="none"/>
          <w:lang w:val="en-US" w:eastAsia="zh-CN"/>
        </w:rPr>
        <w:t xml:space="preserve">8</w:t>
      </w:r>
      <w:r>
        <w:rPr>
          <w:rFonts w:hint="eastAsia" w:ascii="宋体" w:hAnsi="宋体" w:eastAsia="宋体" w:cs="楷体"/>
          <w:bCs/>
          <w:color w:val="auto"/>
          <w:sz w:val="24"/>
          <w:szCs w:val="28"/>
          <w:highlight w:val="none"/>
        </w:rPr>
        <w:t xml:space="preserve">月</w:t>
      </w:r>
      <w:r>
        <w:rPr>
          <w:rFonts w:hint="eastAsia" w:ascii="宋体" w:hAnsi="宋体" w:eastAsia="宋体" w:cs="楷体"/>
          <w:bCs/>
          <w:color w:val="auto"/>
          <w:sz w:val="24"/>
          <w:szCs w:val="28"/>
          <w:highlight w:val="none"/>
          <w:lang w:val="en-US" w:eastAsia="zh-CN"/>
        </w:rPr>
        <w:t xml:space="preserve">11</w:t>
      </w:r>
      <w:r>
        <w:rPr>
          <w:rFonts w:hint="eastAsia" w:ascii="宋体" w:hAnsi="宋体" w:eastAsia="宋体" w:cs="楷体"/>
          <w:bCs/>
          <w:color w:val="auto"/>
          <w:sz w:val="24"/>
          <w:szCs w:val="28"/>
          <w:highlight w:val="none"/>
        </w:rPr>
        <w:t xml:space="preserve">日</w:t>
      </w:r>
      <w:r>
        <w:rPr>
          <w:rFonts w:ascii="宋体" w:hAnsi="宋体" w:eastAsia="宋体" w:cs="楷体"/>
          <w:bCs/>
          <w:color w:val="auto"/>
          <w:sz w:val="24"/>
          <w:szCs w:val="28"/>
          <w:highlight w:val="none"/>
        </w:rPr>
        <w:t xml:space="preserve">9</w:t>
      </w:r>
      <w:r>
        <w:rPr>
          <w:rFonts w:hint="eastAsia" w:ascii="宋体" w:hAnsi="宋体" w:eastAsia="宋体" w:cs="楷体"/>
          <w:bCs/>
          <w:color w:val="auto"/>
          <w:sz w:val="24"/>
          <w:szCs w:val="28"/>
          <w:highlight w:val="none"/>
        </w:rPr>
        <w:t xml:space="preserve">点</w:t>
      </w:r>
      <w:r>
        <w:rPr>
          <w:rFonts w:ascii="宋体" w:hAnsi="宋体" w:eastAsia="宋体" w:cs="楷体"/>
          <w:bCs/>
          <w:color w:val="auto"/>
          <w:sz w:val="24"/>
          <w:szCs w:val="28"/>
          <w:highlight w:val="none"/>
        </w:rPr>
        <w:t xml:space="preserve">3</w:t>
      </w:r>
      <w:r>
        <w:rPr>
          <w:rFonts w:hint="eastAsia" w:ascii="宋体" w:hAnsi="宋体" w:eastAsia="宋体" w:cs="楷体"/>
          <w:bCs/>
          <w:color w:val="auto"/>
          <w:sz w:val="24"/>
          <w:szCs w:val="28"/>
          <w:highlight w:val="none"/>
        </w:rPr>
        <w:t xml:space="preserve">0分</w:t>
      </w:r>
      <w:r>
        <w:rPr>
          <w:rFonts w:hint="eastAsia" w:ascii="宋体" w:hAnsi="宋体" w:eastAsia="宋体" w:cs="楷体"/>
          <w:bCs/>
          <w:color w:val="auto"/>
          <w:sz w:val="24"/>
          <w:szCs w:val="28"/>
          <w:highlight w:val="none"/>
        </w:rPr>
        <w:t xml:space="preserve">（北京时间）</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开标地点：</w:t>
      </w:r>
      <w:r>
        <w:rPr>
          <w:rFonts w:hint="eastAsia" w:ascii="宋体" w:hAnsi="宋体" w:eastAsia="宋体" w:cs="楷体"/>
          <w:color w:val="auto"/>
          <w:sz w:val="24"/>
          <w:szCs w:val="24"/>
          <w:highlight w:val="none"/>
        </w:rPr>
        <w:t xml:space="preserve">“苏采云”政府采购交易系统网上</w:t>
      </w:r>
      <w:r>
        <w:rPr>
          <w:rFonts w:hint="eastAsia" w:ascii="宋体" w:hAnsi="宋体" w:eastAsia="宋体" w:cs="楷体"/>
          <w:color w:val="auto"/>
          <w:szCs w:val="21"/>
          <w:highlight w:val="none"/>
        </w:rPr>
        <w:t xml:space="preserve">开标大厅</w:t>
      </w:r>
      <w:r/>
    </w:p>
    <w:p>
      <w:pPr>
        <w:ind w:firstLine="480"/>
        <w:keepLines/>
        <w:keepNext/>
        <w:spacing w:before="260" w:after="260" w:line="360" w:lineRule="auto"/>
        <w:rPr>
          <w:rFonts w:ascii="宋体" w:hAnsi="宋体" w:eastAsia="宋体" w:cs="楷体"/>
          <w:bCs/>
          <w:color w:val="auto"/>
          <w:sz w:val="24"/>
          <w:szCs w:val="28"/>
          <w:highlight w:val="none"/>
        </w:rPr>
        <w:outlineLvl w:val="1"/>
      </w:pPr>
      <w:r/>
      <w:bookmarkStart w:id="34" w:name="_Toc35393625"/>
      <w:r/>
      <w:bookmarkStart w:id="35" w:name="_Toc28359007"/>
      <w:r/>
      <w:bookmarkStart w:id="36" w:name="_Toc35393794"/>
      <w:r/>
      <w:bookmarkStart w:id="37" w:name="_Toc28359084"/>
      <w:r>
        <w:rPr>
          <w:rFonts w:hint="eastAsia" w:ascii="宋体" w:hAnsi="宋体" w:eastAsia="宋体" w:cs="楷体"/>
          <w:bCs/>
          <w:color w:val="auto"/>
          <w:sz w:val="24"/>
          <w:szCs w:val="28"/>
          <w:highlight w:val="none"/>
        </w:rPr>
        <w:t xml:space="preserve">五、公告期限</w:t>
      </w:r>
      <w:bookmarkEnd w:id="34"/>
      <w:r/>
      <w:bookmarkEnd w:id="35"/>
      <w:r/>
      <w:bookmarkEnd w:id="36"/>
      <w:r/>
      <w:bookmarkEnd w:id="37"/>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自本公告发布之日起5个工作日。</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38" w:name="_Toc35393626"/>
      <w:r/>
      <w:bookmarkStart w:id="39" w:name="_Toc35393795"/>
      <w:r>
        <w:rPr>
          <w:rFonts w:hint="eastAsia" w:ascii="宋体" w:hAnsi="宋体" w:eastAsia="宋体" w:cs="楷体"/>
          <w:color w:val="auto"/>
          <w:sz w:val="24"/>
          <w:szCs w:val="28"/>
          <w:highlight w:val="none"/>
        </w:rPr>
        <w:t xml:space="preserve">六、其他补充事宜</w:t>
      </w:r>
      <w:bookmarkEnd w:id="38"/>
      <w:r/>
      <w:bookmarkEnd w:id="39"/>
      <w:r/>
      <w:r/>
    </w:p>
    <w:p>
      <w:pPr>
        <w:ind w:firstLine="480"/>
        <w:jc w:val="left"/>
        <w:spacing w:line="360" w:lineRule="auto"/>
        <w:widowControl/>
        <w:rPr>
          <w:rFonts w:ascii="宋体" w:hAnsi="宋体" w:eastAsia="宋体" w:cs="楷体"/>
          <w:color w:val="auto"/>
          <w:sz w:val="24"/>
          <w:szCs w:val="24"/>
          <w:highlight w:val="none"/>
        </w:rPr>
      </w:pPr>
      <w:r/>
      <w:bookmarkStart w:id="40" w:name="_Toc35393796"/>
      <w:r/>
      <w:bookmarkStart w:id="41" w:name="_Toc35393627"/>
      <w:r/>
      <w:bookmarkStart w:id="42" w:name="_Toc28359008"/>
      <w:r/>
      <w:bookmarkStart w:id="43" w:name="_Toc28359085"/>
      <w:r>
        <w:rPr>
          <w:rFonts w:hint="eastAsia" w:ascii="宋体" w:hAnsi="宋体" w:eastAsia="宋体" w:cs="楷体"/>
          <w:color w:val="auto"/>
          <w:sz w:val="24"/>
          <w:szCs w:val="24"/>
          <w:highlight w:val="none"/>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3.投标文件递交截止时间后，采购代理机构将通过开标会议区发出投标文件解密的指令，投标人在各自地点按规定时间自行实施远程解密，投标人</w:t>
      </w:r>
      <w:r>
        <w:rPr>
          <w:rFonts w:hint="eastAsia" w:ascii="宋体" w:hAnsi="宋体" w:eastAsia="宋体" w:cs="楷体"/>
          <w:color w:val="auto"/>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4.因投标人自身软硬件配备不齐全或发生故障等问题而导致在交互过程中出现不稳定或中断等情况的，由投标人自身承担一切后果。</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5.有关本次招标的事项若存在变动或修改，敬请及时关注江苏政府采购网的更正公告。</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6.本次招标不收取投标保证金。</w:t>
      </w:r>
      <w:r/>
    </w:p>
    <w:p>
      <w:pPr>
        <w:ind w:firstLine="320"/>
        <w:jc w:val="center"/>
        <w:spacing w:line="360" w:lineRule="auto"/>
        <w:rPr>
          <w:rFonts w:ascii="宋体" w:hAnsi="宋体" w:eastAsia="宋体" w:cs="楷体"/>
          <w:vanish/>
          <w:color w:val="auto"/>
          <w:sz w:val="16"/>
          <w:szCs w:val="24"/>
          <w:highlight w:val="none"/>
        </w:rPr>
        <w:pBdr>
          <w:top w:val="single" w:color="000000" w:sz="6" w:space="1"/>
        </w:pBdr>
      </w:pPr>
      <w:r>
        <w:rPr>
          <w:rFonts w:hint="eastAsia" w:ascii="宋体" w:hAnsi="宋体" w:eastAsia="宋体" w:cs="楷体"/>
          <w:vanish/>
          <w:color w:val="auto"/>
          <w:sz w:val="16"/>
          <w:szCs w:val="24"/>
          <w:highlight w:val="none"/>
        </w:rPr>
        <w:t xml:space="preserve">窗体底端</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七、对本次招标提出询问，请按以下方式联系。</w:t>
      </w:r>
      <w:bookmarkEnd w:id="40"/>
      <w:r/>
      <w:bookmarkEnd w:id="41"/>
      <w:r/>
      <w:bookmarkEnd w:id="42"/>
      <w:r/>
      <w:bookmarkEnd w:id="43"/>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1.采购人信息</w:t>
      </w:r>
      <w:r/>
    </w:p>
    <w:p>
      <w:pPr>
        <w:ind w:firstLine="480"/>
        <w:jc w:val="left"/>
        <w:spacing w:line="360" w:lineRule="auto"/>
        <w:widowControl/>
        <w:rPr>
          <w:rFonts w:hint="eastAsia" w:ascii="宋体" w:hAnsi="宋体" w:eastAsia="宋体" w:cs="楷体"/>
          <w:color w:val="auto"/>
          <w:sz w:val="24"/>
          <w:szCs w:val="24"/>
          <w:highlight w:val="none"/>
          <w:lang w:eastAsia="zh-CN"/>
        </w:rPr>
      </w:pPr>
      <w:r>
        <w:rPr>
          <w:rFonts w:hint="eastAsia" w:ascii="宋体" w:hAnsi="宋体" w:eastAsia="宋体" w:cs="楷体"/>
          <w:color w:val="auto"/>
          <w:sz w:val="24"/>
          <w:szCs w:val="24"/>
          <w:highlight w:val="none"/>
        </w:rPr>
        <w:t xml:space="preserve">名 称：</w:t>
      </w:r>
      <w:r>
        <w:rPr>
          <w:rFonts w:hint="eastAsia" w:ascii="宋体" w:hAnsi="宋体" w:eastAsia="宋体" w:cs="楷体"/>
          <w:color w:val="auto"/>
          <w:sz w:val="24"/>
          <w:szCs w:val="24"/>
          <w:highlight w:val="none"/>
          <w:lang w:eastAsia="zh-CN"/>
        </w:rPr>
        <w:t xml:space="preserve">丹阳市中医院</w:t>
      </w:r>
      <w:r/>
    </w:p>
    <w:p>
      <w:pPr>
        <w:ind w:firstLine="480"/>
        <w:jc w:val="left"/>
        <w:spacing w:line="360" w:lineRule="auto"/>
        <w:widowControl/>
        <w:rPr>
          <w:rFonts w:hint="eastAsia" w:ascii="宋体" w:hAnsi="宋体" w:eastAsia="宋体" w:cs="楷体"/>
          <w:color w:val="auto"/>
          <w:sz w:val="24"/>
          <w:szCs w:val="24"/>
          <w:highlight w:val="none"/>
          <w:lang w:val="en-US" w:eastAsia="zh-CN"/>
        </w:rPr>
      </w:pPr>
      <w:r>
        <w:rPr>
          <w:rFonts w:hint="eastAsia" w:ascii="宋体" w:hAnsi="宋体" w:eastAsia="宋体" w:cs="楷体"/>
          <w:color w:val="auto"/>
          <w:sz w:val="24"/>
          <w:szCs w:val="24"/>
          <w:highlight w:val="none"/>
        </w:rPr>
        <w:t xml:space="preserve">地 址：</w:t>
      </w:r>
      <w:r>
        <w:rPr>
          <w:rFonts w:hint="eastAsia" w:ascii="宋体" w:hAnsi="宋体" w:eastAsia="宋体" w:cs="楷体"/>
          <w:color w:val="auto"/>
          <w:sz w:val="24"/>
          <w:szCs w:val="24"/>
          <w:highlight w:val="none"/>
          <w:lang w:eastAsia="zh-CN"/>
        </w:rPr>
        <w:t xml:space="preserve">丹阳市云阳路38号</w:t>
      </w:r>
      <w:r/>
    </w:p>
    <w:p>
      <w:pPr>
        <w:ind w:firstLine="480"/>
        <w:jc w:val="left"/>
        <w:spacing w:line="360" w:lineRule="auto"/>
        <w:widowControl/>
        <w:rPr>
          <w:rFonts w:hint="eastAsia" w:ascii="宋体" w:hAnsi="宋体" w:eastAsia="宋体" w:cs="楷体"/>
          <w:color w:val="auto"/>
          <w:sz w:val="24"/>
          <w:szCs w:val="24"/>
          <w:highlight w:val="none"/>
          <w:lang w:val="en-US" w:eastAsia="zh-CN"/>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eastAsia="zh-CN"/>
        </w:rPr>
        <w:t xml:space="preserve">司马国锋</w:t>
      </w:r>
      <w:r/>
    </w:p>
    <w:p>
      <w:pPr>
        <w:ind w:firstLine="480"/>
        <w:jc w:val="left"/>
        <w:spacing w:line="360" w:lineRule="auto"/>
        <w:widowControl/>
        <w:rPr>
          <w:rFonts w:hint="default" w:ascii="宋体" w:hAnsi="宋体" w:eastAsia="宋体" w:cs="楷体"/>
          <w:color w:val="auto"/>
          <w:sz w:val="24"/>
          <w:szCs w:val="24"/>
          <w:highlight w:val="none"/>
          <w:lang w:val="en-US" w:eastAsia="zh-CN"/>
        </w:rPr>
      </w:pPr>
      <w:r>
        <w:rPr>
          <w:rFonts w:hint="eastAsia" w:ascii="宋体" w:hAnsi="宋体" w:eastAsia="宋体" w:cs="楷体"/>
          <w:color w:val="auto"/>
          <w:sz w:val="24"/>
          <w:szCs w:val="24"/>
          <w:highlight w:val="none"/>
        </w:rPr>
        <w:t xml:space="preserve">联系方式：13852926108</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2.采购代理机构信息</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名 称：丹阳市政府采购中心</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地 址：丹阳市开发区兰陵路88号4楼404室</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联系方式：0511-86906230</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3.项目联系方式</w:t>
      </w:r>
      <w:r/>
    </w:p>
    <w:p>
      <w:pPr>
        <w:ind w:firstLine="480"/>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rPr>
        <w:t xml:space="preserve">项目联系人：</w:t>
      </w:r>
      <w:r>
        <w:rPr>
          <w:rFonts w:hint="eastAsia" w:ascii="宋体" w:hAnsi="宋体" w:eastAsia="宋体" w:cs="楷体"/>
          <w:color w:val="auto"/>
          <w:sz w:val="24"/>
          <w:szCs w:val="28"/>
          <w:highlight w:val="none"/>
          <w:lang w:eastAsia="zh-CN"/>
        </w:rPr>
        <w:t xml:space="preserve">王东</w:t>
      </w:r>
      <w:r/>
    </w:p>
    <w:p>
      <w:pPr>
        <w:ind w:firstLine="480"/>
        <w:spacing w:line="360" w:lineRule="auto"/>
        <w:rPr>
          <w:rFonts w:ascii="宋体" w:hAnsi="宋体" w:eastAsia="宋体" w:cs="楷体"/>
          <w:color w:val="auto"/>
          <w:szCs w:val="32"/>
          <w:highlight w:val="none"/>
        </w:rPr>
      </w:pPr>
      <w:r>
        <w:rPr>
          <w:rFonts w:hint="eastAsia" w:ascii="宋体" w:hAnsi="宋体" w:eastAsia="宋体" w:cs="楷体"/>
          <w:color w:val="auto"/>
          <w:sz w:val="24"/>
          <w:szCs w:val="28"/>
          <w:highlight w:val="none"/>
        </w:rPr>
        <w:t xml:space="preserve">电 话：0511-86906230</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br w:type="page" w:clear="all"/>
      </w:r>
      <w:r>
        <w:rPr>
          <w:rFonts w:hint="eastAsia" w:ascii="宋体" w:hAnsi="宋体" w:eastAsia="宋体" w:cs="楷体"/>
          <w:b/>
          <w:color w:val="auto"/>
          <w:sz w:val="32"/>
          <w:szCs w:val="32"/>
          <w:highlight w:val="none"/>
        </w:rPr>
        <w:t xml:space="preserve">第二部分    投标人须知</w:t>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前附表</w:t>
      </w:r>
      <w:r/>
    </w:p>
    <w:tbl>
      <w:tblPr>
        <w:tblStyle w:val="68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
        <w:gridCol w:w="606"/>
        <w:gridCol w:w="8612"/>
      </w:tblGrid>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序号</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事项</w:t>
            </w:r>
            <w:r/>
          </w:p>
        </w:tc>
        <w:tc>
          <w:tcPr>
            <w:tcW w:w="3540"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本项目规定</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报价要求</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本次投标报价的币种为人民币。</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投标人应按招标文件所提供的各报价表格式报价。</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投标人应对本项目报出最具有竞争力的价格，应包括本次招标要求提供的货物（服务）已支付或将支付的所有费用（含税费）。</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最低投标报价不能作为中标的保证。</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中标价即为合同签约价。</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如出现报价前后不一致的，将按招标文件第五部分“评标办法和标准”第5项规定进行修正。</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转包及分包</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项目依法不得转包</w:t>
            </w:r>
            <w:r/>
          </w:p>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本项目不同意分包。</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同意将非主体、非关键性的工作分包。投标人应当在投标文件中载明分包承担主体，分包承担主体应当具备相应资质条件且不得再次分包。</w:t>
            </w:r>
            <w:r>
              <w:rPr>
                <w:rFonts w:hint="eastAsia" w:ascii="宋体" w:hAnsi="宋体" w:eastAsia="宋体" w:cs="楷体"/>
                <w:color w:val="auto"/>
                <w:sz w:val="24"/>
                <w:szCs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eastAsia="宋体" w:cs="楷体"/>
                <w:color w:val="auto"/>
                <w:sz w:val="24"/>
                <w:szCs w:val="24"/>
                <w:highlight w:val="none"/>
              </w:rPr>
              <w:t xml:space="preserve">（</w:t>
            </w:r>
            <w:r>
              <w:rPr>
                <w:rFonts w:hint="eastAsia" w:ascii="宋体" w:hAnsi="宋体" w:eastAsia="宋体" w:cs="楷体"/>
                <w:i/>
                <w:iCs/>
                <w:color w:val="auto"/>
                <w:sz w:val="24"/>
                <w:szCs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eastAsia="宋体" w:cs="楷体"/>
                <w:color w:val="auto"/>
                <w:sz w:val="24"/>
                <w:szCs w:val="24"/>
                <w:highlight w:val="none"/>
              </w:rPr>
              <w:t xml:space="preserve">）</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开标前答疑会</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不组织</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组织</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时间：</w:t>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地点：</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联系人：联系方式：</w:t>
            </w:r>
            <w:r/>
          </w:p>
          <w:p>
            <w:pPr>
              <w:rPr>
                <w:rFonts w:ascii="宋体" w:hAnsi="宋体" w:eastAsia="宋体" w:cs="楷体"/>
                <w:b/>
                <w:color w:val="auto"/>
                <w:sz w:val="24"/>
                <w:szCs w:val="24"/>
                <w:highlight w:val="none"/>
              </w:rPr>
            </w:pPr>
            <w:r>
              <w:rPr>
                <w:rFonts w:ascii="宋体" w:hAnsi="宋体" w:eastAsia="宋体" w:cs="楷体"/>
                <w:b/>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现场踏勘</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不统一组织,如需现场踏勘，可自行联系采购人前往。</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统一组织</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时间：</w:t>
            </w:r>
            <w:r/>
          </w:p>
          <w:p>
            <w:pPr>
              <w:spacing w:line="360" w:lineRule="auto"/>
              <w:rPr>
                <w:rFonts w:hint="default" w:ascii="宋体" w:hAnsi="宋体" w:eastAsia="宋体" w:cs="楷体"/>
                <w:color w:val="auto"/>
                <w:sz w:val="24"/>
                <w:szCs w:val="24"/>
                <w:highlight w:val="none"/>
                <w:lang w:val="en-US" w:eastAsia="zh-CN"/>
              </w:rPr>
            </w:pPr>
            <w:r>
              <w:rPr>
                <w:rFonts w:hint="eastAsia" w:ascii="宋体" w:hAnsi="宋体" w:eastAsia="宋体" w:cs="楷体"/>
                <w:color w:val="auto"/>
                <w:sz w:val="24"/>
                <w:szCs w:val="24"/>
                <w:highlight w:val="none"/>
              </w:rPr>
              <w:t xml:space="preserve">地点：</w:t>
            </w:r>
            <w:r>
              <w:rPr>
                <w:rFonts w:hint="eastAsia" w:ascii="宋体" w:hAnsi="宋体" w:eastAsia="宋体" w:cs="楷体"/>
                <w:color w:val="auto"/>
                <w:sz w:val="24"/>
                <w:szCs w:val="24"/>
                <w:highlight w:val="none"/>
                <w:lang w:val="en-US" w:eastAsia="zh-CN"/>
              </w:rPr>
              <w:t xml:space="preserve">丹阳市云阳路38号</w:t>
            </w:r>
            <w:r/>
          </w:p>
          <w:p>
            <w:pPr>
              <w:spacing w:line="360" w:lineRule="auto"/>
              <w:rPr>
                <w:rFonts w:hint="eastAsia" w:ascii="宋体" w:hAnsi="宋体" w:eastAsia="宋体" w:cs="楷体"/>
                <w:color w:val="auto"/>
                <w:sz w:val="24"/>
                <w:szCs w:val="24"/>
                <w:highlight w:val="none"/>
                <w:lang w:eastAsia="zh-CN"/>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val="en-US" w:eastAsia="zh-CN"/>
              </w:rPr>
              <w:t xml:space="preserve">XXXX </w:t>
            </w:r>
            <w:r>
              <w:rPr>
                <w:rFonts w:hint="eastAsia" w:ascii="宋体" w:hAnsi="宋体" w:eastAsia="宋体" w:cs="楷体"/>
                <w:color w:val="auto"/>
                <w:sz w:val="24"/>
                <w:szCs w:val="24"/>
                <w:highlight w:val="none"/>
              </w:rPr>
              <w:t xml:space="preserve"> 联系方式：</w:t>
            </w:r>
            <w:r>
              <w:rPr>
                <w:rFonts w:hint="eastAsia" w:ascii="宋体" w:hAnsi="宋体" w:eastAsia="宋体" w:cs="楷体"/>
                <w:color w:val="auto"/>
                <w:sz w:val="24"/>
                <w:szCs w:val="24"/>
                <w:highlight w:val="none"/>
                <w:lang w:eastAsia="zh-CN"/>
              </w:rPr>
              <w:t xml:space="preserve">0511-XXXXXX</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演示</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无</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有，本项目演示使用录播上传形式，各投标人自行将录播内容上传至“苏采云”系统的演示视频模块。操作指南详见http://www.ccgp-jiangsu.gov.cn/jiangsu/zlxz/ee/ee3a4bc5a3454aa2b0d9312230633ce9.html。</w:t>
            </w:r>
            <w:r>
              <w:rPr>
                <w:rFonts w:hint="eastAsia" w:ascii="宋体" w:hAnsi="宋体" w:eastAsia="宋体" w:cs="楷体"/>
                <w:b/>
                <w:bCs/>
                <w:color w:val="auto"/>
                <w:sz w:val="24"/>
                <w:szCs w:val="24"/>
                <w:highlight w:val="none"/>
                <w:u w:val="single"/>
              </w:rPr>
              <w:t xml:space="preserve">视频以压缩形式进行上传，单个视频上限50M，整体上限300M。</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样品</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不要求提供。</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要求提供（</w:t>
            </w:r>
            <w:r>
              <w:rPr>
                <w:rFonts w:hint="eastAsia" w:ascii="宋体" w:hAnsi="宋体" w:eastAsia="宋体" w:cs="楷体"/>
                <w:i/>
                <w:iCs/>
                <w:color w:val="auto"/>
                <w:sz w:val="24"/>
                <w:szCs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楷体"/>
                <w:color w:val="auto"/>
                <w:sz w:val="24"/>
                <w:szCs w:val="24"/>
                <w:highlight w:val="none"/>
              </w:rPr>
              <w:t xml:space="preserve">）</w:t>
            </w:r>
            <w:r/>
          </w:p>
          <w:p>
            <w:pPr>
              <w:rPr>
                <w:rFonts w:ascii="宋体" w:hAnsi="宋体" w:eastAsia="宋体" w:cs="楷体"/>
                <w:b/>
                <w:bCs/>
                <w:color w:val="auto"/>
                <w:sz w:val="24"/>
                <w:szCs w:val="24"/>
                <w:highlight w:val="none"/>
              </w:rPr>
            </w:pPr>
            <w:r>
              <w:rPr>
                <w:rFonts w:hint="eastAsia" w:ascii="宋体" w:hAnsi="宋体" w:eastAsia="宋体" w:cs="楷体"/>
                <w:color w:val="auto"/>
                <w:sz w:val="24"/>
                <w:szCs w:val="24"/>
                <w:highlight w:val="none"/>
              </w:rPr>
              <w:t xml:space="preserve">（1）样品：</w:t>
            </w:r>
            <w:r>
              <w:rPr>
                <w:rFonts w:hint="eastAsia" w:ascii="宋体" w:hAnsi="宋体" w:eastAsia="宋体" w:cs="楷体"/>
                <w:b/>
                <w:bCs/>
                <w:color w:val="auto"/>
                <w:sz w:val="24"/>
                <w:szCs w:val="24"/>
                <w:highlight w:val="none"/>
                <w:lang w:eastAsia="zh-CN"/>
              </w:rPr>
              <w:t xml:space="preserve">采购包1：</w:t>
            </w:r>
            <w:r>
              <w:rPr>
                <w:rFonts w:hint="eastAsia" w:ascii="宋体" w:hAnsi="宋体" w:eastAsia="宋体" w:cs="宋体"/>
                <w:b/>
                <w:bCs/>
                <w:color w:val="auto"/>
                <w:sz w:val="22"/>
                <w:szCs w:val="22"/>
                <w:highlight w:val="none"/>
                <w:u w:val="single"/>
                <w:lang w:val="zh-CN" w:bidi="zh-CN"/>
              </w:rPr>
              <w:t xml:space="preserve">医用治疗柜、单面操作西药柜、诊断桌，采购包2：钢制文件柜</w:t>
            </w:r>
            <w:r>
              <w:rPr>
                <w:rFonts w:hint="eastAsia" w:ascii="宋体" w:hAnsi="宋体" w:eastAsia="宋体" w:cs="宋体"/>
                <w:b/>
                <w:bCs/>
                <w:color w:val="auto"/>
                <w:sz w:val="22"/>
                <w:szCs w:val="22"/>
                <w:highlight w:val="none"/>
                <w:u w:val="single"/>
                <w:lang w:val="zh-CN" w:eastAsia="zh-CN" w:bidi="zh-CN"/>
              </w:rPr>
              <w:t xml:space="preserve">、</w:t>
            </w:r>
            <w:r>
              <w:rPr>
                <w:rFonts w:hint="eastAsia" w:ascii="宋体" w:hAnsi="宋体" w:eastAsia="宋体" w:cs="宋体"/>
                <w:b/>
                <w:bCs/>
                <w:color w:val="auto"/>
                <w:sz w:val="22"/>
                <w:szCs w:val="22"/>
                <w:highlight w:val="none"/>
                <w:u w:val="single"/>
                <w:lang w:val="zh-CN" w:bidi="zh-CN"/>
              </w:rPr>
              <w:t xml:space="preserve">医用货架、办公桌、办公椅、礼堂椅、值班床</w:t>
            </w:r>
            <w:r>
              <w:rPr>
                <w:rFonts w:hint="eastAsia" w:ascii="宋体" w:hAnsi="宋体" w:eastAsia="宋体" w:cs="楷体"/>
                <w:b/>
                <w:bCs/>
                <w:color w:val="auto"/>
                <w:sz w:val="24"/>
                <w:szCs w:val="24"/>
                <w:highlight w:val="none"/>
              </w:rPr>
              <w:t xml:space="preserve">；</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（2）样品制作的标准和要求：</w:t>
            </w:r>
            <w:r>
              <w:rPr>
                <w:rFonts w:hint="eastAsia" w:ascii="宋体" w:hAnsi="宋体" w:eastAsia="宋体" w:cs="楷体"/>
                <w:color w:val="auto"/>
                <w:sz w:val="24"/>
                <w:szCs w:val="24"/>
                <w:highlight w:val="none"/>
                <w:lang w:eastAsia="zh-CN"/>
              </w:rPr>
              <w:t xml:space="preserve">详见采购需求</w:t>
            </w:r>
            <w:r>
              <w:rPr>
                <w:rFonts w:hint="eastAsia" w:ascii="宋体" w:hAnsi="宋体" w:eastAsia="宋体" w:cs="楷体"/>
                <w:color w:val="auto"/>
                <w:sz w:val="24"/>
                <w:szCs w:val="24"/>
                <w:highlight w:val="none"/>
              </w:rPr>
              <w:t xml:space="preserve">；</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（3）样品的评审方法以及评审标准：详见评标办法；</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（4）是否需要随样品提交检测报告：</w:t>
            </w: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否；</w:t>
            </w: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是，检测机构的要求：无；检测内容：无。</w:t>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（5）提供样品的时</w:t>
            </w:r>
            <w:r>
              <w:rPr>
                <w:rFonts w:hint="eastAsia" w:ascii="宋体" w:hAnsi="宋体" w:eastAsia="宋体" w:cs="楷体"/>
                <w:color w:val="auto"/>
                <w:sz w:val="24"/>
                <w:szCs w:val="24"/>
                <w:highlight w:val="none"/>
              </w:rPr>
              <w:t xml:space="preserve">间：</w:t>
            </w:r>
            <w:r>
              <w:rPr>
                <w:rFonts w:hint="eastAsia" w:ascii="宋体" w:hAnsi="宋体" w:eastAsia="宋体" w:cs="宋体"/>
                <w:b/>
                <w:bCs/>
                <w:color w:val="auto"/>
                <w:sz w:val="21"/>
                <w:szCs w:val="21"/>
                <w:highlight w:val="none"/>
              </w:rPr>
              <w:t xml:space="preserve">202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月</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日9:00-17:00；地点：丹阳市开发区兰陵路88号4楼41</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室；联系人：</w:t>
            </w:r>
            <w:r>
              <w:rPr>
                <w:rFonts w:hint="eastAsia" w:ascii="宋体" w:hAnsi="宋体" w:eastAsia="宋体" w:cs="宋体"/>
                <w:b/>
                <w:bCs/>
                <w:color w:val="auto"/>
                <w:sz w:val="21"/>
                <w:szCs w:val="21"/>
                <w:highlight w:val="none"/>
                <w:lang w:val="en-US" w:eastAsia="zh-CN"/>
              </w:rPr>
              <w:t xml:space="preserve">王东</w:t>
            </w:r>
            <w:r>
              <w:rPr>
                <w:rFonts w:hint="eastAsia" w:ascii="宋体" w:hAnsi="宋体" w:eastAsia="宋体" w:cs="宋体"/>
                <w:b/>
                <w:bCs/>
                <w:color w:val="auto"/>
                <w:sz w:val="21"/>
                <w:szCs w:val="21"/>
                <w:highlight w:val="none"/>
              </w:rPr>
              <w:t xml:space="preserve">，联系电话：</w:t>
            </w:r>
            <w:r>
              <w:rPr>
                <w:rFonts w:hint="eastAsia" w:ascii="宋体" w:hAnsi="宋体" w:eastAsia="宋体" w:cs="宋体"/>
                <w:b/>
                <w:bCs/>
                <w:color w:val="auto"/>
                <w:sz w:val="21"/>
                <w:szCs w:val="21"/>
                <w:highlight w:val="none"/>
                <w:lang w:val="en-US" w:eastAsia="zh-CN"/>
              </w:rPr>
              <w:t xml:space="preserve">0511-86906230</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请投标人在上述时间内提供样品并按规定位置安装完毕。超过截止时间的，采购人或采购代理机构将不予接收及安装，并将清场并封闭样品现场。</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是否允许采购进口产品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本项目不允许采购进口产品。</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项目属性与核心产品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货物类。</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服务类。</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本项目</w:t>
            </w:r>
            <w:bookmarkStart w:id="44" w:name="OLE_LINK49"/>
            <w:r>
              <w:rPr>
                <w:rFonts w:hint="eastAsia" w:ascii="宋体" w:hAnsi="宋体" w:eastAsia="宋体" w:cs="楷体"/>
                <w:color w:val="auto"/>
                <w:sz w:val="24"/>
                <w:szCs w:val="24"/>
                <w:highlight w:val="none"/>
              </w:rPr>
              <w:t xml:space="preserve">核心产品</w:t>
            </w:r>
            <w:bookmarkEnd w:id="44"/>
            <w:r>
              <w:rPr>
                <w:rFonts w:hint="eastAsia" w:ascii="宋体" w:hAnsi="宋体" w:eastAsia="宋体" w:cs="楷体"/>
                <w:color w:val="auto"/>
                <w:sz w:val="24"/>
                <w:szCs w:val="24"/>
                <w:highlight w:val="none"/>
              </w:rPr>
              <w:t xml:space="preserve">为</w:t>
            </w:r>
            <w:r>
              <w:rPr>
                <w:rFonts w:hint="eastAsia" w:ascii="宋体" w:hAnsi="宋体" w:eastAsia="宋体" w:cs="楷体"/>
                <w:color w:val="auto"/>
                <w:sz w:val="24"/>
                <w:szCs w:val="24"/>
                <w:highlight w:val="none"/>
              </w:rPr>
              <w:t xml:space="preserve">：</w:t>
            </w:r>
            <w:r>
              <w:rPr>
                <w:rFonts w:hint="eastAsia" w:ascii="宋体" w:hAnsi="宋体" w:eastAsia="宋体" w:cs="楷体"/>
                <w:color w:val="auto"/>
                <w:sz w:val="24"/>
                <w:szCs w:val="24"/>
                <w:highlight w:val="none"/>
                <w:lang w:eastAsia="zh-CN"/>
              </w:rPr>
              <w:t xml:space="preserve">医用治疗柜（采购包1</w:t>
            </w:r>
            <w:r>
              <w:rPr>
                <w:rFonts w:hint="eastAsia" w:ascii="宋体" w:hAnsi="宋体" w:eastAsia="宋体" w:cs="楷体"/>
                <w:color w:val="auto"/>
                <w:sz w:val="24"/>
                <w:szCs w:val="28"/>
                <w:highlight w:val="none"/>
                <w:lang w:val="en-US" w:eastAsia="zh-CN"/>
              </w:rPr>
              <w:t xml:space="preserve">医疗家具</w:t>
            </w:r>
            <w:r>
              <w:rPr>
                <w:rFonts w:hint="eastAsia" w:ascii="宋体" w:hAnsi="宋体" w:eastAsia="宋体" w:cs="楷体"/>
                <w:color w:val="auto"/>
                <w:sz w:val="24"/>
                <w:szCs w:val="24"/>
                <w:highlight w:val="none"/>
                <w:lang w:eastAsia="zh-CN"/>
              </w:rPr>
              <w:t xml:space="preserve">）、办公桌（采购包2办公家具）</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采购标的对应的中小企业划分标准所属行业</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宋体"/>
                <w:color w:val="auto"/>
                <w:sz w:val="24"/>
                <w:szCs w:val="24"/>
                <w:highlight w:val="none"/>
              </w:rPr>
              <w:t xml:space="preserve">标的：</w:t>
            </w:r>
            <w:r>
              <w:rPr>
                <w:rFonts w:hint="eastAsia" w:ascii="宋体" w:hAnsi="宋体" w:eastAsia="宋体" w:cs="宋体"/>
                <w:color w:val="auto"/>
                <w:sz w:val="24"/>
                <w:szCs w:val="24"/>
                <w:highlight w:val="none"/>
                <w:lang w:eastAsia="zh-CN"/>
              </w:rPr>
              <w:t xml:space="preserve">医疗家具</w:t>
            </w:r>
            <w:r>
              <w:rPr>
                <w:rFonts w:hint="eastAsia" w:ascii="宋体" w:hAnsi="宋体" w:eastAsia="宋体" w:cs="楷体"/>
                <w:color w:val="auto"/>
                <w:sz w:val="24"/>
                <w:szCs w:val="24"/>
                <w:highlight w:val="none"/>
                <w:lang w:eastAsia="zh-CN"/>
              </w:rPr>
              <w:t xml:space="preserve">（采购包1）</w:t>
            </w:r>
            <w:r>
              <w:rPr>
                <w:rFonts w:hint="eastAsia" w:ascii="宋体" w:hAnsi="宋体" w:eastAsia="宋体" w:cs="宋体"/>
                <w:color w:val="auto"/>
                <w:sz w:val="24"/>
                <w:szCs w:val="24"/>
                <w:highlight w:val="none"/>
                <w:lang w:eastAsia="zh-CN"/>
              </w:rPr>
              <w:t xml:space="preserve">、办公家具</w:t>
            </w:r>
            <w:r>
              <w:rPr>
                <w:rFonts w:hint="eastAsia" w:ascii="宋体" w:hAnsi="宋体" w:eastAsia="宋体" w:cs="楷体"/>
                <w:color w:val="auto"/>
                <w:sz w:val="24"/>
                <w:szCs w:val="24"/>
                <w:highlight w:val="none"/>
                <w:lang w:eastAsia="zh-CN"/>
              </w:rPr>
              <w:t xml:space="preserve">（采购包2）</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  </w:t>
            </w:r>
            <w:r>
              <w:rPr>
                <w:rFonts w:hint="eastAsia" w:ascii="宋体" w:hAnsi="宋体" w:eastAsia="宋体" w:cs="宋体"/>
                <w:color w:val="auto"/>
                <w:sz w:val="24"/>
                <w:szCs w:val="24"/>
                <w:highlight w:val="none"/>
              </w:rPr>
              <w:t xml:space="preserve">行业。</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节能产品、环境标志产品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中小企业信用融资</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eastAsia="宋体" w:cs="楷体"/>
                <w:color w:val="auto"/>
                <w:sz w:val="24"/>
                <w:szCs w:val="24"/>
                <w:highlight w:val="none"/>
              </w:rPr>
              <w:t xml:space="preserve">镇江市财政局和中国人民银行镇江市中心支行联合印发《关于转发〈关于深入推进政府采购线上合同信用融资工作的通知〉的通知》</w:t>
            </w:r>
            <w:bookmarkEnd w:id="45"/>
            <w:r>
              <w:rPr>
                <w:rFonts w:hint="eastAsia" w:ascii="宋体" w:hAnsi="宋体" w:eastAsia="宋体" w:cs="楷体"/>
                <w:color w:val="auto"/>
                <w:sz w:val="24"/>
                <w:szCs w:val="24"/>
                <w:highlight w:val="none"/>
              </w:rPr>
              <w:t xml:space="preserve">，</w:t>
            </w:r>
            <w:bookmarkStart w:id="46" w:name="_Hlk136444446"/>
            <w:r>
              <w:rPr>
                <w:rFonts w:hint="eastAsia" w:ascii="宋体" w:hAnsi="宋体" w:eastAsia="宋体" w:cs="楷体"/>
                <w:color w:val="auto"/>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eastAsia="宋体" w:cs="楷体"/>
                <w:color w:val="auto"/>
                <w:sz w:val="24"/>
                <w:szCs w:val="24"/>
                <w:highlight w:val="none"/>
              </w:rPr>
              <w:t xml:space="preserve">办理流程详见江苏政府采购网“政采贷”栏目，网址：http://www.ccgp-jiangsu.gov.cn/jiangsu/paying.html咨询电话：丹阳市财政局政府采购科0511-</w:t>
            </w:r>
            <w:r>
              <w:rPr>
                <w:rFonts w:ascii="宋体" w:hAnsi="宋体" w:eastAsia="宋体" w:cs="楷体"/>
                <w:color w:val="auto"/>
                <w:sz w:val="24"/>
                <w:szCs w:val="24"/>
                <w:highlight w:val="none"/>
              </w:rPr>
              <w:t xml:space="preserve">86521852</w:t>
            </w:r>
            <w:r>
              <w:rPr>
                <w:rFonts w:hint="eastAsia" w:ascii="宋体" w:hAnsi="宋体" w:eastAsia="宋体" w:cs="楷体"/>
                <w:color w:val="auto"/>
                <w:sz w:val="24"/>
                <w:szCs w:val="24"/>
                <w:highlight w:val="none"/>
              </w:rPr>
              <w:t xml:space="preserve">。</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12</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特别说明</w:t>
            </w:r>
            <w:r/>
          </w:p>
        </w:tc>
        <w:tc>
          <w:tcPr>
            <w:tcW w:w="3540" w:type="pct"/>
            <w:vAlign w:val="center"/>
            <w:textDirection w:val="lrTb"/>
            <w:noWrap w:val="false"/>
          </w:tcPr>
          <w:p>
            <w:pPr>
              <w:rPr>
                <w:rFonts w:ascii="宋体" w:hAnsi="宋体" w:eastAsia="宋体" w:cs="楷体"/>
                <w:i/>
                <w:iCs/>
                <w:color w:val="auto"/>
                <w:sz w:val="24"/>
                <w:szCs w:val="24"/>
                <w:highlight w:val="none"/>
              </w:rPr>
            </w:pPr>
            <w:r>
              <w:rPr>
                <w:rFonts w:hint="eastAsia" w:ascii="宋体" w:hAnsi="宋体" w:eastAsia="宋体" w:cs="楷体"/>
                <w:i/>
                <w:iCs/>
                <w:color w:val="auto"/>
                <w:sz w:val="24"/>
                <w:szCs w:val="24"/>
                <w:highlight w:val="none"/>
              </w:rPr>
              <w:t xml:space="preserve">无</w:t>
            </w:r>
            <w:r/>
          </w:p>
        </w:tc>
      </w:tr>
    </w:tbl>
    <w:p>
      <w:pPr>
        <w:rPr>
          <w:rFonts w:ascii="宋体" w:hAnsi="宋体" w:eastAsia="宋体" w:cs="楷体"/>
          <w:color w:val="auto"/>
          <w:sz w:val="20"/>
          <w:szCs w:val="24"/>
          <w:highlight w:val="none"/>
        </w:rPr>
      </w:pPr>
      <w:r>
        <w:rPr>
          <w:rFonts w:ascii="宋体" w:hAnsi="宋体" w:eastAsia="宋体" w:cs="楷体"/>
          <w:color w:val="auto"/>
          <w:sz w:val="20"/>
          <w:szCs w:val="24"/>
          <w:highlight w:val="none"/>
        </w:rPr>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br w:type="page" w:clear="all"/>
      </w:r>
      <w:r>
        <w:rPr>
          <w:rFonts w:hint="eastAsia" w:ascii="宋体" w:hAnsi="宋体" w:eastAsia="宋体" w:cs="楷体"/>
          <w:b/>
          <w:color w:val="auto"/>
          <w:sz w:val="32"/>
          <w:szCs w:val="32"/>
          <w:highlight w:val="none"/>
        </w:rPr>
        <w:t xml:space="preserve">一、总  则</w:t>
      </w:r>
      <w:bookmarkEnd w:id="27"/>
      <w:r/>
      <w:bookmarkEnd w:id="28"/>
      <w:r/>
      <w:r/>
    </w:p>
    <w:p>
      <w:pPr>
        <w:ind w:firstLine="602"/>
        <w:spacing w:line="360" w:lineRule="auto"/>
        <w:rPr>
          <w:rFonts w:ascii="宋体" w:hAnsi="宋体" w:eastAsia="宋体" w:cs="楷体"/>
          <w:b/>
          <w:color w:val="auto"/>
          <w:sz w:val="30"/>
          <w:szCs w:val="20"/>
          <w:highlight w:val="none"/>
        </w:rPr>
        <w:outlineLvl w:val="2"/>
      </w:pPr>
      <w:r/>
      <w:bookmarkStart w:id="47" w:name="_Toc92168001"/>
      <w:r/>
      <w:bookmarkStart w:id="48" w:name="_Toc100386035"/>
      <w:r>
        <w:rPr>
          <w:rFonts w:hint="eastAsia" w:ascii="宋体" w:hAnsi="宋体" w:eastAsia="宋体" w:cs="楷体"/>
          <w:b/>
          <w:color w:val="auto"/>
          <w:sz w:val="30"/>
          <w:szCs w:val="20"/>
          <w:highlight w:val="none"/>
        </w:rPr>
        <w:t xml:space="preserve">1．适用范围</w:t>
      </w:r>
      <w:bookmarkEnd w:id="47"/>
      <w:r/>
      <w:bookmarkEnd w:id="48"/>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 本招标文件仅适用于</w:t>
      </w:r>
      <w:r>
        <w:rPr>
          <w:rFonts w:hint="eastAsia" w:ascii="宋体" w:hAnsi="宋体" w:eastAsia="宋体" w:cs="楷体"/>
          <w:color w:val="auto"/>
          <w:sz w:val="24"/>
          <w:szCs w:val="28"/>
          <w:highlight w:val="none"/>
          <w:lang w:eastAsia="zh-CN"/>
        </w:rPr>
        <w:t xml:space="preserve">丹阳市中医院新院家具采购项目</w:t>
      </w:r>
      <w:r>
        <w:rPr>
          <w:rFonts w:hint="eastAsia" w:ascii="宋体" w:hAnsi="宋体" w:eastAsia="宋体" w:cs="楷体"/>
          <w:color w:val="auto"/>
          <w:sz w:val="24"/>
          <w:szCs w:val="24"/>
          <w:highlight w:val="none"/>
        </w:rPr>
        <w:t xml:space="preserve">。</w:t>
      </w:r>
      <w:r/>
    </w:p>
    <w:p>
      <w:pPr>
        <w:ind w:firstLine="602"/>
        <w:spacing w:before="200" w:after="200" w:line="360" w:lineRule="auto"/>
        <w:rPr>
          <w:rFonts w:ascii="宋体" w:hAnsi="宋体" w:eastAsia="宋体" w:cs="楷体"/>
          <w:b/>
          <w:color w:val="auto"/>
          <w:sz w:val="30"/>
          <w:szCs w:val="20"/>
          <w:highlight w:val="none"/>
        </w:rPr>
        <w:outlineLvl w:val="2"/>
      </w:pPr>
      <w:r/>
      <w:bookmarkStart w:id="49" w:name="_Toc100386036"/>
      <w:r/>
      <w:bookmarkStart w:id="50" w:name="_Toc92168002"/>
      <w:r>
        <w:rPr>
          <w:rFonts w:hint="eastAsia" w:ascii="宋体" w:hAnsi="宋体" w:eastAsia="宋体" w:cs="楷体"/>
          <w:b/>
          <w:color w:val="auto"/>
          <w:sz w:val="30"/>
          <w:szCs w:val="20"/>
          <w:highlight w:val="none"/>
        </w:rPr>
        <w:t xml:space="preserve">2．定义</w:t>
      </w:r>
      <w:bookmarkEnd w:id="49"/>
      <w:r/>
      <w:bookmarkEnd w:id="50"/>
      <w:r/>
      <w:r/>
    </w:p>
    <w:p>
      <w:pPr>
        <w:ind w:firstLine="480"/>
        <w:spacing w:line="360" w:lineRule="auto"/>
        <w:rPr>
          <w:rFonts w:ascii="宋体" w:hAnsi="宋体" w:eastAsia="宋体" w:cs="楷体"/>
          <w:color w:val="auto"/>
          <w:sz w:val="24"/>
          <w:szCs w:val="24"/>
          <w:highlight w:val="none"/>
        </w:rPr>
      </w:pPr>
      <w:r/>
      <w:bookmarkStart w:id="51" w:name="_Toc92168004"/>
      <w:r/>
      <w:bookmarkStart w:id="52" w:name="_Toc20732971"/>
      <w:r/>
      <w:bookmarkStart w:id="53" w:name="_Toc98669693"/>
      <w:r/>
      <w:bookmarkStart w:id="54" w:name="_Toc100386038"/>
      <w:r/>
      <w:bookmarkStart w:id="55" w:name="_Toc98669335"/>
      <w:r>
        <w:rPr>
          <w:rFonts w:hint="eastAsia" w:ascii="宋体" w:hAnsi="宋体" w:eastAsia="宋体" w:cs="楷体"/>
          <w:color w:val="auto"/>
          <w:sz w:val="24"/>
          <w:szCs w:val="24"/>
          <w:highlight w:val="none"/>
        </w:rPr>
        <w:t xml:space="preserve">招标文件中下列术语应解释为：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2.1“采购人”系指依法进行政府采购的国家机关、事业单位、团体组织，即：</w:t>
      </w:r>
      <w:r>
        <w:rPr>
          <w:rFonts w:hint="eastAsia" w:ascii="宋体" w:hAnsi="宋体" w:eastAsia="宋体" w:cs="楷体"/>
          <w:color w:val="auto"/>
          <w:sz w:val="24"/>
          <w:szCs w:val="24"/>
          <w:highlight w:val="none"/>
          <w:lang w:eastAsia="zh-CN"/>
        </w:rPr>
        <w:t xml:space="preserve">丹阳市中医院</w:t>
      </w:r>
      <w:r>
        <w:rPr>
          <w:rFonts w:hint="eastAsia" w:ascii="宋体" w:hAnsi="宋体" w:eastAsia="宋体" w:cs="楷体"/>
          <w:color w:val="auto"/>
          <w:sz w:val="24"/>
          <w:szCs w:val="24"/>
          <w:highlight w:val="none"/>
        </w:rPr>
        <w:t xml:space="preserve">。</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2.2“投标人”系指响应招标、参加投标竞争的法人、其他组织或者自然人。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2.3“采购代理机构”系指组织本次采购活动的单位，即：丹阳市政府采购中心。</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2.4“货物”亦称产品，系指投标人按招标文件要求，须向采购人提供的</w:t>
      </w:r>
      <w:r>
        <w:rPr>
          <w:rFonts w:hint="eastAsia" w:ascii="宋体" w:hAnsi="宋体" w:eastAsia="宋体" w:cs="楷体"/>
          <w:color w:val="auto"/>
          <w:sz w:val="24"/>
          <w:szCs w:val="24"/>
          <w:highlight w:val="none"/>
          <w:lang w:eastAsia="zh-CN"/>
        </w:rPr>
        <w:t xml:space="preserve">家具</w:t>
      </w:r>
      <w:r>
        <w:rPr>
          <w:rFonts w:hint="eastAsia" w:ascii="宋体" w:hAnsi="宋体" w:eastAsia="宋体" w:cs="楷体"/>
          <w:color w:val="auto"/>
          <w:sz w:val="24"/>
          <w:szCs w:val="24"/>
          <w:highlight w:val="none"/>
        </w:rPr>
        <w:t xml:space="preserve">、备件、工具、说明书及使用手册。</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2.5“服务”系指根据招标文件规定投标人承担的与供货有关的辅助服务，按合同规定乙方必须承担的供货安装、设备调试、技术指导、培训以及其他类似的承诺义务。服务亦包括招标文件中特别描述的其它形式的服务。</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2.6“</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”系指适用本项目的要求。“</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”系指不适用本项目的要求。</w:t>
      </w:r>
      <w:r/>
    </w:p>
    <w:p>
      <w:pPr>
        <w:ind w:firstLine="602"/>
        <w:spacing w:before="260" w:after="26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3．采购方式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 本次采购采取公开招标方式</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综合评分法。</w:t>
      </w:r>
      <w:r>
        <w:rPr>
          <w:rFonts w:hint="eastAsia" w:ascii="宋体" w:hAnsi="宋体" w:eastAsia="宋体" w:cs="楷体"/>
          <w:color w:val="auto"/>
          <w:sz w:val="24"/>
          <w:szCs w:val="28"/>
          <w:highlight w:val="none"/>
        </w:rPr>
        <w:t xml:space="preserve">□</w:t>
      </w:r>
      <w:r>
        <w:rPr>
          <w:rFonts w:hint="eastAsia" w:ascii="宋体" w:hAnsi="宋体" w:eastAsia="宋体" w:cs="宋体"/>
          <w:color w:val="auto"/>
          <w:sz w:val="24"/>
          <w:szCs w:val="24"/>
          <w:highlight w:val="none"/>
        </w:rPr>
        <w:t xml:space="preserve">最低评标价法。</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3.2 本项目资格审查方式：</w:t>
      </w:r>
      <w:r>
        <w:rPr>
          <w:rFonts w:ascii="Segoe UI Symbol" w:hAnsi="Segoe UI Symbol" w:eastAsia="宋体" w:cs="Segoe UI Symbol"/>
          <w:color w:val="auto"/>
          <w:sz w:val="24"/>
          <w:szCs w:val="28"/>
          <w:highlight w:val="none"/>
        </w:rPr>
        <w:t xml:space="preserve">☑</w:t>
      </w:r>
      <w:r>
        <w:rPr>
          <w:rFonts w:hint="eastAsia" w:ascii="宋体" w:hAnsi="宋体" w:eastAsia="宋体" w:cs="宋体"/>
          <w:color w:val="auto"/>
          <w:sz w:val="24"/>
          <w:szCs w:val="28"/>
          <w:highlight w:val="none"/>
        </w:rPr>
        <w:t xml:space="preserve">资格后审</w:t>
      </w:r>
      <w:r>
        <w:rPr>
          <w:rFonts w:hint="eastAsia" w:ascii="宋体" w:hAnsi="宋体" w:eastAsia="宋体" w:cs="楷体"/>
          <w:color w:val="auto"/>
          <w:sz w:val="24"/>
          <w:szCs w:val="28"/>
          <w:highlight w:val="none"/>
        </w:rPr>
        <w:t xml:space="preserve"> □资格预审</w:t>
      </w:r>
      <w:r/>
    </w:p>
    <w:p>
      <w:pPr>
        <w:ind w:firstLine="480"/>
        <w:spacing w:line="360" w:lineRule="auto"/>
        <w:rPr>
          <w:rFonts w:hint="default"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rPr>
        <w:t xml:space="preserve">3.3 本次采购确定</w:t>
      </w:r>
      <w:r>
        <w:rPr>
          <w:rFonts w:hint="eastAsia" w:ascii="宋体" w:hAnsi="宋体" w:eastAsia="宋体" w:cs="楷体"/>
          <w:color w:val="auto"/>
          <w:sz w:val="24"/>
          <w:szCs w:val="28"/>
          <w:highlight w:val="none"/>
        </w:rPr>
        <w:t xml:space="preserve">的中标人数量：1名</w:t>
      </w:r>
      <w:r>
        <w:rPr>
          <w:rFonts w:hint="eastAsia" w:ascii="宋体" w:hAnsi="宋体" w:eastAsia="宋体" w:cs="楷体"/>
          <w:color w:val="auto"/>
          <w:sz w:val="24"/>
          <w:szCs w:val="24"/>
          <w:highlight w:val="none"/>
          <w:lang w:eastAsia="zh-CN"/>
        </w:rPr>
        <w:t xml:space="preserve">（采购包1</w:t>
      </w:r>
      <w:r>
        <w:rPr>
          <w:rFonts w:hint="eastAsia" w:ascii="宋体" w:hAnsi="宋体" w:eastAsia="宋体" w:cs="楷体"/>
          <w:color w:val="auto"/>
          <w:sz w:val="24"/>
          <w:szCs w:val="28"/>
          <w:highlight w:val="none"/>
          <w:lang w:val="en-US" w:eastAsia="zh-CN"/>
        </w:rPr>
        <w:t xml:space="preserve">医疗家具</w:t>
      </w:r>
      <w:r>
        <w:rPr>
          <w:rFonts w:hint="eastAsia" w:ascii="宋体" w:hAnsi="宋体" w:eastAsia="宋体" w:cs="楷体"/>
          <w:color w:val="auto"/>
          <w:sz w:val="24"/>
          <w:szCs w:val="24"/>
          <w:highlight w:val="none"/>
          <w:lang w:eastAsia="zh-CN"/>
        </w:rPr>
        <w:t xml:space="preserve">）、</w:t>
      </w:r>
      <w:r>
        <w:rPr>
          <w:rFonts w:hint="eastAsia" w:ascii="宋体" w:hAnsi="宋体" w:eastAsia="宋体" w:cs="楷体"/>
          <w:color w:val="auto"/>
          <w:sz w:val="24"/>
          <w:szCs w:val="28"/>
          <w:highlight w:val="none"/>
          <w:lang w:val="en-US" w:eastAsia="zh-CN"/>
        </w:rPr>
        <w:t xml:space="preserve">1名</w:t>
      </w:r>
      <w:r>
        <w:rPr>
          <w:rFonts w:hint="eastAsia" w:ascii="宋体" w:hAnsi="宋体" w:eastAsia="宋体" w:cs="楷体"/>
          <w:color w:val="auto"/>
          <w:sz w:val="24"/>
          <w:szCs w:val="24"/>
          <w:highlight w:val="none"/>
          <w:lang w:eastAsia="zh-CN"/>
        </w:rPr>
        <w:t xml:space="preserve">（采购包2办公家具）</w:t>
      </w:r>
      <w:r>
        <w:rPr>
          <w:rFonts w:hint="eastAsia" w:ascii="宋体" w:hAnsi="宋体" w:eastAsia="宋体" w:cs="楷体"/>
          <w:color w:val="auto"/>
          <w:sz w:val="24"/>
          <w:szCs w:val="28"/>
          <w:highlight w:val="none"/>
          <w:lang w:val="en-US" w:eastAsia="zh-CN"/>
        </w:rPr>
        <w:t xml:space="preserve">。</w:t>
      </w:r>
      <w:r/>
    </w:p>
    <w:p>
      <w:pPr>
        <w:ind w:firstLine="602"/>
        <w:spacing w:before="260" w:after="26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4．投标费用</w:t>
      </w:r>
      <w:bookmarkEnd w:id="51"/>
      <w:r/>
      <w:bookmarkEnd w:id="52"/>
      <w:r/>
      <w:bookmarkEnd w:id="53"/>
      <w:r/>
      <w:bookmarkEnd w:id="54"/>
      <w:r/>
      <w:bookmarkEnd w:id="55"/>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4.1 投标人应自行承担所有与参加投标有关的费用</w:t>
      </w:r>
      <w:r>
        <w:rPr>
          <w:rFonts w:hint="eastAsia" w:ascii="宋体" w:hAnsi="宋体" w:eastAsia="宋体" w:cs="楷体"/>
          <w:b/>
          <w:color w:val="auto"/>
          <w:sz w:val="24"/>
          <w:szCs w:val="24"/>
          <w:highlight w:val="none"/>
        </w:rPr>
        <w:t xml:space="preserve">。</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4.2不论投标的结果如何，采购人和采购代理机构在任何情况下均无义务和责任承担上述费用。</w:t>
      </w:r>
      <w:r/>
    </w:p>
    <w:p>
      <w:pPr>
        <w:ind w:firstLine="602"/>
        <w:spacing w:before="200" w:after="200" w:line="360" w:lineRule="auto"/>
        <w:rPr>
          <w:rFonts w:ascii="宋体" w:hAnsi="宋体" w:eastAsia="宋体" w:cs="楷体"/>
          <w:b/>
          <w:color w:val="auto"/>
          <w:sz w:val="30"/>
          <w:szCs w:val="20"/>
          <w:highlight w:val="none"/>
        </w:rPr>
        <w:outlineLvl w:val="2"/>
      </w:pPr>
      <w:r/>
      <w:bookmarkStart w:id="56" w:name="_Toc98669694"/>
      <w:r/>
      <w:bookmarkStart w:id="57" w:name="_Toc92168005"/>
      <w:r/>
      <w:bookmarkStart w:id="58" w:name="_Toc100386039"/>
      <w:r/>
      <w:bookmarkStart w:id="59" w:name="_Toc98669336"/>
      <w:r/>
      <w:bookmarkStart w:id="60" w:name="_Toc20732973"/>
      <w:r>
        <w:rPr>
          <w:rFonts w:hint="eastAsia" w:ascii="宋体" w:hAnsi="宋体" w:eastAsia="宋体" w:cs="楷体"/>
          <w:b/>
          <w:color w:val="auto"/>
          <w:sz w:val="30"/>
          <w:szCs w:val="20"/>
          <w:highlight w:val="none"/>
        </w:rPr>
        <w:t xml:space="preserve">5．政策功能</w:t>
      </w:r>
      <w:bookmarkEnd w:id="56"/>
      <w:r/>
      <w:bookmarkEnd w:id="57"/>
      <w:r/>
      <w:bookmarkEnd w:id="58"/>
      <w:r/>
      <w:bookmarkEnd w:id="59"/>
      <w:r/>
      <w:bookmarkEnd w:id="60"/>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5.1支持中小企业发展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符合中小企业划分标准的个体工商户，在政府采购活动中视同中小企业。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5.1.2在政府采购活动中，投标人提供的货物、工程或者服务符合下列情形的，享受中小企业扶持政策：</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5.1.2.2在工程采购项目中，工程由中小企业承建，即工程施工单位为中小企业；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中心、戒毒管理中心（含新疆生产建设兵团）出具的属于监狱企业的证明文件。</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5.2强制采购信息安全产品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5.3支持绿色发展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5.5支持创新发展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5.6平等对待内外资企业和符合条件的破产重整企业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5.6.1平等对待内外资企业和符合条件的破产重整企业，切实保障企业公平竞争，平等维护企业的合法利益。</w:t>
      </w:r>
      <w:r/>
    </w:p>
    <w:p>
      <w:pPr>
        <w:ind w:firstLine="480"/>
        <w:spacing w:line="360" w:lineRule="auto"/>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643"/>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二、招标文件</w:t>
      </w:r>
      <w:r/>
    </w:p>
    <w:p>
      <w:pPr>
        <w:ind w:firstLine="602"/>
        <w:spacing w:before="200" w:after="200" w:line="360" w:lineRule="auto"/>
        <w:rPr>
          <w:rFonts w:ascii="宋体" w:hAnsi="宋体" w:eastAsia="宋体" w:cs="楷体"/>
          <w:b/>
          <w:color w:val="auto"/>
          <w:sz w:val="30"/>
          <w:szCs w:val="20"/>
          <w:highlight w:val="none"/>
        </w:rPr>
        <w:outlineLvl w:val="2"/>
      </w:pPr>
      <w:r/>
      <w:bookmarkStart w:id="61" w:name="_Toc92168008"/>
      <w:r/>
      <w:bookmarkStart w:id="62" w:name="_Toc100386042"/>
      <w:r/>
      <w:bookmarkStart w:id="63" w:name="_Toc20732976"/>
      <w:r/>
      <w:bookmarkStart w:id="64" w:name="_Toc98669697"/>
      <w:r/>
      <w:bookmarkStart w:id="65" w:name="_Toc98669339"/>
      <w:r>
        <w:rPr>
          <w:rFonts w:hint="eastAsia" w:ascii="宋体" w:hAnsi="宋体" w:eastAsia="宋体" w:cs="楷体"/>
          <w:b/>
          <w:color w:val="auto"/>
          <w:sz w:val="30"/>
          <w:szCs w:val="20"/>
          <w:highlight w:val="none"/>
        </w:rPr>
        <w:t xml:space="preserve">6.招标文件组成</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6.1 招标文件包括：</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（1）投标邀请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（2）投标人须知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（3）拟签订的合同文本</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（4）采购需求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（5）评标办法和标准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（6）投标文件（格式）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6.2 投标人获取本文件后，应认真阅读本文件中所有的事项、格式条款和规范等要求。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6.3 </w:t>
      </w:r>
      <w:r>
        <w:rPr>
          <w:rFonts w:hint="eastAsia" w:ascii="宋体" w:hAnsi="宋体" w:eastAsia="宋体" w:cs="楷体"/>
          <w:b/>
          <w:color w:val="auto"/>
          <w:sz w:val="24"/>
          <w:szCs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楷体"/>
          <w:color w:val="auto"/>
          <w:sz w:val="24"/>
          <w:szCs w:val="24"/>
          <w:highlight w:val="none"/>
        </w:rPr>
        <w:t xml:space="preserve">。</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7．招标文件的澄清</w:t>
      </w:r>
      <w:bookmarkEnd w:id="61"/>
      <w:r/>
      <w:bookmarkEnd w:id="62"/>
      <w:r/>
      <w:bookmarkEnd w:id="63"/>
      <w:r/>
      <w:bookmarkEnd w:id="64"/>
      <w:r/>
      <w:bookmarkEnd w:id="65"/>
      <w:r/>
      <w:bookmarkStart w:id="66" w:name="_Toc100386043"/>
      <w:r/>
      <w:bookmarkStart w:id="67" w:name="_Toc20732977"/>
      <w:r/>
      <w:bookmarkStart w:id="68" w:name="_Toc92168009"/>
      <w:r/>
      <w:bookmarkStart w:id="69" w:name="_Toc98669698"/>
      <w:r/>
      <w:bookmarkStart w:id="70" w:name="_Toc98669340"/>
      <w:r>
        <w:rPr>
          <w:rFonts w:hint="eastAsia" w:ascii="宋体" w:hAnsi="宋体" w:eastAsia="宋体" w:cs="楷体"/>
          <w:b/>
          <w:color w:val="auto"/>
          <w:sz w:val="30"/>
          <w:szCs w:val="20"/>
          <w:highlight w:val="none"/>
        </w:rPr>
        <w:t xml:space="preserve">和修改</w:t>
      </w:r>
      <w:bookmarkEnd w:id="66"/>
      <w:r/>
      <w:bookmarkEnd w:id="67"/>
      <w:r/>
      <w:bookmarkEnd w:id="68"/>
      <w:r/>
      <w:bookmarkEnd w:id="69"/>
      <w:r/>
      <w:bookmarkEnd w:id="70"/>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7.1 任何要求对招标文件进行澄清的潜在投标人，应及时联系项目联系人。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7.2 </w:t>
      </w:r>
      <w:r>
        <w:rPr>
          <w:rFonts w:hint="eastAsia" w:ascii="宋体" w:hAnsi="宋体" w:eastAsia="宋体" w:cs="楷体"/>
          <w:b/>
          <w:color w:val="auto"/>
          <w:sz w:val="24"/>
          <w:szCs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firstLine="482"/>
        <w:spacing w:line="360" w:lineRule="auto"/>
        <w:tabs>
          <w:tab w:val="left" w:pos="492" w:leader="none"/>
        </w:tabs>
        <w:rPr>
          <w:rFonts w:ascii="宋体" w:hAnsi="宋体" w:eastAsia="宋体" w:cs="楷体"/>
          <w:b/>
          <w:color w:val="auto"/>
          <w:sz w:val="24"/>
          <w:szCs w:val="24"/>
          <w:highlight w:val="none"/>
        </w:rPr>
        <w:outlineLvl w:val="2"/>
      </w:pPr>
      <w:r>
        <w:rPr>
          <w:rFonts w:hint="eastAsia" w:ascii="宋体" w:hAnsi="宋体" w:eastAsia="宋体" w:cs="楷体"/>
          <w:b/>
          <w:color w:val="auto"/>
          <w:sz w:val="24"/>
          <w:szCs w:val="20"/>
          <w:highlight w:val="none"/>
        </w:rPr>
        <w:tab/>
      </w:r>
      <w:r>
        <w:rPr>
          <w:rFonts w:hint="eastAsia" w:ascii="宋体" w:hAnsi="宋体" w:eastAsia="宋体" w:cs="楷体"/>
          <w:color w:val="auto"/>
          <w:sz w:val="24"/>
          <w:szCs w:val="24"/>
          <w:highlight w:val="none"/>
        </w:rPr>
        <w:t xml:space="preserve">7.5</w:t>
      </w:r>
      <w:r>
        <w:rPr>
          <w:rFonts w:hint="eastAsia" w:ascii="宋体" w:hAnsi="宋体" w:eastAsia="宋体" w:cs="楷体"/>
          <w:b/>
          <w:color w:val="auto"/>
          <w:sz w:val="24"/>
          <w:szCs w:val="24"/>
          <w:highlight w:val="none"/>
        </w:rPr>
        <w:t xml:space="preserve"> 如</w:t>
      </w:r>
      <w:r>
        <w:rPr>
          <w:rFonts w:hint="eastAsia" w:ascii="宋体" w:hAnsi="宋体" w:eastAsia="宋体" w:cs="楷体"/>
          <w:b/>
          <w:color w:val="auto"/>
          <w:sz w:val="24"/>
          <w:szCs w:val="20"/>
          <w:highlight w:val="none"/>
        </w:rPr>
        <w:t xml:space="preserve">澄清或修改公告</w:t>
      </w:r>
      <w:r>
        <w:rPr>
          <w:rFonts w:hint="eastAsia" w:ascii="宋体" w:hAnsi="宋体" w:eastAsia="宋体" w:cs="楷体"/>
          <w:b/>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三、投标文件</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8.编制投标文件的工具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8.1 投标人须通过江苏政府采购网提供的最新响应文件制作软件编制投标文件。下载路径：江苏政府采购网—资料下载—《江苏省政府采购交易管理系统（苏采云）供应商操作指南》</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9.投标文件语言及度量衡单位</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9.2投标文件中所使用的计量单位除招标文件中另有特殊规定外，一律使用法定计量单位。</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10.投标文件的构成</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10.1 投标文件分为资格部分、商务部分、技术部分和价格部分。</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10.2 资格部分系指投标人提交的证明其有资格参加投标的文件。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10.3 商务部分系指投标人提交的证明其中标后有能力履行合同的文件。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10.4 技术部分系指投标人提交的能够证明投标人提供的货物（服务）符合招标文件规定的文件。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10.5 具体填写格式详见招标文件第六部分。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11．投标文件的编制</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11.1 投标人应仔细阅读招标文件，按照招标文件的要求编制投标文件。投标文件应当对招标文件提出的要求和条件作出明确响应。</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11.2 </w:t>
      </w:r>
      <w:r>
        <w:rPr>
          <w:rFonts w:hint="eastAsia" w:ascii="宋体" w:hAnsi="宋体" w:eastAsia="宋体" w:cs="楷体"/>
          <w:b/>
          <w:color w:val="auto"/>
          <w:sz w:val="24"/>
          <w:szCs w:val="24"/>
          <w:highlight w:val="none"/>
        </w:rPr>
        <w:t xml:space="preserve">投标人在编制投标文件时，请按照招标文件第六部分规定的格式进行填写并提交到对应位置。系统中的投标文件格式与招标文件第六部分不一致的，以招标文件第六部</w:t>
      </w:r>
      <w:r/>
    </w:p>
    <w:p>
      <w:pPr>
        <w:ind w:firstLine="482"/>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分规定的格式为准。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11.4 </w:t>
      </w:r>
      <w:r>
        <w:rPr>
          <w:rFonts w:hint="eastAsia" w:ascii="宋体" w:hAnsi="宋体" w:eastAsia="宋体" w:cs="楷体"/>
          <w:b/>
          <w:color w:val="auto"/>
          <w:sz w:val="24"/>
          <w:szCs w:val="24"/>
          <w:highlight w:val="none"/>
        </w:rPr>
        <w:t xml:space="preserve">投标人必须保证投标文件所提供的全部资料合法、真实、可靠。</w:t>
      </w:r>
      <w:r/>
    </w:p>
    <w:p>
      <w:pPr>
        <w:ind w:firstLine="602"/>
        <w:spacing w:line="360" w:lineRule="auto"/>
        <w:rPr>
          <w:rFonts w:ascii="宋体" w:hAnsi="宋体" w:eastAsia="宋体" w:cs="楷体"/>
          <w:color w:val="auto"/>
          <w:sz w:val="24"/>
          <w:szCs w:val="24"/>
          <w:highlight w:val="none"/>
        </w:rPr>
      </w:pPr>
      <w:r>
        <w:rPr>
          <w:rFonts w:hint="eastAsia" w:ascii="宋体" w:hAnsi="宋体" w:eastAsia="宋体" w:cs="楷体"/>
          <w:b/>
          <w:color w:val="auto"/>
          <w:sz w:val="30"/>
          <w:szCs w:val="24"/>
          <w:highlight w:val="none"/>
        </w:rPr>
        <w:t xml:space="preserve">12．投标保证金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12.1 本项目不收投标保证金。</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13．投标有效期</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13.1 投标有效期为：投标文件自</w:t>
      </w:r>
      <w:r>
        <w:rPr>
          <w:rFonts w:hint="eastAsia" w:ascii="宋体" w:hAnsi="宋体" w:eastAsia="宋体" w:cs="楷体"/>
          <w:color w:val="auto"/>
          <w:sz w:val="24"/>
          <w:szCs w:val="28"/>
          <w:highlight w:val="none"/>
        </w:rPr>
        <w:t xml:space="preserve">提交投标文件截止时间</w:t>
      </w:r>
      <w:r>
        <w:rPr>
          <w:rFonts w:hint="eastAsia" w:ascii="宋体" w:hAnsi="宋体" w:eastAsia="宋体" w:cs="楷体"/>
          <w:color w:val="auto"/>
          <w:sz w:val="24"/>
          <w:szCs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14.投标文件的式样和签署</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14.1 投标人应通过响应文件制作软件使用数字认证证书对投标文件进行合成、电子签章及加密打包。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15．投标文件的提交</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15.1 投标文件提交</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15.1.1 投标人须在招标文件规定的截止时间前，通过响应文件编制软件制作完成后，登录“苏采云”系统在规定时间内完成提交。</w:t>
      </w:r>
      <w:r>
        <w:rPr>
          <w:rFonts w:hint="eastAsia" w:ascii="宋体" w:hAnsi="宋体" w:eastAsia="宋体" w:cs="楷体"/>
          <w:b/>
          <w:color w:val="auto"/>
          <w:sz w:val="24"/>
          <w:szCs w:val="24"/>
          <w:highlight w:val="none"/>
          <w:u w:val="single"/>
        </w:rPr>
        <w:t xml:space="preserve">时间以“苏采云”系统时间为准。</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15.1.2 </w:t>
      </w:r>
      <w:r>
        <w:rPr>
          <w:rFonts w:hint="eastAsia" w:ascii="宋体" w:hAnsi="宋体" w:eastAsia="宋体" w:cs="楷体"/>
          <w:b/>
          <w:color w:val="auto"/>
          <w:sz w:val="24"/>
          <w:szCs w:val="24"/>
          <w:highlight w:val="none"/>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eastAsia="宋体" w:cs="楷体"/>
          <w:b/>
          <w:color w:val="auto"/>
          <w:sz w:val="24"/>
          <w:szCs w:val="20"/>
          <w:highlight w:val="none"/>
          <w:u w:val="single"/>
        </w:rPr>
      </w:pPr>
      <w:r>
        <w:rPr>
          <w:rFonts w:hint="eastAsia" w:ascii="宋体" w:hAnsi="宋体" w:eastAsia="宋体" w:cs="楷体"/>
          <w:color w:val="auto"/>
          <w:sz w:val="24"/>
          <w:szCs w:val="24"/>
          <w:highlight w:val="none"/>
        </w:rPr>
        <w:t xml:space="preserve">15.1.3 </w:t>
      </w:r>
      <w:r>
        <w:rPr>
          <w:rFonts w:hint="eastAsia" w:ascii="宋体" w:hAnsi="宋体" w:eastAsia="宋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15.1.4</w:t>
      </w:r>
      <w:r>
        <w:rPr>
          <w:rFonts w:hint="eastAsia" w:ascii="宋体" w:hAnsi="宋体" w:eastAsia="宋体" w:cs="楷体"/>
          <w:b/>
          <w:color w:val="auto"/>
          <w:sz w:val="24"/>
          <w:szCs w:val="24"/>
          <w:highlight w:val="none"/>
          <w:u w:val="single"/>
        </w:rPr>
        <w:t xml:space="preserve">提交完成后至解密前，</w:t>
      </w:r>
      <w:r>
        <w:rPr>
          <w:rFonts w:hint="eastAsia" w:ascii="宋体" w:hAnsi="宋体" w:eastAsia="宋体" w:cs="楷体"/>
          <w:b/>
          <w:color w:val="auto"/>
          <w:sz w:val="24"/>
          <w:szCs w:val="20"/>
          <w:highlight w:val="none"/>
          <w:u w:val="single"/>
        </w:rPr>
        <w:t xml:space="preserve">投标人</w:t>
      </w:r>
      <w:r>
        <w:rPr>
          <w:rFonts w:hint="eastAsia" w:ascii="宋体" w:hAnsi="宋体" w:eastAsia="宋体" w:cs="楷体"/>
          <w:b/>
          <w:color w:val="auto"/>
          <w:sz w:val="24"/>
          <w:szCs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15.1.5因不可抗力事件造成的投标文件的损坏、丢失的，采购代理机构不承担责任。</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16．投标文件的补充、修改或者撤回</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16.1 在提交截止时间前，投标人可以对所提交的投标文件进行补充、修改或者撤回。投标人撤回电子响应文件，则认为其不再参与本项目磋商活动。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16.2 投标人在提交截止时间前需要对投标文件进行补充、修改的，应当使用响应文件制作软件重新制作并提交。</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16.3 在提交截止时间之后，投标人不得对其投标文件作任何补充、修改或撤回。</w:t>
      </w:r>
      <w:r/>
    </w:p>
    <w:p>
      <w:pPr>
        <w:ind w:firstLine="480"/>
        <w:jc w:val="left"/>
        <w:spacing w:line="360" w:lineRule="auto"/>
        <w:rPr>
          <w:rFonts w:ascii="宋体" w:hAnsi="宋体" w:eastAsia="宋体" w:cs="楷体"/>
          <w:color w:val="auto"/>
          <w:sz w:val="24"/>
          <w:szCs w:val="24"/>
          <w:highlight w:val="none"/>
        </w:rPr>
        <w:outlineLvl w:val="2"/>
      </w:pPr>
      <w:r>
        <w:rPr>
          <w:rFonts w:hint="eastAsia" w:ascii="宋体" w:hAnsi="宋体" w:eastAsia="宋体" w:cs="楷体"/>
          <w:color w:val="auto"/>
          <w:sz w:val="24"/>
          <w:szCs w:val="24"/>
          <w:highlight w:val="none"/>
        </w:rPr>
        <w:t xml:space="preserve">16.4 在提交截止时间至招标文件中规定的投标有效期满之间，投标人不得撤回其投标。</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五、开标及评标</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17．开标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17.1 采购代理机构将按招标文件规定的时间、地点主持开标。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17.2 投标人应当在开标前做好充分准备，使用制作该投标文件的同一数字认证证书准时参加开标。</w:t>
      </w:r>
      <w:r/>
    </w:p>
    <w:p>
      <w:pPr>
        <w:ind w:firstLine="482"/>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17.3 投标人不足3家，不进入解密程序。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17.4 开标时，采购代理机构将在系统内发出解密的指令，投标人自行实施解密，限定在主持人发布解密指令后</w:t>
      </w:r>
      <w:r>
        <w:rPr>
          <w:rFonts w:hint="eastAsia" w:ascii="宋体" w:hAnsi="宋体" w:eastAsia="宋体" w:cs="楷体"/>
          <w:color w:val="auto"/>
          <w:sz w:val="24"/>
          <w:szCs w:val="24"/>
          <w:highlight w:val="none"/>
          <w:u w:val="single"/>
        </w:rPr>
        <w:t xml:space="preserve">30</w:t>
      </w:r>
      <w:r>
        <w:rPr>
          <w:rFonts w:hint="eastAsia" w:ascii="宋体" w:hAnsi="宋体" w:eastAsia="宋体" w:cs="楷体"/>
          <w:color w:val="auto"/>
          <w:sz w:val="24"/>
          <w:szCs w:val="24"/>
          <w:highlight w:val="none"/>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楷体"/>
          <w:b/>
          <w:color w:val="auto"/>
          <w:sz w:val="24"/>
          <w:szCs w:val="24"/>
          <w:highlight w:val="none"/>
        </w:rPr>
        <w:t xml:space="preserve">若解密成功的投标人不足三家，不进入后续程序。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17.6本项目在限定的解密时间内，只要有任一家投标人解密成功，即视为“苏采云”系统运行无故障。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17.7 电子投标文件解密全部完成后，按</w:t>
      </w:r>
      <w:r>
        <w:rPr>
          <w:rFonts w:hint="eastAsia" w:ascii="宋体" w:hAnsi="宋体" w:eastAsia="宋体" w:cs="楷体"/>
          <w:b/>
          <w:color w:val="auto"/>
          <w:sz w:val="24"/>
          <w:szCs w:val="24"/>
          <w:highlight w:val="none"/>
        </w:rPr>
        <w:t xml:space="preserve">投标文件解密成功顺序</w:t>
      </w:r>
      <w:r>
        <w:rPr>
          <w:rFonts w:hint="eastAsia" w:ascii="宋体" w:hAnsi="宋体" w:eastAsia="宋体" w:cs="楷体"/>
          <w:color w:val="auto"/>
          <w:sz w:val="24"/>
          <w:szCs w:val="24"/>
          <w:highlight w:val="none"/>
        </w:rPr>
        <w:t xml:space="preserve">向所有投标人宣布投标人名称、投标价格以及招标文件规定的其他内容。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17.8投标人须配合开标工作，否则一切后果由投标人自行承担。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18.投标人资格审查</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18.1 开标结束后，采购人或者采购代理机构将依法对投标人的资格进行审查。</w:t>
      </w:r>
      <w:r>
        <w:rPr>
          <w:rFonts w:hint="eastAsia" w:ascii="宋体" w:hAnsi="宋体" w:eastAsia="宋体" w:cs="楷体"/>
          <w:b/>
          <w:color w:val="auto"/>
          <w:sz w:val="24"/>
          <w:szCs w:val="24"/>
          <w:highlight w:val="none"/>
        </w:rPr>
        <w:t xml:space="preserve">合格投标人不足3家的，不进入后续程序。</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19．评标委员会组成</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采购项目符合下列情形之一的，评标委员会成员人数应当为7人以上单数：</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（一）采购预算金额在1000万元以上；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（二）技术复杂；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（三）社会影响较大。</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评标委员会成员名单在评标结果公告前应当保密。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20.投标人符合性审查</w:t>
      </w:r>
      <w:r/>
    </w:p>
    <w:p>
      <w:pPr>
        <w:pStyle w:val="2320"/>
        <w:ind w:firstLine="48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20.1 评标委员会将按照招标文件第</w:t>
      </w:r>
      <w:r>
        <w:rPr>
          <w:rFonts w:hint="eastAsia" w:ascii="宋体" w:hAnsi="宋体" w:cs="楷体"/>
          <w:color w:val="auto"/>
          <w:sz w:val="24"/>
          <w:highlight w:val="none"/>
          <w:lang w:eastAsia="zh-CN"/>
        </w:rPr>
        <w:t xml:space="preserve">五</w:t>
      </w:r>
      <w:r>
        <w:rPr>
          <w:rFonts w:hint="eastAsia" w:ascii="宋体" w:hAnsi="宋体" w:cs="楷体"/>
          <w:color w:val="auto"/>
          <w:sz w:val="24"/>
          <w:highlight w:val="none"/>
        </w:rPr>
        <w:t xml:space="preserve">部分“评标办法和标准”第7项规定对通过资格审查的投标人的投标文件进行符合性审查，以确定是否满足招标文件的实质性要求。</w:t>
      </w:r>
      <w:r>
        <w:rPr>
          <w:rFonts w:hint="eastAsia" w:ascii="宋体" w:hAnsi="宋体" w:cs="楷体"/>
          <w:b/>
          <w:color w:val="auto"/>
          <w:sz w:val="24"/>
          <w:highlight w:val="none"/>
        </w:rPr>
        <w:t xml:space="preserve">符合性审查合格投标人不足3家的，不进入详细评审环节。</w:t>
      </w:r>
      <w:r/>
    </w:p>
    <w:p>
      <w:pPr>
        <w:pStyle w:val="2320"/>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20.2根据《关于推动解决政府采购异常低价问题的通知》财库〔2026〕2号的要求，评审委员会应当启动异常低价投标（响应）审查程序的情形包括：</w:t>
      </w:r>
      <w:r/>
    </w:p>
    <w:p>
      <w:pPr>
        <w:pStyle w:val="2320"/>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2320"/>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2320"/>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3.投标（响应）报价低于采购项目最高限价45%的，即投标（响应）报价&lt;采购项目最高限价×45%；</w:t>
      </w:r>
      <w:r/>
    </w:p>
    <w:p>
      <w:pPr>
        <w:pStyle w:val="2320"/>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4.评审委员会基于专业判断，认为供应商报价过低，有可能影响产品质量或者不能诚信履约的其他情形。</w:t>
      </w:r>
      <w:r/>
    </w:p>
    <w:p>
      <w:pPr>
        <w:pStyle w:val="2320"/>
        <w:ind w:firstLine="48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81"/>
        <w:ind w:firstLine="480"/>
        <w:keepLines w:val="0"/>
        <w:keepNext w:val="0"/>
        <w:spacing w:before="0" w:after="0" w:line="360" w:lineRule="auto"/>
        <w:rPr>
          <w:rFonts w:ascii="宋体" w:hAnsi="宋体" w:cs="楷体"/>
          <w:b w:val="0"/>
          <w:color w:val="auto"/>
          <w:sz w:val="24"/>
          <w:szCs w:val="24"/>
          <w:highlight w:val="none"/>
        </w:rPr>
      </w:pPr>
      <w:r>
        <w:rPr>
          <w:rFonts w:hint="eastAsia" w:ascii="宋体" w:hAnsi="宋体" w:cs="楷体"/>
          <w:b w:val="0"/>
          <w:color w:val="auto"/>
          <w:sz w:val="24"/>
          <w:szCs w:val="24"/>
          <w:highlight w:val="none"/>
        </w:rPr>
        <w:t xml:space="preserve">20.3 投标文件澄清</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20.3.2投标人的澄清应登录“苏采云”系统进入“澄清事项”模块进行。</w:t>
      </w:r>
      <w:r/>
    </w:p>
    <w:p>
      <w:pPr>
        <w:ind w:firstLine="480"/>
        <w:spacing w:line="360" w:lineRule="auto"/>
        <w:rPr>
          <w:rFonts w:ascii="宋体" w:hAnsi="宋体" w:eastAsia="宋体" w:cs="楷体"/>
          <w:color w:val="auto"/>
          <w:sz w:val="24"/>
          <w:highlight w:val="none"/>
        </w:rPr>
      </w:pPr>
      <w:r>
        <w:rPr>
          <w:rFonts w:hint="eastAsia" w:ascii="宋体" w:hAnsi="宋体" w:cs="楷体"/>
          <w:color w:val="auto"/>
          <w:sz w:val="24"/>
          <w:highlight w:val="none"/>
        </w:rPr>
        <w:t xml:space="preserve">20.4 开标至评标结束期间，投标人应保持系统在线，如因</w:t>
      </w:r>
      <w:r>
        <w:rPr>
          <w:rFonts w:hint="eastAsia" w:ascii="宋体" w:hAnsi="宋体" w:eastAsia="宋体" w:cs="楷体"/>
          <w:color w:val="auto"/>
          <w:sz w:val="24"/>
          <w:highlight w:val="none"/>
        </w:rPr>
        <w:t xml:space="preserve">投标人自身原因未在规定时间内按评标委员会要求进行澄清、说明或者补正的，一切后果由投标人自行承担。</w:t>
      </w:r>
      <w:r/>
    </w:p>
    <w:p>
      <w:pPr>
        <w:ind w:firstLine="480"/>
        <w:spacing w:line="360" w:lineRule="auto"/>
        <w:rPr>
          <w:rFonts w:ascii="宋体" w:hAnsi="宋体" w:eastAsia="宋体" w:cs="楷体"/>
          <w:b/>
          <w:color w:val="auto"/>
          <w:sz w:val="24"/>
          <w:szCs w:val="24"/>
          <w:highlight w:val="none"/>
        </w:rPr>
      </w:pPr>
      <w:r>
        <w:rPr>
          <w:rFonts w:ascii="宋体" w:hAnsi="宋体" w:eastAsia="宋体" w:cs="楷体"/>
          <w:b/>
          <w:color w:val="auto"/>
          <w:sz w:val="24"/>
          <w:szCs w:val="24"/>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21．无效投标的情形</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 投标人存在下列情况之一的，其投标无效：　</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 投标人在苏采云系统规定的时间内未成功解密电子投标文件的。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21.1.2 投标人未按照招标文件要求上传电子投标文件的。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21.1.3同一投标人提交两个（含两个）以上不同的投标报价的。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21.1.4投标人不具备招标文件中规定资格要求的。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21.1.5投标人的报价超过了采购预算或最高限价的。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21.1.6未通过符合性审查的。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21.1.7不符合招标文件中规定的实质性要求和条件的。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21.1.9 投标文件含有采购人不能接受的附加条件的。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21.1.10符合招标文件前款第 20.2 条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21.1.11投标文件未按照招标文件要求加盖CA电子公章的。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21.1.12如有委托代理人，未提供投标人为其缴纳社保证明材料的。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21.1.13投标文件中提供了虚假或失实资料的。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21.1.14投标人存在串通投标情形的。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21.1.15加“★”项有负偏离的；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21.1.16为本项目提供整体设计、规范编制或者项目管理、监理、检测等服务的。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21.1.17不同投标人的法定代表人或单位负责人为同一个人或者存在直接控股、管理关系的。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21.1.18项目工期有负偏离的。</w:t>
      </w:r>
      <w:r/>
    </w:p>
    <w:p>
      <w:pPr>
        <w:ind w:firstLine="480"/>
        <w:spacing w:line="360" w:lineRule="auto"/>
        <w:rPr>
          <w:rFonts w:ascii="宋体" w:hAnsi="宋体" w:eastAsia="宋体" w:cs="Times New Roman"/>
          <w:color w:val="auto"/>
          <w:szCs w:val="24"/>
          <w:highlight w:val="none"/>
        </w:rPr>
      </w:pPr>
      <w:r>
        <w:rPr>
          <w:rFonts w:hint="eastAsia" w:ascii="宋体" w:hAnsi="宋体" w:eastAsia="宋体" w:cs="宋体"/>
          <w:b/>
          <w:color w:val="auto"/>
          <w:sz w:val="24"/>
          <w:szCs w:val="20"/>
          <w:highlight w:val="none"/>
          <w:u w:val="single"/>
        </w:rPr>
        <w:t xml:space="preserve">21.1.19不符合法律、法规和招标文件规定的其它实质性条款（须经评标委员会半数以上同意）。</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22. 串通投标的情形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22.1 有下列情形之一的，视为投标人串通投标，投标无效：</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（1）不同投标人的投标文件由同一单位或者个人编制；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（2）不同投标人委托同一单位或者个人办理投标事宜；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（3）不同投标人的投标文件载明的项目管理成员或者联系人员为同一人；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（4）不同投标人的投标文件异常一致或者投标报价呈规律性差异；</w:t>
      </w:r>
      <w:r/>
    </w:p>
    <w:p>
      <w:pPr>
        <w:ind w:firstLine="480"/>
        <w:spacing w:line="360" w:lineRule="auto"/>
        <w:rPr>
          <w:rFonts w:ascii="宋体" w:hAnsi="宋体" w:eastAsia="宋体" w:cs="楷体"/>
          <w:color w:val="auto"/>
          <w:szCs w:val="24"/>
          <w:highlight w:val="none"/>
        </w:rPr>
      </w:pPr>
      <w:r>
        <w:rPr>
          <w:rFonts w:hint="eastAsia" w:ascii="宋体" w:hAnsi="宋体" w:eastAsia="宋体" w:cs="楷体"/>
          <w:color w:val="auto"/>
          <w:sz w:val="24"/>
          <w:szCs w:val="24"/>
          <w:highlight w:val="none"/>
        </w:rPr>
        <w:t xml:space="preserve">（5）不同投标人的投标文件相互混装。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23.投标文件详细评审</w:t>
      </w:r>
      <w:r/>
    </w:p>
    <w:p>
      <w:pPr>
        <w:ind w:firstLine="480"/>
        <w:spacing w:line="360" w:lineRule="auto"/>
        <w:rPr>
          <w:rFonts w:ascii="宋体" w:hAnsi="宋体" w:eastAsia="宋体" w:cs="楷体"/>
          <w:color w:val="auto"/>
          <w:sz w:val="20"/>
          <w:szCs w:val="24"/>
          <w:highlight w:val="none"/>
        </w:rPr>
      </w:pPr>
      <w:r>
        <w:rPr>
          <w:rFonts w:hint="eastAsia" w:ascii="宋体" w:hAnsi="宋体" w:eastAsia="宋体" w:cs="楷体"/>
          <w:color w:val="auto"/>
          <w:sz w:val="24"/>
          <w:szCs w:val="24"/>
          <w:highlight w:val="none"/>
        </w:rPr>
        <w:t xml:space="preserve">23.1 评标委员会将按照招标文件第五部分“评标办法和标准”第8项规定，对符合性审查合格的投标文件进行商务、技术和价格评估，综合比较与评价。</w:t>
      </w:r>
      <w:r/>
    </w:p>
    <w:p>
      <w:pPr>
        <w:ind w:firstLine="602"/>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24.评标过程的保密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24.2 </w:t>
      </w:r>
      <w:r>
        <w:rPr>
          <w:rFonts w:hint="eastAsia" w:ascii="宋体" w:hAnsi="宋体" w:eastAsia="宋体" w:cs="楷体"/>
          <w:b/>
          <w:color w:val="auto"/>
          <w:sz w:val="24"/>
          <w:szCs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25．废标的情形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25.1 出现下列情形之一的，将予废标：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（1）符合专业条件的供应商或者对招标文件作实质响应的供应商不足三家的；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（2）出现影响采购公正的违法、违规行为的；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（3）投标人的报价均超过了采购预算，采购人不能支付的；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（4）因重大变故，采购任务取消的；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废标后，采购人应当将废标理由通知所有投标人。</w:t>
      </w:r>
      <w:r/>
    </w:p>
    <w:p>
      <w:pPr>
        <w:ind w:firstLine="643"/>
        <w:jc w:val="center"/>
        <w:spacing w:before="200" w:after="200" w:line="360" w:lineRule="auto"/>
        <w:rPr>
          <w:rFonts w:ascii="宋体" w:hAnsi="宋体" w:eastAsia="宋体" w:cs="楷体"/>
          <w:b/>
          <w:color w:val="auto"/>
          <w:sz w:val="32"/>
          <w:szCs w:val="20"/>
          <w:highlight w:val="none"/>
        </w:rPr>
        <w:outlineLvl w:val="2"/>
      </w:pPr>
      <w:r>
        <w:rPr>
          <w:rFonts w:hint="eastAsia" w:ascii="宋体" w:hAnsi="宋体" w:eastAsia="宋体" w:cs="楷体"/>
          <w:b/>
          <w:color w:val="auto"/>
          <w:sz w:val="32"/>
          <w:szCs w:val="20"/>
          <w:highlight w:val="none"/>
        </w:rPr>
        <w:t xml:space="preserve">六、确定结果</w:t>
      </w:r>
      <w:r/>
    </w:p>
    <w:p>
      <w:pPr>
        <w:ind w:firstLine="602"/>
        <w:spacing w:line="360" w:lineRule="auto"/>
        <w:rPr>
          <w:rFonts w:ascii="宋体" w:hAnsi="宋体" w:eastAsia="宋体" w:cs="楷体"/>
          <w:b/>
          <w:bCs/>
          <w:color w:val="auto"/>
          <w:sz w:val="30"/>
          <w:szCs w:val="32"/>
          <w:highlight w:val="none"/>
        </w:rPr>
      </w:pPr>
      <w:r>
        <w:rPr>
          <w:rFonts w:hint="eastAsia" w:ascii="宋体" w:hAnsi="宋体" w:eastAsia="宋体" w:cs="楷体"/>
          <w:b/>
          <w:bCs/>
          <w:color w:val="auto"/>
          <w:sz w:val="30"/>
          <w:szCs w:val="32"/>
          <w:highlight w:val="none"/>
        </w:rPr>
        <w:t xml:space="preserve">26.确定中标人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26.1采购代理机构在评标结束后2个工作日内将评标报告送采购人。</w:t>
      </w:r>
      <w:r/>
    </w:p>
    <w:p>
      <w:pPr>
        <w:ind w:firstLine="480"/>
        <w:spacing w:line="360" w:lineRule="auto"/>
        <w:rPr>
          <w:rFonts w:ascii="宋体" w:hAnsi="宋体" w:eastAsia="宋体" w:cs="楷体"/>
          <w:color w:val="auto"/>
          <w:sz w:val="24"/>
          <w:szCs w:val="24"/>
          <w:highlight w:val="none"/>
        </w:rPr>
      </w:pPr>
      <w:r/>
      <w:bookmarkStart w:id="71" w:name="_Hlk132702541"/>
      <w:r/>
      <w:bookmarkStart w:id="72" w:name="_Hlk132702790"/>
      <w:r>
        <w:rPr>
          <w:rFonts w:hint="eastAsia" w:ascii="宋体" w:hAnsi="宋体" w:eastAsia="宋体" w:cs="楷体"/>
          <w:color w:val="auto"/>
          <w:sz w:val="24"/>
          <w:szCs w:val="24"/>
          <w:highlight w:val="none"/>
        </w:rPr>
        <w:t xml:space="preserve">26.</w:t>
      </w:r>
      <w:bookmarkEnd w:id="71"/>
      <w:r>
        <w:rPr>
          <w:rFonts w:hint="eastAsia" w:ascii="宋体" w:hAnsi="宋体" w:eastAsia="宋体" w:cs="楷体"/>
          <w:color w:val="auto"/>
          <w:sz w:val="24"/>
          <w:szCs w:val="24"/>
          <w:highlight w:val="none"/>
        </w:rPr>
        <w:t xml:space="preserve">2</w:t>
      </w:r>
      <w:bookmarkEnd w:id="72"/>
      <w:r>
        <w:rPr>
          <w:rFonts w:hint="eastAsia" w:ascii="宋体" w:hAnsi="宋体" w:eastAsia="宋体" w:cs="楷体"/>
          <w:color w:val="auto"/>
          <w:sz w:val="24"/>
          <w:szCs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七、授予合同</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27．中标通知书</w:t>
      </w:r>
      <w:r/>
    </w:p>
    <w:p>
      <w:pPr>
        <w:ind w:firstLine="480"/>
        <w:spacing w:line="360" w:lineRule="auto"/>
        <w:rPr>
          <w:rFonts w:ascii="宋体" w:hAnsi="宋体" w:eastAsia="宋体" w:cs="楷体"/>
          <w:color w:val="auto"/>
          <w:sz w:val="24"/>
          <w:szCs w:val="20"/>
          <w:highlight w:val="none"/>
        </w:rPr>
        <w:outlineLvl w:val="2"/>
      </w:pPr>
      <w:r>
        <w:rPr>
          <w:rFonts w:hint="eastAsia" w:ascii="宋体" w:hAnsi="宋体" w:eastAsia="宋体" w:cs="楷体"/>
          <w:color w:val="auto"/>
          <w:sz w:val="24"/>
          <w:szCs w:val="20"/>
          <w:highlight w:val="none"/>
        </w:rPr>
        <w:t xml:space="preserve">27.1 自中标人确定之日起2个工作日内，采购代理机构向中标人发出中标通知书，同时编制发布采购结果公告。</w:t>
      </w:r>
      <w:r/>
    </w:p>
    <w:p>
      <w:pPr>
        <w:ind w:firstLine="480"/>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color w:val="auto"/>
          <w:sz w:val="24"/>
          <w:szCs w:val="20"/>
          <w:highlight w:val="none"/>
        </w:rPr>
        <w:t xml:space="preserve">27.2中标通知书发出后，采购人不得违法改变中标结果，中标人无正当理由不得放弃中标。</w:t>
      </w:r>
      <w:r/>
    </w:p>
    <w:p>
      <w:pPr>
        <w:ind w:firstLine="602"/>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28.履约保证金</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28.1☑</w:t>
      </w:r>
      <w:r>
        <w:rPr>
          <w:rFonts w:hint="eastAsia" w:ascii="宋体" w:hAnsi="宋体" w:eastAsia="宋体" w:cs="宋体"/>
          <w:bCs/>
          <w:color w:val="auto"/>
          <w:sz w:val="24"/>
          <w:szCs w:val="20"/>
          <w:highlight w:val="none"/>
        </w:rPr>
        <w:t xml:space="preserve">本项目不收取履约保证金</w:t>
      </w:r>
      <w:r/>
    </w:p>
    <w:p>
      <w:pPr>
        <w:ind w:firstLine="480"/>
        <w:spacing w:line="360" w:lineRule="auto"/>
        <w:rPr>
          <w:rFonts w:ascii="宋体" w:hAnsi="宋体" w:eastAsia="宋体" w:cs="楷体"/>
          <w:bCs/>
          <w:color w:val="auto"/>
          <w:sz w:val="24"/>
          <w:szCs w:val="20"/>
          <w:highlight w:val="none"/>
        </w:rPr>
      </w:pPr>
      <w:r>
        <w:rPr>
          <w:rFonts w:hint="eastAsia" w:ascii="Segoe UI Symbol" w:hAnsi="Segoe UI Symbol" w:eastAsia="宋体" w:cs="Segoe UI Symbol"/>
          <w:bCs/>
          <w:color w:val="auto"/>
          <w:sz w:val="24"/>
          <w:szCs w:val="20"/>
          <w:highlight w:val="none"/>
        </w:rPr>
        <w:t xml:space="preserve">□</w:t>
      </w:r>
      <w:r>
        <w:rPr>
          <w:rFonts w:hint="eastAsia" w:ascii="宋体" w:hAnsi="宋体" w:eastAsia="宋体" w:cs="楷体"/>
          <w:bCs/>
          <w:color w:val="auto"/>
          <w:sz w:val="24"/>
          <w:szCs w:val="20"/>
          <w:highlight w:val="none"/>
        </w:rPr>
        <w:t xml:space="preserve">本项目中标供应商应提交合同金额XX的履约保证金（不得超过政府采购合同金额的10%），履约保证金应以支票、汇票、本票、保函、保险保单等非现金形式缴纳或提交。</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履约保证金退还的条件： </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货物类项目，项目验收合格，出具验收报告及履约保证金收据申请退付；</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履约保证金退还时间：采购单位收到投标人退付申请后5个工作日内退还；</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29．签订合同</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29.1 采购人应当自中标通知书发出之日起</w:t>
      </w:r>
      <w:r>
        <w:rPr>
          <w:rFonts w:hint="eastAsia" w:ascii="宋体" w:hAnsi="宋体" w:eastAsia="宋体" w:cs="楷体"/>
          <w:color w:val="auto"/>
          <w:sz w:val="24"/>
          <w:szCs w:val="24"/>
          <w:highlight w:val="none"/>
          <w:u w:val="single"/>
        </w:rPr>
        <w:t xml:space="preserve">15</w:t>
      </w:r>
      <w:r>
        <w:rPr>
          <w:rFonts w:hint="eastAsia" w:ascii="宋体" w:hAnsi="宋体" w:eastAsia="宋体" w:cs="楷体"/>
          <w:color w:val="auto"/>
          <w:sz w:val="24"/>
          <w:szCs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643"/>
        <w:jc w:val="center"/>
        <w:spacing w:line="360" w:lineRule="auto"/>
        <w:rPr>
          <w:rFonts w:ascii="宋体" w:hAnsi="宋体" w:eastAsia="宋体" w:cs="楷体"/>
          <w:b/>
          <w:color w:val="auto"/>
          <w:sz w:val="32"/>
          <w:szCs w:val="32"/>
          <w:highlight w:val="none"/>
          <w:shd w:val="clear" w:color="auto" w:fill="ffffff"/>
        </w:rPr>
      </w:pPr>
      <w:r>
        <w:rPr>
          <w:rFonts w:hint="eastAsia" w:ascii="宋体" w:hAnsi="宋体" w:eastAsia="宋体" w:cs="楷体"/>
          <w:b/>
          <w:color w:val="auto"/>
          <w:sz w:val="32"/>
          <w:szCs w:val="32"/>
          <w:highlight w:val="none"/>
          <w:shd w:val="clear" w:color="auto" w:fill="ffffff"/>
        </w:rPr>
        <w:t xml:space="preserve">八、询问、质疑、投诉</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30．询问</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31．质疑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以上规定的供应商应知其权益受到损害之日，是指：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（1）对可以质疑的采购文件提出质疑的，为收到采购文件之日或者采购文件公告期限届满之日；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（2）对采购过程提出质疑的，为各采购程序环节结束之日；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（3）对中标结果提出质疑的，为中标结果公告期限届满之日。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31.5本项目采购人及丹阳市政府采购中心只接收以纸质原件形式送达的质疑。（本项目采购人及丹阳市政府采购中心不接受未填写快递运单的快件）</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接收部门:丹阳市政府采购中心</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接收地址:丹阳市开发区兰陵路88号四楼</w:t>
      </w:r>
      <w:r/>
    </w:p>
    <w:p>
      <w:pPr>
        <w:ind w:firstLine="480"/>
        <w:spacing w:line="360" w:lineRule="auto"/>
        <w:rPr>
          <w:rFonts w:hint="eastAsia" w:ascii="宋体" w:hAnsi="宋体" w:eastAsia="宋体" w:cs="楷体"/>
          <w:color w:val="auto"/>
          <w:sz w:val="24"/>
          <w:szCs w:val="24"/>
          <w:highlight w:val="none"/>
          <w:lang w:eastAsia="zh-CN"/>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eastAsia="zh-CN"/>
        </w:rPr>
        <w:t xml:space="preserve">王东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联系电话:0511-86906230</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31.6以下情形的质疑不予受理：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31.6.1内容不符合《政府采购质疑和投诉办法》第十二条规定的质疑。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31.6.2超出政府采购法定期限的质疑。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31.6.3以传真、电子邮件等方式递交的非原件形式的质疑。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31.6.4未参加投标活动的供应商或在投标活动中自身权益未受到损害的供应商所提出的质疑。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31.6.5供应商组成联合体参加投标，联合体中任何一方或多方未按要求签字、盖章、加盖公章的质疑。</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楷体"/>
          <w:color w:val="auto"/>
          <w:sz w:val="24"/>
          <w:szCs w:val="24"/>
          <w:highlight w:val="none"/>
        </w:rPr>
        <w:t xml:space="preserve">31.6.6质疑流程及质疑函格式见“镇江市公共资源交易平台”网站-政民互动-质疑渠道。</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32．投诉</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32.2以联合体形式参加政府采购活动的，其投诉应当由组成联合体的所有供应商共同提出。</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32.3投诉流程及注意事项见“镇江市公共资源交易服务平台—政府采购”网站“投诉指引”。</w:t>
      </w:r>
      <w:r/>
    </w:p>
    <w:p>
      <w:pPr>
        <w:ind w:firstLine="643"/>
        <w:jc w:val="center"/>
        <w:spacing w:line="360" w:lineRule="auto"/>
        <w:rPr>
          <w:rFonts w:ascii="宋体" w:hAnsi="宋体" w:eastAsia="宋体" w:cs="楷体"/>
          <w:color w:val="auto"/>
          <w:sz w:val="32"/>
          <w:szCs w:val="32"/>
          <w:highlight w:val="none"/>
        </w:rPr>
      </w:pPr>
      <w:r>
        <w:rPr>
          <w:rFonts w:hint="eastAsia" w:ascii="宋体" w:hAnsi="宋体" w:eastAsia="宋体" w:cs="楷体"/>
          <w:b/>
          <w:color w:val="auto"/>
          <w:sz w:val="32"/>
          <w:szCs w:val="32"/>
          <w:highlight w:val="none"/>
          <w:shd w:val="clear" w:color="auto" w:fill="ffffff"/>
        </w:rPr>
        <w:t xml:space="preserve">九、诚实信用和解释权</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33．诚实信用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33.3 供应商不得虚假承诺，否则，按照提供虚假材料谋取中标处理。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33.4 供应商应自觉遵守开标、评标纪律，扰乱开标评标现场秩序的，属于失信行为，根据《江苏省政府采购供应商监督管理暂行办法》，失信行为将被记入供应商诚信档案。</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eastAsia="宋体" w:cs="楷体"/>
          <w:color w:val="auto"/>
          <w:sz w:val="24"/>
          <w:szCs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34.适用法律及约束力</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34.1 </w:t>
      </w:r>
      <w:r>
        <w:rPr>
          <w:rFonts w:hint="eastAsia" w:ascii="宋体" w:hAnsi="宋体" w:eastAsia="宋体" w:cs="楷体"/>
          <w:b/>
          <w:color w:val="auto"/>
          <w:sz w:val="24"/>
          <w:szCs w:val="24"/>
          <w:highlight w:val="none"/>
        </w:rPr>
        <w:t xml:space="preserve">投标人一旦获取了本招标文件并参加投标，即被认为接受了本招标文件的规定和约束。</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34.2 本次招标及由本次招标产生的合同受中华人民共和国法律制约和保护。</w:t>
      </w:r>
      <w:r/>
    </w:p>
    <w:p>
      <w:pPr>
        <w:ind w:firstLine="602"/>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35.解释权</w:t>
      </w:r>
      <w:r/>
    </w:p>
    <w:p>
      <w:pPr>
        <w:ind w:firstLine="480"/>
        <w:spacing w:line="360" w:lineRule="auto"/>
        <w:rPr>
          <w:rFonts w:ascii="宋体" w:hAnsi="宋体" w:eastAsia="宋体" w:cs="楷体"/>
          <w:b/>
          <w:color w:val="auto"/>
          <w:sz w:val="30"/>
          <w:szCs w:val="24"/>
          <w:highlight w:val="none"/>
        </w:rPr>
      </w:pPr>
      <w:r>
        <w:rPr>
          <w:rFonts w:hint="eastAsia" w:ascii="宋体" w:hAnsi="宋体" w:eastAsia="宋体" w:cs="楷体"/>
          <w:color w:val="auto"/>
          <w:sz w:val="24"/>
          <w:szCs w:val="24"/>
          <w:highlight w:val="none"/>
        </w:rPr>
        <w:t xml:space="preserve">除相关法律、法规规定外，本招标文件的解释权归采购代理机构所有。</w:t>
      </w:r>
      <w:r>
        <w:rPr>
          <w:rFonts w:hint="eastAsia" w:ascii="宋体" w:hAnsi="宋体" w:eastAsia="宋体" w:cs="楷体"/>
          <w:b/>
          <w:color w:val="auto"/>
          <w:sz w:val="30"/>
          <w:szCs w:val="24"/>
          <w:highlight w:val="none"/>
        </w:rPr>
        <w:br w:type="page" w:clear="all"/>
      </w:r>
      <w:r/>
    </w:p>
    <w:p>
      <w:pPr>
        <w:jc w:val="center"/>
        <w:spacing w:line="360" w:lineRule="auto"/>
        <w:widowControl/>
        <w:rPr>
          <w:rFonts w:ascii="宋体" w:hAnsi="宋体" w:eastAsia="宋体" w:cs="楷体"/>
          <w:b/>
          <w:color w:val="auto"/>
          <w:sz w:val="32"/>
          <w:szCs w:val="28"/>
          <w:highlight w:val="none"/>
        </w:rPr>
      </w:pPr>
      <w:r>
        <w:rPr>
          <w:rFonts w:hint="eastAsia" w:ascii="宋体" w:hAnsi="宋体" w:eastAsia="宋体" w:cs="楷体"/>
          <w:b/>
          <w:color w:val="auto"/>
          <w:sz w:val="32"/>
          <w:szCs w:val="28"/>
          <w:highlight w:val="none"/>
        </w:rPr>
        <w:t xml:space="preserve">第三部分  合同条款</w:t>
      </w:r>
      <w:r/>
    </w:p>
    <w:p>
      <w:pPr>
        <w:jc w:val="center"/>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jc w:val="center"/>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jc w:val="center"/>
        <w:rPr>
          <w:rFonts w:ascii="Times New Roman" w:hAnsi="Times New Roman" w:eastAsia="黑体" w:cs="Times New Roman"/>
          <w:color w:val="auto"/>
          <w:sz w:val="36"/>
          <w:szCs w:val="36"/>
          <w:highlight w:val="none"/>
        </w:rPr>
      </w:pPr>
      <w:r>
        <w:rPr>
          <w:rFonts w:hint="eastAsia" w:ascii="Times New Roman" w:hAnsi="Times New Roman" w:eastAsia="黑体" w:cs="Times New Roman"/>
          <w:color w:val="auto"/>
          <w:sz w:val="36"/>
          <w:szCs w:val="36"/>
          <w:highlight w:val="none"/>
        </w:rPr>
        <w:t xml:space="preserve">丹阳市政府采购合同</w:t>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hint="eastAsia" w:ascii="黑体" w:hAnsi="Times New Roman" w:eastAsia="黑体" w:cs="Times New Roman"/>
          <w:b/>
          <w:color w:val="auto"/>
          <w:sz w:val="36"/>
          <w:szCs w:val="36"/>
          <w:highlight w:val="none"/>
        </w:rPr>
        <w:t xml:space="preserve">项目编号：</w:t>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hint="eastAsia" w:ascii="黑体" w:hAnsi="Times New Roman" w:eastAsia="黑体" w:cs="Times New Roman"/>
          <w:b/>
          <w:color w:val="auto"/>
          <w:sz w:val="36"/>
          <w:szCs w:val="36"/>
          <w:highlight w:val="none"/>
        </w:rPr>
        <w:t xml:space="preserve">项目名称：</w:t>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u w:val="single"/>
        </w:rPr>
      </w:pPr>
      <w:r>
        <w:rPr>
          <w:rFonts w:hint="eastAsia" w:ascii="黑体" w:hAnsi="Times New Roman" w:eastAsia="黑体" w:cs="Times New Roman"/>
          <w:b/>
          <w:color w:val="auto"/>
          <w:sz w:val="36"/>
          <w:szCs w:val="36"/>
          <w:highlight w:val="none"/>
        </w:rPr>
        <w:t xml:space="preserve">采购人：</w:t>
      </w:r>
      <w:r/>
    </w:p>
    <w:p>
      <w:pPr>
        <w:rPr>
          <w:rFonts w:ascii="黑体" w:hAnsi="Times New Roman" w:eastAsia="黑体" w:cs="Times New Roman"/>
          <w:b/>
          <w:color w:val="auto"/>
          <w:sz w:val="36"/>
          <w:szCs w:val="36"/>
          <w:highlight w:val="none"/>
        </w:rPr>
      </w:pPr>
      <w:r>
        <w:rPr>
          <w:rFonts w:ascii="黑体" w:hAnsi="Times New Roman" w:eastAsia="黑体" w:cs="Times New Roman"/>
          <w:b/>
          <w:color w:val="auto"/>
          <w:sz w:val="36"/>
          <w:szCs w:val="36"/>
          <w:highlight w:val="none"/>
        </w:rPr>
      </w:r>
      <w:r/>
    </w:p>
    <w:p>
      <w:pPr>
        <w:rPr>
          <w:rFonts w:ascii="黑体" w:hAnsi="Times New Roman" w:eastAsia="黑体" w:cs="Times New Roman"/>
          <w:b/>
          <w:color w:val="auto"/>
          <w:sz w:val="36"/>
          <w:szCs w:val="36"/>
          <w:highlight w:val="none"/>
        </w:rPr>
      </w:pPr>
      <w:r>
        <w:rPr>
          <w:rFonts w:hint="eastAsia" w:ascii="黑体" w:hAnsi="Times New Roman" w:eastAsia="黑体" w:cs="Times New Roman"/>
          <w:b/>
          <w:color w:val="auto"/>
          <w:sz w:val="36"/>
          <w:szCs w:val="36"/>
          <w:highlight w:val="none"/>
        </w:rPr>
        <w:t xml:space="preserve">中标供应商：</w:t>
      </w:r>
      <w:r/>
    </w:p>
    <w:p>
      <w:pPr>
        <w:rPr>
          <w:rFonts w:ascii="黑体" w:hAnsi="Times New Roman" w:eastAsia="黑体" w:cs="Times New Roman"/>
          <w:b/>
          <w:color w:val="auto"/>
          <w:sz w:val="36"/>
          <w:szCs w:val="24"/>
          <w:highlight w:val="none"/>
        </w:rPr>
      </w:pPr>
      <w:r>
        <w:rPr>
          <w:rFonts w:ascii="黑体" w:hAnsi="Times New Roman" w:eastAsia="黑体" w:cs="Times New Roman"/>
          <w:b/>
          <w:color w:val="auto"/>
          <w:sz w:val="36"/>
          <w:szCs w:val="24"/>
          <w:highlight w:val="none"/>
        </w:rPr>
      </w:r>
      <w:r/>
    </w:p>
    <w:p>
      <w:pPr>
        <w:rPr>
          <w:rFonts w:ascii="黑体" w:hAnsi="Times New Roman" w:eastAsia="黑体" w:cs="Times New Roman"/>
          <w:color w:val="auto"/>
          <w:sz w:val="36"/>
          <w:szCs w:val="24"/>
          <w:highlight w:val="none"/>
        </w:rPr>
      </w:pPr>
      <w:r>
        <w:rPr>
          <w:rFonts w:hint="eastAsia" w:ascii="黑体" w:hAnsi="Times New Roman" w:eastAsia="黑体" w:cs="Times New Roman"/>
          <w:color w:val="auto"/>
          <w:sz w:val="36"/>
          <w:szCs w:val="24"/>
          <w:highlight w:val="none"/>
        </w:rPr>
        <w:br w:type="page" w:clear="all"/>
      </w:r>
      <w:r/>
    </w:p>
    <w:p>
      <w:pPr>
        <w:jc w:val="center"/>
        <w:rPr>
          <w:rFonts w:ascii="黑体" w:hAnsi="Times New Roman" w:eastAsia="黑体" w:cs="Times New Roman"/>
          <w:color w:val="auto"/>
          <w:sz w:val="36"/>
          <w:szCs w:val="24"/>
          <w:highlight w:val="none"/>
        </w:rPr>
      </w:pPr>
      <w:r>
        <w:rPr>
          <w:rFonts w:hint="eastAsia" w:ascii="黑体" w:hAnsi="Times New Roman" w:eastAsia="黑体" w:cs="Times New Roman"/>
          <w:color w:val="auto"/>
          <w:sz w:val="36"/>
          <w:szCs w:val="24"/>
          <w:highlight w:val="none"/>
        </w:rPr>
        <w:t xml:space="preserve">使用说明</w:t>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ind w:firstLine="640"/>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1.本合同标准文本适用于购买现成货物的采购项目，不包括需要供应商定制开发、创新研发的货物采购项目。</w:t>
      </w:r>
      <w:r/>
    </w:p>
    <w:p>
      <w:pPr>
        <w:ind w:firstLine="640"/>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Times New Roman" w:hAnsi="Times New Roman" w:eastAsia="黑体" w:cs="Times New Roman"/>
          <w:color w:val="auto"/>
          <w:sz w:val="32"/>
          <w:szCs w:val="32"/>
          <w:highlight w:val="none"/>
        </w:rPr>
      </w:pPr>
      <w:r>
        <w:rPr>
          <w:rFonts w:hint="eastAsia" w:ascii="宋体" w:hAnsi="宋体" w:eastAsia="宋体" w:cs="宋体"/>
          <w:color w:val="auto"/>
          <w:sz w:val="32"/>
          <w:szCs w:val="32"/>
          <w:highlight w:val="none"/>
        </w:rPr>
        <w:t xml:space="preserve">3.本合同标准文本各条款中，如涉及填写多家供应商、制造商，多种采购标的、分包主要内容等信息的，可根据采购项目具体情况添加信息项。</w:t>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rPr>
          <w:rFonts w:ascii="黑体" w:hAnsi="Times New Roman" w:eastAsia="黑体" w:cs="Times New Roman"/>
          <w:color w:val="auto"/>
          <w:sz w:val="36"/>
          <w:szCs w:val="24"/>
          <w:highlight w:val="none"/>
        </w:rPr>
      </w:pPr>
      <w:r>
        <w:rPr>
          <w:rFonts w:ascii="黑体" w:hAnsi="Times New Roman" w:eastAsia="黑体" w:cs="Times New Roman"/>
          <w:color w:val="auto"/>
          <w:sz w:val="36"/>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Lines/>
        <w:keepNext/>
        <w:spacing w:before="260" w:after="260" w:line="416" w:lineRule="auto"/>
        <w:rPr>
          <w:rFonts w:ascii="Times New Roman" w:hAnsi="Times New Roman" w:eastAsia="宋体" w:cs="Times New Roman"/>
          <w:b/>
          <w:color w:val="auto"/>
          <w:sz w:val="32"/>
          <w:szCs w:val="20"/>
          <w:highlight w:val="none"/>
        </w:rPr>
        <w:outlineLvl w:val="2"/>
      </w:pPr>
      <w:r>
        <w:rPr>
          <w:rFonts w:ascii="Times New Roman" w:hAnsi="Times New Roman" w:eastAsia="宋体" w:cs="Times New Roman"/>
          <w:b/>
          <w:color w:val="auto"/>
          <w:sz w:val="32"/>
          <w:szCs w:val="20"/>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360" w:lineRule="auto"/>
        <w:rPr>
          <w:rFonts w:ascii="宋体" w:hAnsi="宋体" w:eastAsia="宋体" w:cs="Times New Roman"/>
          <w:color w:val="auto"/>
          <w:szCs w:val="24"/>
          <w:highlight w:val="none"/>
        </w:rPr>
      </w:pPr>
      <w:r>
        <w:rPr>
          <w:rFonts w:hint="eastAsia" w:ascii="黑体" w:hAnsi="宋体" w:eastAsia="黑体" w:cs="Times New Roman"/>
          <w:color w:val="auto"/>
          <w:sz w:val="30"/>
          <w:szCs w:val="30"/>
          <w:highlight w:val="none"/>
        </w:rPr>
        <w:br w:type="page" w:clear="all"/>
      </w:r>
      <w:r/>
    </w:p>
    <w:p>
      <w:pPr>
        <w:jc w:val="center"/>
        <w:keepLines/>
        <w:keepNext/>
        <w:spacing w:line="400" w:lineRule="exact"/>
        <w:rPr>
          <w:rFonts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第一节 政府采购合同协议书</w:t>
      </w:r>
      <w:r/>
    </w:p>
    <w:p>
      <w:pPr>
        <w:jc w:val="center"/>
        <w:keepLines/>
        <w:keepNext/>
        <w:spacing w:line="400" w:lineRule="exact"/>
        <w:rPr>
          <w:rFonts w:ascii="黑体" w:hAnsi="华文中宋" w:eastAsia="黑体" w:cs="Times New Roman"/>
          <w:color w:val="auto"/>
          <w:sz w:val="28"/>
          <w:szCs w:val="28"/>
          <w:highlight w:val="none"/>
        </w:rPr>
        <w:outlineLvl w:val="1"/>
      </w:pPr>
      <w:r>
        <w:rPr>
          <w:rFonts w:ascii="黑体" w:hAnsi="华文中宋" w:eastAsia="黑体" w:cs="Times New Roman"/>
          <w:color w:val="auto"/>
          <w:sz w:val="28"/>
          <w:szCs w:val="28"/>
          <w:highlight w:val="none"/>
        </w:rPr>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甲方（全称）：（采购人）</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乙方（全称）：（供应商）</w:t>
      </w:r>
      <w:r/>
    </w:p>
    <w:p>
      <w:pPr>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rPr>
        <w:t xml:space="preserve">项目信息</w:t>
      </w:r>
      <w:r/>
    </w:p>
    <w:p>
      <w:pPr>
        <w:numPr>
          <w:ilvl w:val="0"/>
          <w:numId w:val="1"/>
        </w:numPr>
        <w:ind w:firstLine="48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采购项目名称：</w:t>
      </w:r>
      <w:r/>
    </w:p>
    <w:p>
      <w:pPr>
        <w:spacing w:line="400" w:lineRule="exact"/>
        <w:tabs>
          <w:tab w:val="left" w:pos="999"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采购项目编号：</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（2）采购计划编号：</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采购标的及数量（台/套/个/架/组等）：</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品牌：规格型号：</w:t>
      </w:r>
      <w:r/>
    </w:p>
    <w:p>
      <w:pPr>
        <w:ind w:firstLine="108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采购标的的技术要求、商务要求具体见附件。</w:t>
      </w:r>
      <w:r/>
    </w:p>
    <w:p>
      <w:pPr>
        <w:ind w:firstLine="10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①涉及信息类产品，请填写该产品关键部件的品牌、型号：</w:t>
      </w:r>
      <w:r/>
    </w:p>
    <w:p>
      <w:pPr>
        <w:ind w:firstLine="48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标的名称：</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 品牌： 型号：</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 品牌： 型号：</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 品牌： 型号：</w:t>
      </w:r>
      <w:r/>
    </w:p>
    <w:p>
      <w:pPr>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②涉及车辆采购，请填写是否属于新能源汽车：</w:t>
      </w:r>
      <w:r/>
    </w:p>
    <w:p>
      <w:pPr>
        <w:jc w:val="left"/>
        <w:spacing w:line="400" w:lineRule="exact"/>
        <w:widowControl/>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是，《政府采购品目分类目录》底级品目名称： 数量： 金额：</w:t>
      </w:r>
      <w:r/>
    </w:p>
    <w:p>
      <w:pPr>
        <w:jc w:val="left"/>
        <w:spacing w:line="400" w:lineRule="exact"/>
        <w:widowControl/>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（4）政府采购组织形式：</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部门集中采购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分散采购</w:t>
      </w:r>
      <w:r/>
    </w:p>
    <w:p>
      <w:pPr>
        <w:ind w:firstLine="42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（5）政府采购方式：</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竞争性磋商</w:t>
      </w:r>
      <w:r/>
    </w:p>
    <w:p>
      <w:pPr>
        <w:ind w:firstLine="420"/>
        <w:jc w:val="left"/>
        <w:spacing w:line="400" w:lineRule="exact"/>
        <w:widowControl/>
        <w:rPr>
          <w:rFonts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单一来源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框架协议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其他：</w:t>
      </w:r>
      <w:r/>
    </w:p>
    <w:p>
      <w:pPr>
        <w:ind w:firstLine="42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（注：在框架协议采购的第二阶段，可选择使用该合同文本）</w:t>
      </w:r>
      <w:r/>
    </w:p>
    <w:p>
      <w:pPr>
        <w:ind w:firstLine="24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（6）中标（成交）采购标的制造商是否为中小企业：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spacing w:line="400" w:lineRule="exact"/>
        <w:rPr>
          <w:rFonts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本合同是否为专门面向中小企业的采购合同（中小企业预留合同）：</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spacing w:line="400" w:lineRule="exact"/>
        <w:rPr>
          <w:rFonts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spacing w:line="400" w:lineRule="exact"/>
        <w:rPr>
          <w:rFonts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（7）合同是否分包：</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96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分包主要内容：</w:t>
      </w:r>
      <w:r/>
    </w:p>
    <w:p>
      <w:pPr>
        <w:ind w:firstLine="96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分包供应商/制造商名称（如供应商和制造商不同，请分别填写）：</w:t>
      </w:r>
      <w:r/>
    </w:p>
    <w:p>
      <w:pPr>
        <w:ind w:firstLine="960"/>
        <w:spacing w:line="400" w:lineRule="exact"/>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p>
    <w:p>
      <w:pPr>
        <w:ind w:firstLine="96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分包供应商/制造商类型（如果供应商和制造商不同，只填写制造商类型）：</w:t>
      </w:r>
      <w:r/>
    </w:p>
    <w:p>
      <w:pPr>
        <w:ind w:firstLine="960"/>
        <w:spacing w:line="400" w:lineRule="exact"/>
        <w:rPr>
          <w:rFonts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小微型企业  </w:t>
      </w:r>
      <w:r/>
    </w:p>
    <w:p>
      <w:pPr>
        <w:ind w:firstLine="960"/>
        <w:spacing w:line="400" w:lineRule="exact"/>
        <w:rPr>
          <w:rFonts w:ascii="宋体" w:hAnsi="宋体" w:eastAsia="宋体" w:cs="宋体"/>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残疾人福利性单位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监狱企业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其他</w:t>
      </w:r>
      <w:r/>
    </w:p>
    <w:p>
      <w:pPr>
        <w:spacing w:line="400" w:lineRule="exact"/>
        <w:rPr>
          <w:rFonts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（8）中标（成交）供应商是否为外商投资企业：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jc w:val="left"/>
        <w:spacing w:line="400" w:lineRule="exact"/>
        <w:widowControl/>
        <w:tabs>
          <w:tab w:val="left" w:pos="1340" w:leader="none"/>
        </w:tabs>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外商投资企业类型：</w:t>
      </w:r>
      <w:r>
        <w:rPr>
          <w:rFonts w:ascii="Wingdings" w:hAnsi="Wingdings" w:eastAsia="Wingdings" w:cs="Wingdings"/>
          <w:iCs/>
          <w:color w:val="auto"/>
          <w:sz w:val="24"/>
          <w:szCs w:val="24"/>
          <w:highlight w:val="none"/>
        </w:rPr>
        <w:t xml:space="preserve"></w:t>
      </w:r>
      <w:r>
        <w:rPr>
          <w:rFonts w:hint="eastAsia" w:ascii="宋体" w:hAnsi="宋体" w:eastAsia="宋体" w:cs="宋体"/>
          <w:color w:val="auto"/>
          <w:sz w:val="24"/>
          <w:szCs w:val="24"/>
          <w:highlight w:val="none"/>
        </w:rPr>
        <w:t xml:space="preserve">全部由外国投资者投资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部分由外国投资者投资</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（9）是否涉及进口产品：</w:t>
      </w:r>
      <w:r/>
    </w:p>
    <w:p>
      <w:pPr>
        <w:ind w:firstLine="960"/>
        <w:spacing w:line="400" w:lineRule="exact"/>
        <w:rPr>
          <w:rFonts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是，《政府采购品目分类目录》底级品目名称： 金额：</w:t>
      </w:r>
      <w:r/>
    </w:p>
    <w:p>
      <w:pPr>
        <w:ind w:firstLine="96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国别： 品牌： 规格型号：</w:t>
      </w:r>
      <w:r/>
    </w:p>
    <w:p>
      <w:pPr>
        <w:ind w:firstLine="960"/>
        <w:spacing w:line="400" w:lineRule="exact"/>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spacing w:line="400" w:lineRule="exact"/>
        <w:tabs>
          <w:tab w:val="left" w:pos="74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（10）是否涉及节能产品：</w:t>
      </w:r>
      <w:r/>
    </w:p>
    <w:p>
      <w:pPr>
        <w:spacing w:line="400" w:lineRule="exact"/>
        <w:tabs>
          <w:tab w:val="left" w:pos="740" w:leader="none"/>
        </w:tabs>
        <w:rPr>
          <w:rFonts w:ascii="宋体" w:hAnsi="宋体" w:eastAsia="宋体" w:cs="宋体"/>
          <w:i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是，《节能产品政府采购品目清单》的底级品目名称：</w:t>
      </w:r>
      <w:r/>
    </w:p>
    <w:p>
      <w:pPr>
        <w:spacing w:line="400" w:lineRule="exact"/>
        <w:tabs>
          <w:tab w:val="left" w:pos="740" w:leader="none"/>
        </w:tabs>
        <w:rPr>
          <w:rFonts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spacing w:line="400" w:lineRule="exact"/>
        <w:tabs>
          <w:tab w:val="left" w:pos="740" w:leader="none"/>
        </w:tabs>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spacing w:line="400" w:lineRule="exact"/>
        <w:tabs>
          <w:tab w:val="left" w:pos="74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是否涉及环境标志产品：</w:t>
      </w:r>
      <w:r/>
    </w:p>
    <w:p>
      <w:pPr>
        <w:spacing w:line="400" w:lineRule="exact"/>
        <w:tabs>
          <w:tab w:val="left" w:pos="740" w:leader="none"/>
        </w:tabs>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是，《环境标志产品政府采购品目清单》的底级品目名称：</w:t>
      </w:r>
      <w:r/>
    </w:p>
    <w:p>
      <w:pPr>
        <w:spacing w:line="400" w:lineRule="exact"/>
        <w:tabs>
          <w:tab w:val="left" w:pos="740" w:leader="none"/>
        </w:tabs>
        <w:rPr>
          <w:rFonts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spacing w:line="400" w:lineRule="exact"/>
        <w:tabs>
          <w:tab w:val="left" w:pos="740" w:leader="none"/>
        </w:tabs>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是否涉及绿色产品： </w:t>
      </w:r>
      <w:r/>
    </w:p>
    <w:p>
      <w:pPr>
        <w:ind w:firstLine="420"/>
        <w:jc w:val="left"/>
        <w:spacing w:line="400" w:lineRule="exact"/>
        <w:widowControl/>
        <w:rPr>
          <w:rFonts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是，绿色产品政府采购相关政策确定的底级品目名称：</w:t>
      </w:r>
      <w:r/>
    </w:p>
    <w:p>
      <w:pPr>
        <w:spacing w:line="400" w:lineRule="exact"/>
        <w:tabs>
          <w:tab w:val="left" w:pos="740" w:leader="none"/>
        </w:tabs>
        <w:rPr>
          <w:rFonts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ind w:firstLine="420"/>
        <w:jc w:val="left"/>
        <w:spacing w:line="400" w:lineRule="exact"/>
        <w:widowControl/>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（11）涉及商品包装和快递包装的，是否参考《商品包装政府采购需求标准（试行）》、《快递包装政府采购需求标准（试行）》明确产品及相关快递服务的具体包装要求：</w:t>
      </w:r>
      <w:r/>
    </w:p>
    <w:p>
      <w:pPr>
        <w:ind w:firstLine="960"/>
        <w:spacing w:line="400" w:lineRule="exact"/>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不涉及</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rPr>
        <w:t xml:space="preserve">合同金额</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（1）合同金额小写：</w:t>
      </w:r>
      <w:r/>
    </w:p>
    <w:p>
      <w:pPr>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大写：</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分包金额（如有）小写：</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大写：</w:t>
      </w:r>
      <w:r/>
    </w:p>
    <w:p>
      <w:pPr>
        <w:numPr>
          <w:ilvl w:val="0"/>
          <w:numId w:val="1"/>
        </w:num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p>
      <w:pPr>
        <w:ind w:left="420"/>
        <w:spacing w:line="400" w:lineRule="exact"/>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乙方自愿放弃本项目预付款。</w:t>
      </w:r>
      <w:r/>
    </w:p>
    <w:p>
      <w:pPr>
        <w:ind w:firstLine="480"/>
        <w:spacing w:line="400" w:lineRule="exact"/>
        <w:rPr>
          <w:color w:val="auto"/>
          <w:highlight w:val="none"/>
        </w:rPr>
      </w:pPr>
      <w:r>
        <w:rPr>
          <w:rFonts w:ascii="Wingdings" w:hAnsi="Wingdings" w:eastAsia="Wingdings" w:cs="Wingdings"/>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合同签订后，采购人支付合同金额的30%作为预付款，在收到中标人提供的相应金额的正规发票后10个工作日内进行支付。验收合格后第一年，采购人在收到中标人提供的相应金额的正规发票后10个工作日内支付合同金额的50%；验收合格后第二年，采购人在收到中标人提供的相应金额的正规发票后10个工作日内支付合同金额的10%；验收合格后第三年，采购人在收到中标人提供的相应金额的正规发票后10个工作日付清余款。</w:t>
      </w:r>
      <w:r/>
    </w:p>
    <w:p>
      <w:pPr>
        <w:numPr>
          <w:ilvl w:val="0"/>
          <w:numId w:val="0"/>
        </w:numPr>
        <w:ind w:firstLine="482"/>
        <w:spacing w:line="400" w:lineRule="exact"/>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rPr>
        <w:t xml:space="preserve">合同履行</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（1）起始日期：年月日，完成日期：年月日。</w:t>
      </w:r>
      <w:r/>
    </w:p>
    <w:p>
      <w:pPr>
        <w:ind w:firstLine="480"/>
        <w:spacing w:line="40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（2）履约地点</w:t>
      </w:r>
      <w:r>
        <w:rPr>
          <w:rFonts w:hint="eastAsia" w:ascii="宋体" w:hAnsi="宋体" w:eastAsia="宋体" w:cs="宋体"/>
          <w:bCs/>
          <w:color w:val="auto"/>
          <w:sz w:val="24"/>
          <w:szCs w:val="24"/>
          <w:highlight w:val="none"/>
        </w:rPr>
        <w:t xml:space="preserve">：</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收取履约保证金形式：</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收取履约保证金金额：</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履约担保期限：</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（4）分期履行要求：</w:t>
      </w:r>
      <w:r/>
    </w:p>
    <w:p>
      <w:pPr>
        <w:ind w:firstLine="480"/>
        <w:spacing w:line="400" w:lineRule="exact"/>
        <w:rPr>
          <w:rFonts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（5）风险处置措施和替代方案：</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4.</w:t>
      </w:r>
      <w:r>
        <w:rPr>
          <w:rFonts w:hint="eastAsia" w:ascii="宋体" w:hAnsi="宋体" w:eastAsia="宋体" w:cs="宋体"/>
          <w:b/>
          <w:color w:val="auto"/>
          <w:sz w:val="24"/>
          <w:szCs w:val="24"/>
          <w:highlight w:val="none"/>
        </w:rPr>
        <w:t xml:space="preserve">合同验收</w:t>
      </w:r>
      <w:r/>
    </w:p>
    <w:p>
      <w:pPr>
        <w:numPr>
          <w:ilvl w:val="0"/>
          <w:numId w:val="2"/>
        </w:num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委托第三方组织</w:t>
      </w:r>
      <w:r/>
    </w:p>
    <w:p>
      <w:pPr>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验收主体：</w:t>
      </w:r>
      <w:r/>
    </w:p>
    <w:p>
      <w:pPr>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是否邀请本项目的其他供应商参加验收：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是，抽查比例：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u w:val="single"/>
        </w:rPr>
        <w:t xml:space="preserve">（应明确对被破坏的检测产品的处理方式）</w:t>
      </w:r>
      <w:r/>
    </w:p>
    <w:p>
      <w:pPr>
        <w:ind w:firstLine="960"/>
        <w:spacing w:line="400" w:lineRule="exact"/>
        <w:rPr>
          <w:rFonts w:ascii="宋体" w:hAnsi="宋体" w:eastAsia="宋体" w:cs="宋体"/>
          <w:b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96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验收组织的其他事项：</w:t>
      </w:r>
      <w:r/>
    </w:p>
    <w:p>
      <w:pPr>
        <w:ind w:firstLine="48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（计划于何时验收/供应商提出验收申请之日起   日内组织验收） </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一次性验收         </w:t>
      </w:r>
      <w:r/>
    </w:p>
    <w:p>
      <w:pPr>
        <w:spacing w:line="400" w:lineRule="exact"/>
        <w:rPr>
          <w:rFonts w:ascii="宋体" w:hAnsi="宋体" w:eastAsia="宋体" w:cs="宋体"/>
          <w:b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u w:val="single"/>
        </w:rPr>
        <w:t xml:space="preserve"> （应明确分期/分项验收的工作安排）  </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（4）履约验收程序：</w:t>
      </w:r>
      <w:r/>
    </w:p>
    <w:p>
      <w:pPr>
        <w:ind w:firstLine="48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rPr>
        <w:t xml:space="preserve"> （应当包括每一项技术和商务要求的履约情况，特别是落实政府采购扶持中小企业，支持绿色发展和乡村振兴等政策情况）                                      </w:t>
      </w:r>
      <w:r/>
    </w:p>
    <w:p>
      <w:pPr>
        <w:ind w:firstLine="48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（6）履约验收标准：</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40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color w:val="auto"/>
          <w:sz w:val="24"/>
          <w:szCs w:val="24"/>
          <w:highlight w:val="none"/>
          <w:u w:val="single"/>
        </w:rPr>
        <w:t xml:space="preserve">      （产权过户登记等）          </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rPr>
        <w:t xml:space="preserve">组成合同的文件</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rPr>
        <w:t xml:space="preserve">合同生效</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w:t>
      </w:r>
      <w:r>
        <w:rPr>
          <w:rFonts w:hint="eastAsia" w:ascii="宋体" w:hAnsi="宋体" w:eastAsia="宋体" w:cs="Times New Roman"/>
          <w:color w:val="auto"/>
          <w:sz w:val="24"/>
          <w:szCs w:val="24"/>
          <w:highlight w:val="none"/>
        </w:rPr>
        <w:t xml:space="preserve">年月日</w:t>
      </w:r>
      <w:r>
        <w:rPr>
          <w:rFonts w:hint="eastAsia" w:ascii="宋体" w:hAnsi="宋体" w:eastAsia="宋体" w:cs="宋体"/>
          <w:color w:val="auto"/>
          <w:sz w:val="24"/>
          <w:szCs w:val="24"/>
          <w:highlight w:val="none"/>
        </w:rPr>
        <w:t xml:space="preserve">生效。</w:t>
      </w:r>
      <w:r/>
    </w:p>
    <w:p>
      <w:pPr>
        <w:numPr>
          <w:ilvl w:val="0"/>
          <w:numId w:val="0"/>
        </w:numPr>
        <w:ind w:firstLine="482"/>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lang w:val="en-US" w:eastAsia="zh-CN" w:bidi="ar-SA"/>
        </w:rPr>
        <w:t xml:space="preserve">7.</w:t>
      </w:r>
      <w:r>
        <w:rPr>
          <w:rFonts w:hint="eastAsia" w:ascii="宋体" w:hAnsi="宋体" w:eastAsia="宋体" w:cs="宋体"/>
          <w:b/>
          <w:color w:val="auto"/>
          <w:sz w:val="24"/>
          <w:szCs w:val="24"/>
          <w:highlight w:val="none"/>
        </w:rPr>
        <w:t xml:space="preserve">合同份数</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本合同一式份，甲方执份，乙方执份，均具有同等法律效力。</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合同订立时间：年月日</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w:t>
      </w:r>
      <w:r/>
    </w:p>
    <w:p>
      <w:pPr>
        <w:ind w:firstLine="480"/>
        <w:spacing w:line="400" w:lineRule="exact"/>
        <w:rPr>
          <w:rFonts w:ascii="Times New Roman" w:hAnsi="Times New Roman" w:eastAsia="宋体" w:cs="Times New Roman"/>
          <w:color w:val="auto"/>
          <w:szCs w:val="24"/>
          <w:highlight w:val="none"/>
        </w:rPr>
      </w:pPr>
      <w:r>
        <w:rPr>
          <w:rFonts w:hint="eastAsia" w:ascii="宋体" w:hAnsi="宋体" w:eastAsia="宋体" w:cs="宋体"/>
          <w:color w:val="auto"/>
          <w:sz w:val="24"/>
          <w:szCs w:val="24"/>
          <w:highlight w:val="none"/>
        </w:rPr>
        <w:t xml:space="preserve">附件：具体标的及其技术要求和商务要求、联合协议、分包意向协议等。</w:t>
      </w:r>
      <w:r/>
    </w:p>
    <w:p>
      <w:pPr>
        <w:ind w:firstLine="420"/>
        <w:spacing w:line="40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Lines/>
        <w:keepNext/>
        <w:rPr>
          <w:rFonts w:ascii="宋体" w:hAnsi="宋体" w:eastAsia="宋体" w:cs="Times New Roman"/>
          <w:color w:val="auto"/>
          <w:szCs w:val="21"/>
          <w:highlight w:val="none"/>
        </w:rPr>
        <w:outlineLvl w:val="1"/>
      </w:pPr>
      <w:r>
        <w:rPr>
          <w:rFonts w:ascii="宋体" w:hAnsi="宋体" w:eastAsia="宋体" w:cs="Times New Roman"/>
          <w:color w:val="auto"/>
          <w:szCs w:val="21"/>
          <w:highlight w:val="none"/>
        </w:rPr>
      </w:r>
      <w:r/>
    </w:p>
    <w:tbl>
      <w:tblPr>
        <w:tblStyle w:val="689"/>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2725"/>
        <w:gridCol w:w="2235"/>
        <w:gridCol w:w="2391"/>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firstLine="115"/>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r>
            <w:r/>
          </w:p>
        </w:tc>
      </w:tr>
      <w:tr>
        <w:trPr>
          <w:trHeight w:val="586"/>
        </w:trPr>
        <w:tc>
          <w:tcPr>
            <w:gridSpan w:val="4"/>
            <w:tcBorders>
              <w:top w:val="single" w:color="000000" w:sz="2" w:space="0"/>
            </w:tcBorders>
            <w:tcW w:w="5000" w:type="pct"/>
            <w:vAlign w:val="center"/>
            <w:textDirection w:val="lrTb"/>
            <w:noWrap w:val="false"/>
          </w:tcPr>
          <w:p>
            <w:pPr>
              <w:ind w:firstLine="645"/>
              <w:jc w:val="left"/>
              <w:spacing w:before="120" w:line="360" w:lineRule="auto"/>
              <w:rPr>
                <w:rFonts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注：涉及联合体或其他合同主体的信息应按上表格式加列。</w:t>
            </w:r>
            <w:r/>
          </w:p>
        </w:tc>
      </w:tr>
    </w:tbl>
    <w:p>
      <w:pPr>
        <w:keepLines/>
        <w:keepNext/>
        <w:spacing w:line="400" w:lineRule="exact"/>
        <w:rPr>
          <w:rFonts w:ascii="宋体" w:hAnsi="宋体" w:eastAsia="宋体" w:cs="Times New Roman"/>
          <w:color w:val="auto"/>
          <w:szCs w:val="21"/>
          <w:highlight w:val="none"/>
        </w:rPr>
        <w:outlineLvl w:val="1"/>
      </w:pPr>
      <w:r>
        <w:rPr>
          <w:rFonts w:ascii="宋体" w:hAnsi="宋体" w:eastAsia="宋体" w:cs="Times New Roman"/>
          <w:color w:val="auto"/>
          <w:szCs w:val="21"/>
          <w:highlight w:val="none"/>
        </w:rPr>
      </w:r>
      <w:r/>
    </w:p>
    <w:p>
      <w:pPr>
        <w:jc w:val="center"/>
        <w:keepLines/>
        <w:keepNext/>
        <w:spacing w:before="120" w:line="360" w:lineRule="auto"/>
        <w:rPr>
          <w:rFonts w:ascii="宋体" w:hAnsi="宋体" w:eastAsia="宋体" w:cs="宋体"/>
          <w:color w:val="auto"/>
          <w:sz w:val="30"/>
          <w:szCs w:val="30"/>
          <w:highlight w:val="none"/>
        </w:rPr>
        <w:outlineLvl w:val="1"/>
      </w:pPr>
      <w:r>
        <w:rPr>
          <w:rFonts w:hint="eastAsia" w:ascii="Arial" w:hAnsi="Arial" w:eastAsia="宋体" w:cs="Times New Roman"/>
          <w:b/>
          <w:bCs/>
          <w:color w:val="auto"/>
          <w:sz w:val="24"/>
          <w:szCs w:val="32"/>
          <w:highlight w:val="none"/>
        </w:rPr>
        <w:br w:type="page" w:clear="all"/>
      </w:r>
      <w:bookmarkStart w:id="73" w:name="_Toc27624"/>
      <w:r>
        <w:rPr>
          <w:rFonts w:hint="eastAsia" w:ascii="宋体" w:hAnsi="宋体" w:eastAsia="宋体" w:cs="宋体"/>
          <w:color w:val="auto"/>
          <w:sz w:val="30"/>
          <w:szCs w:val="30"/>
          <w:highlight w:val="none"/>
        </w:rPr>
        <w:t xml:space="preserve">第二节 政府采购合同通用条款</w:t>
      </w:r>
      <w:bookmarkEnd w:id="73"/>
      <w:r/>
      <w:r/>
    </w:p>
    <w:p>
      <w:pPr>
        <w:jc w:val="left"/>
        <w:spacing w:line="400" w:lineRule="exact"/>
        <w:tabs>
          <w:tab w:val="left" w:pos="8820" w:leader="none"/>
          <w:tab w:val="left" w:pos="9345" w:leader="none"/>
          <w:tab w:val="left" w:pos="9765" w:leader="none"/>
        </w:tabs>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 </w:t>
      </w:r>
      <w:r>
        <w:rPr>
          <w:rFonts w:hint="eastAsia" w:ascii="宋体" w:hAnsi="宋体" w:eastAsia="宋体" w:cs="宋体"/>
          <w:b/>
          <w:bCs/>
          <w:color w:val="auto"/>
          <w:sz w:val="24"/>
          <w:szCs w:val="24"/>
          <w:highlight w:val="none"/>
        </w:rPr>
        <w:t xml:space="preserve">定义</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jc w:val="left"/>
        <w:spacing w:line="400" w:lineRule="exac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合同标的及金额</w:t>
      </w:r>
      <w:r/>
    </w:p>
    <w:p>
      <w:pPr>
        <w:ind w:firstLine="480"/>
        <w:jc w:val="left"/>
        <w:spacing w:line="400" w:lineRule="exact"/>
        <w:rPr>
          <w:rFonts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履行合同的时间、地点和方式</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乙方应当在约定的时间、地点，按照约定方式履行合同。</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 甲方的权利和义务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甲方应当按照合同约定及时对交付的货物进行验收，未在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约定的期限内对乙方履约提出任何异议或者向乙方作出任何说明的，视为验收通过。</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甲方应当根据合同约定及时向乙方支付合同价款，不得以内部人员变更、履行内部付款流程等为由，拒绝或迟延支付。</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 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约定应由甲方承担的其他义务和责任。</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 乙方的权利和义务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签署合同后，乙方应确定项目负责人（或项目联系人），负责与本合同有关的事务。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ind w:firstLine="422"/>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jc w:val="left"/>
        <w:spacing w:line="400" w:lineRule="exac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rPr>
        <w:t xml:space="preserve">合同履行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货物包装、运输、保险和交付要求</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w:t>
      </w:r>
      <w:r>
        <w:rPr>
          <w:rFonts w:hint="eastAsia" w:ascii="宋体" w:hAnsi="宋体" w:eastAsia="宋体" w:cs="宋体"/>
          <w:bCs/>
          <w:color w:val="auto"/>
          <w:sz w:val="24"/>
          <w:szCs w:val="24"/>
          <w:highlight w:val="none"/>
        </w:rPr>
        <w:t xml:space="preserve">涉及商品包装、快递包装的，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约定的</w:t>
      </w:r>
      <w:r>
        <w:rPr>
          <w:rFonts w:hint="eastAsia" w:ascii="宋体" w:hAnsi="宋体" w:eastAsia="宋体" w:cs="宋体"/>
          <w:color w:val="auto"/>
          <w:sz w:val="24"/>
          <w:szCs w:val="24"/>
          <w:highlight w:val="none"/>
        </w:rPr>
        <w:t xml:space="preserve">指定现场。</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乙方负责办理将货物运抵本合同规定的交货地点，并装卸、交付至甲方的一切运输事项，相关费用应包含在合同价款中。</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乙方在运输到达之前应提前通知甲方，并提示货物运输装卸的注意事项，甲方配合乙方做好货物的接收工作。</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质量标准和保证</w:t>
      </w:r>
      <w:r/>
    </w:p>
    <w:p>
      <w:pPr>
        <w:ind w:firstLine="480"/>
        <w:jc w:val="left"/>
        <w:spacing w:line="400" w:lineRule="exact"/>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 质量标准</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（3）乙方所提供的货物应符合国家有关安全、环保、卫生的规定。</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保证</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规定或乙方书面承诺（两者以较长的为准）的质量保证期内，本保证保持有效。</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9.权利瑕疵担保</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乙方保证对其出售的货物享有合法的权利。</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乙方保证在交付的货物上不存在抵押权等担保物权。</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如甲方使用上述货物构成对第三人侵权的，则由乙方承担全部责任。</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 知识产权保护</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乙方对其所销售的货物应当享有知识产权或经权利人合法授权，保证没有侵犯任何第三人的知识产权等权利。</w:t>
      </w:r>
      <w:bookmarkStart w:id="74"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74"/>
      <w:r>
        <w:rPr>
          <w:rFonts w:hint="eastAsia" w:ascii="宋体" w:hAnsi="宋体" w:eastAsia="宋体" w:cs="宋体"/>
          <w:color w:val="auto"/>
          <w:sz w:val="24"/>
          <w:szCs w:val="24"/>
          <w:highlight w:val="none"/>
        </w:rPr>
        <w:t xml:space="preserve">。</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 保密义务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合同价款支付</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合同价款支付按照国库集中支付制度及财政管理相关规定执行。</w:t>
      </w:r>
      <w:r/>
    </w:p>
    <w:p>
      <w:pPr>
        <w:ind w:firstLine="480"/>
        <w:keepLines/>
        <w:keepNext/>
        <w:spacing w:line="400" w:lineRule="exact"/>
        <w:rPr>
          <w:rFonts w:ascii="宋体" w:hAnsi="宋体" w:eastAsia="宋体" w:cs="宋体"/>
          <w:b/>
          <w:bCs/>
          <w:color w:val="auto"/>
          <w:sz w:val="24"/>
          <w:szCs w:val="24"/>
          <w:highlight w:val="none"/>
        </w:rPr>
        <w:outlineLvl w:val="1"/>
      </w:pPr>
      <w:r>
        <w:rPr>
          <w:rFonts w:hint="eastAsia" w:ascii="宋体" w:hAnsi="宋体" w:eastAsia="宋体" w:cs="宋体"/>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乙方应当以支票、汇票、本票或者金融机构、担保机构出具的保函等非现金形式提交。</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如果乙方出现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 </w:t>
      </w:r>
      <w:r>
        <w:rPr>
          <w:rFonts w:hint="eastAsia" w:ascii="宋体" w:hAnsi="宋体" w:eastAsia="宋体" w:cs="宋体"/>
          <w:b/>
          <w:color w:val="auto"/>
          <w:sz w:val="24"/>
          <w:szCs w:val="24"/>
          <w:highlight w:val="none"/>
        </w:rPr>
        <w:t xml:space="preserve">售后服务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除项目不涉及或采购活动中明确约定无须承担外，乙方还应提供下列服务：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约定的期限内对所有的货物实施运行监督、维修，但前提条件是该服务并不能免除乙方在质量保证期内所承担的义务；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（4）在制造商所在地或指定现场就货物的安装、启动、运营、维护、废弃处置等对甲方操作人员进行培训；</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乙方提供的售后服务的费用已包含在合同价款中，甲方不再另行支付。</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违约责任</w:t>
      </w:r>
      <w:r/>
    </w:p>
    <w:p>
      <w:pPr>
        <w:ind w:firstLine="480"/>
        <w:jc w:val="left"/>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15.1质量瑕疵的违约责任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要求</w:t>
      </w:r>
      <w:r>
        <w:rPr>
          <w:rFonts w:hint="eastAsia" w:ascii="宋体" w:hAnsi="宋体" w:eastAsia="宋体" w:cs="宋体"/>
          <w:color w:val="auto"/>
          <w:sz w:val="24"/>
          <w:szCs w:val="24"/>
          <w:highlight w:val="none"/>
        </w:rPr>
        <w:t xml:space="preserve">及时修理、重作、更换，并承担由此给甲方造成的损失。</w:t>
      </w:r>
      <w:r/>
    </w:p>
    <w:p>
      <w:pPr>
        <w:ind w:firstLine="480"/>
        <w:jc w:val="left"/>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 迟延交货的违约责任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规定执行。如果涉及公共利益，且赔偿金额无法弥补公共利益损失，甲方可要求继续履行或者采取其他补救措施。</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迟延支付的违约责任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3"/>
        </w:num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合同变更、中止与终止</w:t>
      </w:r>
      <w:r/>
    </w:p>
    <w:p>
      <w:pPr>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16.1合同的变更</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16.2合同的中止</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（1）合同履行过程中因供应商就采购文件、采购过程或结果提起投诉的，甲方认为有必要的，可以中止合同的履行。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（4）甲方不得以行政区划调整、政府换届、机构或者职能调整以及相关责任人更替为由中止合同。</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16.3合同的终止</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（2）乙方未按合同约定履行，构成根本性违约的，甲方有权终止合同，并追究乙方的违约责任。</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涉及国家利益、社会公共利益的情形</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 合同分包</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乙方不得将合同转包给其他供应商。涉及合同分包的，乙方应根据采购文件和投标（响应）文件规定进行合同分包。</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不可抗力</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不可抗力是指合同双方不能预见、不能避免且不能克服的客观情况。</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 解决争议的方法</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 政府采购政策</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GB"/>
        </w:rPr>
        <w:t xml:space="preserve">本合同应当按照规定执行政府采购政策。</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法律适用</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 通知</w:t>
      </w:r>
      <w:r/>
    </w:p>
    <w:p>
      <w:pPr>
        <w:ind w:firstLine="480"/>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22.3本合同一方给另一方的通知均应采用书面形式，传真或快递送到本合同中规定的对方的地址和办理签收手续。</w:t>
      </w:r>
      <w:r/>
    </w:p>
    <w:p>
      <w:pPr>
        <w:ind w:firstLine="480"/>
        <w:jc w:val="left"/>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22.4通知以送达之日或通知书中规定的生效之日起生效，两者中以较迟之日为准。</w:t>
      </w:r>
      <w:r/>
    </w:p>
    <w:p>
      <w:pPr>
        <w:numPr>
          <w:ilvl w:val="0"/>
          <w:numId w:val="4"/>
        </w:numPr>
        <w:jc w:val="left"/>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jc w:val="left"/>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jc w:val="left"/>
        <w:spacing w:line="400" w:lineRule="exac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23.2 合同附件与合同正文具有同等的法律效力。</w:t>
      </w:r>
      <w:r/>
    </w:p>
    <w:p>
      <w:pPr>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br w:type="page" w:clear="all"/>
      </w:r>
      <w:r/>
    </w:p>
    <w:p>
      <w:pPr>
        <w:jc w:val="center"/>
        <w:keepLines/>
        <w:keepNext/>
        <w:spacing w:line="360" w:lineRule="auto"/>
        <w:rPr>
          <w:rFonts w:ascii="宋体" w:hAnsi="宋体" w:eastAsia="宋体" w:cs="宋体"/>
          <w:b/>
          <w:bCs/>
          <w:color w:val="auto"/>
          <w:sz w:val="30"/>
          <w:szCs w:val="30"/>
          <w:highlight w:val="none"/>
        </w:rPr>
        <w:outlineLvl w:val="1"/>
      </w:pPr>
      <w:r>
        <w:rPr>
          <w:rFonts w:hint="eastAsia" w:ascii="宋体" w:hAnsi="宋体" w:eastAsia="宋体" w:cs="宋体"/>
          <w:b/>
          <w:bCs/>
          <w:color w:val="auto"/>
          <w:sz w:val="30"/>
          <w:szCs w:val="30"/>
          <w:highlight w:val="none"/>
        </w:rPr>
        <w:t xml:space="preserve">第三节 政府采购合同专用条款</w:t>
      </w:r>
      <w:r/>
    </w:p>
    <w:tbl>
      <w:tblPr>
        <w:tblStyle w:val="689"/>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第1.2（6）项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联合体具体要求</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604"/>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第1.2（7）项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其他术语解释</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第4.4款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第4.6款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约定甲方承担的其他义务和责任</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第5.4款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约定乙方承担的其他义务和责任</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第6.1款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履行合同义务的顺序</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67"/>
        </w:trPr>
        <w:tc>
          <w:tcPr>
            <w:tcW w:w="1607" w:type="dxa"/>
            <w:vAlign w:val="center"/>
            <w:vMerge w:val="restart"/>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第7.1款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包装特殊要求</w:t>
            </w:r>
            <w:r/>
          </w:p>
        </w:tc>
        <w:tc>
          <w:tcPr>
            <w:tcW w:w="5170"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trHeight w:val="667"/>
        </w:trPr>
        <w:tc>
          <w:tcPr>
            <w:tcW w:w="1607" w:type="dxa"/>
            <w:vAlign w:val="center"/>
            <w:vMerge w:val="continue"/>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指定现场</w:t>
            </w:r>
            <w:r/>
          </w:p>
        </w:tc>
        <w:tc>
          <w:tcPr>
            <w:tcW w:w="5170"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772"/>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第7.2款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运输特殊要求</w:t>
            </w:r>
            <w:r/>
          </w:p>
        </w:tc>
        <w:tc>
          <w:tcPr>
            <w:tcW w:w="5170"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667"/>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第7.3款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保险要求</w:t>
            </w:r>
            <w:r/>
          </w:p>
        </w:tc>
        <w:tc>
          <w:tcPr>
            <w:tcW w:w="5170" w:type="dxa"/>
            <w:vAlign w:val="center"/>
            <w:textDirection w:val="lrTb"/>
            <w:noWrap w:val="false"/>
          </w:tcPr>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第8.2（1）项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质量保证期</w:t>
            </w:r>
            <w:r/>
          </w:p>
        </w:tc>
        <w:tc>
          <w:tcPr>
            <w:tcW w:w="51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第8.2（3）项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货物质量缺陷</w:t>
            </w:r>
            <w:r/>
          </w:p>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响应时间</w:t>
            </w:r>
            <w:r/>
          </w:p>
        </w:tc>
        <w:tc>
          <w:tcPr>
            <w:tcW w:w="51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spacing w:line="400" w:lineRule="exact"/>
              <w:widowControl/>
              <w:rPr>
                <w:rFonts w:ascii="华文楷体" w:hAnsi="华文楷体" w:eastAsia="华文楷体" w:cs="华文楷体"/>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742" w:type="dxa"/>
            <w:vAlign w:val="center"/>
            <w:textDirection w:val="lrTb"/>
            <w:noWrap w:val="false"/>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其他应当保密的信息</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w:t>
            </w:r>
            <w:r/>
          </w:p>
        </w:tc>
      </w:tr>
      <w:tr>
        <w:trPr>
          <w:trHeight w:val="697"/>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第12.2款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合同价款支付时间</w:t>
            </w:r>
            <w:r/>
          </w:p>
        </w:tc>
        <w:tc>
          <w:tcPr>
            <w:tcW w:w="5170"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697"/>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第13.2款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履约保证金不予退还的情形</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第13.3款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履约保证金退还时间及逾期退还的违约金</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84"/>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第14.1（3）项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运行监督、维修期限</w:t>
            </w:r>
            <w:r/>
          </w:p>
        </w:tc>
        <w:tc>
          <w:tcPr>
            <w:tcW w:w="51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84"/>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第14.1（5）项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货物回收的约定</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第14.1（6）项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乙方提供的其他服务</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第15.1款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修理、重作、更换相关具体规定</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第15.2（2）项</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迟延交货赔偿费</w:t>
            </w:r>
            <w:r/>
          </w:p>
        </w:tc>
        <w:tc>
          <w:tcPr>
            <w:tcW w:w="5170"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36"/>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第15.3款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逾期付款利息</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第二节</w:t>
            </w:r>
            <w:r/>
          </w:p>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第23.1款</w:t>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其他专用条款</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税费</w:t>
            </w:r>
            <w:r/>
          </w:p>
        </w:tc>
        <w:tc>
          <w:tcPr>
            <w:tcW w:w="5170" w:type="dxa"/>
            <w:vAlign w:val="center"/>
            <w:textDirection w:val="lrTb"/>
            <w:noWrap w:val="false"/>
          </w:tcPr>
          <w:p>
            <w:pPr>
              <w:ind w:left="54" w:right="85" w:hanging="25"/>
              <w:jc w:val="left"/>
              <w:spacing w:before="181" w:line="3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中国政府根据现行税法规定对甲方征收的、与本合同有关的一切税费，均由甲方负担，招标文件另有规定的除外。</w:t>
            </w:r>
            <w:r/>
          </w:p>
          <w:p>
            <w:pPr>
              <w:jc w:val="left"/>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中国政府根据现行税法规定对乙方征收的、与本合同有关的一切税费，均由乙方负担。</w:t>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伴随服务</w:t>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w:t>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终止</w:t>
            </w:r>
            <w:r/>
          </w:p>
        </w:tc>
        <w:tc>
          <w:tcPr>
            <w:tcW w:w="5170" w:type="dxa"/>
            <w:vAlign w:val="center"/>
            <w:textDirection w:val="lrTb"/>
            <w:noWrap w:val="false"/>
          </w:tcPr>
          <w:p>
            <w:pPr>
              <w:jc w:val="left"/>
              <w:spacing w:line="3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1、在甲方对乙方违约而采取的任何补救措施不受影响的情况下，甲方可向乙方发出终止部分或全部合同的书面通知书。</w:t>
            </w:r>
            <w:r/>
          </w:p>
          <w:p>
            <w:pPr>
              <w:jc w:val="left"/>
              <w:spacing w:line="32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rPr>
              <w:t xml:space="preserve">如果乙方未能按合同规定的期限或甲方同意延长的限期内完成部分或全部服务工作</w:t>
            </w:r>
            <w:r>
              <w:rPr>
                <w:rFonts w:ascii="宋体" w:hAnsi="宋体" w:eastAsia="宋体" w:cs="宋体"/>
                <w:color w:val="auto"/>
                <w:sz w:val="24"/>
                <w:szCs w:val="24"/>
                <w:highlight w:val="none"/>
              </w:rPr>
              <w:t xml:space="preserve">;</w:t>
            </w:r>
            <w:r/>
          </w:p>
          <w:p>
            <w:pPr>
              <w:jc w:val="left"/>
              <w:spacing w:line="32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rPr>
              <w:t xml:space="preserve">乙方在收到甲方发出的违约通知后</w:t>
            </w:r>
            <w:r>
              <w:rPr>
                <w:rFonts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天内，或经甲方书面认可延长的时间内未能纠正其过失</w:t>
            </w:r>
            <w:r>
              <w:rPr>
                <w:rFonts w:ascii="宋体" w:hAnsi="宋体" w:eastAsia="宋体" w:cs="宋体"/>
                <w:color w:val="auto"/>
                <w:sz w:val="24"/>
                <w:szCs w:val="24"/>
                <w:highlight w:val="none"/>
              </w:rPr>
              <w:t xml:space="preserve">;</w:t>
            </w:r>
            <w:r/>
          </w:p>
          <w:p>
            <w:pPr>
              <w:ind w:left="66"/>
              <w:jc w:val="left"/>
              <w:spacing w:before="182" w:line="32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 如果乙方未能履行合同规定的其他义务。</w:t>
            </w:r>
            <w:r/>
          </w:p>
          <w:p>
            <w:pPr>
              <w:spacing w:line="32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Cs w:val="24"/>
                <w:highlight w:val="none"/>
              </w:rPr>
              <w:t xml:space="preserve">2</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索赔</w:t>
            </w:r>
            <w:r/>
          </w:p>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trHeight w:val="770"/>
        </w:trPr>
        <w:tc>
          <w:tcPr>
            <w:tcW w:w="160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42"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合同生效及其它</w:t>
            </w:r>
            <w:r/>
          </w:p>
          <w:p>
            <w:pPr>
              <w:jc w:val="lef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5170" w:type="dxa"/>
            <w:vAlign w:val="center"/>
            <w:textDirection w:val="lrTb"/>
            <w:noWrap w:val="false"/>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本合同自双方签定之日起生效，至项目实施完成并付清费用结束</w:t>
            </w:r>
            <w:r/>
          </w:p>
        </w:tc>
      </w:tr>
    </w:tbl>
    <w:p>
      <w:pPr>
        <w:ind w:firstLine="42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宋体"/>
          <w:b/>
          <w:bCs/>
          <w:color w:val="auto"/>
          <w:sz w:val="32"/>
          <w:szCs w:val="32"/>
          <w:highlight w:val="none"/>
        </w:rPr>
      </w:pPr>
      <w:r>
        <w:rPr>
          <w:rFonts w:hint="eastAsia" w:ascii="宋体" w:hAnsi="宋体" w:eastAsia="宋体" w:cs="楷体"/>
          <w:b/>
          <w:color w:val="auto"/>
          <w:sz w:val="30"/>
          <w:szCs w:val="30"/>
          <w:highlight w:val="none"/>
        </w:rPr>
        <w:br w:type="page" w:clear="all"/>
      </w:r>
      <w:r/>
    </w:p>
    <w:p>
      <w:pPr>
        <w:jc w:val="center"/>
        <w:spacing w:line="360" w:lineRule="auto"/>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第四部分 采购需求</w:t>
      </w:r>
      <w:r/>
    </w:p>
    <w:p>
      <w:pPr>
        <w:ind w:firstLine="480"/>
        <w:spacing w:line="360" w:lineRule="auto"/>
        <w:rPr>
          <w:rFonts w:ascii="宋体" w:hAnsi="宋体"/>
          <w:color w:val="auto"/>
          <w:sz w:val="24"/>
          <w:szCs w:val="24"/>
          <w:highlight w:val="none"/>
        </w:rPr>
      </w:pPr>
      <w:r>
        <w:rPr>
          <w:rFonts w:hint="eastAsia" w:ascii="宋体" w:hAnsi="宋体" w:cs="宋体"/>
          <w:b/>
          <w:color w:val="auto"/>
          <w:spacing w:val="-4"/>
          <w:sz w:val="24"/>
          <w:szCs w:val="24"/>
          <w:highlight w:val="none"/>
          <w:lang w:bidi="zh-CN"/>
        </w:rPr>
        <w:t xml:space="preserve">一、项目概况</w:t>
      </w:r>
      <w:r/>
    </w:p>
    <w:p>
      <w:pPr>
        <w:ind w:firstLine="464"/>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丹阳市中医院迁建项目用地面积约5.22万平方米，建筑楼宇有门诊医技楼、住院楼、制剂楼、后勤楼，共计104,670㎡，其中地下一层28106㎡，用于设备机房、放疗中心、停车场等，本次采购所有建筑楼宇区域内的家具，包括医疗家具、办公家具。</w:t>
      </w:r>
      <w:r/>
    </w:p>
    <w:p>
      <w:pPr>
        <w:ind w:firstLine="464"/>
        <w:spacing w:line="440" w:lineRule="exact"/>
        <w:rPr>
          <w:rFonts w:ascii="宋体" w:hAnsi="宋体" w:cs="宋体"/>
          <w:b/>
          <w:color w:val="auto"/>
          <w:spacing w:val="-4"/>
          <w:sz w:val="24"/>
          <w:szCs w:val="24"/>
          <w:highlight w:val="none"/>
          <w:lang w:bidi="zh-CN"/>
        </w:rPr>
      </w:pPr>
      <w:r>
        <w:rPr>
          <w:rFonts w:hint="eastAsia" w:ascii="宋体" w:hAnsi="宋体" w:cs="宋体"/>
          <w:b/>
          <w:color w:val="auto"/>
          <w:spacing w:val="-4"/>
          <w:sz w:val="24"/>
          <w:szCs w:val="24"/>
          <w:highlight w:val="none"/>
          <w:lang w:bidi="zh-CN"/>
        </w:rPr>
        <w:t xml:space="preserve">二、采购标的</w:t>
      </w:r>
      <w:r/>
    </w:p>
    <w:p>
      <w:pPr>
        <w:ind w:firstLine="464"/>
        <w:spacing w:line="440" w:lineRule="exact"/>
        <w:rPr>
          <w:rFonts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（一） 采购标的</w:t>
      </w:r>
      <w:r/>
    </w:p>
    <w:p>
      <w:pPr>
        <w:ind w:firstLine="406"/>
        <w:jc w:val="left"/>
        <w:spacing w:line="360" w:lineRule="auto"/>
        <w:rPr>
          <w:rFonts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1.货物类标的清单</w:t>
      </w:r>
      <w:r/>
    </w:p>
    <w:p>
      <w:pPr>
        <w:ind w:firstLine="464"/>
        <w:spacing w:line="440" w:lineRule="exact"/>
        <w:rPr>
          <w:rFonts w:hint="eastAsia"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详见附件：</w:t>
      </w:r>
      <w:r>
        <w:rPr>
          <w:rFonts w:hint="eastAsia" w:ascii="宋体" w:hAnsi="宋体" w:cs="宋体"/>
          <w:color w:val="auto"/>
          <w:spacing w:val="-4"/>
          <w:sz w:val="24"/>
          <w:szCs w:val="24"/>
          <w:highlight w:val="none"/>
          <w:lang w:bidi="zh-CN"/>
        </w:rPr>
        <w:t xml:space="preserve">采购清单（采购包1</w:t>
      </w:r>
      <w:r>
        <w:rPr>
          <w:rFonts w:hint="eastAsia" w:ascii="宋体" w:hAnsi="宋体" w:eastAsia="宋体" w:cs="楷体"/>
          <w:color w:val="auto"/>
          <w:sz w:val="24"/>
          <w:szCs w:val="28"/>
          <w:highlight w:val="none"/>
          <w:lang w:val="en-US" w:eastAsia="zh-CN"/>
        </w:rPr>
        <w:t xml:space="preserve">医疗家具</w:t>
      </w:r>
      <w:r>
        <w:rPr>
          <w:rFonts w:hint="eastAsia" w:ascii="宋体" w:hAnsi="宋体" w:cs="宋体"/>
          <w:color w:val="auto"/>
          <w:spacing w:val="-4"/>
          <w:sz w:val="24"/>
          <w:szCs w:val="24"/>
          <w:highlight w:val="none"/>
          <w:lang w:bidi="zh-CN"/>
        </w:rPr>
        <w:t xml:space="preserve">）；采购清单（采购包2办公家具）</w:t>
      </w:r>
      <w:r/>
    </w:p>
    <w:p>
      <w:pPr>
        <w:numPr>
          <w:ilvl w:val="0"/>
          <w:numId w:val="5"/>
        </w:numPr>
        <w:ind w:firstLine="464"/>
        <w:spacing w:line="440" w:lineRule="exact"/>
        <w:rPr>
          <w:rFonts w:hint="eastAsia"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本项目核心产品</w:t>
      </w:r>
      <w:r/>
    </w:p>
    <w:p>
      <w:pPr>
        <w:numPr>
          <w:ilvl w:val="0"/>
          <w:numId w:val="0"/>
        </w:numPr>
        <w:ind w:firstLine="464"/>
        <w:spacing w:line="440" w:lineRule="exact"/>
        <w:rPr>
          <w:rFonts w:ascii="宋体" w:hAnsi="宋体" w:cs="宋体"/>
          <w:color w:val="auto"/>
          <w:spacing w:val="-4"/>
          <w:sz w:val="24"/>
          <w:szCs w:val="24"/>
          <w:highlight w:val="none"/>
          <w:lang w:bidi="zh-CN"/>
        </w:rPr>
      </w:pPr>
      <w:r>
        <w:rPr>
          <w:rFonts w:hint="eastAsia" w:ascii="宋体" w:hAnsi="宋体" w:cs="宋体"/>
          <w:color w:val="auto"/>
          <w:spacing w:val="-4"/>
          <w:sz w:val="24"/>
          <w:szCs w:val="24"/>
          <w:highlight w:val="none"/>
          <w:lang w:bidi="zh-CN"/>
        </w:rPr>
        <w:t xml:space="preserve">采购包1</w:t>
      </w:r>
      <w:r>
        <w:rPr>
          <w:rFonts w:hint="eastAsia" w:ascii="宋体" w:hAnsi="宋体" w:eastAsia="宋体" w:cs="楷体"/>
          <w:color w:val="auto"/>
          <w:sz w:val="24"/>
          <w:szCs w:val="28"/>
          <w:highlight w:val="none"/>
          <w:lang w:val="en-US" w:eastAsia="zh-CN"/>
        </w:rPr>
        <w:t xml:space="preserve">医疗家具</w:t>
      </w:r>
      <w:r>
        <w:rPr>
          <w:rFonts w:hint="eastAsia" w:ascii="宋体" w:hAnsi="宋体" w:cs="宋体"/>
          <w:color w:val="auto"/>
          <w:spacing w:val="-4"/>
          <w:sz w:val="24"/>
          <w:szCs w:val="24"/>
          <w:highlight w:val="none"/>
          <w:lang w:bidi="zh-CN"/>
        </w:rPr>
        <w:t xml:space="preserve">：</w:t>
      </w:r>
      <w:r>
        <w:rPr>
          <w:rFonts w:hint="eastAsia" w:ascii="宋体" w:hAnsi="宋体" w:eastAsia="宋体" w:cs="楷体"/>
          <w:color w:val="auto"/>
          <w:sz w:val="24"/>
          <w:szCs w:val="24"/>
          <w:highlight w:val="none"/>
          <w:lang w:eastAsia="zh-CN"/>
        </w:rPr>
        <w:t xml:space="preserve">医用治疗柜</w:t>
      </w:r>
      <w:r>
        <w:rPr>
          <w:rFonts w:hint="eastAsia" w:ascii="宋体" w:hAnsi="宋体" w:cs="宋体"/>
          <w:color w:val="auto"/>
          <w:spacing w:val="-4"/>
          <w:sz w:val="24"/>
          <w:szCs w:val="24"/>
          <w:highlight w:val="none"/>
          <w:lang w:bidi="zh-CN"/>
        </w:rPr>
        <w:t xml:space="preserve">；采购包2办公家具：办公桌。</w:t>
      </w:r>
      <w:r/>
    </w:p>
    <w:p>
      <w:pPr>
        <w:numPr>
          <w:ilvl w:val="0"/>
          <w:numId w:val="6"/>
        </w:numPr>
        <w:ind w:firstLine="464"/>
        <w:spacing w:line="440" w:lineRule="exact"/>
        <w:rPr>
          <w:rFonts w:ascii="宋体" w:hAnsi="宋体" w:cs="宋体"/>
          <w:b/>
          <w:bCs/>
          <w:color w:val="auto"/>
          <w:spacing w:val="-4"/>
          <w:sz w:val="24"/>
          <w:szCs w:val="24"/>
          <w:highlight w:val="none"/>
          <w:lang w:bidi="zh-CN"/>
        </w:rPr>
      </w:pPr>
      <w:r>
        <w:rPr>
          <w:rFonts w:hint="eastAsia" w:ascii="宋体" w:hAnsi="宋体" w:cs="宋体"/>
          <w:b/>
          <w:bCs/>
          <w:color w:val="auto"/>
          <w:spacing w:val="-4"/>
          <w:sz w:val="24"/>
          <w:szCs w:val="24"/>
          <w:highlight w:val="none"/>
          <w:lang w:bidi="zh-CN"/>
        </w:rPr>
        <w:t xml:space="preserve">技术要求</w:t>
      </w:r>
      <w:r/>
    </w:p>
    <w:p>
      <w:pPr>
        <w:ind w:firstLine="464"/>
        <w:spacing w:line="440" w:lineRule="exact"/>
        <w:rPr>
          <w:rFonts w:ascii="幼圆" w:hAnsi="幼圆" w:eastAsia="宋体" w:cs="Times New Roman"/>
          <w:b/>
          <w:color w:val="auto"/>
          <w:sz w:val="24"/>
          <w:szCs w:val="24"/>
          <w:highlight w:val="none"/>
        </w:rPr>
      </w:pPr>
      <w:r>
        <w:rPr>
          <w:rFonts w:hint="eastAsia" w:ascii="幼圆" w:hAnsi="幼圆" w:eastAsia="宋体" w:cs="Times New Roman"/>
          <w:b/>
          <w:color w:val="auto"/>
          <w:sz w:val="24"/>
          <w:szCs w:val="24"/>
          <w:highlight w:val="none"/>
        </w:rPr>
        <w:t xml:space="preserve">1、技术参数要求详见附件：</w:t>
      </w:r>
      <w:r>
        <w:rPr>
          <w:rFonts w:hint="eastAsia" w:ascii="幼圆" w:hAnsi="幼圆" w:eastAsia="宋体" w:cs="Times New Roman"/>
          <w:b/>
          <w:color w:val="auto"/>
          <w:sz w:val="24"/>
          <w:szCs w:val="24"/>
          <w:highlight w:val="none"/>
          <w:lang w:eastAsia="zh-CN"/>
        </w:rPr>
        <w:t xml:space="preserve">采购清单（采购包1医疗家具）、采购清单（采购包2办公家具）</w:t>
      </w:r>
      <w:r>
        <w:rPr>
          <w:rFonts w:ascii="幼圆" w:hAnsi="幼圆" w:eastAsia="宋体" w:cs="Times New Roman"/>
          <w:b/>
          <w:color w:val="auto"/>
          <w:sz w:val="24"/>
          <w:szCs w:val="24"/>
          <w:highlight w:val="none"/>
        </w:rPr>
        <w:t xml:space="preserve">。</w:t>
      </w:r>
      <w:r/>
    </w:p>
    <w:p>
      <w:pPr>
        <w:ind w:firstLine="464"/>
        <w:spacing w:line="440" w:lineRule="exact"/>
        <w:rPr>
          <w:rFonts w:hint="eastAsia" w:ascii="幼圆" w:hAnsi="幼圆" w:eastAsia="宋体" w:cs="Times New Roman"/>
          <w:b/>
          <w:color w:val="auto"/>
          <w:sz w:val="24"/>
          <w:szCs w:val="24"/>
          <w:highlight w:val="none"/>
        </w:rPr>
      </w:pPr>
      <w:r>
        <w:rPr>
          <w:rFonts w:hint="eastAsia" w:ascii="幼圆" w:hAnsi="幼圆" w:eastAsia="宋体" w:cs="Times New Roman"/>
          <w:b/>
          <w:color w:val="auto"/>
          <w:sz w:val="24"/>
          <w:szCs w:val="24"/>
          <w:highlight w:val="none"/>
          <w:lang w:val="en-US" w:eastAsia="zh-CN"/>
        </w:rPr>
        <w:t xml:space="preserve">2、</w:t>
      </w:r>
      <w:r>
        <w:rPr>
          <w:rFonts w:hint="eastAsia" w:ascii="幼圆" w:hAnsi="幼圆" w:eastAsia="宋体" w:cs="Times New Roman"/>
          <w:b/>
          <w:color w:val="auto"/>
          <w:sz w:val="24"/>
          <w:szCs w:val="24"/>
          <w:highlight w:val="none"/>
        </w:rPr>
        <w:t xml:space="preserve">附件参数要求中标有“★”的功能和技术参数为实质性参数指标，</w:t>
      </w:r>
      <w:r>
        <w:rPr>
          <w:rFonts w:ascii="幼圆" w:hAnsi="幼圆" w:eastAsia="宋体" w:cs="Times New Roman"/>
          <w:b/>
          <w:color w:val="auto"/>
          <w:sz w:val="24"/>
          <w:szCs w:val="24"/>
          <w:highlight w:val="none"/>
        </w:rPr>
        <w:t xml:space="preserve">其余为一般</w:t>
      </w:r>
      <w:r>
        <w:rPr>
          <w:rFonts w:hint="eastAsia" w:ascii="幼圆" w:hAnsi="幼圆" w:eastAsia="宋体" w:cs="Times New Roman"/>
          <w:b/>
          <w:color w:val="auto"/>
          <w:sz w:val="24"/>
          <w:szCs w:val="24"/>
          <w:highlight w:val="none"/>
        </w:rPr>
        <w:t xml:space="preserve">参数</w:t>
      </w:r>
      <w:r>
        <w:rPr>
          <w:rFonts w:ascii="幼圆" w:hAnsi="幼圆" w:eastAsia="宋体" w:cs="Times New Roman"/>
          <w:b/>
          <w:color w:val="auto"/>
          <w:sz w:val="24"/>
          <w:szCs w:val="24"/>
          <w:highlight w:val="none"/>
        </w:rPr>
        <w:t xml:space="preserve">指标</w:t>
      </w:r>
      <w:r>
        <w:rPr>
          <w:rFonts w:hint="eastAsia" w:ascii="幼圆" w:hAnsi="幼圆" w:eastAsia="宋体" w:cs="Times New Roman"/>
          <w:b/>
          <w:color w:val="auto"/>
          <w:sz w:val="24"/>
          <w:szCs w:val="24"/>
          <w:highlight w:val="none"/>
        </w:rPr>
        <w:t xml:space="preserve">。</w:t>
      </w:r>
      <w:r/>
    </w:p>
    <w:p>
      <w:pPr>
        <w:ind w:firstLine="464"/>
        <w:spacing w:line="440" w:lineRule="exact"/>
        <w:rPr>
          <w:rFonts w:hint="eastAsia" w:ascii="幼圆" w:hAnsi="幼圆" w:eastAsia="宋体" w:cs="Times New Roman"/>
          <w:b/>
          <w:color w:val="auto"/>
          <w:sz w:val="24"/>
          <w:szCs w:val="24"/>
          <w:highlight w:val="none"/>
        </w:rPr>
      </w:pPr>
      <w:r>
        <w:rPr>
          <w:rFonts w:hint="eastAsia" w:ascii="幼圆" w:hAnsi="幼圆" w:eastAsia="宋体" w:cs="Times New Roman"/>
          <w:b/>
          <w:color w:val="auto"/>
          <w:sz w:val="24"/>
          <w:szCs w:val="24"/>
          <w:highlight w:val="none"/>
          <w:lang w:val="en-US" w:eastAsia="zh-CN"/>
        </w:rPr>
        <w:t xml:space="preserve">3、</w:t>
      </w:r>
      <w:r>
        <w:rPr>
          <w:rFonts w:hint="eastAsia" w:ascii="幼圆" w:hAnsi="幼圆" w:eastAsia="宋体" w:cs="Times New Roman"/>
          <w:b/>
          <w:color w:val="auto"/>
          <w:sz w:val="24"/>
          <w:szCs w:val="24"/>
          <w:highlight w:val="none"/>
        </w:rPr>
        <w:t xml:space="preserve">标有“★”的功能和技术参数必须满足要求，不得出现负偏离、否则视为无效投标。</w:t>
      </w:r>
      <w:r>
        <w:rPr>
          <w:rFonts w:hint="eastAsia" w:ascii="幼圆" w:hAnsi="幼圆" w:eastAsia="宋体" w:cs="Times New Roman"/>
          <w:b/>
          <w:color w:val="auto"/>
          <w:sz w:val="24"/>
          <w:szCs w:val="24"/>
          <w:highlight w:val="none"/>
          <w:lang w:eastAsia="zh-CN"/>
        </w:rPr>
        <w:t xml:space="preserve">单一标段中</w:t>
      </w:r>
      <w:r>
        <w:rPr>
          <w:rFonts w:hint="eastAsia" w:ascii="幼圆" w:hAnsi="幼圆" w:eastAsia="宋体" w:cs="Times New Roman"/>
          <w:b/>
          <w:color w:val="auto"/>
          <w:sz w:val="24"/>
          <w:szCs w:val="24"/>
          <w:highlight w:val="none"/>
        </w:rPr>
        <w:t xml:space="preserve">一般性参数总负偏离数量超过10项或负偏离产品超过5个视为无效投标。</w:t>
      </w:r>
      <w:r/>
    </w:p>
    <w:p>
      <w:pPr>
        <w:ind w:firstLine="464"/>
        <w:spacing w:line="440" w:lineRule="exact"/>
        <w:rPr>
          <w:rFonts w:ascii="幼圆" w:hAnsi="幼圆" w:eastAsia="宋体" w:cs="Times New Roman"/>
          <w:b/>
          <w:color w:val="auto"/>
          <w:sz w:val="24"/>
          <w:szCs w:val="24"/>
          <w:highlight w:val="none"/>
        </w:rPr>
      </w:pPr>
      <w:r>
        <w:rPr>
          <w:rFonts w:hint="eastAsia" w:ascii="幼圆" w:hAnsi="幼圆" w:eastAsia="宋体" w:cs="Times New Roman"/>
          <w:b/>
          <w:color w:val="auto"/>
          <w:sz w:val="24"/>
          <w:szCs w:val="24"/>
          <w:highlight w:val="none"/>
          <w:lang w:val="en-US" w:eastAsia="zh-CN"/>
        </w:rPr>
        <w:t xml:space="preserve">4、</w:t>
      </w:r>
      <w:r>
        <w:rPr>
          <w:rFonts w:hint="eastAsia" w:ascii="幼圆" w:hAnsi="幼圆" w:eastAsia="宋体" w:cs="Times New Roman"/>
          <w:b/>
          <w:color w:val="auto"/>
          <w:sz w:val="24"/>
          <w:szCs w:val="24"/>
          <w:highlight w:val="none"/>
        </w:rPr>
        <w:t xml:space="preserve">如</w:t>
      </w:r>
      <w:r>
        <w:rPr>
          <w:rFonts w:hint="eastAsia" w:ascii="幼圆" w:hAnsi="幼圆" w:eastAsia="宋体" w:cs="Times New Roman"/>
          <w:b/>
          <w:color w:val="auto"/>
          <w:sz w:val="24"/>
          <w:szCs w:val="24"/>
          <w:highlight w:val="none"/>
          <w:lang w:eastAsia="zh-CN"/>
        </w:rPr>
        <w:t xml:space="preserve">单一标段的</w:t>
      </w:r>
      <w:r>
        <w:rPr>
          <w:rFonts w:hint="eastAsia" w:ascii="幼圆" w:hAnsi="幼圆" w:eastAsia="宋体" w:cs="Times New Roman"/>
          <w:b/>
          <w:color w:val="auto"/>
          <w:sz w:val="24"/>
          <w:szCs w:val="24"/>
          <w:highlight w:val="none"/>
        </w:rPr>
        <w:t xml:space="preserve">核心产品一般性参数出现负偏离，经评委认定影响产品使用功能的，视为无效投标。</w:t>
      </w:r>
      <w:r/>
    </w:p>
    <w:p>
      <w:pPr>
        <w:ind w:firstLine="420"/>
        <w:jc w:val="left"/>
        <w:spacing w:line="400" w:lineRule="exact"/>
        <w:widowControl/>
        <w:rPr>
          <w:rFonts w:hint="eastAsia" w:ascii="幼圆" w:hAnsi="幼圆" w:eastAsia="宋体" w:cs="Times New Roman"/>
          <w:b/>
          <w:color w:val="auto"/>
          <w:sz w:val="24"/>
          <w:szCs w:val="24"/>
          <w:highlight w:val="none"/>
        </w:rPr>
      </w:pPr>
      <w:r>
        <w:rPr>
          <w:rFonts w:hint="eastAsia" w:ascii="Times New Roman" w:hAnsi="Times New Roman" w:cs="Times New Roman"/>
          <w:color w:val="auto"/>
          <w:spacing w:val="-4"/>
          <w:sz w:val="24"/>
          <w:szCs w:val="24"/>
          <w:highlight w:val="none"/>
          <w:lang w:val="en-US" w:bidi="zh-CN"/>
        </w:rPr>
        <w:t xml:space="preserve">采购清单</w:t>
      </w:r>
      <w:r>
        <w:rPr>
          <w:rFonts w:hint="eastAsia" w:ascii="Times New Roman" w:hAnsi="Times New Roman" w:eastAsia="宋体" w:cs="Times New Roman"/>
          <w:color w:val="auto"/>
          <w:spacing w:val="-4"/>
          <w:sz w:val="24"/>
          <w:szCs w:val="24"/>
          <w:highlight w:val="none"/>
          <w:lang w:val="en-US" w:bidi="zh-CN"/>
        </w:rPr>
        <w:t xml:space="preserve">中</w:t>
      </w:r>
      <w:r>
        <w:rPr>
          <w:rFonts w:hint="eastAsia" w:ascii="Times New Roman" w:hAnsi="Times New Roman" w:cs="Times New Roman"/>
          <w:color w:val="auto"/>
          <w:spacing w:val="-4"/>
          <w:sz w:val="24"/>
          <w:szCs w:val="24"/>
          <w:highlight w:val="none"/>
          <w:lang w:val="en-US" w:bidi="zh-CN"/>
        </w:rPr>
        <w:t xml:space="preserve">如对</w:t>
      </w:r>
      <w:r>
        <w:rPr>
          <w:rFonts w:hint="eastAsia" w:ascii="Times New Roman" w:hAnsi="Times New Roman" w:eastAsia="宋体" w:cs="Times New Roman"/>
          <w:color w:val="auto"/>
          <w:spacing w:val="-4"/>
          <w:sz w:val="24"/>
          <w:szCs w:val="24"/>
          <w:highlight w:val="none"/>
          <w:lang w:bidi="zh-CN"/>
        </w:rPr>
        <w:t xml:space="preserve">“证明材料”有要求，投标人未提供有效证明材料或证明材料中内容与所填报指标不一致的，该</w:t>
      </w:r>
      <w:r>
        <w:rPr>
          <w:rFonts w:hint="eastAsia" w:ascii="Times New Roman" w:hAnsi="Times New Roman" w:cs="Times New Roman"/>
          <w:color w:val="auto"/>
          <w:spacing w:val="-4"/>
          <w:sz w:val="24"/>
          <w:szCs w:val="24"/>
          <w:highlight w:val="none"/>
          <w:lang w:bidi="zh-CN"/>
        </w:rPr>
        <w:t xml:space="preserve">技术参数要求</w:t>
      </w:r>
      <w:r>
        <w:rPr>
          <w:rFonts w:hint="eastAsia" w:ascii="Times New Roman" w:hAnsi="Times New Roman" w:eastAsia="宋体" w:cs="Times New Roman"/>
          <w:color w:val="auto"/>
          <w:spacing w:val="-4"/>
          <w:sz w:val="24"/>
          <w:szCs w:val="24"/>
          <w:highlight w:val="none"/>
          <w:lang w:bidi="zh-CN"/>
        </w:rPr>
        <w:t xml:space="preserve">按不满足处理。</w:t>
      </w:r>
      <w:r>
        <w:rPr>
          <w:rFonts w:hint="eastAsia" w:ascii="宋体" w:hAnsi="宋体" w:eastAsia="宋体" w:cs="宋体"/>
          <w:color w:val="auto"/>
          <w:spacing w:val="-4"/>
          <w:sz w:val="24"/>
          <w:szCs w:val="24"/>
          <w:highlight w:val="none"/>
          <w:lang w:bidi="zh-CN"/>
        </w:rPr>
        <w:t xml:space="preserve"> </w:t>
      </w:r>
      <w:r>
        <w:rPr>
          <w:rFonts w:hint="eastAsia" w:ascii="幼圆" w:hAnsi="幼圆" w:eastAsia="宋体" w:cs="Times New Roman"/>
          <w:b/>
          <w:color w:val="auto"/>
          <w:sz w:val="24"/>
          <w:szCs w:val="24"/>
          <w:highlight w:val="none"/>
        </w:rPr>
        <w:t xml:space="preserve"> </w:t>
      </w:r>
      <w:r/>
    </w:p>
    <w:p>
      <w:pPr>
        <w:spacing w:line="440" w:lineRule="exact"/>
        <w:rPr>
          <w:rFonts w:ascii="宋体" w:hAnsi="宋体" w:cs="宋体"/>
          <w:b/>
          <w:bCs/>
          <w:color w:val="auto"/>
          <w:spacing w:val="-4"/>
          <w:sz w:val="24"/>
          <w:szCs w:val="24"/>
          <w:highlight w:val="none"/>
          <w:lang w:bidi="zh-CN"/>
        </w:rPr>
      </w:pPr>
      <w:r>
        <w:rPr>
          <w:rFonts w:ascii="宋体" w:hAnsi="宋体" w:cs="宋体"/>
          <w:b/>
          <w:bCs/>
          <w:color w:val="auto"/>
          <w:spacing w:val="-4"/>
          <w:sz w:val="24"/>
          <w:szCs w:val="24"/>
          <w:highlight w:val="none"/>
          <w:lang w:bidi="zh-CN"/>
        </w:rPr>
      </w:r>
      <w:r/>
    </w:p>
    <w:p>
      <w:pPr>
        <w:pStyle w:val="724"/>
        <w:numPr>
          <w:ilvl w:val="0"/>
          <w:numId w:val="7"/>
        </w:numPr>
        <w:ind w:left="0" w:firstLine="4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服务要求</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1.提供五年免费质保，日期自安装验收合格之日起计算。</w:t>
      </w:r>
      <w:r>
        <w:rPr>
          <w:rFonts w:hint="eastAsia" w:ascii="宋体" w:hAnsi="宋体" w:cs="宋体"/>
          <w:color w:val="auto"/>
          <w:sz w:val="24"/>
          <w:szCs w:val="24"/>
          <w:highlight w:val="none"/>
          <w:lang w:bidi="zh-CN"/>
        </w:rPr>
        <w:t xml:space="preserve">免费质保期如有负偏离的，视为无效投标。</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2.所有家具在质量保证期内发生的任何故障（非人为损坏），中标人均应负责免费修复，无法修复的产品或零部件应免费更换(人为因素或不可抗力因素除外)。</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3.供货前，采购人有权根据产品价格占比、重要性等情况，要求</w:t>
      </w:r>
      <w:r>
        <w:rPr>
          <w:rFonts w:hint="eastAsia" w:ascii="宋体" w:hAnsi="宋体" w:cs="宋体"/>
          <w:color w:val="auto"/>
          <w:sz w:val="24"/>
          <w:szCs w:val="24"/>
          <w:highlight w:val="none"/>
          <w:lang w:bidi="zh-CN"/>
        </w:rPr>
        <w:t xml:space="preserve">中标</w:t>
      </w:r>
      <w:r>
        <w:rPr>
          <w:rFonts w:hint="eastAsia" w:ascii="宋体" w:hAnsi="宋体" w:eastAsia="宋体" w:cs="宋体"/>
          <w:color w:val="auto"/>
          <w:sz w:val="24"/>
          <w:szCs w:val="24"/>
          <w:highlight w:val="none"/>
          <w:lang w:bidi="zh-CN"/>
        </w:rPr>
        <w:t xml:space="preserve">供应商先行提供部分产品让采购人验收，采购人验收合格后方可整体供货，</w:t>
      </w:r>
      <w:r>
        <w:rPr>
          <w:rFonts w:hint="eastAsia" w:ascii="宋体" w:hAnsi="宋体" w:cs="宋体"/>
          <w:color w:val="auto"/>
          <w:sz w:val="24"/>
          <w:szCs w:val="24"/>
          <w:highlight w:val="none"/>
          <w:lang w:bidi="zh-CN"/>
        </w:rPr>
        <w:t xml:space="preserve">如</w:t>
      </w:r>
      <w:r>
        <w:rPr>
          <w:rFonts w:hint="eastAsia" w:ascii="宋体" w:hAnsi="宋体" w:eastAsia="宋体" w:cs="宋体"/>
          <w:color w:val="auto"/>
          <w:sz w:val="24"/>
          <w:szCs w:val="24"/>
          <w:highlight w:val="none"/>
          <w:lang w:bidi="zh-CN"/>
        </w:rPr>
        <w:t xml:space="preserve">验收不合格</w:t>
      </w:r>
      <w:r>
        <w:rPr>
          <w:rFonts w:hint="eastAsia" w:ascii="宋体" w:hAnsi="宋体" w:cs="宋体"/>
          <w:color w:val="auto"/>
          <w:sz w:val="24"/>
          <w:szCs w:val="24"/>
          <w:highlight w:val="none"/>
          <w:lang w:bidi="zh-CN"/>
        </w:rPr>
        <w:t xml:space="preserve">即为合同违约，由中标供应商承担相应违约责任并及时整改</w:t>
      </w:r>
      <w:r>
        <w:rPr>
          <w:rFonts w:hint="eastAsia" w:ascii="宋体" w:hAnsi="宋体" w:eastAsia="宋体" w:cs="宋体"/>
          <w:color w:val="auto"/>
          <w:sz w:val="24"/>
          <w:szCs w:val="24"/>
          <w:highlight w:val="none"/>
          <w:lang w:bidi="zh-CN"/>
        </w:rPr>
        <w:t xml:space="preserve">。</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宋体"/>
          <w:color w:val="auto"/>
          <w:sz w:val="24"/>
          <w:szCs w:val="24"/>
          <w:highlight w:val="none"/>
          <w:lang w:bidi="zh-CN"/>
        </w:rPr>
        <w:t xml:space="preserve">4.</w:t>
      </w:r>
      <w:bookmarkStart w:id="75" w:name="OLE_LINK22"/>
      <w:r>
        <w:rPr>
          <w:rFonts w:hint="eastAsia" w:ascii="宋体" w:hAnsi="宋体" w:eastAsia="宋体" w:cs="宋体"/>
          <w:color w:val="auto"/>
          <w:sz w:val="24"/>
          <w:szCs w:val="24"/>
          <w:highlight w:val="none"/>
          <w:lang w:bidi="zh-CN"/>
        </w:rPr>
        <w:t xml:space="preserve">采购清单中</w:t>
      </w:r>
      <w:bookmarkStart w:id="76" w:name="OLE_LINK25"/>
      <w:r>
        <w:rPr>
          <w:rFonts w:hint="eastAsia" w:ascii="宋体" w:hAnsi="宋体" w:cs="宋体"/>
          <w:color w:val="auto"/>
          <w:sz w:val="24"/>
          <w:szCs w:val="24"/>
          <w:highlight w:val="none"/>
          <w:lang w:bidi="zh-CN"/>
        </w:rPr>
        <w:t xml:space="preserve">所有</w:t>
      </w:r>
      <w:r>
        <w:rPr>
          <w:rFonts w:hint="eastAsia" w:ascii="宋体" w:hAnsi="宋体" w:eastAsia="宋体" w:cs="宋体"/>
          <w:color w:val="auto"/>
          <w:sz w:val="24"/>
          <w:szCs w:val="24"/>
          <w:highlight w:val="none"/>
          <w:lang w:bidi="zh-CN"/>
        </w:rPr>
        <w:t xml:space="preserve">产品尺寸不得偏差±5mm以上，采购清单中产品材质的用料不得出现偏离，采购清单中材质的厚度及壁厚的参数不可负偏离，否则均视为无效投标。</w:t>
      </w:r>
      <w:bookmarkEnd w:id="75"/>
      <w:r/>
      <w:bookmarkEnd w:id="76"/>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5.投标人须制定详细的供货、安装及售后服务计划，一旦中标按照计划实施。</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6.</w:t>
      </w:r>
      <w:r>
        <w:rPr>
          <w:rFonts w:hint="eastAsia" w:ascii="宋体" w:hAnsi="宋体" w:cs="宋体"/>
          <w:color w:val="auto"/>
          <w:sz w:val="24"/>
          <w:szCs w:val="24"/>
          <w:highlight w:val="none"/>
          <w:lang w:bidi="zh-CN"/>
        </w:rPr>
        <w:t xml:space="preserve">响应</w:t>
      </w:r>
      <w:r>
        <w:rPr>
          <w:rFonts w:hint="eastAsia" w:ascii="宋体" w:hAnsi="宋体" w:eastAsia="宋体" w:cs="宋体"/>
          <w:color w:val="auto"/>
          <w:sz w:val="24"/>
          <w:szCs w:val="24"/>
          <w:highlight w:val="none"/>
          <w:lang w:bidi="zh-CN"/>
        </w:rPr>
        <w:t xml:space="preserve">本</w:t>
      </w:r>
      <w:r>
        <w:rPr>
          <w:rFonts w:hint="eastAsia" w:ascii="宋体" w:hAnsi="宋体" w:cs="宋体"/>
          <w:color w:val="auto"/>
          <w:sz w:val="24"/>
          <w:szCs w:val="24"/>
          <w:highlight w:val="none"/>
          <w:lang w:bidi="zh-CN"/>
        </w:rPr>
        <w:t xml:space="preserve">项目</w:t>
      </w:r>
      <w:r>
        <w:rPr>
          <w:rFonts w:hint="eastAsia" w:ascii="宋体" w:hAnsi="宋体" w:eastAsia="宋体" w:cs="宋体"/>
          <w:color w:val="auto"/>
          <w:sz w:val="24"/>
          <w:szCs w:val="24"/>
          <w:highlight w:val="none"/>
          <w:lang w:bidi="zh-CN"/>
        </w:rPr>
        <w:t xml:space="preserve">的货物</w:t>
      </w:r>
      <w:r>
        <w:rPr>
          <w:rFonts w:hint="eastAsia" w:ascii="宋体" w:hAnsi="宋体" w:cs="宋体"/>
          <w:color w:val="auto"/>
          <w:sz w:val="24"/>
          <w:szCs w:val="24"/>
          <w:highlight w:val="none"/>
          <w:lang w:bidi="zh-CN"/>
        </w:rPr>
        <w:t xml:space="preserve">、产品</w:t>
      </w:r>
      <w:r>
        <w:rPr>
          <w:rFonts w:hint="eastAsia" w:ascii="宋体" w:hAnsi="宋体" w:eastAsia="宋体" w:cs="宋体"/>
          <w:color w:val="auto"/>
          <w:sz w:val="24"/>
          <w:szCs w:val="24"/>
          <w:highlight w:val="none"/>
          <w:lang w:bidi="zh-CN"/>
        </w:rPr>
        <w:t xml:space="preserve">，投标人应保证是全新、未使用过的原装合格正品，符合国家行业标准和规范要求，并完全符合采购需求规定的质量和性能的要求。投标人</w:t>
      </w:r>
      <w:r>
        <w:rPr>
          <w:rFonts w:hint="eastAsia" w:ascii="宋体" w:hAnsi="宋体" w:cs="宋体"/>
          <w:color w:val="auto"/>
          <w:sz w:val="24"/>
          <w:szCs w:val="24"/>
          <w:highlight w:val="none"/>
          <w:lang w:bidi="zh-CN"/>
        </w:rPr>
        <w:t xml:space="preserve">应</w:t>
      </w:r>
      <w:r>
        <w:rPr>
          <w:rFonts w:hint="eastAsia" w:ascii="宋体" w:hAnsi="宋体" w:eastAsia="宋体" w:cs="宋体"/>
          <w:color w:val="auto"/>
          <w:sz w:val="24"/>
          <w:szCs w:val="24"/>
          <w:highlight w:val="none"/>
          <w:lang w:bidi="zh-CN"/>
        </w:rPr>
        <w:t xml:space="preserve">保证产品不存在因材质、设计、制造等问题所引起的缺陷，否则应无偿予以纠正。</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7.中标人在</w:t>
      </w:r>
      <w:r>
        <w:rPr>
          <w:rFonts w:hint="eastAsia" w:ascii="宋体" w:hAnsi="宋体" w:cs="宋体"/>
          <w:color w:val="auto"/>
          <w:sz w:val="24"/>
          <w:szCs w:val="24"/>
          <w:highlight w:val="none"/>
          <w:lang w:bidi="zh-CN"/>
        </w:rPr>
        <w:t xml:space="preserve">运输</w:t>
      </w:r>
      <w:r>
        <w:rPr>
          <w:rFonts w:hint="eastAsia" w:ascii="宋体" w:hAnsi="宋体" w:eastAsia="宋体" w:cs="宋体"/>
          <w:color w:val="auto"/>
          <w:sz w:val="24"/>
          <w:szCs w:val="24"/>
          <w:highlight w:val="none"/>
          <w:lang w:bidi="zh-CN"/>
        </w:rPr>
        <w:t xml:space="preserve">及安装过程中，</w:t>
      </w:r>
      <w:r>
        <w:rPr>
          <w:rFonts w:hint="eastAsia" w:ascii="宋体" w:hAnsi="宋体" w:cs="宋体"/>
          <w:color w:val="auto"/>
          <w:sz w:val="24"/>
          <w:szCs w:val="24"/>
          <w:highlight w:val="none"/>
          <w:lang w:bidi="zh-CN"/>
        </w:rPr>
        <w:t xml:space="preserve">应确保安全、</w:t>
      </w:r>
      <w:r>
        <w:rPr>
          <w:rFonts w:hint="eastAsia" w:ascii="宋体" w:hAnsi="宋体" w:eastAsia="宋体" w:cs="宋体"/>
          <w:color w:val="auto"/>
          <w:sz w:val="24"/>
          <w:szCs w:val="24"/>
          <w:highlight w:val="none"/>
          <w:lang w:bidi="zh-CN"/>
        </w:rPr>
        <w:t xml:space="preserve">文明</w:t>
      </w:r>
      <w:r>
        <w:rPr>
          <w:rFonts w:hint="eastAsia" w:ascii="宋体" w:hAnsi="宋体" w:cs="宋体"/>
          <w:color w:val="auto"/>
          <w:sz w:val="24"/>
          <w:szCs w:val="24"/>
          <w:highlight w:val="none"/>
          <w:lang w:bidi="zh-CN"/>
        </w:rPr>
        <w:t xml:space="preserve">、</w:t>
      </w:r>
      <w:r>
        <w:rPr>
          <w:rFonts w:hint="eastAsia" w:ascii="宋体" w:hAnsi="宋体" w:eastAsia="宋体" w:cs="宋体"/>
          <w:color w:val="auto"/>
          <w:sz w:val="24"/>
          <w:szCs w:val="24"/>
          <w:highlight w:val="none"/>
          <w:lang w:bidi="zh-CN"/>
        </w:rPr>
        <w:t xml:space="preserve">清洁</w:t>
      </w:r>
      <w:r>
        <w:rPr>
          <w:rFonts w:hint="eastAsia" w:ascii="宋体" w:hAnsi="宋体" w:cs="宋体"/>
          <w:color w:val="auto"/>
          <w:sz w:val="24"/>
          <w:szCs w:val="24"/>
          <w:highlight w:val="none"/>
          <w:lang w:bidi="zh-CN"/>
        </w:rPr>
        <w:t xml:space="preserve">。如运输、安装过程中出现</w:t>
      </w:r>
      <w:r>
        <w:rPr>
          <w:rFonts w:hint="eastAsia" w:ascii="宋体" w:hAnsi="宋体" w:eastAsia="宋体" w:cs="宋体"/>
          <w:color w:val="auto"/>
          <w:sz w:val="24"/>
          <w:szCs w:val="24"/>
          <w:highlight w:val="none"/>
          <w:lang w:bidi="zh-CN"/>
        </w:rPr>
        <w:t xml:space="preserve">安全事故、办公家具及内部装饰损坏等</w:t>
      </w:r>
      <w:r>
        <w:rPr>
          <w:rFonts w:hint="eastAsia" w:ascii="宋体" w:hAnsi="宋体" w:cs="宋体"/>
          <w:color w:val="auto"/>
          <w:sz w:val="24"/>
          <w:szCs w:val="24"/>
          <w:highlight w:val="none"/>
          <w:lang w:bidi="zh-CN"/>
        </w:rPr>
        <w:t xml:space="preserve">情形</w:t>
      </w:r>
      <w:r>
        <w:rPr>
          <w:rFonts w:hint="eastAsia" w:ascii="宋体" w:hAnsi="宋体" w:eastAsia="宋体" w:cs="宋体"/>
          <w:color w:val="auto"/>
          <w:sz w:val="24"/>
          <w:szCs w:val="24"/>
          <w:highlight w:val="none"/>
          <w:lang w:bidi="zh-CN"/>
        </w:rPr>
        <w:t xml:space="preserve">，</w:t>
      </w:r>
      <w:r>
        <w:rPr>
          <w:rFonts w:hint="eastAsia" w:ascii="宋体" w:hAnsi="宋体" w:cs="宋体"/>
          <w:color w:val="auto"/>
          <w:sz w:val="24"/>
          <w:szCs w:val="24"/>
          <w:highlight w:val="none"/>
          <w:lang w:bidi="zh-CN"/>
        </w:rPr>
        <w:t xml:space="preserve">与采购人无关，</w:t>
      </w:r>
      <w:r>
        <w:rPr>
          <w:rFonts w:hint="eastAsia" w:ascii="宋体" w:hAnsi="宋体" w:eastAsia="宋体" w:cs="宋体"/>
          <w:color w:val="auto"/>
          <w:sz w:val="24"/>
          <w:szCs w:val="24"/>
          <w:highlight w:val="none"/>
          <w:lang w:bidi="zh-CN"/>
        </w:rPr>
        <w:t xml:space="preserve">由中标人</w:t>
      </w:r>
      <w:r>
        <w:rPr>
          <w:rFonts w:hint="eastAsia" w:ascii="宋体" w:hAnsi="宋体" w:cs="宋体"/>
          <w:color w:val="auto"/>
          <w:sz w:val="24"/>
          <w:szCs w:val="24"/>
          <w:highlight w:val="none"/>
          <w:lang w:bidi="zh-CN"/>
        </w:rPr>
        <w:t xml:space="preserve">自行处理</w:t>
      </w:r>
      <w:r>
        <w:rPr>
          <w:rFonts w:hint="eastAsia" w:ascii="宋体" w:hAnsi="宋体" w:eastAsia="宋体" w:cs="宋体"/>
          <w:color w:val="auto"/>
          <w:sz w:val="24"/>
          <w:szCs w:val="24"/>
          <w:highlight w:val="none"/>
          <w:lang w:bidi="zh-CN"/>
        </w:rPr>
        <w:t xml:space="preserve">。</w:t>
      </w:r>
      <w:r>
        <w:rPr>
          <w:rFonts w:hint="eastAsia" w:ascii="宋体" w:hAnsi="宋体" w:cs="宋体"/>
          <w:color w:val="auto"/>
          <w:sz w:val="24"/>
          <w:szCs w:val="24"/>
          <w:highlight w:val="none"/>
          <w:lang w:bidi="zh-CN"/>
        </w:rPr>
        <w:t xml:space="preserve">如</w:t>
      </w:r>
      <w:r>
        <w:rPr>
          <w:rFonts w:hint="eastAsia" w:ascii="宋体" w:hAnsi="宋体" w:eastAsia="宋体" w:cs="宋体"/>
          <w:color w:val="auto"/>
          <w:sz w:val="24"/>
          <w:szCs w:val="24"/>
          <w:highlight w:val="none"/>
          <w:lang w:bidi="zh-CN"/>
        </w:rPr>
        <w:t xml:space="preserve">项目实施过程中</w:t>
      </w:r>
      <w:r>
        <w:rPr>
          <w:rFonts w:hint="eastAsia" w:ascii="宋体" w:hAnsi="宋体" w:cs="宋体"/>
          <w:color w:val="auto"/>
          <w:sz w:val="24"/>
          <w:szCs w:val="24"/>
          <w:highlight w:val="none"/>
          <w:lang w:bidi="zh-CN"/>
        </w:rPr>
        <w:t xml:space="preserve">出现与相关方的</w:t>
      </w:r>
      <w:r>
        <w:rPr>
          <w:rFonts w:hint="eastAsia" w:ascii="宋体" w:hAnsi="宋体" w:eastAsia="宋体" w:cs="宋体"/>
          <w:color w:val="auto"/>
          <w:sz w:val="24"/>
          <w:szCs w:val="24"/>
          <w:highlight w:val="none"/>
          <w:lang w:bidi="zh-CN"/>
        </w:rPr>
        <w:t xml:space="preserve">矛盾</w:t>
      </w:r>
      <w:r>
        <w:rPr>
          <w:rFonts w:hint="eastAsia" w:ascii="宋体" w:hAnsi="宋体" w:cs="宋体"/>
          <w:color w:val="auto"/>
          <w:sz w:val="24"/>
          <w:szCs w:val="24"/>
          <w:highlight w:val="none"/>
          <w:lang w:bidi="zh-CN"/>
        </w:rPr>
        <w:t xml:space="preserve">与分歧，</w:t>
      </w:r>
      <w:r>
        <w:rPr>
          <w:rFonts w:hint="eastAsia" w:ascii="宋体" w:hAnsi="宋体" w:eastAsia="宋体" w:cs="宋体"/>
          <w:color w:val="auto"/>
          <w:sz w:val="24"/>
          <w:szCs w:val="24"/>
          <w:highlight w:val="none"/>
          <w:lang w:bidi="zh-CN"/>
        </w:rPr>
        <w:t xml:space="preserve">由中标人</w:t>
      </w:r>
      <w:r>
        <w:rPr>
          <w:rFonts w:hint="eastAsia" w:ascii="宋体" w:hAnsi="宋体" w:cs="宋体"/>
          <w:color w:val="auto"/>
          <w:sz w:val="24"/>
          <w:szCs w:val="24"/>
          <w:highlight w:val="none"/>
          <w:lang w:bidi="zh-CN"/>
        </w:rPr>
        <w:t xml:space="preserve">自行处理</w:t>
      </w:r>
      <w:r>
        <w:rPr>
          <w:rFonts w:hint="eastAsia" w:ascii="宋体" w:hAnsi="宋体" w:eastAsia="宋体" w:cs="宋体"/>
          <w:color w:val="auto"/>
          <w:sz w:val="24"/>
          <w:szCs w:val="24"/>
          <w:highlight w:val="none"/>
          <w:lang w:bidi="zh-CN"/>
        </w:rPr>
        <w:t xml:space="preserve">。</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8.中标人送货、安装、调试后由采购人及使用单位对货物进行检查验收，如果发现数量不足或有质量、技术、未放置到指定场所等问题，中标人应负责按照</w:t>
      </w:r>
      <w:r>
        <w:rPr>
          <w:rFonts w:hint="eastAsia" w:ascii="宋体" w:hAnsi="宋体" w:cs="宋体"/>
          <w:color w:val="auto"/>
          <w:sz w:val="24"/>
          <w:szCs w:val="24"/>
          <w:highlight w:val="none"/>
          <w:lang w:bidi="zh-CN"/>
        </w:rPr>
        <w:t xml:space="preserve">采购文件及投标响应文件</w:t>
      </w:r>
      <w:r>
        <w:rPr>
          <w:rFonts w:hint="eastAsia" w:ascii="宋体" w:hAnsi="宋体" w:eastAsia="宋体" w:cs="宋体"/>
          <w:color w:val="auto"/>
          <w:sz w:val="24"/>
          <w:szCs w:val="24"/>
          <w:highlight w:val="none"/>
          <w:lang w:bidi="zh-CN"/>
        </w:rPr>
        <w:t xml:space="preserve">的要求采取补充或更换等处理措施，并承担由此发生的一切损失和费用。</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9.</w:t>
      </w:r>
      <w:r>
        <w:rPr>
          <w:rFonts w:hint="eastAsia" w:ascii="宋体" w:hAnsi="宋体" w:cs="宋体"/>
          <w:color w:val="auto"/>
          <w:sz w:val="24"/>
          <w:szCs w:val="24"/>
          <w:highlight w:val="none"/>
          <w:lang w:bidi="zh-CN"/>
        </w:rPr>
        <w:t xml:space="preserve">中标人</w:t>
      </w:r>
      <w:r>
        <w:rPr>
          <w:rFonts w:hint="eastAsia" w:ascii="宋体" w:hAnsi="宋体" w:eastAsia="宋体" w:cs="宋体"/>
          <w:color w:val="auto"/>
          <w:sz w:val="24"/>
          <w:szCs w:val="24"/>
          <w:highlight w:val="none"/>
          <w:lang w:bidi="zh-CN"/>
        </w:rPr>
        <w:t xml:space="preserve">对其所销售的货物应当享有知识产权或经权利人合法授权，保证没有侵犯任何第三人的知识产权等权利。因违反前述约定对第三人构成侵权的，应当由</w:t>
      </w:r>
      <w:r>
        <w:rPr>
          <w:rFonts w:hint="eastAsia" w:ascii="宋体" w:hAnsi="宋体" w:cs="宋体"/>
          <w:color w:val="auto"/>
          <w:sz w:val="24"/>
          <w:szCs w:val="24"/>
          <w:highlight w:val="none"/>
          <w:lang w:bidi="zh-CN"/>
        </w:rPr>
        <w:t xml:space="preserve">中标人</w:t>
      </w:r>
      <w:r>
        <w:rPr>
          <w:rFonts w:hint="eastAsia" w:ascii="宋体" w:hAnsi="宋体" w:eastAsia="宋体" w:cs="宋体"/>
          <w:color w:val="auto"/>
          <w:sz w:val="24"/>
          <w:szCs w:val="24"/>
          <w:highlight w:val="none"/>
          <w:lang w:bidi="zh-CN"/>
        </w:rPr>
        <w:t xml:space="preserve">向第三人承担法律责任。</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10.售后服务期间，收到采购人的报修电话，中标人应在</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bidi="zh-CN"/>
        </w:rPr>
        <w:t xml:space="preserve">小时内派遣有经验的维修人员赴现场排除故障，若货物故障在检修工作8小时后仍无法排除，乙方应在48小时内免费提供不低于故障货物规格型号档次的备用货物供甲方使用，直至故障货物修复。</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11.在质保期结束后，中标人应以不高于市场价向采购人提供所需的备品、备件，或向采购人提供备品、备件可靠的供货渠道。</w:t>
      </w:r>
      <w:r/>
    </w:p>
    <w:p>
      <w:pPr>
        <w:ind w:firstLine="480"/>
        <w:spacing w:line="400" w:lineRule="exact"/>
        <w:rPr>
          <w:rFonts w:ascii="宋体" w:hAnsi="宋体" w:eastAsia="宋体" w:cs="宋体"/>
          <w:b/>
          <w:color w:val="auto"/>
          <w:sz w:val="24"/>
          <w:szCs w:val="24"/>
          <w:highlight w:val="none"/>
          <w:lang w:bidi="zh-CN"/>
        </w:rPr>
      </w:pPr>
      <w:r>
        <w:rPr>
          <w:rFonts w:hint="eastAsia" w:ascii="宋体" w:hAnsi="宋体" w:eastAsia="宋体" w:cs="宋体"/>
          <w:b/>
          <w:color w:val="auto"/>
          <w:sz w:val="24"/>
          <w:szCs w:val="24"/>
          <w:highlight w:val="none"/>
          <w:lang w:bidi="zh-CN"/>
        </w:rPr>
        <w:t xml:space="preserve">★五.商务要求</w:t>
      </w:r>
      <w:r/>
    </w:p>
    <w:p>
      <w:pPr>
        <w:numPr>
          <w:ilvl w:val="0"/>
          <w:numId w:val="8"/>
        </w:numPr>
        <w:ind w:firstLine="480"/>
        <w:spacing w:line="400" w:lineRule="exact"/>
        <w:rPr>
          <w:rFonts w:hint="eastAsia" w:ascii="宋体" w:hAnsi="宋体" w:eastAsia="宋体" w:cs="宋体"/>
          <w:color w:val="auto"/>
          <w:sz w:val="24"/>
          <w:szCs w:val="24"/>
          <w:highlight w:val="none"/>
          <w:lang w:bidi="zh-CN"/>
        </w:rPr>
      </w:pPr>
      <w:r/>
      <w:bookmarkStart w:id="77" w:name="OLE_LINK8"/>
      <w:r>
        <w:rPr>
          <w:rFonts w:hint="eastAsia" w:ascii="宋体" w:hAnsi="宋体" w:eastAsia="宋体" w:cs="宋体"/>
          <w:color w:val="auto"/>
          <w:sz w:val="24"/>
          <w:szCs w:val="24"/>
          <w:highlight w:val="none"/>
          <w:lang w:bidi="zh-CN"/>
        </w:rPr>
        <w:t xml:space="preserve">最高限价</w:t>
      </w:r>
      <w:bookmarkEnd w:id="77"/>
      <w:r/>
      <w:r/>
    </w:p>
    <w:p>
      <w:pPr>
        <w:numPr>
          <w:ilvl w:val="0"/>
          <w:numId w:val="0"/>
        </w:numPr>
        <w:ind w:firstLine="480"/>
        <w:spacing w:line="40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u w:val="single"/>
          <w:lang w:val="en-US" w:eastAsia="zh-CN" w:bidi="zh-CN"/>
        </w:rPr>
        <w:t xml:space="preserve">采购包1：733.7 万元；采购包2：551.5 万元</w:t>
      </w:r>
      <w:r>
        <w:rPr>
          <w:rFonts w:hint="eastAsia" w:ascii="宋体" w:hAnsi="宋体" w:eastAsia="宋体" w:cs="宋体"/>
          <w:color w:val="auto"/>
          <w:sz w:val="24"/>
          <w:szCs w:val="24"/>
          <w:highlight w:val="none"/>
          <w:lang w:eastAsia="zh-CN" w:bidi="zh-CN"/>
        </w:rPr>
        <w:t xml:space="preserve">。</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2.工期：签订合同，收到采购人书面通知后</w:t>
      </w:r>
      <w:r>
        <w:rPr>
          <w:rFonts w:hint="eastAsia" w:ascii="宋体" w:hAnsi="宋体" w:eastAsia="宋体" w:cs="宋体"/>
          <w:color w:val="auto"/>
          <w:sz w:val="24"/>
          <w:szCs w:val="24"/>
          <w:highlight w:val="none"/>
          <w:u w:val="single"/>
          <w:lang w:val="en-US" w:bidi="zh-CN"/>
        </w:rPr>
        <w:t xml:space="preserve"> 2 </w:t>
      </w:r>
      <w:r>
        <w:rPr>
          <w:rFonts w:hint="eastAsia" w:ascii="宋体" w:hAnsi="宋体" w:eastAsia="宋体" w:cs="宋体"/>
          <w:color w:val="auto"/>
          <w:sz w:val="24"/>
          <w:szCs w:val="24"/>
          <w:highlight w:val="none"/>
          <w:lang w:bidi="zh-CN"/>
        </w:rPr>
        <w:t xml:space="preserve">个月内完成安装。</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3.交付地点 ：</w:t>
      </w:r>
      <w:r>
        <w:rPr>
          <w:rFonts w:hint="eastAsia" w:ascii="宋体" w:hAnsi="宋体" w:eastAsia="宋体" w:cs="楷体"/>
          <w:color w:val="auto"/>
          <w:sz w:val="24"/>
          <w:szCs w:val="28"/>
          <w:highlight w:val="none"/>
          <w:lang w:eastAsia="zh-CN"/>
        </w:rPr>
        <w:t xml:space="preserve">丹阳市中医院</w:t>
      </w:r>
      <w:r>
        <w:rPr>
          <w:rFonts w:hint="eastAsia" w:ascii="宋体" w:hAnsi="宋体" w:eastAsia="宋体" w:cs="宋体"/>
          <w:color w:val="auto"/>
          <w:sz w:val="24"/>
          <w:szCs w:val="24"/>
          <w:highlight w:val="none"/>
          <w:lang w:bidi="zh-CN"/>
        </w:rPr>
        <w:t xml:space="preserve">新院。</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bidi="zh-CN"/>
        </w:rPr>
        <w:t xml:space="preserve">4</w:t>
      </w:r>
      <w:r>
        <w:rPr>
          <w:rFonts w:hint="eastAsia" w:ascii="宋体" w:hAnsi="宋体" w:eastAsia="宋体" w:cs="宋体"/>
          <w:color w:val="auto"/>
          <w:sz w:val="24"/>
          <w:szCs w:val="24"/>
          <w:highlight w:val="none"/>
          <w:lang w:bidi="zh-CN"/>
        </w:rPr>
        <w:t xml:space="preserve">.付款方式：</w:t>
      </w:r>
      <w:r>
        <w:rPr>
          <w:rFonts w:hint="eastAsia" w:ascii="宋体" w:hAnsi="宋体" w:eastAsia="宋体" w:cs="宋体"/>
          <w:color w:val="auto"/>
          <w:sz w:val="24"/>
          <w:szCs w:val="24"/>
          <w:highlight w:val="none"/>
          <w:lang w:val="en-US" w:eastAsia="zh-CN"/>
        </w:rPr>
        <w:t xml:space="preserve">合同签订后，采购人支付合同金额的30%作为预付款，在收到中标人提供的相应金额的正规发票后10个工作日内进行支付。验收合格后第一年，采购人在收到中标人提供的相应金额的正规发票后10个工作日内支付合同金额的50%；验收合格后第二年，采购人在收到中标人提供的相应金额的正规发票后10个工作日内支付合同金额的10%；验收合格后第三年，采购人在收到中标人提供的相应金额的正规发票后10个工作日付清余款。</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六.服务质量要求</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①投标人需提供完备的产品质量保证</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②投标人需提供具有丰富经验和技术能力的售后服务人员</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③投标人需明确现场服务措施、故障解决预案、应急服务响应时间上限</w:t>
      </w:r>
      <w:r/>
    </w:p>
    <w:p>
      <w:pPr>
        <w:ind w:firstLine="48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④投标人需建立完善的售后服务回访制度</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⑤投标人需提供完善的项目培训方案及备品备件计划方案</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七.供货及验收要求</w:t>
      </w:r>
      <w:r/>
    </w:p>
    <w:p>
      <w:pPr>
        <w:ind w:firstLine="480"/>
        <w:spacing w:line="400" w:lineRule="exact"/>
        <w:rPr>
          <w:rFonts w:hint="default"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bidi="zh-CN"/>
        </w:rPr>
        <w:t xml:space="preserve">1</w:t>
      </w:r>
      <w:r>
        <w:rPr>
          <w:rFonts w:hint="eastAsia" w:ascii="宋体" w:hAnsi="宋体" w:cs="宋体"/>
          <w:color w:val="auto"/>
          <w:sz w:val="24"/>
          <w:szCs w:val="24"/>
          <w:highlight w:val="none"/>
          <w:lang w:bidi="zh-CN"/>
        </w:rPr>
        <w:t xml:space="preserve">.</w:t>
      </w:r>
      <w:r>
        <w:rPr>
          <w:rFonts w:hint="eastAsia" w:ascii="宋体" w:hAnsi="宋体" w:eastAsia="宋体" w:cs="宋体"/>
          <w:color w:val="auto"/>
          <w:sz w:val="24"/>
          <w:szCs w:val="24"/>
          <w:highlight w:val="none"/>
          <w:lang w:val="en-US" w:bidi="zh-CN"/>
        </w:rPr>
        <w:t xml:space="preserve">中标人应保证其货物在正确安装、正常使用和保养条件下，在其使用寿命内能正常使用。在货物安装竣工验收合格后的质量保证期内，应对由于家具的设计和制造或材料的缺陷而产生的故障负全责。应保证家具所用主要原材料均需为国家法规及行业规范允许使用并符合环保要求的材料，采购需求清单中主要原材料如：电解钢板、刨花板、皮革、海绵、网布等均需通过阻燃等级检测或燃烧性能检测；</w:t>
      </w:r>
      <w:r/>
    </w:p>
    <w:p>
      <w:pPr>
        <w:ind w:firstLine="480"/>
        <w:spacing w:line="40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2.</w:t>
      </w:r>
      <w:r>
        <w:rPr>
          <w:rFonts w:hint="eastAsia" w:ascii="宋体" w:hAnsi="宋体" w:eastAsia="宋体" w:cs="宋体"/>
          <w:color w:val="auto"/>
          <w:sz w:val="24"/>
          <w:szCs w:val="24"/>
          <w:highlight w:val="none"/>
          <w:lang w:bidi="zh-CN"/>
        </w:rPr>
        <w:t xml:space="preserve">供货前，中标人应对货物的质量、规格、性能、数量等进行全面的自检。自检无误后，中标人或所投产品生产商须</w:t>
      </w:r>
      <w:r>
        <w:rPr>
          <w:rFonts w:hint="eastAsia" w:ascii="宋体" w:hAnsi="宋体" w:cs="宋体"/>
          <w:color w:val="auto"/>
          <w:sz w:val="24"/>
          <w:szCs w:val="24"/>
          <w:highlight w:val="none"/>
          <w:lang w:bidi="zh-CN"/>
        </w:rPr>
        <w:t xml:space="preserve">提供</w:t>
      </w:r>
      <w:r>
        <w:rPr>
          <w:rFonts w:hint="eastAsia" w:ascii="宋体" w:hAnsi="宋体" w:eastAsia="宋体" w:cs="宋体"/>
          <w:color w:val="auto"/>
          <w:sz w:val="24"/>
          <w:szCs w:val="24"/>
          <w:highlight w:val="none"/>
          <w:lang w:bidi="zh-CN"/>
        </w:rPr>
        <w:t xml:space="preserve">每类成品家具</w:t>
      </w:r>
      <w:r>
        <w:rPr>
          <w:rFonts w:hint="eastAsia" w:ascii="宋体" w:hAnsi="宋体" w:cs="宋体"/>
          <w:color w:val="auto"/>
          <w:sz w:val="24"/>
          <w:szCs w:val="24"/>
          <w:highlight w:val="none"/>
          <w:lang w:bidi="zh-CN"/>
        </w:rPr>
        <w:t xml:space="preserve">由</w:t>
      </w:r>
      <w:r>
        <w:rPr>
          <w:rFonts w:hint="eastAsia" w:ascii="宋体" w:hAnsi="宋体" w:eastAsia="宋体" w:cs="宋体"/>
          <w:color w:val="auto"/>
          <w:sz w:val="24"/>
          <w:szCs w:val="24"/>
          <w:highlight w:val="none"/>
          <w:lang w:bidi="zh-CN"/>
        </w:rPr>
        <w:t xml:space="preserve">法定检测资质的检测机构</w:t>
      </w:r>
      <w:r>
        <w:rPr>
          <w:rFonts w:hint="eastAsia" w:ascii="宋体" w:hAnsi="宋体" w:cs="宋体"/>
          <w:color w:val="auto"/>
          <w:sz w:val="24"/>
          <w:szCs w:val="24"/>
          <w:highlight w:val="none"/>
          <w:lang w:bidi="zh-CN"/>
        </w:rPr>
        <w:t xml:space="preserve">出具的</w:t>
      </w:r>
      <w:r>
        <w:rPr>
          <w:rFonts w:hint="eastAsia" w:ascii="宋体" w:hAnsi="宋体" w:eastAsia="宋体" w:cs="宋体"/>
          <w:color w:val="auto"/>
          <w:sz w:val="24"/>
          <w:szCs w:val="24"/>
          <w:highlight w:val="none"/>
          <w:lang w:bidi="zh-CN"/>
        </w:rPr>
        <w:t xml:space="preserve">检测合格的检测报告，检测全部合格后方能供货。</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bidi="zh-CN"/>
        </w:rPr>
        <w:t xml:space="preserve">.采购人将在成交供应商交货现场组织验收，采购人有权对成交供应商所送家具、中任意抽出不同型号的产品送采购人所在地的监管部门委托法定检测机构检测（在抽样检测的破坏性实验后供</w:t>
      </w:r>
      <w:r>
        <w:rPr>
          <w:rFonts w:hint="eastAsia" w:ascii="宋体" w:hAnsi="宋体" w:eastAsia="宋体" w:cs="宋体"/>
          <w:color w:val="auto"/>
          <w:sz w:val="24"/>
          <w:szCs w:val="24"/>
          <w:highlight w:val="none"/>
          <w:lang w:bidi="zh-CN"/>
        </w:rPr>
        <w:t xml:space="preserve">应商应补充材料恢复被检测产品至原样，保证产品的使用功能，此项费用供应商在投标报价时应包含在总报价内，采购人不再另行支付被检测产品恢复至原样的费用，如果检验合格，检测费用由采购人承担，如果检验不合格，则检测费由成交供应商承担），如果货物的质量和规格与合同规定相符，采购人应及时填写验收回执，加盖公章后送交采购代理机构。如果货物的质量和规格与合同规定不符，或在质量保证期内发现货物是有缺陷的，包括潜在的缺陷或使用不符合要求的材料，采购人可报请当地监管部门进行查处，并有权凭法定检测机构出具的检验报告向中标人提出索赔；</w:t>
      </w:r>
      <w:r>
        <w:rPr>
          <w:rFonts w:hint="eastAsia" w:ascii="宋体" w:hAnsi="宋体" w:eastAsia="宋体" w:cs="宋体"/>
          <w:color w:val="auto"/>
          <w:sz w:val="24"/>
          <w:szCs w:val="24"/>
          <w:highlight w:val="none"/>
          <w:lang w:val="en-US" w:bidi="zh-CN"/>
        </w:rPr>
        <w:t xml:space="preserve">如果抽样时抽取的产品属于评分办法中阻燃等级证书涵盖的产品，那么抽样检测报告必须涵盖阻燃等级检测项，且阻燃等级高于或等于证书的阻燃等级。</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4</w:t>
      </w:r>
      <w:r>
        <w:rPr>
          <w:rFonts w:hint="eastAsia" w:ascii="宋体" w:hAnsi="宋体" w:eastAsia="宋体" w:cs="宋体"/>
          <w:color w:val="auto"/>
          <w:sz w:val="24"/>
          <w:szCs w:val="24"/>
          <w:highlight w:val="none"/>
          <w:lang w:bidi="zh-CN"/>
        </w:rPr>
        <w:t xml:space="preserve">.如果中标人没有按照合同规定的时间交货和提供服务，采购人有权从货款中扣除误期赔偿，赔偿费按每天迟交货物或未提供服务费用的 0.5％计收，直至交货或提供服务为止。但误期赔偿费的最高限额为合同价的 10％。一旦达到误期赔偿的最高限额，采购人</w:t>
      </w:r>
      <w:r>
        <w:rPr>
          <w:rFonts w:hint="eastAsia" w:ascii="宋体" w:hAnsi="宋体" w:cs="宋体"/>
          <w:color w:val="auto"/>
          <w:sz w:val="24"/>
          <w:szCs w:val="24"/>
          <w:highlight w:val="none"/>
          <w:lang w:bidi="zh-CN"/>
        </w:rPr>
        <w:t xml:space="preserve">有权</w:t>
      </w:r>
      <w:r>
        <w:rPr>
          <w:rFonts w:hint="eastAsia" w:ascii="宋体" w:hAnsi="宋体" w:eastAsia="宋体" w:cs="宋体"/>
          <w:color w:val="auto"/>
          <w:sz w:val="24"/>
          <w:szCs w:val="24"/>
          <w:highlight w:val="none"/>
          <w:lang w:bidi="zh-CN"/>
        </w:rPr>
        <w:t xml:space="preserve">终止合同</w:t>
      </w:r>
      <w:r>
        <w:rPr>
          <w:rFonts w:hint="eastAsia" w:ascii="宋体" w:hAnsi="宋体" w:cs="宋体"/>
          <w:color w:val="auto"/>
          <w:sz w:val="24"/>
          <w:szCs w:val="24"/>
          <w:highlight w:val="none"/>
          <w:lang w:bidi="zh-CN"/>
        </w:rPr>
        <w:t xml:space="preserve">，并追究乙方的违约责任</w:t>
      </w:r>
      <w:r>
        <w:rPr>
          <w:rFonts w:hint="eastAsia" w:ascii="宋体" w:hAnsi="宋体" w:eastAsia="宋体" w:cs="宋体"/>
          <w:color w:val="auto"/>
          <w:sz w:val="24"/>
          <w:szCs w:val="24"/>
          <w:highlight w:val="none"/>
          <w:lang w:bidi="zh-CN"/>
        </w:rPr>
        <w:t xml:space="preserve">。验收不合格的货物，中标人应在十五个工作日内予以更换，逾期按以上交货延误处理。</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5</w:t>
      </w:r>
      <w:r>
        <w:rPr>
          <w:rFonts w:hint="eastAsia" w:ascii="宋体" w:hAnsi="宋体" w:eastAsia="宋体" w:cs="宋体"/>
          <w:color w:val="auto"/>
          <w:sz w:val="24"/>
          <w:szCs w:val="24"/>
          <w:highlight w:val="none"/>
          <w:lang w:bidi="zh-CN"/>
        </w:rPr>
        <w:t xml:space="preserve">.验收情况作为支付货款的依据。产品保修期自验收合格之日起算。</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bidi="zh-CN"/>
        </w:rPr>
        <w:t xml:space="preserve">.供货安装中如涉及商品包装、快递包装及绿色建材的，其标准应不低于《关于印发商品包装政府采购需求标准(试行)&gt;、〈快递包装政府采购需求标准(试行)&gt;的通知》、《绿色建筑和绿色建材政府采购需求标准》规定的要求。</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7</w:t>
      </w:r>
      <w:r>
        <w:rPr>
          <w:rFonts w:hint="eastAsia" w:ascii="宋体" w:hAnsi="宋体" w:eastAsia="宋体" w:cs="宋体"/>
          <w:color w:val="auto"/>
          <w:sz w:val="24"/>
          <w:szCs w:val="24"/>
          <w:highlight w:val="none"/>
          <w:lang w:bidi="zh-CN"/>
        </w:rPr>
        <w:t xml:space="preserve">.采购人根据《丹阳市政府采购项目验收管理暂行规定》组织验收，经采购人验收合格后，需填写政府采购验收报告。</w:t>
      </w:r>
      <w:r/>
    </w:p>
    <w:p>
      <w:pPr>
        <w:ind w:firstLine="480"/>
        <w:spacing w:line="400" w:lineRule="exact"/>
        <w:rPr>
          <w:rFonts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八、其它要求</w:t>
      </w:r>
      <w:r/>
    </w:p>
    <w:p>
      <w:pPr>
        <w:ind w:firstLine="480"/>
        <w:spacing w:line="400" w:lineRule="exact"/>
        <w:rPr>
          <w:rFonts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签订合同前，中标人须提供</w:t>
      </w:r>
      <w:r>
        <w:rPr>
          <w:rFonts w:hint="eastAsia" w:ascii="宋体" w:hAnsi="宋体" w:eastAsia="宋体" w:cs="宋体"/>
          <w:b/>
          <w:bCs/>
          <w:color w:val="auto"/>
          <w:sz w:val="24"/>
          <w:szCs w:val="24"/>
          <w:highlight w:val="none"/>
          <w:lang w:val="en-US" w:bidi="zh-CN"/>
        </w:rPr>
        <w:t xml:space="preserve">投标文件中已经提交的</w:t>
      </w:r>
      <w:r>
        <w:rPr>
          <w:rFonts w:hint="eastAsia" w:ascii="宋体" w:hAnsi="宋体" w:eastAsia="宋体" w:cs="宋体"/>
          <w:b/>
          <w:bCs/>
          <w:color w:val="auto"/>
          <w:sz w:val="24"/>
          <w:szCs w:val="24"/>
          <w:highlight w:val="none"/>
          <w:lang w:bidi="zh-CN"/>
        </w:rPr>
        <w:t xml:space="preserve">成品检测报告、原材料检测报告、认证证书、环保证书</w:t>
      </w:r>
      <w:r>
        <w:rPr>
          <w:rFonts w:hint="eastAsia" w:ascii="宋体" w:hAnsi="宋体" w:eastAsia="宋体" w:cs="宋体"/>
          <w:b/>
          <w:bCs/>
          <w:color w:val="auto"/>
          <w:sz w:val="24"/>
          <w:szCs w:val="24"/>
          <w:highlight w:val="none"/>
          <w:lang w:val="en-US" w:bidi="zh-CN"/>
        </w:rPr>
        <w:t xml:space="preserve">对应的</w:t>
      </w:r>
      <w:r>
        <w:rPr>
          <w:rFonts w:hint="eastAsia" w:ascii="宋体" w:hAnsi="宋体" w:eastAsia="宋体" w:cs="宋体"/>
          <w:b/>
          <w:bCs/>
          <w:color w:val="auto"/>
          <w:sz w:val="24"/>
          <w:szCs w:val="24"/>
          <w:highlight w:val="none"/>
          <w:lang w:bidi="zh-CN"/>
        </w:rPr>
        <w:t xml:space="preserve">原件供采购人进行核查，如证明材料原件与投标文件不一致，视为虚假应标。</w:t>
      </w:r>
      <w:r/>
    </w:p>
    <w:p>
      <w:pPr>
        <w:numPr>
          <w:ilvl w:val="0"/>
          <w:numId w:val="0"/>
        </w:numPr>
        <w:ind w:firstLine="480"/>
        <w:spacing w:line="400" w:lineRule="exac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eastAsia="zh-CN" w:bidi="zh-CN"/>
        </w:rPr>
        <w:t xml:space="preserve">九、</w:t>
      </w:r>
      <w:r>
        <w:rPr>
          <w:rFonts w:hint="eastAsia" w:ascii="宋体" w:hAnsi="宋体" w:eastAsia="宋体" w:cs="宋体"/>
          <w:color w:val="auto"/>
          <w:sz w:val="22"/>
          <w:szCs w:val="22"/>
          <w:highlight w:val="none"/>
          <w:lang w:val="zh-CN" w:bidi="zh-CN"/>
        </w:rPr>
        <w:t xml:space="preserve">样品要求</w:t>
      </w:r>
      <w:r/>
    </w:p>
    <w:p>
      <w:pPr>
        <w:numPr>
          <w:ilvl w:val="0"/>
          <w:numId w:val="0"/>
        </w:numPr>
        <w:spacing w:line="4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eastAsia="zh-CN" w:bidi="zh-CN"/>
        </w:rPr>
        <w:t xml:space="preserve">（一）</w:t>
      </w:r>
      <w:r>
        <w:rPr>
          <w:rFonts w:hint="eastAsia" w:ascii="宋体" w:hAnsi="宋体" w:eastAsia="宋体" w:cs="宋体"/>
          <w:color w:val="auto"/>
          <w:sz w:val="21"/>
          <w:szCs w:val="21"/>
          <w:highlight w:val="none"/>
          <w:lang w:val="zh-CN" w:bidi="zh-CN"/>
        </w:rPr>
        <w:t xml:space="preserve">样品清单及技术参数要求</w:t>
      </w:r>
      <w:r/>
    </w:p>
    <w:p>
      <w:pPr>
        <w:rPr>
          <w:rFonts w:hint="eastAsia" w:ascii="宋体" w:hAnsi="宋体" w:cs="宋体"/>
          <w:b/>
          <w:bCs/>
          <w:color w:val="auto"/>
          <w:sz w:val="21"/>
          <w:szCs w:val="21"/>
          <w:highlight w:val="none"/>
          <w:u w:val="single"/>
          <w:lang w:val="zh-CN" w:bidi="zh-CN"/>
        </w:rPr>
      </w:pPr>
      <w:r>
        <w:rPr>
          <w:rFonts w:hint="eastAsia" w:ascii="宋体" w:hAnsi="宋体" w:eastAsia="宋体" w:cs="宋体"/>
          <w:color w:val="auto"/>
          <w:sz w:val="21"/>
          <w:szCs w:val="21"/>
          <w:highlight w:val="none"/>
          <w:lang w:val="en-US" w:bidi="zh-CN"/>
        </w:rPr>
        <w:t xml:space="preserve">1.1</w:t>
      </w:r>
      <w:r>
        <w:rPr>
          <w:rFonts w:hint="eastAsia" w:ascii="宋体" w:hAnsi="宋体" w:eastAsia="宋体" w:cs="宋体"/>
          <w:color w:val="auto"/>
          <w:sz w:val="21"/>
          <w:szCs w:val="21"/>
          <w:highlight w:val="none"/>
          <w:lang w:val="zh-CN" w:bidi="zh-CN"/>
        </w:rPr>
        <w:t xml:space="preserve">采购包1</w:t>
      </w:r>
      <w:r>
        <w:rPr>
          <w:rFonts w:hint="eastAsia" w:ascii="宋体" w:hAnsi="宋体" w:cs="宋体"/>
          <w:color w:val="auto"/>
          <w:sz w:val="21"/>
          <w:szCs w:val="21"/>
          <w:highlight w:val="none"/>
          <w:lang w:val="zh-CN" w:bidi="zh-CN"/>
        </w:rPr>
        <w:t xml:space="preserve">样品：</w:t>
      </w:r>
      <w:r>
        <w:rPr>
          <w:rFonts w:hint="eastAsia" w:ascii="宋体" w:hAnsi="宋体" w:eastAsia="宋体" w:cs="宋体"/>
          <w:b/>
          <w:bCs/>
          <w:color w:val="auto"/>
          <w:sz w:val="21"/>
          <w:szCs w:val="21"/>
          <w:highlight w:val="none"/>
          <w:u w:val="single"/>
          <w:lang w:val="zh-CN" w:bidi="zh-CN"/>
        </w:rPr>
        <w:t xml:space="preserve">医用治疗柜，</w:t>
      </w:r>
      <w:r>
        <w:rPr>
          <w:rFonts w:hint="eastAsia" w:ascii="宋体" w:hAnsi="宋体" w:cs="宋体"/>
          <w:b/>
          <w:bCs/>
          <w:color w:val="auto"/>
          <w:sz w:val="21"/>
          <w:szCs w:val="21"/>
          <w:highlight w:val="none"/>
          <w:u w:val="single"/>
          <w:lang w:val="zh-CN" w:bidi="zh-CN"/>
        </w:rPr>
        <w:t xml:space="preserve">单面操作西药柜</w:t>
      </w:r>
      <w:r>
        <w:rPr>
          <w:rFonts w:hint="eastAsia" w:ascii="宋体" w:hAnsi="宋体" w:eastAsia="宋体" w:cs="宋体"/>
          <w:b/>
          <w:bCs/>
          <w:color w:val="auto"/>
          <w:sz w:val="21"/>
          <w:szCs w:val="21"/>
          <w:highlight w:val="none"/>
          <w:u w:val="single"/>
          <w:lang w:val="zh-CN" w:bidi="zh-CN"/>
        </w:rPr>
        <w:t xml:space="preserve">，诊断桌</w:t>
      </w:r>
      <w:r>
        <w:rPr>
          <w:rFonts w:hint="eastAsia" w:ascii="宋体" w:hAnsi="宋体" w:cs="宋体"/>
          <w:b/>
          <w:bCs/>
          <w:color w:val="auto"/>
          <w:sz w:val="21"/>
          <w:szCs w:val="21"/>
          <w:highlight w:val="none"/>
          <w:u w:val="single"/>
          <w:lang w:val="zh-CN" w:bidi="zh-CN"/>
        </w:rPr>
        <w:t xml:space="preserve">（样品制作需参照产品参数及产品图纸，所有样品拒绝3D打印）</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样品技术参数要求：</w:t>
      </w:r>
      <w:r/>
    </w:p>
    <w:p>
      <w:pPr>
        <w:jc w:val="left"/>
        <w:widowControl/>
        <w:rPr>
          <w:rFonts w:hint="eastAsia" w:ascii="宋体" w:hAnsi="宋体" w:eastAsia="宋体" w:cs="宋体"/>
          <w:b/>
          <w:bCs/>
          <w:color w:val="auto"/>
          <w:sz w:val="21"/>
          <w:szCs w:val="21"/>
          <w:highlight w:val="none"/>
          <w:u w:val="single"/>
          <w:lang w:val="zh-CN" w:bidi="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u w:val="single"/>
          <w:lang w:val="zh-CN" w:bidi="zh-CN"/>
        </w:rPr>
        <w:t xml:space="preserve">医用治疗柜</w:t>
      </w:r>
      <w:r/>
    </w:p>
    <w:p>
      <w:pPr>
        <w:jc w:val="lef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rPr>
        <w:t xml:space="preserve">【主要材料及厚度说明】</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1、台面：采用医用复合亚克力人造石，厚度≥12mm，主要成分为高比例高性能改性不饱和树酯，具有抑菌防、防霉、耐酸碱、耐磨、耐冲击、易清洁等特性，台面无缝拼接，符合医院环境卫生要求；</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2、柜体：采用≥1.0mm厚及背架龙骨采用≥1.5mm厚一级电解钢板，具有更抗酸、更防锈、更防蚀、和涂层接触更稳固、使用年限更长等特点；上柜柜门为钢制磨砂玻璃门板；</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3、抑菌粉末：采用抑菌防霉粉末静电喷涂处理，涂层膜厚度均匀，内外一致，抑菌、防霉、耐酸碱、耐磨、耐撞击，抗腐蚀力强；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4、踢脚线：柜体正面踢脚线采用厚度≥0.8mm 304#油膜拉丝不锈钢，四周折弯8mm厚采用塑料胶粒卡扣式安装避免使用时刮脚。</w:t>
      </w:r>
      <w:r/>
    </w:p>
    <w:p>
      <w:pPr>
        <w:jc w:val="lef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【结构/配置】</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1、主体全钢结构+医用复合亚克力人造石台面；</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2、主要配置：地柜+背架+人造石+吊柜+针筒吊柜+分类垃圾柜+水盆柜+大输液柜+分隔板。</w:t>
      </w:r>
      <w:r/>
    </w:p>
    <w:p>
      <w:pPr>
        <w:jc w:val="lef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【五金配件】</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1、拉手：采用一字折弯斜拉手；</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2、门铰：采用304不锈钢缓冲门铰（铰链），与门板及柜体连接位采用丝锥后不锈钢螺丝固定；</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3、导轨：采用卡扣式三节导轨，顺畅、静音、抽拉自如；</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4、锁具：抽芯锁具；</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5、水池：304不锈钢感应水龙头、304不锈钢水盆，底部带喷涂隔音处理、亚克力挡水≥7mm厚。</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④【工艺/其他】</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1、所有工件经数控激光切割、模具冲压、数控折弯、机器打磨、抛光，整体采用激光焊接工艺，无外露焊点；</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2、门板及抽面带塑料标签卡槽，门板及抽屉内无裸露螺丝，抽屉内带6宫格分隔板并带一体冲压标签卡槽，门及抽面板为双层工艺；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3、地柜为上抽下掩门并带可调节层板一层，吊柜内带可调节层板一层；</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4、背架中部带层板一层，层板下方带86孔位，便于后期安装插座面板；</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5、垃圾柜工艺：一体成形PP垃圾盖</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390*400mm、一体成形304不锈钢投放口</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330*350*100mm、一体成形PP脚踏板、304不锈钢脚踏转动装置两根支撑杆支撑PP盖开启方式、脚踏转动装置无裸露并有预留检修口、≥0.8mm厚304#油膜拉丝不锈钢底座150mm高、门板丝网印刷垃圾分类标识；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6、高危药品柜工艺；抽屉为8个，其中一列配掩门+机械密码锁内置抽屉为普通锁。                              7、大输液柜：对开掩门，内分为两列，侧面为ABS侧板，存放药盒时可以确保平放及斜放，每列配5个大中小不等的ABS药盒，锌合金铰链，开合角度≥180°，确保药盒能够顺畅取出。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大样：根据参数和产品图</w:t>
      </w:r>
      <w:r>
        <w:rPr>
          <w:rFonts w:hint="eastAsia" w:ascii="宋体" w:hAnsi="宋体" w:eastAsia="宋体" w:cs="宋体"/>
          <w:color w:val="auto"/>
          <w:sz w:val="21"/>
          <w:szCs w:val="21"/>
          <w:highlight w:val="none"/>
          <w:lang w:val="en-US" w:eastAsia="zh-CN"/>
        </w:rPr>
        <w:t xml:space="preserve">提供医用治疗柜</w:t>
      </w:r>
      <w:r>
        <w:rPr>
          <w:rFonts w:hint="eastAsia" w:ascii="宋体" w:hAnsi="宋体" w:eastAsia="宋体" w:cs="宋体"/>
          <w:color w:val="auto"/>
          <w:sz w:val="21"/>
          <w:szCs w:val="21"/>
          <w:highlight w:val="none"/>
        </w:rPr>
        <w:t xml:space="preserve">一套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配置要求如下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。产品外观尺寸偏差不得超过（±</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mm），部件</w:t>
      </w:r>
      <w:r>
        <w:rPr>
          <w:rFonts w:hint="eastAsia" w:ascii="宋体" w:hAnsi="宋体" w:eastAsia="宋体" w:cs="宋体"/>
          <w:color w:val="auto"/>
          <w:sz w:val="21"/>
          <w:szCs w:val="21"/>
          <w:highlight w:val="none"/>
          <w:lang w:val="en-US" w:eastAsia="zh-CN"/>
        </w:rPr>
        <w:t xml:space="preserve">外观</w:t>
      </w:r>
      <w:r>
        <w:rPr>
          <w:rFonts w:hint="eastAsia" w:ascii="宋体" w:hAnsi="宋体" w:eastAsia="宋体" w:cs="宋体"/>
          <w:color w:val="auto"/>
          <w:sz w:val="21"/>
          <w:szCs w:val="21"/>
          <w:highlight w:val="none"/>
        </w:rPr>
        <w:t xml:space="preserve">尺寸偏差不得超过（±</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w:t>
      </w:r>
      <w:r/>
    </w:p>
    <w:tbl>
      <w:tblPr>
        <w:tblStyle w:val="689"/>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245"/>
        <w:gridCol w:w="7542"/>
      </w:tblGrid>
      <w:tr>
        <w:trPr>
          <w:trHeight w:val="440"/>
        </w:trPr>
        <w:tc>
          <w:tcPr>
            <w:tcW w:w="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序号</w:t>
            </w:r>
            <w:r/>
          </w:p>
        </w:tc>
        <w:tc>
          <w:tcPr>
            <w:tcW w:w="130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图纸名称</w:t>
            </w:r>
            <w:r/>
          </w:p>
        </w:tc>
        <w:tc>
          <w:tcPr>
            <w:tcW w:w="7753"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图纸</w:t>
            </w:r>
            <w:r/>
          </w:p>
        </w:tc>
      </w:tr>
      <w:tr>
        <w:trPr>
          <w:trHeight w:val="3460"/>
        </w:trPr>
        <w:tc>
          <w:tcPr>
            <w:tcW w:w="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W w:w="130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正视图</w:t>
            </w:r>
            <w:r/>
          </w:p>
        </w:tc>
        <w:tc>
          <w:tcPr>
            <w:tcW w:w="7753" w:type="dxa"/>
            <w:vAlign w:val="top"/>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mc:AlternateContent>
                <mc:Choice Requires="wpg">
                  <w:drawing>
                    <wp:inline xmlns:wp="http://schemas.openxmlformats.org/drawingml/2006/wordprocessingDrawing" distT="0" distB="0" distL="0" distR="0">
                      <wp:extent cx="1630680" cy="1983740"/>
                      <wp:effectExtent l="0" t="0" r="7620" b="16510"/>
                      <wp:docPr id="1" name="图片 159" descr="5021ca3c3e8a73f4ab14aefcea749f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59" descr="5021ca3c3e8a73f4ab14aefcea749f0a"/>
                              <pic:cNvPicPr>
                                <a:picLocks noChangeAspect="1"/>
                              </pic:cNvPicPr>
                              <pic:nvPr/>
                            </pic:nvPicPr>
                            <pic:blipFill>
                              <a:blip r:embed="rId9"/>
                              <a:stretch/>
                            </pic:blipFill>
                            <pic:spPr bwMode="auto">
                              <a:xfrm>
                                <a:off x="0" y="0"/>
                                <a:ext cx="1630680" cy="198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8.4pt;height:156.2pt;mso-wrap-distance-left:0.0pt;mso-wrap-distance-top:0.0pt;mso-wrap-distance-right:0.0pt;mso-wrap-distance-bottom:0.0pt;" stroked="f">
                      <v:path textboxrect="0,0,0,0"/>
                      <v:imagedata r:id="rId9" o:title=""/>
                    </v:shape>
                  </w:pict>
                </mc:Fallback>
              </mc:AlternateContent>
            </w:r>
            <w:r/>
          </w:p>
        </w:tc>
      </w:tr>
      <w:tr>
        <w:trPr>
          <w:trHeight w:val="4115"/>
        </w:trPr>
        <w:tc>
          <w:tcPr>
            <w:tcW w:w="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W w:w="1300" w:type="dxa"/>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侧视图</w:t>
            </w:r>
            <w:r/>
          </w:p>
        </w:tc>
        <w:tc>
          <w:tcPr>
            <w:tcW w:w="7753" w:type="dxa"/>
            <w:vAlign w:val="top"/>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mc:AlternateContent>
                <mc:Choice Requires="wpg">
                  <w:drawing>
                    <wp:inline xmlns:wp="http://schemas.openxmlformats.org/drawingml/2006/wordprocessingDrawing" distT="0" distB="0" distL="0" distR="0">
                      <wp:extent cx="1243965" cy="2468880"/>
                      <wp:effectExtent l="0" t="0" r="13335" b="7620"/>
                      <wp:docPr id="2" name="图片 160" descr="b0ab6d39f58300fcdcd507a88c0a49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60" descr="b0ab6d39f58300fcdcd507a88c0a49e4"/>
                              <pic:cNvPicPr>
                                <a:picLocks noChangeAspect="1"/>
                              </pic:cNvPicPr>
                              <pic:nvPr/>
                            </pic:nvPicPr>
                            <pic:blipFill>
                              <a:blip r:embed="rId10"/>
                              <a:srcRect l="0" t="0" r="0" b="9010"/>
                              <a:stretch/>
                            </pic:blipFill>
                            <pic:spPr bwMode="auto">
                              <a:xfrm>
                                <a:off x="0" y="0"/>
                                <a:ext cx="1243965" cy="2468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7.9pt;height:194.4pt;mso-wrap-distance-left:0.0pt;mso-wrap-distance-top:0.0pt;mso-wrap-distance-right:0.0pt;mso-wrap-distance-bottom:0.0pt;" stroked="f">
                      <v:path textboxrect="0,0,0,0"/>
                      <v:imagedata r:id="rId10" o:title=""/>
                    </v:shape>
                  </w:pict>
                </mc:Fallback>
              </mc:AlternateContent>
            </w:r>
            <w:r>
              <w:rPr>
                <w:rFonts w:hint="eastAsia" w:ascii="宋体" w:hAnsi="宋体" w:eastAsia="宋体" w:cs="宋体"/>
                <w:color w:val="auto"/>
                <w:sz w:val="20"/>
                <w:szCs w:val="20"/>
                <w:highlight w:val="none"/>
                <w:lang w:eastAsia="zh-CN"/>
              </w:rPr>
              <mc:AlternateContent>
                <mc:Choice Requires="wpg">
                  <w:drawing>
                    <wp:inline xmlns:wp="http://schemas.openxmlformats.org/drawingml/2006/wordprocessingDrawing" distT="0" distB="0" distL="0" distR="0">
                      <wp:extent cx="1202055" cy="2445385"/>
                      <wp:effectExtent l="0" t="0" r="17145" b="12065"/>
                      <wp:docPr id="3" name="图片 161" descr="5d913630d377628f674362bdcf5821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61" descr="5d913630d377628f674362bdcf5821b1"/>
                              <pic:cNvPicPr>
                                <a:picLocks noChangeAspect="1"/>
                              </pic:cNvPicPr>
                              <pic:nvPr/>
                            </pic:nvPicPr>
                            <pic:blipFill>
                              <a:blip r:embed="rId11"/>
                              <a:srcRect l="0" t="0" r="6281" b="6233"/>
                              <a:stretch/>
                            </pic:blipFill>
                            <pic:spPr bwMode="auto">
                              <a:xfrm>
                                <a:off x="0" y="0"/>
                                <a:ext cx="1202055" cy="2445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4.6pt;height:192.5pt;mso-wrap-distance-left:0.0pt;mso-wrap-distance-top:0.0pt;mso-wrap-distance-right:0.0pt;mso-wrap-distance-bottom:0.0pt;" stroked="f">
                      <v:path textboxrect="0,0,0,0"/>
                      <v:imagedata r:id="rId11" o:title=""/>
                    </v:shape>
                  </w:pict>
                </mc:Fallback>
              </mc:AlternateContent>
            </w:r>
            <w:r/>
          </w:p>
        </w:tc>
      </w:tr>
      <w:tr>
        <w:trPr/>
        <w:tc>
          <w:tcPr>
            <w:tcW w:w="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W w:w="1300"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抽屉三视图</w:t>
            </w:r>
            <w:r/>
          </w:p>
        </w:tc>
        <w:tc>
          <w:tcPr>
            <w:tcW w:w="7753" w:type="dxa"/>
            <w:vAlign w:val="top"/>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223770" cy="1522095"/>
                      <wp:effectExtent l="0" t="0" r="5080" b="1905"/>
                      <wp:docPr id="4" name="图片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62"/>
                              <pic:cNvPicPr>
                                <a:picLocks noChangeAspect="1"/>
                              </pic:cNvPicPr>
                              <pic:nvPr/>
                            </pic:nvPicPr>
                            <pic:blipFill>
                              <a:blip r:embed="rId12"/>
                              <a:stretch/>
                            </pic:blipFill>
                            <pic:spPr bwMode="auto">
                              <a:xfrm>
                                <a:off x="0" y="0"/>
                                <a:ext cx="2223770" cy="1522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5.1pt;height:119.8pt;mso-wrap-distance-left:0.0pt;mso-wrap-distance-top:0.0pt;mso-wrap-distance-right:0.0pt;mso-wrap-distance-bottom:0.0pt;" stroked="f">
                      <v:path textboxrect="0,0,0,0"/>
                      <v:imagedata r:id="rId12" o:title=""/>
                    </v:shape>
                  </w:pict>
                </mc:Fallback>
              </mc:AlternateContent>
            </w:r>
            <w:r/>
          </w:p>
        </w:tc>
      </w:tr>
      <w:tr>
        <w:trPr>
          <w:trHeight w:val="2384"/>
        </w:trPr>
        <w:tc>
          <w:tcPr>
            <w:tcW w:w="75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W w:w="1300"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垃圾盖三视图</w:t>
            </w:r>
            <w:r/>
          </w:p>
        </w:tc>
        <w:tc>
          <w:tcPr>
            <w:tcW w:w="7753" w:type="dxa"/>
            <w:vAlign w:val="top"/>
            <w:textDirection w:val="lrTb"/>
            <w:noWrap w:val="false"/>
          </w:tcPr>
          <w:p>
            <w:pPr>
              <w:jc w:val="center"/>
              <w:widowControl/>
              <w:rPr>
                <w:rFonts w:hint="eastAsia" w:ascii="宋体" w:hAnsi="宋体" w:eastAsia="宋体" w:cs="宋体"/>
                <w:color w:val="auto"/>
                <w:sz w:val="20"/>
                <w:szCs w:val="21"/>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226185" cy="1351280"/>
                      <wp:effectExtent l="0" t="0" r="12065" b="1270"/>
                      <wp:docPr id="5" name="图片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63"/>
                              <pic:cNvPicPr>
                                <a:picLocks noChangeAspect="1"/>
                              </pic:cNvPicPr>
                              <pic:nvPr/>
                            </pic:nvPicPr>
                            <pic:blipFill>
                              <a:blip r:embed="rId13"/>
                              <a:stretch/>
                            </pic:blipFill>
                            <pic:spPr bwMode="auto">
                              <a:xfrm>
                                <a:off x="0" y="0"/>
                                <a:ext cx="1226185" cy="1351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6.5pt;height:106.4pt;mso-wrap-distance-left:0.0pt;mso-wrap-distance-top:0.0pt;mso-wrap-distance-right:0.0pt;mso-wrap-distance-bottom:0.0pt;" stroked="f">
                      <v:path textboxrect="0,0,0,0"/>
                      <v:imagedata r:id="rId13" o:title=""/>
                    </v:shape>
                  </w:pict>
                </mc:Fallback>
              </mc:AlternateContent>
            </w:r>
            <w:r/>
          </w:p>
          <w:p>
            <w:pPr>
              <w:jc w:val="center"/>
              <w:widowControl/>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r>
            <w:r/>
          </w:p>
        </w:tc>
      </w:tr>
      <w:tr>
        <w:trPr>
          <w:trHeight w:val="298"/>
        </w:trPr>
        <w:tc>
          <w:tcPr>
            <w:tcW w:w="75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5</w:t>
            </w:r>
            <w:r/>
          </w:p>
        </w:tc>
        <w:tc>
          <w:tcPr>
            <w:tcW w:w="1300"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垃圾投放口三视图</w:t>
            </w:r>
            <w:r/>
          </w:p>
        </w:tc>
        <w:tc>
          <w:tcPr>
            <w:tcW w:w="7753" w:type="dxa"/>
            <w:vAlign w:val="top"/>
            <w:textDirection w:val="lrTb"/>
            <w:noWrap w:val="false"/>
          </w:tcPr>
          <w:p>
            <w:pPr>
              <w:jc w:val="center"/>
              <w:widowControl/>
              <w:rPr>
                <w:rFonts w:hint="eastAsia" w:ascii="宋体" w:hAnsi="宋体" w:eastAsia="宋体" w:cs="宋体"/>
                <w:color w:val="auto"/>
                <w:sz w:val="20"/>
                <w:szCs w:val="21"/>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616835" cy="1471930"/>
                      <wp:effectExtent l="0" t="0" r="12065" b="13970"/>
                      <wp:docPr id="6" name="图片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64"/>
                              <pic:cNvPicPr>
                                <a:picLocks noChangeAspect="1"/>
                              </pic:cNvPicPr>
                              <pic:nvPr/>
                            </pic:nvPicPr>
                            <pic:blipFill>
                              <a:blip r:embed="rId14"/>
                              <a:stretch/>
                            </pic:blipFill>
                            <pic:spPr bwMode="auto">
                              <a:xfrm>
                                <a:off x="0" y="0"/>
                                <a:ext cx="2616835" cy="1471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06.0pt;height:115.9pt;mso-wrap-distance-left:0.0pt;mso-wrap-distance-top:0.0pt;mso-wrap-distance-right:0.0pt;mso-wrap-distance-bottom:0.0pt;" stroked="f">
                      <v:path textboxrect="0,0,0,0"/>
                      <v:imagedata r:id="rId14" o:title=""/>
                    </v:shape>
                  </w:pict>
                </mc:Fallback>
              </mc:AlternateContent>
            </w:r>
            <w:r/>
          </w:p>
        </w:tc>
      </w:tr>
    </w:tbl>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rPr>
        <w:t xml:space="preserve">单面西药操作柜</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①主要材料</w:t>
      </w:r>
      <w:r>
        <w:rPr>
          <w:rFonts w:hint="eastAsia" w:ascii="宋体" w:hAnsi="宋体" w:cs="宋体"/>
          <w:color w:val="auto"/>
          <w:sz w:val="21"/>
          <w:szCs w:val="21"/>
          <w:highlight w:val="none"/>
          <w:lang w:eastAsia="zh-CN"/>
        </w:rPr>
        <w:t xml:space="preserve">及厚度</w:t>
      </w:r>
      <w:r>
        <w:rPr>
          <w:rFonts w:hint="eastAsia" w:ascii="宋体" w:hAnsi="宋体" w:eastAsia="宋体" w:cs="宋体"/>
          <w:color w:val="auto"/>
          <w:sz w:val="21"/>
          <w:szCs w:val="21"/>
          <w:highlight w:val="none"/>
        </w:rPr>
        <w:t xml:space="preserve">：电解钢板，具有更抗酸、更防锈、更防蚀、和涂层接触更稳固、使用年限更长等特点；侧板、门板、顶板、底板、层板厚度≥0.8mm；台面：台面采用优质理化板</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厚度≥12.7mm；</w:t>
      </w:r>
      <w:r/>
    </w:p>
    <w:p>
      <w:pPr>
        <w:jc w:val="left"/>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②五金配置：一字折弯斜拉手、三节导轨、标签卡槽；                                                                                     ③</w:t>
      </w:r>
      <w:r>
        <w:rPr>
          <w:rFonts w:hint="eastAsia" w:ascii="宋体" w:hAnsi="宋体" w:cs="宋体"/>
          <w:color w:val="auto"/>
          <w:sz w:val="21"/>
          <w:szCs w:val="21"/>
          <w:highlight w:val="none"/>
          <w:lang w:eastAsia="zh-CN"/>
        </w:rPr>
        <w:t xml:space="preserve">工艺及其他：</w:t>
      </w:r>
      <w:r/>
    </w:p>
    <w:p>
      <w:pPr>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抑菌粉末：表面采用抑菌防霉粉末静电喷涂处理，涂层膜厚度均匀，内外一致，抑菌、防霉、耐酸碱、耐磨、耐撞击，抗腐蚀力强；</w:t>
      </w:r>
      <w:r/>
    </w:p>
    <w:p>
      <w:pPr>
        <w:ind w:left="630" w:hanging="630"/>
        <w:jc w:val="lef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、所有板件经数控激光切割、模具冲压、数控折弯、焊接、机器打磨而成；</w:t>
      </w:r>
      <w:r>
        <w:rPr>
          <w:rFonts w:hint="eastAsia" w:ascii="宋体" w:hAnsi="宋体" w:eastAsia="宋体" w:cs="宋体"/>
          <w:color w:val="auto"/>
          <w:sz w:val="21"/>
          <w:szCs w:val="21"/>
          <w:highlight w:val="none"/>
          <w:lang w:val="en-US" w:eastAsia="zh-CN"/>
        </w:rPr>
        <w:t xml:space="preserve">                             </w:t>
      </w:r>
      <w:r/>
    </w:p>
    <w:p>
      <w:pPr>
        <w:ind w:left="630" w:hanging="63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大样：根据参数和产品图</w:t>
      </w:r>
      <w:r>
        <w:rPr>
          <w:rFonts w:hint="eastAsia" w:ascii="宋体" w:hAnsi="宋体" w:eastAsia="宋体" w:cs="宋体"/>
          <w:color w:val="auto"/>
          <w:sz w:val="21"/>
          <w:szCs w:val="21"/>
          <w:highlight w:val="none"/>
          <w:lang w:val="en-US" w:eastAsia="zh-CN"/>
        </w:rPr>
        <w:t xml:space="preserve">提供单面西药操作柜</w:t>
      </w:r>
      <w:r>
        <w:rPr>
          <w:rFonts w:hint="eastAsia" w:ascii="宋体" w:hAnsi="宋体" w:eastAsia="宋体" w:cs="宋体"/>
          <w:color w:val="auto"/>
          <w:sz w:val="21"/>
          <w:szCs w:val="21"/>
          <w:highlight w:val="none"/>
        </w:rPr>
        <w:t xml:space="preserve">一套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配置要求如下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。产品外观尺寸偏差不得超过（±</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mm），部件</w:t>
      </w:r>
      <w:r>
        <w:rPr>
          <w:rFonts w:hint="eastAsia" w:ascii="宋体" w:hAnsi="宋体" w:eastAsia="宋体" w:cs="宋体"/>
          <w:color w:val="auto"/>
          <w:sz w:val="21"/>
          <w:szCs w:val="21"/>
          <w:highlight w:val="none"/>
          <w:lang w:val="en-US" w:eastAsia="zh-CN"/>
        </w:rPr>
        <w:t xml:space="preserve">外观</w:t>
      </w:r>
      <w:r>
        <w:rPr>
          <w:rFonts w:hint="eastAsia" w:ascii="宋体" w:hAnsi="宋体" w:eastAsia="宋体" w:cs="宋体"/>
          <w:color w:val="auto"/>
          <w:sz w:val="21"/>
          <w:szCs w:val="21"/>
          <w:highlight w:val="none"/>
        </w:rPr>
        <w:t xml:space="preserve">尺寸偏差不得超过（±</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w:t>
      </w:r>
      <w:r/>
    </w:p>
    <w:tbl>
      <w:tblPr>
        <w:tblStyle w:val="6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467"/>
        <w:gridCol w:w="7478"/>
      </w:tblGrid>
      <w:tr>
        <w:trPr>
          <w:trHeight w:val="632"/>
        </w:trPr>
        <w:tc>
          <w:tcPr>
            <w:tcW w:w="7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图纸名称</w:t>
            </w:r>
            <w:r/>
          </w:p>
        </w:tc>
        <w:tc>
          <w:tcPr>
            <w:tcW w:w="756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图纸</w:t>
            </w:r>
            <w:r/>
          </w:p>
        </w:tc>
      </w:tr>
      <w:tr>
        <w:trPr>
          <w:trHeight w:val="632"/>
        </w:trPr>
        <w:tc>
          <w:tcPr>
            <w:tcW w:w="70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36"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整体三视图</w:t>
            </w:r>
            <w:r/>
          </w:p>
        </w:tc>
        <w:tc>
          <w:tcPr>
            <w:tcW w:w="7561"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color w:val="auto"/>
                <w:highlight w:val="none"/>
              </w:rPr>
              <mc:AlternateContent>
                <mc:Choice Requires="wpg">
                  <w:drawing>
                    <wp:inline xmlns:wp="http://schemas.openxmlformats.org/drawingml/2006/wordprocessingDrawing" distT="0" distB="0" distL="0" distR="0">
                      <wp:extent cx="3112135" cy="2647950"/>
                      <wp:effectExtent l="0" t="0" r="12065" b="6350"/>
                      <wp:docPr id="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9"/>
                              <pic:cNvPicPr>
                                <a:picLocks noChangeAspect="1"/>
                              </pic:cNvPicPr>
                              <pic:nvPr/>
                            </pic:nvPicPr>
                            <pic:blipFill>
                              <a:blip r:embed="rId15"/>
                              <a:stretch/>
                            </pic:blipFill>
                            <pic:spPr bwMode="auto">
                              <a:xfrm>
                                <a:off x="0" y="0"/>
                                <a:ext cx="3112135" cy="26479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45.0pt;height:208.5pt;mso-wrap-distance-left:0.0pt;mso-wrap-distance-top:0.0pt;mso-wrap-distance-right:0.0pt;mso-wrap-distance-bottom:0.0pt;" stroked="f">
                      <v:path textboxrect="0,0,0,0"/>
                      <v:imagedata r:id="rId15" o:title=""/>
                    </v:shape>
                  </w:pict>
                </mc:Fallback>
              </mc:AlternateContent>
            </w:r>
            <w:r/>
          </w:p>
        </w:tc>
      </w:tr>
      <w:tr>
        <w:trPr>
          <w:trHeight w:val="943"/>
        </w:trPr>
        <w:tc>
          <w:tcPr>
            <w:tcW w:w="70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36" w:type="dxa"/>
            <w:vAlign w:val="center"/>
            <w:textDirection w:val="lrTb"/>
            <w:noWrap w:val="false"/>
          </w:tcPr>
          <w:p>
            <w:pP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药架三视图</w:t>
            </w:r>
            <w:r/>
          </w:p>
        </w:tc>
        <w:tc>
          <w:tcPr>
            <w:tcW w:w="7561"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color w:val="auto"/>
                <w:highlight w:val="none"/>
              </w:rPr>
              <mc:AlternateContent>
                <mc:Choice Requires="wpg">
                  <w:drawing>
                    <wp:inline xmlns:wp="http://schemas.openxmlformats.org/drawingml/2006/wordprocessingDrawing" distT="0" distB="0" distL="0" distR="0">
                      <wp:extent cx="3499485" cy="2434590"/>
                      <wp:effectExtent l="0" t="0" r="5715" b="3810"/>
                      <wp:docPr id="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0"/>
                              <pic:cNvPicPr>
                                <a:picLocks noChangeAspect="1"/>
                              </pic:cNvPicPr>
                              <pic:nvPr/>
                            </pic:nvPicPr>
                            <pic:blipFill>
                              <a:blip r:embed="rId16"/>
                              <a:stretch/>
                            </pic:blipFill>
                            <pic:spPr bwMode="auto">
                              <a:xfrm>
                                <a:off x="0" y="0"/>
                                <a:ext cx="3499485" cy="2434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75.6pt;height:191.7pt;mso-wrap-distance-left:0.0pt;mso-wrap-distance-top:0.0pt;mso-wrap-distance-right:0.0pt;mso-wrap-distance-bottom:0.0pt;" stroked="f">
                      <v:path textboxrect="0,0,0,0"/>
                      <v:imagedata r:id="rId16" o:title=""/>
                    </v:shape>
                  </w:pict>
                </mc:Fallback>
              </mc:AlternateConten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21"/>
        </w:trPr>
        <w:tc>
          <w:tcPr>
            <w:tcW w:w="70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36"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操作台三视图</w:t>
            </w:r>
            <w:r/>
          </w:p>
        </w:tc>
        <w:tc>
          <w:tcPr>
            <w:tcW w:w="7561"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highlight w:val="none"/>
              </w:rPr>
              <mc:AlternateContent>
                <mc:Choice Requires="wpg">
                  <w:drawing>
                    <wp:inline xmlns:wp="http://schemas.openxmlformats.org/drawingml/2006/wordprocessingDrawing" distT="0" distB="0" distL="0" distR="0">
                      <wp:extent cx="3820795" cy="2341245"/>
                      <wp:effectExtent l="0" t="0" r="1905" b="8255"/>
                      <wp:docPr id="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
                              <pic:cNvPicPr>
                                <a:picLocks noChangeAspect="1"/>
                              </pic:cNvPicPr>
                              <pic:nvPr/>
                            </pic:nvPicPr>
                            <pic:blipFill>
                              <a:blip r:embed="rId17"/>
                              <a:stretch/>
                            </pic:blipFill>
                            <pic:spPr bwMode="auto">
                              <a:xfrm>
                                <a:off x="0" y="0"/>
                                <a:ext cx="3820795" cy="2341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00.8pt;height:184.3pt;mso-wrap-distance-left:0.0pt;mso-wrap-distance-top:0.0pt;mso-wrap-distance-right:0.0pt;mso-wrap-distance-bottom:0.0pt;" stroked="f">
                      <v:path textboxrect="0,0,0,0"/>
                      <v:imagedata r:id="rId17" o:title=""/>
                    </v:shape>
                  </w:pict>
                </mc:Fallback>
              </mc:AlternateContent>
            </w:r>
            <w:r/>
          </w:p>
        </w:tc>
      </w:tr>
      <w:tr>
        <w:trPr>
          <w:trHeight w:val="943"/>
        </w:trPr>
        <w:tc>
          <w:tcPr>
            <w:tcW w:w="70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36"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抽屉三视图</w:t>
            </w:r>
            <w:r/>
          </w:p>
        </w:tc>
        <w:tc>
          <w:tcPr>
            <w:tcW w:w="7561"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color w:val="auto"/>
                <w:highlight w:val="none"/>
              </w:rPr>
              <mc:AlternateContent>
                <mc:Choice Requires="wpg">
                  <w:drawing>
                    <wp:inline xmlns:wp="http://schemas.openxmlformats.org/drawingml/2006/wordprocessingDrawing" distT="0" distB="0" distL="0" distR="0">
                      <wp:extent cx="2762885" cy="2242185"/>
                      <wp:effectExtent l="0" t="0" r="5715" b="5715"/>
                      <wp:docPr id="1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2"/>
                              <pic:cNvPicPr>
                                <a:picLocks noChangeAspect="1"/>
                              </pic:cNvPicPr>
                              <pic:nvPr/>
                            </pic:nvPicPr>
                            <pic:blipFill>
                              <a:blip r:embed="rId18"/>
                              <a:stretch/>
                            </pic:blipFill>
                            <pic:spPr bwMode="auto">
                              <a:xfrm>
                                <a:off x="0" y="0"/>
                                <a:ext cx="2762885" cy="2242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7.5pt;height:176.5pt;mso-wrap-distance-left:0.0pt;mso-wrap-distance-top:0.0pt;mso-wrap-distance-right:0.0pt;mso-wrap-distance-bottom:0.0pt;" stroked="f">
                      <v:path textboxrect="0,0,0,0"/>
                      <v:imagedata r:id="rId18" o:title=""/>
                    </v:shape>
                  </w:pict>
                </mc:Fallback>
              </mc:AlternateContent>
            </w:r>
            <w:r/>
          </w:p>
        </w:tc>
      </w:tr>
      <w:tr>
        <w:trPr>
          <w:trHeight w:val="321"/>
        </w:trPr>
        <w:tc>
          <w:tcPr>
            <w:tcW w:w="701"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36"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台面三视图</w:t>
            </w:r>
            <w:r/>
          </w:p>
        </w:tc>
        <w:tc>
          <w:tcPr>
            <w:tcW w:w="7561" w:type="dxa"/>
            <w:vAlign w:val="top"/>
            <w:textDirection w:val="lrTb"/>
            <w:noWrap w:val="false"/>
          </w:tcPr>
          <w:p>
            <w:pPr>
              <w:rPr>
                <w:rFonts w:hint="eastAsia" w:ascii="宋体" w:hAnsi="宋体" w:eastAsia="宋体" w:cs="宋体"/>
                <w:color w:val="auto"/>
                <w:sz w:val="21"/>
                <w:szCs w:val="21"/>
                <w:highlight w:val="none"/>
              </w:rPr>
            </w:pPr>
            <w:r>
              <w:rPr>
                <w:color w:val="auto"/>
                <w:highlight w:val="none"/>
              </w:rPr>
              <mc:AlternateContent>
                <mc:Choice Requires="wpg">
                  <w:drawing>
                    <wp:inline xmlns:wp="http://schemas.openxmlformats.org/drawingml/2006/wordprocessingDrawing" distT="0" distB="0" distL="0" distR="0">
                      <wp:extent cx="3249295" cy="1830070"/>
                      <wp:effectExtent l="0" t="0" r="1905" b="11430"/>
                      <wp:docPr id="1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3"/>
                              <pic:cNvPicPr>
                                <a:picLocks noChangeAspect="1"/>
                              </pic:cNvPicPr>
                              <pic:nvPr/>
                            </pic:nvPicPr>
                            <pic:blipFill>
                              <a:blip r:embed="rId19"/>
                              <a:stretch/>
                            </pic:blipFill>
                            <pic:spPr bwMode="auto">
                              <a:xfrm>
                                <a:off x="0" y="0"/>
                                <a:ext cx="3249295" cy="183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55.8pt;height:144.1pt;mso-wrap-distance-left:0.0pt;mso-wrap-distance-top:0.0pt;mso-wrap-distance-right:0.0pt;mso-wrap-distance-bottom:0.0pt;" stroked="f">
                      <v:path textboxrect="0,0,0,0"/>
                      <v:imagedata r:id="rId19" o:title=""/>
                    </v:shape>
                  </w:pict>
                </mc:Fallback>
              </mc:AlternateContent>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b/>
          <w:bCs/>
          <w:color w:val="auto"/>
          <w:sz w:val="21"/>
          <w:szCs w:val="21"/>
          <w:highlight w:val="none"/>
          <w:u w:val="single"/>
          <w:lang w:val="zh-CN" w:bidi="zh-CN"/>
        </w:rPr>
        <w:t xml:space="preserve">诊断桌</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整体</w:t>
      </w:r>
      <w:r>
        <w:rPr>
          <w:rFonts w:hint="eastAsia" w:ascii="宋体" w:hAnsi="宋体" w:eastAsia="宋体" w:cs="宋体"/>
          <w:color w:val="auto"/>
          <w:sz w:val="21"/>
          <w:szCs w:val="21"/>
          <w:highlight w:val="none"/>
        </w:rPr>
        <w:t xml:space="preserve">规格：</w:t>
      </w:r>
      <w:r>
        <w:rPr>
          <w:rFonts w:hint="eastAsia" w:ascii="宋体" w:hAnsi="宋体" w:eastAsia="宋体" w:cs="宋体"/>
          <w:color w:val="auto"/>
          <w:sz w:val="21"/>
          <w:szCs w:val="21"/>
          <w:highlight w:val="none"/>
          <w:lang w:val="en-US" w:eastAsia="zh-CN"/>
        </w:rPr>
        <w:t xml:space="preserve">详见以下图纸</w:t>
      </w:r>
      <w:r/>
    </w:p>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1、主要材料：所有板件采用E0级刨花板，三聚氰胺饰面纸饰面；</w:t>
      </w:r>
      <w:r/>
    </w:p>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2、主要板材厚度：台面板厚度为25mm；</w:t>
      </w:r>
      <w:r/>
    </w:p>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3、配置：主台面+圆柱形钢脚+钢制副柜+钢制键盘架+铝合金线盒+钢制前挡板+钢制桌上挡板；                                                                                                                                        4、五金配置：304不锈钢缓冲门铰（铰链）、三节导轨、锁具、拉手、连接件等；</w:t>
      </w:r>
      <w:r/>
    </w:p>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5、封边：采用见光面为2.0</w:t>
      </w:r>
      <w:r>
        <w:rPr>
          <w:rFonts w:hint="eastAsia" w:ascii="宋体" w:hAnsi="宋体" w:eastAsia="宋体" w:cs="宋体"/>
          <w:color w:val="auto"/>
          <w:sz w:val="20"/>
          <w:szCs w:val="20"/>
          <w:highlight w:val="none"/>
          <w:lang w:val="en-US" w:eastAsia="zh-CN"/>
        </w:rPr>
        <w:t xml:space="preserve">mm厚全自动封边工艺，防水、防潮、不变色；                                                       6、桌上钢挡板：采用≥2.0mm厚电解钢板；                                                                                            7、副柜：副柜采用≥1.0mm厚电解钢板，表面抑菌粉末静电喷涂处理，门板根据台面板颜色木纹转印，柜体四周倒R20圆角，副柜底座整体采</w:t>
      </w:r>
      <w:r>
        <w:rPr>
          <w:rFonts w:hint="eastAsia" w:ascii="宋体" w:hAnsi="宋体" w:eastAsia="宋体" w:cs="宋体"/>
          <w:color w:val="auto"/>
          <w:sz w:val="20"/>
          <w:szCs w:val="20"/>
          <w:highlight w:val="none"/>
          <w:lang w:val="en-US" w:eastAsia="zh-CN"/>
        </w:rPr>
        <w:t xml:space="preserve">用厚度≥0.8mm的304#油膜拉丝不锈钢底座，高度≥100mm。                                                                                                                                                                 8、抑菌粉末：钢制表面采用抑菌防霉粉末静电喷涂处理，涂层膜厚度均匀，内外一致，抑菌、防霉、耐酸碱、耐磨、耐撞击，抗腐蚀力强。</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大样：根据参数和产品图</w:t>
      </w:r>
      <w:r>
        <w:rPr>
          <w:rFonts w:hint="eastAsia" w:ascii="宋体" w:hAnsi="宋体" w:eastAsia="宋体" w:cs="宋体"/>
          <w:color w:val="auto"/>
          <w:sz w:val="20"/>
          <w:szCs w:val="20"/>
          <w:highlight w:val="none"/>
          <w:lang w:val="en-US" w:eastAsia="zh-CN"/>
        </w:rPr>
        <w:t xml:space="preserve">提供诊断桌</w:t>
      </w:r>
      <w:r>
        <w:rPr>
          <w:rFonts w:hint="eastAsia" w:ascii="宋体" w:hAnsi="宋体" w:eastAsia="宋体" w:cs="宋体"/>
          <w:color w:val="auto"/>
          <w:sz w:val="20"/>
          <w:szCs w:val="20"/>
          <w:highlight w:val="none"/>
        </w:rPr>
        <w:t xml:space="preserve">一套</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配置要求如下</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。产品外观尺寸偏差不得超过（±</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mm），部件</w:t>
      </w:r>
      <w:r>
        <w:rPr>
          <w:rFonts w:hint="eastAsia" w:ascii="宋体" w:hAnsi="宋体" w:eastAsia="宋体" w:cs="宋体"/>
          <w:color w:val="auto"/>
          <w:sz w:val="20"/>
          <w:szCs w:val="20"/>
          <w:highlight w:val="none"/>
          <w:lang w:val="en-US" w:eastAsia="zh-CN"/>
        </w:rPr>
        <w:t xml:space="preserve">外观</w:t>
      </w:r>
      <w:r>
        <w:rPr>
          <w:rFonts w:hint="eastAsia" w:ascii="宋体" w:hAnsi="宋体" w:eastAsia="宋体" w:cs="宋体"/>
          <w:color w:val="auto"/>
          <w:sz w:val="20"/>
          <w:szCs w:val="20"/>
          <w:highlight w:val="none"/>
        </w:rPr>
        <w:t xml:space="preserve">尺寸偏差不得超过（±</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mm）。</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w:t>
      </w:r>
      <w:r/>
    </w:p>
    <w:tbl>
      <w:tblPr>
        <w:tblStyle w:val="689"/>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
        <w:gridCol w:w="1285"/>
        <w:gridCol w:w="7740"/>
      </w:tblGrid>
      <w:tr>
        <w:trPr/>
        <w:tc>
          <w:tcPr>
            <w:tcW w:w="494"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序号</w:t>
            </w:r>
            <w:r/>
          </w:p>
        </w:tc>
        <w:tc>
          <w:tcPr>
            <w:tcW w:w="1322"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7858"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460"/>
        </w:trPr>
        <w:tc>
          <w:tcPr>
            <w:tcW w:w="4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W w:w="1322" w:type="dxa"/>
            <w:vAlign w:val="center"/>
            <w:textDirection w:val="lrTb"/>
            <w:noWrap w:val="false"/>
          </w:tcPr>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整体三视图</w:t>
            </w:r>
            <w:r/>
          </w:p>
        </w:tc>
        <w:tc>
          <w:tcPr>
            <w:tcW w:w="7858" w:type="dxa"/>
            <w:vAlign w:val="top"/>
            <w:textDirection w:val="lrTb"/>
            <w:noWrap w:val="false"/>
          </w:tcPr>
          <w:p>
            <w:pPr>
              <w:jc w:val="lef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908935" cy="2172970"/>
                      <wp:effectExtent l="0" t="0" r="12065" b="11430"/>
                      <wp:docPr id="12"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70"/>
                              <pic:cNvPicPr>
                                <a:picLocks noChangeAspect="1"/>
                              </pic:cNvPicPr>
                              <pic:nvPr/>
                            </pic:nvPicPr>
                            <pic:blipFill>
                              <a:blip r:embed="rId20"/>
                              <a:stretch/>
                            </pic:blipFill>
                            <pic:spPr bwMode="auto">
                              <a:xfrm>
                                <a:off x="0" y="0"/>
                                <a:ext cx="2908935" cy="2172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29.0pt;height:171.1pt;mso-wrap-distance-left:0.0pt;mso-wrap-distance-top:0.0pt;mso-wrap-distance-right:0.0pt;mso-wrap-distance-bottom:0.0pt;" stroked="f">
                      <v:path textboxrect="0,0,0,0"/>
                      <v:imagedata r:id="rId20" o:title=""/>
                    </v:shape>
                  </w:pict>
                </mc:Fallback>
              </mc:AlternateContent>
            </w:r>
            <w:r/>
          </w:p>
        </w:tc>
      </w:tr>
      <w:tr>
        <w:trPr>
          <w:trHeight w:val="4115"/>
        </w:trPr>
        <w:tc>
          <w:tcPr>
            <w:tcW w:w="4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W w:w="1322" w:type="dxa"/>
            <w:vAlign w:val="center"/>
            <w:textDirection w:val="lrTb"/>
            <w:noWrap w:val="false"/>
          </w:tcPr>
          <w:p>
            <w:pPr>
              <w:jc w:val="left"/>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副柜三视图</w:t>
            </w:r>
            <w:r/>
          </w:p>
        </w:tc>
        <w:tc>
          <w:tcPr>
            <w:tcW w:w="7858"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jc w:val="lef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3017520" cy="2205355"/>
                      <wp:effectExtent l="0" t="0" r="11430" b="4445"/>
                      <wp:docPr id="13" name="图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71"/>
                              <pic:cNvPicPr>
                                <a:picLocks noChangeAspect="1"/>
                              </pic:cNvPicPr>
                              <pic:nvPr/>
                            </pic:nvPicPr>
                            <pic:blipFill>
                              <a:blip r:embed="rId21"/>
                              <a:stretch/>
                            </pic:blipFill>
                            <pic:spPr bwMode="auto">
                              <a:xfrm>
                                <a:off x="0" y="0"/>
                                <a:ext cx="3017519" cy="2205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37.6pt;height:173.7pt;mso-wrap-distance-left:0.0pt;mso-wrap-distance-top:0.0pt;mso-wrap-distance-right:0.0pt;mso-wrap-distance-bottom:0.0pt;" stroked="f">
                      <v:path textboxrect="0,0,0,0"/>
                      <v:imagedata r:id="rId21" o:title=""/>
                    </v:shape>
                  </w:pict>
                </mc:Fallback>
              </mc:AlternateContent>
            </w:r>
            <w:r/>
          </w:p>
        </w:tc>
      </w:tr>
      <w:tr>
        <w:trPr/>
        <w:tc>
          <w:tcPr>
            <w:tcW w:w="4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W w:w="1322" w:type="dxa"/>
            <w:vAlign w:val="center"/>
            <w:textDirection w:val="lrTb"/>
            <w:noWrap w:val="false"/>
          </w:tcPr>
          <w:p>
            <w:pPr>
              <w:jc w:val="left"/>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钢架三视图</w:t>
            </w:r>
            <w:r/>
          </w:p>
        </w:tc>
        <w:tc>
          <w:tcPr>
            <w:tcW w:w="7858" w:type="dxa"/>
            <w:vAlign w:val="top"/>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1"/>
                <w:highlight w:val="none"/>
              </w:rPr>
              <w:t xml:space="preserve"> </w: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769235" cy="1868170"/>
                      <wp:effectExtent l="0" t="0" r="12065" b="17780"/>
                      <wp:docPr id="14"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72"/>
                              <pic:cNvPicPr>
                                <a:picLocks noChangeAspect="1"/>
                              </pic:cNvPicPr>
                              <pic:nvPr/>
                            </pic:nvPicPr>
                            <pic:blipFill>
                              <a:blip r:embed="rId22"/>
                              <a:stretch/>
                            </pic:blipFill>
                            <pic:spPr bwMode="auto">
                              <a:xfrm>
                                <a:off x="0" y="0"/>
                                <a:ext cx="2769235" cy="1868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18.0pt;height:147.1pt;mso-wrap-distance-left:0.0pt;mso-wrap-distance-top:0.0pt;mso-wrap-distance-right:0.0pt;mso-wrap-distance-bottom:0.0pt;" stroked="f">
                      <v:path textboxrect="0,0,0,0"/>
                      <v:imagedata r:id="rId22" o:title=""/>
                    </v:shape>
                  </w:pict>
                </mc:Fallback>
              </mc:AlternateContent>
            </w:r>
            <w:r/>
          </w:p>
        </w:tc>
      </w:tr>
      <w:tr>
        <w:trPr>
          <w:trHeight w:val="90"/>
        </w:trPr>
        <w:tc>
          <w:tcPr>
            <w:tcW w:w="4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W w:w="1322" w:type="dxa"/>
            <w:vAlign w:val="center"/>
            <w:textDirection w:val="lrTb"/>
            <w:noWrap w:val="false"/>
          </w:tcPr>
          <w:p>
            <w:pPr>
              <w:jc w:val="left"/>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台面板三视图</w:t>
            </w:r>
            <w:r/>
          </w:p>
        </w:tc>
        <w:tc>
          <w:tcPr>
            <w:tcW w:w="7858" w:type="dxa"/>
            <w:vAlign w:val="top"/>
            <w:textDirection w:val="lrTb"/>
            <w:noWrap w:val="false"/>
          </w:tcPr>
          <w:p>
            <w:pPr>
              <w:jc w:val="left"/>
              <w:widowControl/>
              <w:rPr>
                <w:rFonts w:hint="eastAsia" w:ascii="宋体" w:hAnsi="宋体" w:eastAsia="宋体" w:cs="宋体"/>
                <w:color w:val="auto"/>
                <w:sz w:val="20"/>
                <w:szCs w:val="21"/>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750185" cy="1431925"/>
                      <wp:effectExtent l="0" t="0" r="12065" b="15875"/>
                      <wp:docPr id="15"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3"/>
                              <pic:cNvPicPr>
                                <a:picLocks noChangeAspect="1"/>
                              </pic:cNvPicPr>
                              <pic:nvPr/>
                            </pic:nvPicPr>
                            <pic:blipFill>
                              <a:blip r:embed="rId23"/>
                              <a:stretch/>
                            </pic:blipFill>
                            <pic:spPr bwMode="auto">
                              <a:xfrm>
                                <a:off x="0" y="0"/>
                                <a:ext cx="2750185" cy="1431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16.5pt;height:112.8pt;mso-wrap-distance-left:0.0pt;mso-wrap-distance-top:0.0pt;mso-wrap-distance-right:0.0pt;mso-wrap-distance-bottom:0.0pt;" stroked="f">
                      <v:path textboxrect="0,0,0,0"/>
                      <v:imagedata r:id="rId23" o:title=""/>
                    </v:shape>
                  </w:pict>
                </mc:Fallback>
              </mc:AlternateContent>
            </w:r>
            <w:r/>
          </w:p>
          <w:p>
            <w:pPr>
              <w:jc w:val="left"/>
              <w:widowControl/>
              <w:rPr>
                <w:rFonts w:hint="eastAsia" w:ascii="宋体" w:hAnsi="宋体" w:eastAsia="宋体" w:cs="宋体"/>
                <w:color w:val="auto"/>
                <w:sz w:val="20"/>
                <w:szCs w:val="21"/>
                <w:highlight w:val="none"/>
              </w:rPr>
            </w:pPr>
            <w:r>
              <w:rPr>
                <w:rFonts w:hint="eastAsia" w:ascii="宋体" w:hAnsi="宋体" w:eastAsia="宋体" w:cs="宋体"/>
                <w:color w:val="auto"/>
                <w:sz w:val="20"/>
                <w:szCs w:val="21"/>
                <w:highlight w:val="none"/>
              </w:rPr>
            </w:r>
            <w:r/>
          </w:p>
        </w:tc>
      </w:tr>
      <w:tr>
        <w:trPr>
          <w:trHeight w:val="298"/>
        </w:trPr>
        <w:tc>
          <w:tcPr>
            <w:tcW w:w="49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322" w:type="dxa"/>
            <w:vAlign w:val="center"/>
            <w:textDirection w:val="lrTb"/>
            <w:noWrap w:val="false"/>
          </w:tcPr>
          <w:p>
            <w:pPr>
              <w:jc w:val="left"/>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前挡板图</w:t>
            </w:r>
            <w:r/>
          </w:p>
        </w:tc>
        <w:tc>
          <w:tcPr>
            <w:tcW w:w="7858" w:type="dxa"/>
            <w:vAlign w:val="top"/>
            <w:textDirection w:val="lrTb"/>
            <w:noWrap w:val="false"/>
          </w:tcPr>
          <w:p>
            <w:pPr>
              <w:jc w:val="left"/>
              <w:widowControl/>
              <w:rPr>
                <w:rFonts w:hint="eastAsia" w:ascii="宋体" w:hAnsi="宋体" w:eastAsia="宋体" w:cs="宋体"/>
                <w:color w:val="auto"/>
                <w:sz w:val="20"/>
                <w:szCs w:val="21"/>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659890" cy="996950"/>
                      <wp:effectExtent l="0" t="0" r="3810" b="6350"/>
                      <wp:docPr id="16"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4"/>
                              <pic:cNvPicPr>
                                <a:picLocks noChangeAspect="1"/>
                              </pic:cNvPicPr>
                              <pic:nvPr/>
                            </pic:nvPicPr>
                            <pic:blipFill>
                              <a:blip r:embed="rId24"/>
                              <a:stretch/>
                            </pic:blipFill>
                            <pic:spPr bwMode="auto">
                              <a:xfrm>
                                <a:off x="0" y="0"/>
                                <a:ext cx="1659889" cy="996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0.7pt;height:78.5pt;mso-wrap-distance-left:0.0pt;mso-wrap-distance-top:0.0pt;mso-wrap-distance-right:0.0pt;mso-wrap-distance-bottom:0.0pt;" stroked="f">
                      <v:path textboxrect="0,0,0,0"/>
                      <v:imagedata r:id="rId24" o:title=""/>
                    </v:shape>
                  </w:pict>
                </mc:Fallback>
              </mc:AlternateContent>
            </w:r>
            <w:r/>
          </w:p>
        </w:tc>
      </w:tr>
    </w:tbl>
    <w:p>
      <w:pP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r>
      <w:r/>
    </w:p>
    <w:p>
      <w:pPr>
        <w:numPr>
          <w:ilvl w:val="0"/>
          <w:numId w:val="0"/>
        </w:numPr>
        <w:spacing w:line="400" w:lineRule="exact"/>
        <w:rPr>
          <w:rFonts w:hint="eastAsia" w:ascii="宋体" w:hAnsi="宋体" w:eastAsia="宋体" w:cs="宋体"/>
          <w:b/>
          <w:bCs/>
          <w:color w:val="auto"/>
          <w:sz w:val="21"/>
          <w:szCs w:val="21"/>
          <w:highlight w:val="none"/>
          <w:u w:val="single"/>
          <w:lang w:val="zh-CN" w:bidi="zh-CN"/>
        </w:rPr>
      </w:pPr>
      <w:r>
        <w:rPr>
          <w:rFonts w:hint="eastAsia" w:ascii="宋体" w:hAnsi="宋体" w:eastAsia="宋体" w:cs="宋体"/>
          <w:color w:val="auto"/>
          <w:sz w:val="21"/>
          <w:szCs w:val="21"/>
          <w:highlight w:val="none"/>
          <w:lang w:val="en-US" w:bidi="zh-CN"/>
        </w:rPr>
        <w:t xml:space="preserve">1.2</w:t>
      </w:r>
      <w:r>
        <w:rPr>
          <w:rFonts w:hint="eastAsia" w:ascii="宋体" w:hAnsi="宋体" w:eastAsia="宋体" w:cs="宋体"/>
          <w:color w:val="auto"/>
          <w:sz w:val="21"/>
          <w:szCs w:val="21"/>
          <w:highlight w:val="none"/>
          <w:lang w:val="zh-CN" w:bidi="zh-CN"/>
        </w:rPr>
        <w:t xml:space="preserve">采购包2</w:t>
      </w:r>
      <w:r>
        <w:rPr>
          <w:rFonts w:hint="eastAsia" w:ascii="宋体" w:hAnsi="宋体" w:cs="宋体"/>
          <w:color w:val="auto"/>
          <w:sz w:val="21"/>
          <w:szCs w:val="21"/>
          <w:highlight w:val="none"/>
          <w:lang w:val="zh-CN" w:bidi="zh-CN"/>
        </w:rPr>
        <w:t xml:space="preserve">样品：</w:t>
      </w:r>
      <w:r>
        <w:rPr>
          <w:rFonts w:hint="eastAsia" w:ascii="宋体" w:hAnsi="宋体" w:eastAsia="宋体" w:cs="宋体"/>
          <w:b/>
          <w:bCs/>
          <w:color w:val="auto"/>
          <w:sz w:val="22"/>
          <w:szCs w:val="22"/>
          <w:highlight w:val="none"/>
          <w:u w:val="single"/>
          <w:lang w:val="zh-CN" w:bidi="zh-CN"/>
        </w:rPr>
        <w:t xml:space="preserve">钢制文件柜</w:t>
      </w:r>
      <w:r>
        <w:rPr>
          <w:rFonts w:hint="eastAsia" w:ascii="宋体" w:hAnsi="宋体" w:eastAsia="宋体" w:cs="宋体"/>
          <w:b/>
          <w:bCs/>
          <w:color w:val="auto"/>
          <w:sz w:val="22"/>
          <w:szCs w:val="22"/>
          <w:highlight w:val="none"/>
          <w:u w:val="single"/>
          <w:lang w:val="zh-CN" w:eastAsia="zh-CN" w:bidi="zh-CN"/>
        </w:rPr>
        <w:t xml:space="preserve">、</w:t>
      </w:r>
      <w:r>
        <w:rPr>
          <w:rFonts w:hint="eastAsia" w:ascii="宋体" w:hAnsi="宋体" w:eastAsia="宋体" w:cs="宋体"/>
          <w:b/>
          <w:bCs/>
          <w:color w:val="auto"/>
          <w:sz w:val="22"/>
          <w:szCs w:val="22"/>
          <w:highlight w:val="none"/>
          <w:u w:val="single"/>
          <w:lang w:val="zh-CN" w:bidi="zh-CN"/>
        </w:rPr>
        <w:t xml:space="preserve">医用货架，办公桌，办公椅，礼堂椅，值班床</w:t>
      </w:r>
      <w:r>
        <w:rPr>
          <w:rFonts w:hint="eastAsia" w:ascii="宋体" w:hAnsi="宋体" w:cs="宋体"/>
          <w:b/>
          <w:bCs/>
          <w:color w:val="auto"/>
          <w:sz w:val="21"/>
          <w:szCs w:val="21"/>
          <w:highlight w:val="none"/>
          <w:u w:val="single"/>
          <w:lang w:val="zh-CN" w:bidi="zh-CN"/>
        </w:rPr>
        <w:t xml:space="preserve">（样品制作需参照产品参数及产品图纸，所有样品拒绝3D打印）</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样品技术参数要求：</w:t>
      </w:r>
      <w:r/>
    </w:p>
    <w:p>
      <w:pPr>
        <w:numPr>
          <w:ilvl w:val="0"/>
          <w:numId w:val="0"/>
        </w:numPr>
        <w:spacing w:line="400" w:lineRule="exac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r>
      <w:r/>
    </w:p>
    <w:p>
      <w:pPr>
        <w:jc w:val="lef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钢制文件柜</w:t>
      </w:r>
      <w:r/>
    </w:p>
    <w:p>
      <w:pPr>
        <w:jc w:val="left"/>
        <w:widowControl/>
        <w:rPr>
          <w:rFonts w:hint="eastAsia" w:ascii="宋体" w:hAnsi="宋体" w:eastAsia="宋体" w:cs="宋体"/>
          <w:color w:val="auto"/>
          <w:sz w:val="22"/>
          <w:szCs w:val="22"/>
          <w:highlight w:val="none"/>
        </w:rPr>
      </w:pPr>
      <w:r/>
      <w:bookmarkStart w:id="78" w:name="_Hlk191413140"/>
      <w:r>
        <w:rPr>
          <w:rFonts w:hint="eastAsia" w:ascii="宋体" w:hAnsi="宋体" w:eastAsia="宋体" w:cs="宋体"/>
          <w:color w:val="auto"/>
          <w:sz w:val="22"/>
          <w:szCs w:val="22"/>
          <w:highlight w:val="none"/>
        </w:rPr>
        <w:t xml:space="preserve">1、主要材料：电解钢板，具有更抗酸、更防锈、更防蚀、和涂层接触更稳固、使用年限更长等特点；</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2、主要板材厚度：侧板、门板、顶板、底板、层板厚度≥0.8mm；                                                                              3、工艺要求：柜门均为双层结构，门板采用木纹转印，颜色根据采购人的实际需求定制；离地100mm高为厚度≥0.8mm的304#油膜拉丝不锈钢底座；</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4、功能配置：上为玻璃门板，下为钢制门板，内含三件层板；</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5、五金配置：304不锈钢缓冲门铰（铰链），锁具、拉手等；</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6、所有板件经数控激光切割、模具冲压、数控折弯、焊接、机器打磨而成；表面采用抑菌防霉粉末静电喷涂处理，涂层膜厚度均匀，内外一致，抑菌、防霉、耐酸碱、耐磨、耐撞击，抗腐蚀力强。</w:t>
      </w:r>
      <w:bookmarkEnd w:id="78"/>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大样：按要求的材质参数尺寸、结构工艺、外观造型提供：钢制文件柜一套，</w:t>
      </w:r>
      <w:bookmarkStart w:id="79" w:name="OLE_LINK26"/>
      <w:r>
        <w:rPr>
          <w:rFonts w:hint="eastAsia" w:ascii="宋体" w:hAnsi="宋体" w:eastAsia="宋体" w:cs="宋体"/>
          <w:color w:val="auto"/>
          <w:sz w:val="22"/>
          <w:szCs w:val="22"/>
          <w:highlight w:val="none"/>
        </w:rPr>
        <w:t xml:space="preserve">产品外观尺寸偏差不得超过（±5mm），部件</w:t>
      </w:r>
      <w:r>
        <w:rPr>
          <w:rFonts w:hint="eastAsia" w:ascii="宋体" w:hAnsi="宋体" w:eastAsia="宋体" w:cs="宋体"/>
          <w:color w:val="auto"/>
          <w:sz w:val="22"/>
          <w:szCs w:val="22"/>
          <w:highlight w:val="none"/>
          <w:lang w:val="en-US" w:eastAsia="zh-CN"/>
        </w:rPr>
        <w:t xml:space="preserve">外观</w:t>
      </w:r>
      <w:r>
        <w:rPr>
          <w:rFonts w:hint="eastAsia" w:ascii="宋体" w:hAnsi="宋体" w:eastAsia="宋体" w:cs="宋体"/>
          <w:color w:val="auto"/>
          <w:sz w:val="22"/>
          <w:szCs w:val="22"/>
          <w:highlight w:val="none"/>
        </w:rPr>
        <w:t xml:space="preserve">尺寸偏差不得超过（±5mm）。</w:t>
      </w:r>
      <w:bookmarkEnd w:id="79"/>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r/>
    </w:p>
    <w:tbl>
      <w:tblPr>
        <w:tblStyle w:val="23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467"/>
        <w:gridCol w:w="7187"/>
      </w:tblGrid>
      <w:tr>
        <w:trPr>
          <w:trHeight w:val="299"/>
        </w:trPr>
        <w:tc>
          <w:tcPr>
            <w:tcW w:w="993" w:type="dxa"/>
            <w:vAlign w:val="top"/>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498" w:type="dxa"/>
            <w:vAlign w:val="top"/>
            <w:textDirection w:val="lrTb"/>
            <w:noWrap w:val="false"/>
          </w:tcPr>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图纸名称</w:t>
            </w:r>
            <w:r/>
          </w:p>
        </w:tc>
        <w:tc>
          <w:tcPr>
            <w:tcW w:w="7248" w:type="dxa"/>
            <w:vAlign w:val="top"/>
            <w:textDirection w:val="lrTb"/>
            <w:noWrap w:val="false"/>
          </w:tcPr>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图纸</w:t>
            </w:r>
            <w:r/>
          </w:p>
        </w:tc>
      </w:tr>
      <w:tr>
        <w:trPr>
          <w:trHeight w:val="589"/>
        </w:trPr>
        <w:tc>
          <w:tcPr>
            <w:tcW w:w="993"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498" w:type="dxa"/>
            <w:vAlign w:val="center"/>
            <w:textDirection w:val="lrTb"/>
            <w:noWrap w:val="false"/>
          </w:tcPr>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整体三视图</w:t>
            </w:r>
            <w:r/>
          </w:p>
        </w:tc>
        <w:tc>
          <w:tcPr>
            <w:tcW w:w="7248" w:type="dxa"/>
            <w:vAlign w:val="top"/>
            <w:textDirection w:val="lrTb"/>
            <w:noWrap w:val="false"/>
          </w:tcPr>
          <w:p>
            <w:pPr>
              <w:jc w:val="left"/>
              <w:widowControl/>
              <w:rPr>
                <w:rFonts w:hint="eastAsia" w:ascii="宋体" w:hAnsi="宋体" w:eastAsia="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3243580" cy="2364105"/>
                      <wp:effectExtent l="0" t="0" r="7620" b="10795"/>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2"/>
                              <pic:cNvPicPr>
                                <a:picLocks noChangeAspect="1"/>
                              </pic:cNvPicPr>
                              <pic:nvPr/>
                            </pic:nvPicPr>
                            <pic:blipFill>
                              <a:blip r:embed="rId25"/>
                              <a:stretch/>
                            </pic:blipFill>
                            <pic:spPr bwMode="auto">
                              <a:xfrm>
                                <a:off x="0" y="0"/>
                                <a:ext cx="3243580" cy="2364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55.4pt;height:186.1pt;mso-wrap-distance-left:0.0pt;mso-wrap-distance-top:0.0pt;mso-wrap-distance-right:0.0pt;mso-wrap-distance-bottom:0.0pt;" stroked="f">
                      <v:path textboxrect="0,0,0,0"/>
                      <v:imagedata r:id="rId25" o:title=""/>
                    </v:shape>
                  </w:pict>
                </mc:Fallback>
              </mc:AlternateContent>
            </w:r>
            <w:r/>
          </w:p>
        </w:tc>
      </w:tr>
      <w:tr>
        <w:trPr>
          <w:trHeight w:val="589"/>
        </w:trPr>
        <w:tc>
          <w:tcPr>
            <w:tcW w:w="993"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498" w:type="dxa"/>
            <w:vAlign w:val="center"/>
            <w:textDirection w:val="lrTb"/>
            <w:noWrap w:val="false"/>
          </w:tcPr>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柜体三视图</w:t>
            </w:r>
            <w:r/>
          </w:p>
        </w:tc>
        <w:tc>
          <w:tcPr>
            <w:tcW w:w="7248" w:type="dxa"/>
            <w:vAlign w:val="top"/>
            <w:textDirection w:val="lrTb"/>
            <w:noWrap w:val="false"/>
          </w:tcPr>
          <w:p>
            <w:pPr>
              <w:jc w:val="left"/>
              <w:widowControl/>
              <w:rPr>
                <w:rFonts w:hint="eastAsia" w:ascii="宋体" w:hAnsi="宋体" w:eastAsia="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3028950" cy="2629535"/>
                      <wp:effectExtent l="0" t="0" r="6350" b="12065"/>
                      <wp:docPr id="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3"/>
                              <pic:cNvPicPr>
                                <a:picLocks noChangeAspect="1"/>
                              </pic:cNvPicPr>
                              <pic:nvPr/>
                            </pic:nvPicPr>
                            <pic:blipFill>
                              <a:blip r:embed="rId26"/>
                              <a:stretch/>
                            </pic:blipFill>
                            <pic:spPr bwMode="auto">
                              <a:xfrm>
                                <a:off x="0" y="0"/>
                                <a:ext cx="3028950" cy="2629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38.5pt;height:207.0pt;mso-wrap-distance-left:0.0pt;mso-wrap-distance-top:0.0pt;mso-wrap-distance-right:0.0pt;mso-wrap-distance-bottom:0.0pt;" stroked="f">
                      <v:path textboxrect="0,0,0,0"/>
                      <v:imagedata r:id="rId26" o:title=""/>
                    </v:shape>
                  </w:pict>
                </mc:Fallback>
              </mc:AlternateContent>
            </w:r>
            <w:r/>
          </w:p>
        </w:tc>
      </w:tr>
      <w:tr>
        <w:trPr>
          <w:trHeight w:val="878"/>
        </w:trPr>
        <w:tc>
          <w:tcPr>
            <w:tcW w:w="993"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W w:w="1498" w:type="dxa"/>
            <w:vAlign w:val="center"/>
            <w:textDirection w:val="lrTb"/>
            <w:noWrap w:val="false"/>
          </w:tcPr>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门板三视图</w:t>
            </w:r>
            <w:r/>
          </w:p>
        </w:tc>
        <w:tc>
          <w:tcPr>
            <w:tcW w:w="7248" w:type="dxa"/>
            <w:vAlign w:val="top"/>
            <w:textDirection w:val="lrTb"/>
            <w:noWrap w:val="false"/>
          </w:tcPr>
          <w:p>
            <w:pPr>
              <w:jc w:val="left"/>
              <w:widowControl/>
              <w:rPr>
                <w:rFonts w:hint="eastAsia" w:ascii="宋体" w:hAnsi="宋体" w:eastAsia="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2990215" cy="2840355"/>
                      <wp:effectExtent l="0" t="0" r="6985" b="4445"/>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4"/>
                              <pic:cNvPicPr>
                                <a:picLocks noChangeAspect="1"/>
                              </pic:cNvPicPr>
                              <pic:nvPr/>
                            </pic:nvPicPr>
                            <pic:blipFill>
                              <a:blip r:embed="rId27"/>
                              <a:stretch/>
                            </pic:blipFill>
                            <pic:spPr bwMode="auto">
                              <a:xfrm>
                                <a:off x="0" y="0"/>
                                <a:ext cx="2990215" cy="2840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35.4pt;height:223.6pt;mso-wrap-distance-left:0.0pt;mso-wrap-distance-top:0.0pt;mso-wrap-distance-right:0.0pt;mso-wrap-distance-bottom:0.0pt;" stroked="f">
                      <v:path textboxrect="0,0,0,0"/>
                      <v:imagedata r:id="rId27" o:title=""/>
                    </v:shape>
                  </w:pict>
                </mc:Fallback>
              </mc:AlternateContent>
            </w:r>
            <w:r/>
          </w:p>
        </w:tc>
      </w:tr>
      <w:tr>
        <w:trPr>
          <w:trHeight w:val="888"/>
        </w:trPr>
        <w:tc>
          <w:tcPr>
            <w:tcW w:w="993"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W w:w="1498" w:type="dxa"/>
            <w:vAlign w:val="center"/>
            <w:textDirection w:val="lrTb"/>
            <w:noWrap w:val="false"/>
          </w:tcPr>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304不锈钢底座三视图</w:t>
            </w:r>
            <w:r/>
          </w:p>
        </w:tc>
        <w:tc>
          <w:tcPr>
            <w:tcW w:w="7248" w:type="dxa"/>
            <w:vAlign w:val="top"/>
            <w:textDirection w:val="lrTb"/>
            <w:noWrap w:val="false"/>
          </w:tcPr>
          <w:p>
            <w:pPr>
              <w:jc w:val="left"/>
              <w:widowControl/>
              <w:rPr>
                <w:rFonts w:hint="eastAsia" w:ascii="宋体" w:hAnsi="宋体" w:eastAsia="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3051810" cy="1891030"/>
                      <wp:effectExtent l="0" t="0" r="8890" b="1270"/>
                      <wp:docPr id="2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5"/>
                              <pic:cNvPicPr>
                                <a:picLocks noChangeAspect="1"/>
                              </pic:cNvPicPr>
                              <pic:nvPr/>
                            </pic:nvPicPr>
                            <pic:blipFill>
                              <a:blip r:embed="rId28"/>
                              <a:stretch/>
                            </pic:blipFill>
                            <pic:spPr bwMode="auto">
                              <a:xfrm>
                                <a:off x="0" y="0"/>
                                <a:ext cx="3051810" cy="1891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40.3pt;height:148.9pt;mso-wrap-distance-left:0.0pt;mso-wrap-distance-top:0.0pt;mso-wrap-distance-right:0.0pt;mso-wrap-distance-bottom:0.0pt;" stroked="f">
                      <v:path textboxrect="0,0,0,0"/>
                      <v:imagedata r:id="rId28" o:title=""/>
                    </v:shape>
                  </w:pict>
                </mc:Fallback>
              </mc:AlternateContent>
            </w:r>
            <w:r/>
          </w:p>
        </w:tc>
      </w:tr>
    </w:tbl>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lang w:val="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zh-CN"/>
        </w:rPr>
        <w:t xml:space="preserve">医用货架</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1、主要材料：电解钢板，具有更抗酸、更防锈、更防蚀、和涂层接触更稳固、使用年限更长等特点；</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2、主要板材厚度：立柱采用≥40*40mm方管，厚度≥1.5mm，其余板件厚度≥1.0mm；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3、功能配置：带亚克力卡槽；</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4、所有板件经数控激光切割、模具冲压、数控折弯、焊接、机器打磨而成；表面采用抑菌防霉粉末静电喷涂处理，涂层膜厚度均匀，内外一致，抑菌、防霉、耐酸碱、耐磨、耐撞击，抗腐蚀力强。</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大样：按要求的材质参数尺寸、结构工艺、外观造型提供：</w:t>
      </w:r>
      <w:r>
        <w:rPr>
          <w:rFonts w:hint="eastAsia" w:ascii="宋体" w:hAnsi="宋体" w:eastAsia="宋体" w:cs="宋体"/>
          <w:color w:val="auto"/>
          <w:sz w:val="22"/>
          <w:szCs w:val="22"/>
          <w:highlight w:val="none"/>
          <w:lang w:val="en-US" w:eastAsia="zh-CN"/>
        </w:rPr>
        <w:t xml:space="preserve">医用货架</w:t>
      </w:r>
      <w:r>
        <w:rPr>
          <w:rFonts w:hint="eastAsia" w:ascii="宋体" w:hAnsi="宋体" w:eastAsia="宋体" w:cs="宋体"/>
          <w:color w:val="auto"/>
          <w:sz w:val="22"/>
          <w:szCs w:val="22"/>
          <w:highlight w:val="none"/>
        </w:rPr>
        <w:t xml:space="preserve">一</w:t>
      </w:r>
      <w:r>
        <w:rPr>
          <w:rFonts w:hint="eastAsia" w:ascii="宋体" w:hAnsi="宋体" w:eastAsia="宋体" w:cs="宋体"/>
          <w:color w:val="auto"/>
          <w:sz w:val="22"/>
          <w:szCs w:val="22"/>
          <w:highlight w:val="none"/>
          <w:lang w:val="en-US" w:eastAsia="zh-CN"/>
        </w:rPr>
        <w:t xml:space="preserve">组</w:t>
      </w:r>
      <w:r>
        <w:rPr>
          <w:rFonts w:hint="eastAsia" w:ascii="宋体" w:hAnsi="宋体" w:eastAsia="宋体" w:cs="宋体"/>
          <w:color w:val="auto"/>
          <w:sz w:val="22"/>
          <w:szCs w:val="22"/>
          <w:highlight w:val="none"/>
        </w:rPr>
        <w:t xml:space="preserve">，产品外观尺寸偏差不得超过（±5mm），部件</w:t>
      </w:r>
      <w:r>
        <w:rPr>
          <w:rFonts w:hint="eastAsia" w:ascii="宋体" w:hAnsi="宋体" w:eastAsia="宋体" w:cs="宋体"/>
          <w:color w:val="auto"/>
          <w:sz w:val="22"/>
          <w:szCs w:val="22"/>
          <w:highlight w:val="none"/>
          <w:lang w:val="en-US" w:eastAsia="zh-CN"/>
        </w:rPr>
        <w:t xml:space="preserve">外观</w:t>
      </w:r>
      <w:r>
        <w:rPr>
          <w:rFonts w:hint="eastAsia" w:ascii="宋体" w:hAnsi="宋体" w:eastAsia="宋体" w:cs="宋体"/>
          <w:color w:val="auto"/>
          <w:sz w:val="22"/>
          <w:szCs w:val="22"/>
          <w:highlight w:val="none"/>
        </w:rPr>
        <w:t xml:space="preserve">尺寸偏差不得超过（±5mm）。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r/>
    </w:p>
    <w:tbl>
      <w:tblPr>
        <w:tblStyle w:val="6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462"/>
        <w:gridCol w:w="7484"/>
      </w:tblGrid>
      <w:tr>
        <w:trPr>
          <w:trHeight w:val="632"/>
        </w:trPr>
        <w:tc>
          <w:tcPr>
            <w:tcW w:w="701"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536"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图纸名称</w:t>
            </w:r>
            <w:r/>
          </w:p>
        </w:tc>
        <w:tc>
          <w:tcPr>
            <w:tcW w:w="7561"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w:t>
            </w:r>
            <w:r/>
          </w:p>
        </w:tc>
      </w:tr>
      <w:tr>
        <w:trPr>
          <w:trHeight w:val="632"/>
        </w:trPr>
        <w:tc>
          <w:tcPr>
            <w:tcW w:w="701"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536"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整体</w:t>
            </w:r>
            <w:r>
              <w:rPr>
                <w:rFonts w:hint="eastAsia" w:ascii="宋体" w:hAnsi="宋体" w:eastAsia="宋体" w:cs="宋体"/>
                <w:color w:val="auto"/>
                <w:sz w:val="22"/>
                <w:szCs w:val="22"/>
                <w:highlight w:val="none"/>
                <w:lang w:val="en-US" w:eastAsia="zh-CN"/>
              </w:rPr>
              <w:t xml:space="preserve">三视图</w:t>
            </w:r>
            <w:r/>
          </w:p>
        </w:tc>
        <w:tc>
          <w:tcPr>
            <w:tcW w:w="7561" w:type="dxa"/>
            <w:vAlign w:val="top"/>
            <w:textDirection w:val="lrTb"/>
            <w:noWrap w:val="false"/>
          </w:tcPr>
          <w:p>
            <w:pPr>
              <w:rPr>
                <w:rFonts w:hint="eastAsia" w:ascii="宋体" w:hAnsi="宋体" w:eastAsia="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3547110" cy="2652395"/>
                      <wp:effectExtent l="0" t="0" r="8890" b="1905"/>
                      <wp:docPr id="2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6"/>
                              <pic:cNvPicPr>
                                <a:picLocks noChangeAspect="1"/>
                              </pic:cNvPicPr>
                              <pic:nvPr/>
                            </pic:nvPicPr>
                            <pic:blipFill>
                              <a:blip r:embed="rId29"/>
                              <a:stretch/>
                            </pic:blipFill>
                            <pic:spPr bwMode="auto">
                              <a:xfrm>
                                <a:off x="0" y="0"/>
                                <a:ext cx="3547110" cy="2652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79.3pt;height:208.8pt;mso-wrap-distance-left:0.0pt;mso-wrap-distance-top:0.0pt;mso-wrap-distance-right:0.0pt;mso-wrap-distance-bottom:0.0pt;" stroked="f">
                      <v:path textboxrect="0,0,0,0"/>
                      <v:imagedata r:id="rId29" o:title=""/>
                    </v:shape>
                  </w:pict>
                </mc:Fallback>
              </mc:AlternateConten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943"/>
        </w:trPr>
        <w:tc>
          <w:tcPr>
            <w:tcW w:w="701"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536"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框架三视图</w:t>
            </w:r>
            <w:r/>
          </w:p>
        </w:tc>
        <w:tc>
          <w:tcPr>
            <w:tcW w:w="7561" w:type="dxa"/>
            <w:vAlign w:val="top"/>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rPr>
                <w:rFonts w:hint="eastAsia" w:ascii="宋体" w:hAnsi="宋体" w:eastAsia="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2427605" cy="2853690"/>
                      <wp:effectExtent l="0" t="0" r="10795" b="3810"/>
                      <wp:docPr id="2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7"/>
                              <pic:cNvPicPr>
                                <a:picLocks noChangeAspect="1"/>
                              </pic:cNvPicPr>
                              <pic:nvPr/>
                            </pic:nvPicPr>
                            <pic:blipFill>
                              <a:blip r:embed="rId30"/>
                              <a:stretch/>
                            </pic:blipFill>
                            <pic:spPr bwMode="auto">
                              <a:xfrm>
                                <a:off x="0" y="0"/>
                                <a:ext cx="2427605" cy="2853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91.1pt;height:224.7pt;mso-wrap-distance-left:0.0pt;mso-wrap-distance-top:0.0pt;mso-wrap-distance-right:0.0pt;mso-wrap-distance-bottom:0.0pt;" stroked="f">
                      <v:path textboxrect="0,0,0,0"/>
                      <v:imagedata r:id="rId30" o:title=""/>
                    </v:shape>
                  </w:pict>
                </mc:Fallback>
              </mc:AlternateContent>
            </w:r>
            <w:r>
              <w:rPr>
                <w:color w:val="auto"/>
                <w:highlight w:val="none"/>
              </w:rPr>
              <mc:AlternateContent>
                <mc:Choice Requires="wpg">
                  <w:drawing>
                    <wp:inline xmlns:wp="http://schemas.openxmlformats.org/drawingml/2006/wordprocessingDrawing" distT="0" distB="0" distL="0" distR="0">
                      <wp:extent cx="1003935" cy="1651000"/>
                      <wp:effectExtent l="0" t="0" r="12065" b="0"/>
                      <wp:docPr id="2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1"/>
                              <pic:cNvPicPr>
                                <a:picLocks noChangeAspect="1"/>
                              </pic:cNvPicPr>
                              <pic:nvPr/>
                            </pic:nvPicPr>
                            <pic:blipFill>
                              <a:blip r:embed="rId31"/>
                              <a:stretch/>
                            </pic:blipFill>
                            <pic:spPr bwMode="auto">
                              <a:xfrm>
                                <a:off x="0" y="0"/>
                                <a:ext cx="1003935" cy="1651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9.0pt;height:130.0pt;mso-wrap-distance-left:0.0pt;mso-wrap-distance-top:0.0pt;mso-wrap-distance-right:0.0pt;mso-wrap-distance-bottom:0.0pt;" stroked="f">
                      <v:path textboxrect="0,0,0,0"/>
                      <v:imagedata r:id="rId31" o:title=""/>
                    </v:shape>
                  </w:pict>
                </mc:Fallback>
              </mc:AlternateConten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321"/>
        </w:trPr>
        <w:tc>
          <w:tcPr>
            <w:tcW w:w="701"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W w:w="1536"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层板三视图</w:t>
            </w:r>
            <w:r/>
          </w:p>
        </w:tc>
        <w:tc>
          <w:tcPr>
            <w:tcW w:w="7561" w:type="dxa"/>
            <w:vAlign w:val="top"/>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color w:val="auto"/>
                <w:highlight w:val="none"/>
              </w:rPr>
              <mc:AlternateContent>
                <mc:Choice Requires="wpg">
                  <w:drawing>
                    <wp:inline xmlns:wp="http://schemas.openxmlformats.org/drawingml/2006/wordprocessingDrawing" distT="0" distB="0" distL="0" distR="0">
                      <wp:extent cx="3935095" cy="2372995"/>
                      <wp:effectExtent l="0" t="0" r="1905" b="1905"/>
                      <wp:docPr id="2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8"/>
                              <pic:cNvPicPr>
                                <a:picLocks noChangeAspect="1"/>
                              </pic:cNvPicPr>
                              <pic:nvPr/>
                            </pic:nvPicPr>
                            <pic:blipFill>
                              <a:blip r:embed="rId32"/>
                              <a:stretch/>
                            </pic:blipFill>
                            <pic:spPr bwMode="auto">
                              <a:xfrm>
                                <a:off x="0" y="0"/>
                                <a:ext cx="3935095" cy="2372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09.8pt;height:186.8pt;mso-wrap-distance-left:0.0pt;mso-wrap-distance-top:0.0pt;mso-wrap-distance-right:0.0pt;mso-wrap-distance-bottom:0.0pt;" stroked="f">
                      <v:path textboxrect="0,0,0,0"/>
                      <v:imagedata r:id="rId32" o:title=""/>
                    </v:shape>
                  </w:pict>
                </mc:Fallback>
              </mc:AlternateContent>
            </w:r>
            <w:r/>
          </w:p>
        </w:tc>
      </w:tr>
      <w:tr>
        <w:trPr>
          <w:trHeight w:val="943"/>
        </w:trPr>
        <w:tc>
          <w:tcPr>
            <w:tcW w:w="701"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W w:w="1536"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亚克力标签卡槽三视图</w:t>
            </w:r>
            <w:r/>
          </w:p>
        </w:tc>
        <w:tc>
          <w:tcPr>
            <w:tcW w:w="7561" w:type="dxa"/>
            <w:vAlign w:val="top"/>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3398520" cy="2469515"/>
                      <wp:effectExtent l="0" t="0" r="11430" b="6985"/>
                      <wp:docPr id="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3"/>
                              <pic:cNvPicPr>
                                <a:picLocks noChangeAspect="1"/>
                              </pic:cNvPicPr>
                              <pic:nvPr/>
                            </pic:nvPicPr>
                            <pic:blipFill>
                              <a:blip r:embed="rId33"/>
                              <a:stretch/>
                            </pic:blipFill>
                            <pic:spPr bwMode="auto">
                              <a:xfrm>
                                <a:off x="0" y="0"/>
                                <a:ext cx="3398520" cy="2469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67.6pt;height:194.4pt;mso-wrap-distance-left:0.0pt;mso-wrap-distance-top:0.0pt;mso-wrap-distance-right:0.0pt;mso-wrap-distance-bottom:0.0pt;" stroked="f">
                      <v:path textboxrect="0,0,0,0"/>
                      <v:imagedata r:id="rId33" o:title=""/>
                    </v:shape>
                  </w:pict>
                </mc:Fallback>
              </mc:AlternateConten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zh-CN"/>
        </w:rPr>
        <w:t xml:space="preserve">办公桌</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1、主要材料：所有板件采用E0级刨花板，三聚氰胺饰面纸饰面；</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2、主要板材厚度：台面板厚度为25mm，侧板、背板、抽面、底板厚度为16mm；</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3、配置：主台面+50mm*50mm门型钢脚+三抽固定柜+塑料键盘架+Φ60mm金属线盒+木制活动主机架+木制前挡板；                                                                                                                                                               4、五金配置：三节导轨、锁具、拉手、连接件等；</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5、封边：</w:t>
      </w:r>
      <w:r>
        <w:rPr>
          <w:rFonts w:hint="eastAsia" w:ascii="宋体" w:hAnsi="宋体" w:eastAsia="宋体" w:cs="宋体"/>
          <w:color w:val="auto"/>
          <w:sz w:val="22"/>
          <w:szCs w:val="22"/>
          <w:highlight w:val="none"/>
          <w:lang w:val="en-US" w:eastAsia="zh-CN"/>
        </w:rPr>
        <w:t xml:space="preserve">台面板、抽面板</w:t>
      </w:r>
      <w:r>
        <w:rPr>
          <w:rFonts w:hint="eastAsia" w:ascii="宋体" w:hAnsi="宋体" w:eastAsia="宋体" w:cs="宋体"/>
          <w:color w:val="auto"/>
          <w:sz w:val="22"/>
          <w:szCs w:val="22"/>
          <w:highlight w:val="none"/>
        </w:rPr>
        <w:t xml:space="preserve">为2.0mm厚全自动封边，其余为1mm厚全自动封边，防水、防潮、不变色；</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6、钢脚：50mm*50mm门型钢脚，壁厚≥1.5mm，表面采用抑菌防霉粉末静电喷涂处理，涂层膜厚度均匀，内外一致，抑菌、防霉、耐酸碱、耐磨、耐撞击，抗腐蚀力强。</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大样：按要求的材质参数尺寸、结构工艺、外观造型提供：</w:t>
      </w:r>
      <w:r>
        <w:rPr>
          <w:rFonts w:hint="eastAsia" w:ascii="宋体" w:hAnsi="宋体" w:eastAsia="宋体" w:cs="宋体"/>
          <w:color w:val="auto"/>
          <w:sz w:val="22"/>
          <w:szCs w:val="22"/>
          <w:highlight w:val="none"/>
          <w:lang w:val="zh-CN"/>
        </w:rPr>
        <w:t xml:space="preserve">办公桌</w:t>
      </w:r>
      <w:r>
        <w:rPr>
          <w:rFonts w:hint="eastAsia" w:ascii="宋体" w:hAnsi="宋体" w:eastAsia="宋体" w:cs="宋体"/>
          <w:color w:val="auto"/>
          <w:sz w:val="22"/>
          <w:szCs w:val="22"/>
          <w:highlight w:val="none"/>
        </w:rPr>
        <w:t xml:space="preserve">一张，产品外观尺寸偏差不得超过（±5mm），部件</w:t>
      </w:r>
      <w:r>
        <w:rPr>
          <w:rFonts w:hint="eastAsia" w:ascii="宋体" w:hAnsi="宋体" w:eastAsia="宋体" w:cs="宋体"/>
          <w:color w:val="auto"/>
          <w:sz w:val="22"/>
          <w:szCs w:val="22"/>
          <w:highlight w:val="none"/>
          <w:lang w:val="en-US" w:eastAsia="zh-CN"/>
        </w:rPr>
        <w:t xml:space="preserve">外观</w:t>
      </w:r>
      <w:r>
        <w:rPr>
          <w:rFonts w:hint="eastAsia" w:ascii="宋体" w:hAnsi="宋体" w:eastAsia="宋体" w:cs="宋体"/>
          <w:color w:val="auto"/>
          <w:sz w:val="22"/>
          <w:szCs w:val="22"/>
          <w:highlight w:val="none"/>
        </w:rPr>
        <w:t xml:space="preserve">尺寸偏差不得超过（±5mm）。</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r/>
    </w:p>
    <w:tbl>
      <w:tblPr>
        <w:tblStyle w:val="6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460"/>
        <w:gridCol w:w="7487"/>
      </w:tblGrid>
      <w:tr>
        <w:trPr>
          <w:trHeight w:val="615"/>
        </w:trPr>
        <w:tc>
          <w:tcPr>
            <w:tcW w:w="68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46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图纸名称</w:t>
            </w:r>
            <w:r/>
          </w:p>
        </w:tc>
        <w:tc>
          <w:tcPr>
            <w:tcW w:w="748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w:t>
            </w:r>
            <w:r/>
          </w:p>
        </w:tc>
      </w:tr>
      <w:tr>
        <w:trPr>
          <w:trHeight w:val="615"/>
        </w:trPr>
        <w:tc>
          <w:tcPr>
            <w:tcW w:w="682"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460"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整体</w:t>
            </w:r>
            <w:r>
              <w:rPr>
                <w:rFonts w:hint="eastAsia" w:ascii="宋体" w:hAnsi="宋体" w:eastAsia="宋体" w:cs="宋体"/>
                <w:color w:val="auto"/>
                <w:sz w:val="22"/>
                <w:szCs w:val="22"/>
                <w:highlight w:val="none"/>
                <w:lang w:val="en-US" w:eastAsia="zh-CN"/>
              </w:rPr>
              <w:t xml:space="preserve">三视图</w:t>
            </w:r>
            <w:r/>
          </w:p>
        </w:tc>
        <w:tc>
          <w:tcPr>
            <w:tcW w:w="7487" w:type="dxa"/>
            <w:vAlign w:val="top"/>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3212465" cy="2083435"/>
                      <wp:effectExtent l="0" t="0" r="635" b="12065"/>
                      <wp:docPr id="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r/>
                            </pic:nvPicPr>
                            <pic:blipFill>
                              <a:blip r:embed="rId34"/>
                              <a:stretch/>
                            </pic:blipFill>
                            <pic:spPr bwMode="auto">
                              <a:xfrm>
                                <a:off x="0" y="0"/>
                                <a:ext cx="3212465" cy="208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52.9pt;height:164.0pt;mso-wrap-distance-left:0.0pt;mso-wrap-distance-top:0.0pt;mso-wrap-distance-right:0.0pt;mso-wrap-distance-bottom:0.0pt;" stroked="f">
                      <v:path textboxrect="0,0,0,0"/>
                      <v:imagedata r:id="rId34" o:title=""/>
                    </v:shape>
                  </w:pict>
                </mc:Fallback>
              </mc:AlternateContent>
            </w:r>
            <w:r/>
          </w:p>
        </w:tc>
      </w:tr>
      <w:tr>
        <w:trPr>
          <w:trHeight w:val="312"/>
        </w:trPr>
        <w:tc>
          <w:tcPr>
            <w:tcW w:w="682"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W w:w="1460"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门型钢脚三视图</w:t>
            </w:r>
            <w:r/>
          </w:p>
        </w:tc>
        <w:tc>
          <w:tcPr>
            <w:tcW w:w="7487" w:type="dxa"/>
            <w:vAlign w:val="top"/>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2360930" cy="2794000"/>
                      <wp:effectExtent l="0" t="0" r="1270" b="6350"/>
                      <wp:docPr id="2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5"/>
                              <pic:cNvPicPr>
                                <a:picLocks noChangeAspect="1"/>
                              </pic:cNvPicPr>
                              <pic:nvPr/>
                            </pic:nvPicPr>
                            <pic:blipFill>
                              <a:blip r:embed="rId35"/>
                              <a:stretch/>
                            </pic:blipFill>
                            <pic:spPr bwMode="auto">
                              <a:xfrm>
                                <a:off x="0" y="0"/>
                                <a:ext cx="2360930" cy="279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85.9pt;height:220.0pt;mso-wrap-distance-left:0.0pt;mso-wrap-distance-top:0.0pt;mso-wrap-distance-right:0.0pt;mso-wrap-distance-bottom:0.0pt;" stroked="f">
                      <v:path textboxrect="0,0,0,0"/>
                      <v:imagedata r:id="rId35" o:title=""/>
                    </v:shape>
                  </w:pict>
                </mc:Fallback>
              </mc:AlternateContent>
            </w:r>
            <w:r/>
          </w:p>
        </w:tc>
      </w:tr>
    </w:tbl>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办公椅</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1、椅背：采用抑菌级高弹性网布，高强度PP加30%玻纤材料椅背，长期使用不变形；</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2、坐垫：采用防油污，防水，防磨损及抗尘埃3M防污处理和不助燃处理，阻燃PU定型海绵，搭载加厚承重底塑壳，无木板、无胶水、不打钉、环保、绿色健康；</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3、扶手：采用PP防滑臂托扶手；</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4、底盘：采用塑钢结构，精密准确，承受力大，并保持恒久，不变形，可追背倾仰；2段倾仰锁定并具有防撞功能、可原位以及倾仰锁定椅背，更人性化设计；</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5、弓形脚：采用≥2.0mm壁厚钢管，管径≥28mm，表面采用抑菌防霉粉末静电喷涂处理，涂层膜厚度均匀，内外一致，抑菌、防霉、耐酸碱、耐磨、耐撞击，抗腐蚀力强。</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大样：根据参数和产品图提供办公椅一张，产品外观尺寸偏差不得超过（±5mm），部件外观尺寸偏差不得超过（±5mm）。</w:t>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r/>
    </w:p>
    <w:tbl>
      <w:tblPr>
        <w:tblStyle w:val="689"/>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012"/>
        <w:gridCol w:w="6458"/>
      </w:tblGrid>
      <w:tr>
        <w:trPr/>
        <w:tc>
          <w:tcPr>
            <w:tcW w:w="826"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序号</w:t>
            </w:r>
            <w:r/>
          </w:p>
        </w:tc>
        <w:tc>
          <w:tcPr>
            <w:tcW w:w="1012"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图纸名称</w:t>
            </w:r>
            <w:r/>
          </w:p>
        </w:tc>
        <w:tc>
          <w:tcPr>
            <w:tcW w:w="6458"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w:t>
            </w:r>
            <w:r/>
          </w:p>
        </w:tc>
      </w:tr>
      <w:tr>
        <w:trPr>
          <w:trHeight w:val="2103"/>
        </w:trPr>
        <w:tc>
          <w:tcPr>
            <w:tcW w:w="826"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012" w:type="dxa"/>
            <w:vAlign w:val="center"/>
            <w:textDirection w:val="lrTb"/>
            <w:noWrap w:val="false"/>
          </w:tcPr>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整体三视图</w:t>
            </w:r>
            <w:r/>
          </w:p>
        </w:tc>
        <w:tc>
          <w:tcPr>
            <w:tcW w:w="6458" w:type="dxa"/>
            <w:vAlign w:val="top"/>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1417955" cy="1558925"/>
                      <wp:effectExtent l="0" t="0" r="10795" b="3175"/>
                      <wp:docPr id="2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pic:cNvPicPr>
                                <a:picLocks noChangeAspect="1"/>
                              </pic:cNvPicPr>
                              <pic:nvPr/>
                            </pic:nvPicPr>
                            <pic:blipFill>
                              <a:blip r:embed="rId36"/>
                              <a:stretch/>
                            </pic:blipFill>
                            <pic:spPr bwMode="auto">
                              <a:xfrm>
                                <a:off x="0" y="0"/>
                                <a:ext cx="1417955" cy="1558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11.6pt;height:122.8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1172210" cy="1466215"/>
                      <wp:effectExtent l="0" t="0" r="8890" b="635"/>
                      <wp:docPr id="2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7"/>
                              <pic:cNvPicPr>
                                <a:picLocks noChangeAspect="1"/>
                              </pic:cNvPicPr>
                              <pic:nvPr/>
                            </pic:nvPicPr>
                            <pic:blipFill>
                              <a:blip r:embed="rId37"/>
                              <a:stretch/>
                            </pic:blipFill>
                            <pic:spPr bwMode="auto">
                              <a:xfrm>
                                <a:off x="0" y="0"/>
                                <a:ext cx="1172210" cy="1466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2.3pt;height:115.4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1179195" cy="1138555"/>
                      <wp:effectExtent l="0" t="0" r="1905" b="4445"/>
                      <wp:docPr id="3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8"/>
                              <pic:cNvPicPr>
                                <a:picLocks noChangeAspect="1"/>
                              </pic:cNvPicPr>
                              <pic:nvPr/>
                            </pic:nvPicPr>
                            <pic:blipFill>
                              <a:blip r:embed="rId38"/>
                              <a:stretch/>
                            </pic:blipFill>
                            <pic:spPr bwMode="auto">
                              <a:xfrm>
                                <a:off x="0" y="0"/>
                                <a:ext cx="1179195" cy="11385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2.8pt;height:89.6pt;mso-wrap-distance-left:0.0pt;mso-wrap-distance-top:0.0pt;mso-wrap-distance-right:0.0pt;mso-wrap-distance-bottom:0.0pt;" stroked="f">
                      <v:path textboxrect="0,0,0,0"/>
                      <v:imagedata r:id="rId38" o:title=""/>
                    </v:shape>
                  </w:pict>
                </mc:Fallback>
              </mc:AlternateContent>
            </w:r>
            <w:r/>
          </w:p>
        </w:tc>
      </w:tr>
      <w:tr>
        <w:trPr/>
        <w:tc>
          <w:tcPr>
            <w:tcW w:w="826" w:type="dxa"/>
            <w:vAlign w:val="center"/>
            <w:textDirection w:val="lrTb"/>
            <w:noWrap w:val="false"/>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2</w:t>
            </w:r>
            <w:r/>
          </w:p>
        </w:tc>
        <w:tc>
          <w:tcPr>
            <w:tcW w:w="1012" w:type="dxa"/>
            <w:vAlign w:val="center"/>
            <w:textDirection w:val="lrTb"/>
            <w:noWrap w:val="false"/>
          </w:tcPr>
          <w:p>
            <w:pPr>
              <w:jc w:val="lef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椅背三视图</w:t>
            </w:r>
            <w:r/>
          </w:p>
        </w:tc>
        <w:tc>
          <w:tcPr>
            <w:tcW w:w="6458" w:type="dxa"/>
            <w:vAlign w:val="top"/>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1135380" cy="1366520"/>
                      <wp:effectExtent l="0" t="0" r="7620" b="5080"/>
                      <wp:docPr id="3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9"/>
                              <pic:cNvPicPr>
                                <a:picLocks noChangeAspect="1"/>
                              </pic:cNvPicPr>
                              <pic:nvPr/>
                            </pic:nvPicPr>
                            <pic:blipFill>
                              <a:blip r:embed="rId39"/>
                              <a:stretch/>
                            </pic:blipFill>
                            <pic:spPr bwMode="auto">
                              <a:xfrm>
                                <a:off x="0" y="0"/>
                                <a:ext cx="1135380" cy="1366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89.4pt;height:107.6pt;mso-wrap-distance-left:0.0pt;mso-wrap-distance-top:0.0pt;mso-wrap-distance-right:0.0pt;mso-wrap-distance-bottom:0.0pt;" stroked="f">
                      <v:path textboxrect="0,0,0,0"/>
                      <v:imagedata r:id="rId39" o:title=""/>
                    </v:shape>
                  </w:pict>
                </mc:Fallback>
              </mc:AlternateContent>
            </w:r>
            <w:r/>
          </w:p>
        </w:tc>
      </w:tr>
      <w:tr>
        <w:trPr/>
        <w:tc>
          <w:tcPr>
            <w:tcW w:w="826" w:type="dxa"/>
            <w:vAlign w:val="center"/>
            <w:textDirection w:val="lrTb"/>
            <w:noWrap w:val="false"/>
          </w:tcPr>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1012" w:type="dxa"/>
            <w:vAlign w:val="center"/>
            <w:textDirection w:val="lrTb"/>
            <w:noWrap w:val="false"/>
          </w:tcPr>
          <w:p>
            <w:pPr>
              <w:jc w:val="lef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椅座三视图</w:t>
            </w:r>
            <w:r/>
          </w:p>
        </w:tc>
        <w:tc>
          <w:tcPr>
            <w:tcW w:w="6458" w:type="dxa"/>
            <w:vAlign w:val="top"/>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871220" cy="1395730"/>
                      <wp:effectExtent l="0" t="0" r="5080" b="13970"/>
                      <wp:docPr id="3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0"/>
                              <pic:cNvPicPr>
                                <a:picLocks noChangeAspect="1"/>
                              </pic:cNvPicPr>
                              <pic:nvPr/>
                            </pic:nvPicPr>
                            <pic:blipFill>
                              <a:blip r:embed="rId40"/>
                              <a:stretch/>
                            </pic:blipFill>
                            <pic:spPr bwMode="auto">
                              <a:xfrm>
                                <a:off x="0" y="0"/>
                                <a:ext cx="871220" cy="1395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8.6pt;height:109.9pt;mso-wrap-distance-left:0.0pt;mso-wrap-distance-top:0.0pt;mso-wrap-distance-right:0.0pt;mso-wrap-distance-bottom:0.0pt;" stroked="f">
                      <v:path textboxrect="0,0,0,0"/>
                      <v:imagedata r:id="rId40" o:title=""/>
                    </v:shape>
                  </w:pict>
                </mc:Fallback>
              </mc:AlternateContent>
            </w:r>
            <w:r/>
          </w:p>
        </w:tc>
      </w:tr>
      <w:tr>
        <w:trPr/>
        <w:tc>
          <w:tcPr>
            <w:tcW w:w="826" w:type="dxa"/>
            <w:vAlign w:val="center"/>
            <w:textDirection w:val="lrTb"/>
            <w:noWrap w:val="false"/>
          </w:tcPr>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1012" w:type="dxa"/>
            <w:vAlign w:val="center"/>
            <w:textDirection w:val="lrTb"/>
            <w:noWrap w:val="false"/>
          </w:tcPr>
          <w:p>
            <w:pPr>
              <w:jc w:val="lef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弓形脚三视图</w:t>
            </w:r>
            <w:r/>
          </w:p>
        </w:tc>
        <w:tc>
          <w:tcPr>
            <w:tcW w:w="6458" w:type="dxa"/>
            <w:vAlign w:val="top"/>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1883410" cy="1289685"/>
                      <wp:effectExtent l="0" t="0" r="2540" b="5715"/>
                      <wp:docPr id="3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41"/>
                              <a:stretch/>
                            </pic:blipFill>
                            <pic:spPr bwMode="auto">
                              <a:xfrm>
                                <a:off x="0" y="0"/>
                                <a:ext cx="1883410" cy="1289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48.3pt;height:101.5pt;mso-wrap-distance-left:0.0pt;mso-wrap-distance-top:0.0pt;mso-wrap-distance-right:0.0pt;mso-wrap-distance-bottom:0.0pt;" stroked="f">
                      <v:path textboxrect="0,0,0,0"/>
                      <v:imagedata r:id="rId41" o:title=""/>
                    </v:shape>
                  </w:pict>
                </mc:Fallback>
              </mc:AlternateContent>
            </w:r>
            <w:r/>
          </w:p>
        </w:tc>
      </w:tr>
    </w:tbl>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rPr>
          <w:rFonts w:hint="eastAsia" w:ascii="宋体" w:hAnsi="宋体" w:eastAsia="宋体" w:cs="宋体"/>
          <w:color w:val="auto"/>
          <w:sz w:val="22"/>
          <w:szCs w:val="22"/>
          <w:highlight w:val="none"/>
          <w:lang w:val="zh-CN"/>
        </w:rPr>
      </w:pPr>
      <w:r/>
      <w:bookmarkStart w:id="80" w:name="_Hlk184065652"/>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val="zh-CN"/>
        </w:rPr>
        <w:t xml:space="preserve">礼堂椅</w:t>
      </w:r>
      <w:bookmarkEnd w:id="80"/>
      <w:r/>
      <w:r/>
    </w:p>
    <w:p>
      <w:pPr>
        <w:rPr>
          <w:rFonts w:hint="eastAsia" w:ascii="宋体" w:hAnsi="宋体" w:eastAsia="宋体" w:cs="宋体"/>
          <w:color w:val="auto"/>
          <w:sz w:val="22"/>
          <w:szCs w:val="22"/>
          <w:highlight w:val="none"/>
        </w:rPr>
      </w:pPr>
      <w:r/>
      <w:bookmarkStart w:id="81" w:name="OLE_LINK3"/>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背包</w:t>
      </w:r>
      <w:r>
        <w:rPr>
          <w:rFonts w:hint="eastAsia" w:ascii="宋体" w:hAnsi="宋体" w:eastAsia="宋体" w:cs="宋体"/>
          <w:color w:val="auto"/>
          <w:sz w:val="22"/>
          <w:szCs w:val="22"/>
          <w:highlight w:val="none"/>
        </w:rPr>
        <w:t xml:space="preserve">：采用环保高密度高回弹</w:t>
      </w:r>
      <w:r>
        <w:rPr>
          <w:rFonts w:hint="eastAsia" w:ascii="宋体" w:hAnsi="宋体" w:eastAsia="宋体" w:cs="宋体"/>
          <w:color w:val="auto"/>
          <w:sz w:val="22"/>
          <w:szCs w:val="22"/>
          <w:highlight w:val="none"/>
          <w:lang w:val="en-US" w:eastAsia="zh-CN"/>
        </w:rPr>
        <w:t xml:space="preserve">异形</w:t>
      </w:r>
      <w:r>
        <w:rPr>
          <w:rFonts w:hint="eastAsia" w:ascii="宋体" w:hAnsi="宋体" w:eastAsia="宋体" w:cs="宋体"/>
          <w:color w:val="auto"/>
          <w:sz w:val="22"/>
          <w:szCs w:val="22"/>
          <w:highlight w:val="none"/>
        </w:rPr>
        <w:t xml:space="preserve">定型海绵，规格：：宽470mm*高690mm*</w:t>
      </w:r>
      <w:r>
        <w:rPr>
          <w:rFonts w:hint="eastAsia" w:ascii="宋体" w:hAnsi="宋体" w:eastAsia="宋体" w:cs="宋体"/>
          <w:color w:val="auto"/>
          <w:sz w:val="22"/>
          <w:szCs w:val="22"/>
          <w:highlight w:val="none"/>
        </w:rPr>
        <w:t xml:space="preserve">厚80-110mm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座</w:t>
      </w:r>
      <w:r>
        <w:rPr>
          <w:rFonts w:hint="eastAsia" w:ascii="宋体" w:hAnsi="宋体" w:eastAsia="宋体" w:cs="宋体"/>
          <w:color w:val="auto"/>
          <w:sz w:val="22"/>
          <w:szCs w:val="22"/>
          <w:highlight w:val="none"/>
          <w:lang w:val="en-US" w:eastAsia="zh-CN"/>
        </w:rPr>
        <w:t xml:space="preserve">包</w:t>
      </w:r>
      <w:r>
        <w:rPr>
          <w:rFonts w:hint="eastAsia" w:ascii="宋体" w:hAnsi="宋体" w:eastAsia="宋体" w:cs="宋体"/>
          <w:color w:val="auto"/>
          <w:sz w:val="22"/>
          <w:szCs w:val="22"/>
          <w:highlight w:val="none"/>
        </w:rPr>
        <w:t xml:space="preserve">：采用环保高密度高回弹</w:t>
      </w:r>
      <w:r>
        <w:rPr>
          <w:rFonts w:hint="eastAsia" w:ascii="宋体" w:hAnsi="宋体" w:eastAsia="宋体" w:cs="宋体"/>
          <w:color w:val="auto"/>
          <w:sz w:val="22"/>
          <w:szCs w:val="22"/>
          <w:highlight w:val="none"/>
          <w:lang w:val="en-US" w:eastAsia="zh-CN"/>
        </w:rPr>
        <w:t xml:space="preserve">异形</w:t>
      </w:r>
      <w:r>
        <w:rPr>
          <w:rFonts w:hint="eastAsia" w:ascii="宋体" w:hAnsi="宋体" w:eastAsia="宋体" w:cs="宋体"/>
          <w:color w:val="auto"/>
          <w:sz w:val="22"/>
          <w:szCs w:val="22"/>
          <w:highlight w:val="none"/>
        </w:rPr>
        <w:t xml:space="preserve">定型海绵，座绵内置≥1.5mm加厚钢架，采用黑色无纺布作隔层，座包不易变形，持久耐用；规格：长500*宽460*</w:t>
      </w:r>
      <w:r>
        <w:rPr>
          <w:rFonts w:hint="eastAsia" w:ascii="宋体" w:hAnsi="宋体" w:eastAsia="宋体" w:cs="宋体"/>
          <w:color w:val="auto"/>
          <w:sz w:val="22"/>
          <w:szCs w:val="22"/>
          <w:highlight w:val="none"/>
        </w:rPr>
        <w:t xml:space="preserve">厚140-160mm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3、座、背外板：采用优质多层旋切桦木皮用无甲醛环保胶热压成型,表面经5次抛光，厚度≥12mm；油漆采用环保水性油漆；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4、布料：采用优质麻绒面料；椅背拉线定位并加垫丝光绵；</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扶手：扶手框架采用钢结构设计，钢制框架选用≥2.0mm冷轧钢板经模具冲压、机械手焊接成型，需结构牢固，扶手框用改善声学效能的中空结构设计，两侧用外覆薄棉及布料的装饰板装饰。扶手骨架尺寸448*410*65mm宽。</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写字板：写字板支撑板和支撑杆材质均采用冷轧钢压铸成型，通过焊接连为一体，四周做加强筋处理，使其更加美观且承重能力更强。写字板面板尺寸：265mm*232mm*15mm。写字板面材质为高密度中纤板四周采用PVC注塑封边。写字板向上倾斜保证书写舒适自然状态，打开与回收功能顺畅。</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7、椅脚：采用优质铝合金压铸，脚架与扶手框连接安装，脚架尺寸：长359mm，宽70mm，高151~202mm，底部地面安装孔孔距≥300mm；扶手侧板采用优质密度板覆薄棉外包布装饰，隐藏式地爆螺丝，外带地胶盖。</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8、扶手盖：采用进口原木经5次抛光封漆而成，油漆采用环保水性油漆；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9、回复功能：采用弹簧加阻尼回复机构。座包采用了以上回复机构使得座包在回复时匀速运动而又无噪音。</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10、地爆螺钉：采用不锈钢内六角圆柱头螺钉与镀彩锌膨胀螺母。</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大样：根据参数和产品图</w:t>
      </w:r>
      <w:r>
        <w:rPr>
          <w:rFonts w:hint="eastAsia" w:ascii="宋体" w:hAnsi="宋体" w:eastAsia="宋体" w:cs="宋体"/>
          <w:color w:val="auto"/>
          <w:sz w:val="22"/>
          <w:szCs w:val="22"/>
          <w:highlight w:val="none"/>
          <w:lang w:val="en-US" w:eastAsia="zh-CN"/>
        </w:rPr>
        <w:t xml:space="preserve">提供礼堂椅</w:t>
      </w:r>
      <w:r>
        <w:rPr>
          <w:rFonts w:hint="eastAsia" w:ascii="宋体" w:hAnsi="宋体" w:eastAsia="宋体" w:cs="宋体"/>
          <w:color w:val="auto"/>
          <w:sz w:val="22"/>
          <w:szCs w:val="22"/>
          <w:highlight w:val="none"/>
        </w:rPr>
        <w:t xml:space="preserve">一</w:t>
      </w:r>
      <w:r>
        <w:rPr>
          <w:rFonts w:hint="eastAsia" w:ascii="宋体" w:hAnsi="宋体" w:eastAsia="宋体" w:cs="宋体"/>
          <w:color w:val="auto"/>
          <w:sz w:val="22"/>
          <w:szCs w:val="22"/>
          <w:highlight w:val="none"/>
          <w:lang w:val="en-US" w:eastAsia="zh-CN"/>
        </w:rPr>
        <w:t xml:space="preserve">张</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产品外观尺寸偏差不得超过（</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mm</w:t>
      </w:r>
      <w:r>
        <w:rPr>
          <w:rFonts w:hint="eastAsia" w:ascii="宋体" w:hAnsi="宋体" w:eastAsia="宋体" w:cs="宋体"/>
          <w:color w:val="auto"/>
          <w:sz w:val="22"/>
          <w:szCs w:val="22"/>
          <w:highlight w:val="none"/>
        </w:rPr>
        <w:t xml:space="preserve">），部件</w:t>
      </w:r>
      <w:r>
        <w:rPr>
          <w:rFonts w:hint="eastAsia" w:ascii="宋体" w:hAnsi="宋体" w:eastAsia="宋体" w:cs="宋体"/>
          <w:color w:val="auto"/>
          <w:sz w:val="22"/>
          <w:szCs w:val="22"/>
          <w:highlight w:val="none"/>
          <w:lang w:val="en-US" w:eastAsia="zh-CN"/>
        </w:rPr>
        <w:t xml:space="preserve">外观</w:t>
      </w:r>
      <w:r>
        <w:rPr>
          <w:rFonts w:hint="eastAsia" w:ascii="宋体" w:hAnsi="宋体" w:eastAsia="宋体" w:cs="宋体"/>
          <w:color w:val="auto"/>
          <w:sz w:val="22"/>
          <w:szCs w:val="22"/>
          <w:highlight w:val="none"/>
        </w:rPr>
        <w:t xml:space="preserve">尺寸偏差不得超过（</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mm</w:t>
      </w:r>
      <w:r>
        <w:rPr>
          <w:rFonts w:hint="eastAsia" w:ascii="宋体" w:hAnsi="宋体" w:eastAsia="宋体" w:cs="宋体"/>
          <w:color w:val="auto"/>
          <w:sz w:val="22"/>
          <w:szCs w:val="22"/>
          <w:highlight w:val="none"/>
        </w:rPr>
        <w:t xml:space="preserve">）。</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产品图</w:t>
      </w:r>
      <w:bookmarkEnd w:id="81"/>
      <w:r/>
      <w:r/>
    </w:p>
    <w:tbl>
      <w:tblPr>
        <w:tblStyle w:val="689"/>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475"/>
        <w:gridCol w:w="6513"/>
      </w:tblGrid>
      <w:tr>
        <w:trPr>
          <w:trHeight w:val="514"/>
        </w:trPr>
        <w:tc>
          <w:tcPr>
            <w:tcW w:w="838"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475"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图纸名称</w:t>
            </w:r>
            <w:r/>
          </w:p>
        </w:tc>
        <w:tc>
          <w:tcPr>
            <w:tcW w:w="6513"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图纸</w:t>
            </w:r>
            <w:r/>
          </w:p>
        </w:tc>
      </w:tr>
      <w:tr>
        <w:trPr>
          <w:trHeight w:val="2103"/>
        </w:trPr>
        <w:tc>
          <w:tcPr>
            <w:tcW w:w="838"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475" w:type="dxa"/>
            <w:vAlign w:val="center"/>
            <w:textDirection w:val="lrTb"/>
            <w:noWrap w:val="false"/>
          </w:tcPr>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正视图</w:t>
            </w:r>
            <w:r/>
          </w:p>
        </w:tc>
        <w:tc>
          <w:tcPr>
            <w:tcW w:w="6513" w:type="dxa"/>
            <w:vAlign w:val="top"/>
            <w:textDirection w:val="lrTb"/>
            <w:noWrap w:val="false"/>
          </w:tcPr>
          <w:p>
            <w:pPr>
              <w:jc w:val="left"/>
              <w:widowControl/>
              <w:rPr>
                <w:rFonts w:hint="eastAsia" w:ascii="宋体" w:hAnsi="宋体" w:eastAsia="宋体" w:cs="宋体"/>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1081405" cy="1839595"/>
                      <wp:effectExtent l="0" t="0" r="4445" b="8255"/>
                      <wp:docPr id="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42"/>
                              <a:stretch/>
                            </pic:blipFill>
                            <pic:spPr bwMode="auto">
                              <a:xfrm>
                                <a:off x="0" y="0"/>
                                <a:ext cx="1081405" cy="1839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85.1pt;height:144.8pt;mso-wrap-distance-left:0.0pt;mso-wrap-distance-top:0.0pt;mso-wrap-distance-right:0.0pt;mso-wrap-distance-bottom:0.0pt;" stroked="f">
                      <v:path textboxrect="0,0,0,0"/>
                      <v:imagedata r:id="rId42" o:title=""/>
                    </v:shape>
                  </w:pict>
                </mc:Fallback>
              </mc:AlternateContent>
            </w:r>
            <w:r/>
          </w:p>
        </w:tc>
      </w:tr>
      <w:tr>
        <w:trPr>
          <w:trHeight w:val="90"/>
        </w:trPr>
        <w:tc>
          <w:tcPr>
            <w:tcW w:w="838"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475" w:type="dxa"/>
            <w:vAlign w:val="center"/>
            <w:textDirection w:val="lrTb"/>
            <w:noWrap w:val="false"/>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侧视图</w:t>
            </w:r>
            <w:r/>
          </w:p>
        </w:tc>
        <w:tc>
          <w:tcPr>
            <w:tcW w:w="6513" w:type="dxa"/>
            <w:vAlign w:val="top"/>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1661160" cy="1976120"/>
                      <wp:effectExtent l="0" t="0" r="15240" b="5080"/>
                      <wp:docPr id="3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23"/>
                              <pic:cNvPicPr>
                                <a:picLocks noChangeAspect="1"/>
                              </pic:cNvPicPr>
                              <pic:nvPr/>
                            </pic:nvPicPr>
                            <pic:blipFill>
                              <a:blip r:embed="rId43"/>
                              <a:stretch/>
                            </pic:blipFill>
                            <pic:spPr bwMode="auto">
                              <a:xfrm>
                                <a:off x="0" y="0"/>
                                <a:ext cx="1661160" cy="1976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30.8pt;height:155.6pt;mso-wrap-distance-left:0.0pt;mso-wrap-distance-top:0.0pt;mso-wrap-distance-right:0.0pt;mso-wrap-distance-bottom:0.0pt;" stroked="f">
                      <v:path textboxrect="0,0,0,0"/>
                      <v:imagedata r:id="rId43" o:title=""/>
                    </v:shape>
                  </w:pict>
                </mc:Fallback>
              </mc:AlternateConten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c>
          <w:tcPr>
            <w:tcW w:w="838"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W w:w="1475" w:type="dxa"/>
            <w:vAlign w:val="center"/>
            <w:textDirection w:val="lrTb"/>
            <w:noWrap w:val="false"/>
          </w:tcPr>
          <w:p>
            <w:pPr>
              <w:jc w:val="lef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椅脚</w:t>
            </w:r>
            <w:r/>
          </w:p>
        </w:tc>
        <w:tc>
          <w:tcPr>
            <w:tcW w:w="6513" w:type="dxa"/>
            <w:vAlign w:val="top"/>
            <w:textDirection w:val="lrTb"/>
            <w:noWrap w:val="false"/>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mc:AlternateContent>
                <mc:Choice Requires="wpg">
                  <w:drawing>
                    <wp:inline xmlns:wp="http://schemas.openxmlformats.org/drawingml/2006/wordprocessingDrawing" distT="0" distB="0" distL="0" distR="0">
                      <wp:extent cx="2094865" cy="1198880"/>
                      <wp:effectExtent l="0" t="0" r="635" b="1270"/>
                      <wp:docPr id="36" name="图片 24" descr="8e1232cf56f0802c89b988c7ec5e59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4" descr="8e1232cf56f0802c89b988c7ec5e59e1"/>
                              <pic:cNvPicPr>
                                <a:picLocks noChangeAspect="1"/>
                              </pic:cNvPicPr>
                              <pic:nvPr/>
                            </pic:nvPicPr>
                            <pic:blipFill>
                              <a:blip r:embed="rId44"/>
                              <a:stretch/>
                            </pic:blipFill>
                            <pic:spPr bwMode="auto">
                              <a:xfrm>
                                <a:off x="0" y="0"/>
                                <a:ext cx="2094865" cy="1198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64.9pt;height:94.4pt;mso-wrap-distance-left:0.0pt;mso-wrap-distance-top:0.0pt;mso-wrap-distance-right:0.0pt;mso-wrap-distance-bottom:0.0pt;" stroked="f">
                      <v:path textboxrect="0,0,0,0"/>
                      <v:imagedata r:id="rId44" o:title=""/>
                    </v:shape>
                  </w:pict>
                </mc:Fallback>
              </mc:AlternateContent>
            </w:r>
            <w:r/>
          </w:p>
        </w:tc>
      </w:tr>
      <w:tr>
        <w:trPr/>
        <w:tc>
          <w:tcPr>
            <w:tcW w:w="838"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W w:w="1475" w:type="dxa"/>
            <w:vAlign w:val="center"/>
            <w:textDirection w:val="lrTb"/>
            <w:noWrap w:val="false"/>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写字板</w:t>
            </w:r>
            <w:r/>
          </w:p>
        </w:tc>
        <w:tc>
          <w:tcPr>
            <w:tcW w:w="6513" w:type="dxa"/>
            <w:vAlign w:val="top"/>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1276350" cy="1118235"/>
                      <wp:effectExtent l="0" t="0" r="0" b="5715"/>
                      <wp:docPr id="37"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5"/>
                              <pic:cNvPicPr>
                                <a:picLocks noChangeAspect="1"/>
                              </pic:cNvPicPr>
                              <pic:nvPr/>
                            </pic:nvPicPr>
                            <pic:blipFill>
                              <a:blip r:embed="rId45"/>
                              <a:stretch/>
                            </pic:blipFill>
                            <pic:spPr bwMode="auto">
                              <a:xfrm>
                                <a:off x="0" y="0"/>
                                <a:ext cx="1276350" cy="111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00.5pt;height:88.0pt;mso-wrap-distance-left:0.0pt;mso-wrap-distance-top:0.0pt;mso-wrap-distance-right:0.0pt;mso-wrap-distance-bottom:0.0pt;" stroked="f">
                      <v:path textboxrect="0,0,0,0"/>
                      <v:imagedata r:id="rId45" o:title=""/>
                    </v:shape>
                  </w:pict>
                </mc:Fallback>
              </mc:AlternateContent>
            </w:r>
            <w:r/>
          </w:p>
        </w:tc>
      </w:tr>
    </w:tbl>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numPr>
          <w:ilvl w:val="0"/>
          <w:numId w:val="0"/>
        </w:num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（6）</w:t>
      </w:r>
      <w:r>
        <w:rPr>
          <w:rFonts w:hint="eastAsia" w:ascii="宋体" w:hAnsi="宋体" w:eastAsia="宋体" w:cs="宋体"/>
          <w:color w:val="auto"/>
          <w:sz w:val="22"/>
          <w:szCs w:val="22"/>
          <w:highlight w:val="none"/>
          <w:lang w:val="en-US" w:eastAsia="zh-CN"/>
        </w:rPr>
        <w:t xml:space="preserve">值班床</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1.床立柱：采用优质冷轧钢板经特制成型线轧制成中空异形结构，立柱立面应至少有2条宽度≥5mm向内凹的加强筋，达到加强硬度作用。立柱成型后截面尺寸应</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72mm×72mm。所用材料的喷塑前厚度应≥1.3mm，立柱两端带有塑胶套；</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2.长横梁 ：采用优质冷轧钢板经特制成型线轧制成中空异形结构，正面应至少有1条宽度≥20mm向内凹的加强筋，以确保结构牢固。横梁成型后截面尺寸应</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80mm×38mm，所用材料的喷塑前厚度应≥1.3mm；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3.短横梁 结构与材质：采用优质冷轧钢板经特制成型线轧制成中空异形结构，正面应至少有1条宽度≥20mm向内凹的加强筋，以确保结构牢固。横梁成型后截面尺寸应</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80mm×38mm。所用材料的喷塑前厚度应≥1.2mm；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4.床支撑材质与规格：采用截面</w:t>
      </w:r>
      <w:r>
        <w:rPr>
          <w:rFonts w:hint="eastAsia" w:ascii="宋体" w:hAnsi="宋体" w:eastAsia="宋体" w:cs="宋体"/>
          <w:color w:val="auto"/>
          <w:sz w:val="22"/>
          <w:szCs w:val="22"/>
          <w:highlight w:val="none"/>
        </w:rPr>
        <w:t xml:space="preserve">不小于</w:t>
      </w:r>
      <w:r>
        <w:rPr>
          <w:rFonts w:hint="eastAsia" w:ascii="宋体" w:hAnsi="宋体" w:eastAsia="宋体" w:cs="宋体"/>
          <w:color w:val="auto"/>
          <w:sz w:val="22"/>
          <w:szCs w:val="22"/>
          <w:highlight w:val="none"/>
        </w:rPr>
        <w:t xml:space="preserve">30mm×20mm的优质方形钢管制作。钢管喷塑前壁厚应≥0.9mm；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5.前护栏规格：长度</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1350mm，高度</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300mm。框架：采用</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20mm×20mm方管制作，喷塑前壁厚应≥1.0mm。内嵌板：框架内应嵌装厚度≥18mm、高度≥100mm且符合E0级环保标准三聚氰胺板，四周进行封边处理，木材需经杀虫、烘干、防腐防霉处理；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6.侧护栏规格：侧护栏采用中空吹塑工艺，表面皮纹处理造型美观，材料为HDPE 高密度聚乙烯。长*宽*厚度最大尺寸要求：长度</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745mm，高度</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315mm，厚度为30±2mm。挡头具有6个透气平椭圆孔，4个小的透气孔和2个大的透气孔。小透气孔的尺寸≥19*95mm，大透气孔的尺寸≥30*180 mm。在挡头的左右两侧均有一次成型的警示线和刻度线，以确保符合国家标准的要求。挡头采用预埋2个M6螺母，以保证与立柱的连接可靠，底部凸起两个圆柱嵌入短横梁，以保证侧护栏整体稳固；</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7.床楼梯 (爬梯)立柱：爬梯立柱采用25*25mm方形钢管制作，未喷塑钢管未喷塑厚度≥1.2mm，床梯支撑架采用20*20mm方形钢管制作，未喷塑钢管厚度≥1.2mm。踏板：踏板由一次注塑成型的荧光片内嵌于冲压成型的优质钢板所组成。脚踏板规格（总长*总宽*高）</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 385mm * 65mm*9mm。钢板厚度≧1.7mm。踏板中间具有3条长防滑条纹，大小为7x108mm（±2mm），踏板两侧各有4条短斜防滑条纹6*20 mm（±2mm）。踏板表面内嵌4颗人字形荧光片，其大小尺寸：15 mm x15mm（±2mm）；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8.连接件 结构与工艺：需经冲压成型为L型，并有三个连接卡口。尺寸与厚度：成型后尺寸应</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190mm×26mm×26mm。所用材料的喷塑前厚度应≥2.0mm；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9.立柱防护胶套用途：安装于床架与地面接触的部位，起保护、防滑和缓冲作用。</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床板要求</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材质：采用双面刨光杉木板，厚度16mm。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结构：由5片或7片铺板组成，板间缝隙≤3mm。背面辅以4根四面刨光的30mm×40mm杉木条（床板档），用地板钉与铺板可靠连接。</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质量：无板皮、无发霉、无蛀孔、无影响结构的烂疤。整体制作牢固可靠。</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处理：木材需经过杀虫、烘干、防腐、防霉处理，含水率符合国家及地区标准。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规格：按钢架床内部实际空间尺寸定制，如图所示：</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安全尺寸要求</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安全栏板缺口长度：500~600 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扶梯净宽：≥350mm。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扶梯梯蹬净间距：300~340 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梯蹬宽度：≥50 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大样：根据参数和产品图</w:t>
      </w:r>
      <w:r>
        <w:rPr>
          <w:rFonts w:hint="eastAsia" w:ascii="宋体" w:hAnsi="宋体" w:eastAsia="宋体" w:cs="宋体"/>
          <w:color w:val="auto"/>
          <w:sz w:val="22"/>
          <w:szCs w:val="22"/>
          <w:highlight w:val="none"/>
          <w:lang w:val="en-US" w:eastAsia="zh-CN"/>
        </w:rPr>
        <w:t xml:space="preserve">提供值班床</w:t>
      </w:r>
      <w:r>
        <w:rPr>
          <w:rFonts w:hint="eastAsia" w:ascii="宋体" w:hAnsi="宋体" w:eastAsia="宋体" w:cs="宋体"/>
          <w:color w:val="auto"/>
          <w:sz w:val="22"/>
          <w:szCs w:val="22"/>
          <w:highlight w:val="none"/>
        </w:rPr>
        <w:t xml:space="preserve">一套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配置要求如下</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。产品外观尺寸偏差不得超过（±</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mm），部件尺寸偏差不得超过（±</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mm）。</w:t>
      </w:r>
      <w:r/>
    </w:p>
    <w:p>
      <w:pPr>
        <w:numPr>
          <w:ilvl w:val="0"/>
          <w:numId w:val="0"/>
        </w:num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numPr>
          <w:ilvl w:val="0"/>
          <w:numId w:val="0"/>
        </w:num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bl>
      <w:tblPr>
        <w:tblStyle w:val="689"/>
        <w:tblW w:w="89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90"/>
        <w:gridCol w:w="7986"/>
      </w:tblGrid>
      <w:tr>
        <w:trPr>
          <w:jc w:val="center"/>
        </w:trPr>
        <w:tc>
          <w:tcPr>
            <w:tcW w:w="426" w:type="dxa"/>
            <w:vAlign w:val="top"/>
            <w:textDirection w:val="lrTb"/>
            <w:noWrap w:val="false"/>
          </w:tcPr>
          <w:p>
            <w:p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序号</w:t>
            </w:r>
            <w:r/>
          </w:p>
        </w:tc>
        <w:tc>
          <w:tcPr>
            <w:tcW w:w="490" w:type="dxa"/>
            <w:vAlign w:val="top"/>
            <w:textDirection w:val="lrTb"/>
            <w:noWrap w:val="false"/>
          </w:tcPr>
          <w:p>
            <w:pPr>
              <w:rPr>
                <w:rFonts w:ascii="仿宋" w:hAnsi="仿宋" w:eastAsia="仿宋" w:cs="Times New Roman"/>
                <w:color w:val="auto"/>
                <w:szCs w:val="24"/>
                <w:highlight w:val="none"/>
              </w:rPr>
            </w:pPr>
            <w:r>
              <w:rPr>
                <w:rFonts w:ascii="仿宋" w:hAnsi="仿宋" w:eastAsia="仿宋" w:cs="Times New Roman"/>
                <w:color w:val="auto"/>
                <w:szCs w:val="24"/>
                <w:highlight w:val="none"/>
              </w:rPr>
            </w:r>
            <w:r/>
          </w:p>
        </w:tc>
        <w:tc>
          <w:tcPr>
            <w:tcW w:w="7986" w:type="dxa"/>
            <w:vAlign w:val="top"/>
            <w:textDirection w:val="lrTb"/>
            <w:noWrap w:val="false"/>
          </w:tcPr>
          <w:p>
            <w:pPr>
              <w:rPr>
                <w:rFonts w:ascii="仿宋" w:hAnsi="仿宋" w:eastAsia="仿宋" w:cs="Times New Roman"/>
                <w:color w:val="auto"/>
                <w:szCs w:val="24"/>
                <w:highlight w:val="none"/>
              </w:rPr>
            </w:pPr>
            <w:r>
              <w:rPr>
                <w:rFonts w:ascii="仿宋" w:hAnsi="仿宋" w:eastAsia="仿宋" w:cs="Times New Roman"/>
                <w:color w:val="auto"/>
                <w:szCs w:val="24"/>
                <w:highlight w:val="none"/>
              </w:rPr>
            </w:r>
            <w:r/>
          </w:p>
        </w:tc>
      </w:tr>
      <w:tr>
        <w:trPr>
          <w:jc w:val="center"/>
          <w:trHeight w:val="4048"/>
        </w:trPr>
        <w:tc>
          <w:tcPr>
            <w:tcW w:w="426" w:type="dxa"/>
            <w:vAlign w:val="center"/>
            <w:textDirection w:val="lrTb"/>
            <w:noWrap w:val="false"/>
          </w:tcPr>
          <w:p>
            <w:p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1</w:t>
            </w:r>
            <w:r/>
          </w:p>
        </w:tc>
        <w:tc>
          <w:tcPr>
            <w:tcW w:w="490" w:type="dxa"/>
            <w:vAlign w:val="center"/>
            <w:textDirection w:val="lrTb"/>
            <w:noWrap w:val="false"/>
          </w:tcPr>
          <w:p>
            <w:pPr>
              <w:rPr>
                <w:rFonts w:hint="default" w:ascii="仿宋" w:hAnsi="仿宋" w:eastAsia="仿宋" w:cs="Times New Roman"/>
                <w:color w:val="auto"/>
                <w:szCs w:val="24"/>
                <w:highlight w:val="none"/>
                <w:lang w:val="en-US" w:eastAsia="zh-CN"/>
              </w:rPr>
            </w:pPr>
            <w:r>
              <w:rPr>
                <w:rFonts w:hint="eastAsia" w:ascii="仿宋" w:hAnsi="仿宋" w:eastAsia="仿宋" w:cs="Times New Roman"/>
                <w:color w:val="auto"/>
                <w:szCs w:val="24"/>
                <w:highlight w:val="none"/>
                <w:lang w:val="en-US" w:eastAsia="zh-CN"/>
              </w:rPr>
              <w:t xml:space="preserve">整体图</w:t>
            </w:r>
            <w:r/>
          </w:p>
        </w:tc>
        <w:tc>
          <w:tcPr>
            <w:tcW w:w="7986" w:type="dxa"/>
            <w:vAlign w:val="top"/>
            <w:textDirection w:val="lrTb"/>
            <w:noWrap w:val="false"/>
          </w:tcPr>
          <w:p>
            <w:pPr>
              <w:rPr>
                <w:rFonts w:ascii="仿宋" w:hAnsi="仿宋" w:eastAsia="仿宋" w:cs="Times New Roman"/>
                <w:color w:val="auto"/>
                <w:szCs w:val="24"/>
                <w:highlight w:val="none"/>
              </w:rPr>
            </w:pPr>
            <w:r>
              <w:rPr>
                <w:rFonts w:ascii="仿宋" w:hAnsi="仿宋" w:eastAsia="仿宋" w:cs="Times New Roman"/>
                <w:color w:val="auto"/>
                <w:szCs w:val="24"/>
                <w:highlight w:val="none"/>
              </w:rPr>
            </w:r>
            <w:r/>
          </w:p>
          <w:p>
            <w:pPr>
              <w:rPr>
                <w:rFonts w:ascii="仿宋" w:hAnsi="仿宋" w:eastAsia="仿宋" w:cs="Times New Roman"/>
                <w:color w:val="auto"/>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502285</wp:posOffset>
                      </wp:positionH>
                      <wp:positionV relativeFrom="paragraph">
                        <wp:posOffset>178435</wp:posOffset>
                      </wp:positionV>
                      <wp:extent cx="1739265" cy="1868805"/>
                      <wp:effectExtent l="0" t="0" r="13335" b="17145"/>
                      <wp:wrapNone/>
                      <wp:docPr id="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r/>
                            </pic:nvPicPr>
                            <pic:blipFill>
                              <a:blip r:embed="rId46"/>
                              <a:stretch/>
                            </pic:blipFill>
                            <pic:spPr bwMode="auto">
                              <a:xfrm>
                                <a:off x="0" y="0"/>
                                <a:ext cx="1739265" cy="1868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2336;o:allowoverlap:true;o:allowincell:true;mso-position-horizontal-relative:text;margin-left:39.5pt;mso-position-horizontal:absolute;mso-position-vertical-relative:text;margin-top:14.0pt;mso-position-vertical:absolute;width:136.9pt;height:147.2pt;mso-wrap-distance-left:9.0pt;mso-wrap-distance-top:0.0pt;mso-wrap-distance-right:9.0pt;mso-wrap-distance-bottom:0.0pt;" stroked="f">
                      <v:path textboxrect="0,0,0,0"/>
                      <v:imagedata r:id="rId46" o:title=""/>
                    </v:shape>
                  </w:pict>
                </mc:Fallback>
              </mc:AlternateContent>
            </w:r>
            <w:r/>
          </w:p>
        </w:tc>
      </w:tr>
      <w:tr>
        <w:trPr>
          <w:jc w:val="center"/>
          <w:trHeight w:val="3959"/>
        </w:trPr>
        <w:tc>
          <w:tcPr>
            <w:tcW w:w="426" w:type="dxa"/>
            <w:vAlign w:val="center"/>
            <w:textDirection w:val="lrTb"/>
            <w:noWrap w:val="false"/>
          </w:tcPr>
          <w:p>
            <w:p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2</w:t>
            </w:r>
            <w:r/>
          </w:p>
        </w:tc>
        <w:tc>
          <w:tcPr>
            <w:tcW w:w="490" w:type="dxa"/>
            <w:vAlign w:val="center"/>
            <w:textDirection w:val="lrTb"/>
            <w:noWrap w:val="false"/>
          </w:tcPr>
          <w:p>
            <w:pPr>
              <w:rPr>
                <w:rFonts w:hint="default" w:ascii="仿宋" w:hAnsi="仿宋" w:eastAsia="仿宋" w:cs="Times New Roman"/>
                <w:color w:val="auto"/>
                <w:szCs w:val="24"/>
                <w:highlight w:val="none"/>
                <w:lang w:val="en-US" w:eastAsia="zh-CN"/>
              </w:rPr>
            </w:pPr>
            <w:r>
              <w:rPr>
                <w:rFonts w:hint="eastAsia" w:ascii="仿宋" w:hAnsi="仿宋" w:eastAsia="仿宋" w:cs="Times New Roman"/>
                <w:color w:val="auto"/>
                <w:szCs w:val="24"/>
                <w:highlight w:val="none"/>
                <w:lang w:val="en-US" w:eastAsia="zh-CN"/>
              </w:rPr>
              <w:t xml:space="preserve">正视图</w:t>
            </w:r>
            <w:r/>
          </w:p>
        </w:tc>
        <w:tc>
          <w:tcPr>
            <w:tcW w:w="7986" w:type="dxa"/>
            <w:vAlign w:val="top"/>
            <w:textDirection w:val="lrTb"/>
            <w:noWrap w:val="false"/>
          </w:tcPr>
          <w:p>
            <w:pPr>
              <w:rPr>
                <w:rFonts w:ascii="Times New Roman" w:hAnsi="Times New Roman" w:eastAsia="宋体" w:cs="Times New Roman"/>
                <w:color w:val="auto"/>
                <w:szCs w:val="24"/>
                <w:highlight w:val="none"/>
              </w:rPr>
            </w:pPr>
            <w:r>
              <w:rPr>
                <w:rFonts w:ascii="仿宋" w:hAnsi="仿宋" w:eastAsia="仿宋" w:cs="Calibri"/>
                <w:color w:val="auto"/>
                <w:szCs w:val="24"/>
                <w:highlight w:val="none"/>
              </w:rPr>
              <w:t xml:space="preserve"> </w:t>
            </w:r>
            <w:r>
              <w:rPr>
                <w:rFonts w:ascii="Times New Roman" w:hAnsi="Times New Roman" w:eastAsia="宋体" w:cs="Times New Roman"/>
                <w:color w:val="auto"/>
                <w:szCs w:val="24"/>
                <w:highlight w:val="none"/>
              </w:rPr>
              <w:t xml:space="preserve"> </w:t>
            </w:r>
            <w:r/>
          </w:p>
          <w:p>
            <w:pPr>
              <w:rPr>
                <w:rFonts w:ascii="仿宋" w:hAnsi="仿宋" w:eastAsia="仿宋" w:cs="Times New Roman"/>
                <w:color w:val="auto"/>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wp:posOffset>
                      </wp:positionH>
                      <wp:positionV relativeFrom="paragraph">
                        <wp:posOffset>93345</wp:posOffset>
                      </wp:positionV>
                      <wp:extent cx="2358390" cy="1976120"/>
                      <wp:effectExtent l="0" t="0" r="3810" b="5080"/>
                      <wp:wrapNone/>
                      <wp:docPr id="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r/>
                            </pic:nvPicPr>
                            <pic:blipFill>
                              <a:blip r:embed="rId47"/>
                              <a:stretch/>
                            </pic:blipFill>
                            <pic:spPr bwMode="auto">
                              <a:xfrm>
                                <a:off x="0" y="0"/>
                                <a:ext cx="2358390" cy="1976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3360;o:allowoverlap:true;o:allowincell:true;mso-position-horizontal-relative:text;margin-left:19.8pt;mso-position-horizontal:absolute;mso-position-vertical-relative:text;margin-top:7.3pt;mso-position-vertical:absolute;width:185.7pt;height:155.6pt;mso-wrap-distance-left:9.0pt;mso-wrap-distance-top:0.0pt;mso-wrap-distance-right:9.0pt;mso-wrap-distance-bottom:0.0pt;" stroked="f">
                      <v:path textboxrect="0,0,0,0"/>
                      <v:imagedata r:id="rId47" o:title=""/>
                    </v:shape>
                  </w:pict>
                </mc:Fallback>
              </mc:AlternateContent>
            </w:r>
            <w:r/>
          </w:p>
        </w:tc>
      </w:tr>
      <w:tr>
        <w:trPr>
          <w:jc w:val="center"/>
          <w:trHeight w:val="3786"/>
        </w:trPr>
        <w:tc>
          <w:tcPr>
            <w:tcW w:w="426" w:type="dxa"/>
            <w:vAlign w:val="center"/>
            <w:textDirection w:val="lrTb"/>
            <w:noWrap w:val="false"/>
          </w:tcPr>
          <w:p>
            <w:pPr>
              <w:rPr>
                <w:rFonts w:hint="eastAsia" w:ascii="仿宋" w:hAnsi="仿宋" w:eastAsia="仿宋" w:cs="Times New Roman"/>
                <w:color w:val="auto"/>
                <w:szCs w:val="24"/>
                <w:highlight w:val="none"/>
                <w:lang w:eastAsia="zh-CN"/>
              </w:rPr>
            </w:pPr>
            <w:r>
              <w:rPr>
                <w:rFonts w:hint="eastAsia" w:ascii="仿宋" w:hAnsi="仿宋" w:eastAsia="仿宋" w:cs="Times New Roman"/>
                <w:color w:val="auto"/>
                <w:szCs w:val="24"/>
                <w:highlight w:val="none"/>
                <w:lang w:val="en-US" w:eastAsia="zh-CN"/>
              </w:rPr>
              <w:t xml:space="preserve">3</w:t>
            </w:r>
            <w:r/>
          </w:p>
        </w:tc>
        <w:tc>
          <w:tcPr>
            <w:tcW w:w="490" w:type="dxa"/>
            <w:vAlign w:val="center"/>
            <w:textDirection w:val="lrTb"/>
            <w:noWrap w:val="false"/>
          </w:tcPr>
          <w:p>
            <w:pPr>
              <w:rPr>
                <w:rFonts w:hint="eastAsia" w:ascii="仿宋" w:hAnsi="仿宋" w:eastAsia="仿宋" w:cs="Times New Roman"/>
                <w:color w:val="auto"/>
                <w:szCs w:val="24"/>
                <w:highlight w:val="none"/>
                <w:lang w:eastAsia="zh-CN"/>
              </w:rPr>
            </w:pPr>
            <w:r>
              <w:rPr>
                <w:rFonts w:hint="eastAsia" w:ascii="仿宋" w:hAnsi="仿宋" w:eastAsia="仿宋" w:cs="Times New Roman"/>
                <w:color w:val="auto"/>
                <w:szCs w:val="24"/>
                <w:highlight w:val="none"/>
                <w:lang w:val="en-US" w:eastAsia="zh-CN"/>
              </w:rPr>
              <w:t xml:space="preserve">侧视图</w:t>
            </w:r>
            <w:r/>
          </w:p>
        </w:tc>
        <w:tc>
          <w:tcPr>
            <w:tcW w:w="7986" w:type="dxa"/>
            <w:vAlign w:val="top"/>
            <w:textDirection w:val="lrTb"/>
            <w:noWrap w:val="false"/>
          </w:tcPr>
          <w:p>
            <w:pPr>
              <w:rPr>
                <w:rFonts w:ascii="仿宋" w:hAnsi="仿宋" w:eastAsia="仿宋" w:cs="Times New Roman"/>
                <w:color w:val="auto"/>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768350</wp:posOffset>
                      </wp:positionH>
                      <wp:positionV relativeFrom="paragraph">
                        <wp:posOffset>40640</wp:posOffset>
                      </wp:positionV>
                      <wp:extent cx="1282065" cy="2626995"/>
                      <wp:effectExtent l="0" t="0" r="13335" b="1905"/>
                      <wp:wrapSquare wrapText="bothSides"/>
                      <wp:docPr id="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pic:cNvPicPr>
                              <pic:nvPr/>
                            </pic:nvPicPr>
                            <pic:blipFill>
                              <a:blip r:embed="rId48"/>
                              <a:stretch/>
                            </pic:blipFill>
                            <pic:spPr bwMode="auto">
                              <a:xfrm>
                                <a:off x="0" y="0"/>
                                <a:ext cx="1282065" cy="2626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9504;o:allowoverlap:true;o:allowincell:true;mso-position-horizontal-relative:text;margin-left:60.5pt;mso-position-horizontal:absolute;mso-position-vertical-relative:text;margin-top:3.2pt;mso-position-vertical:absolute;width:100.9pt;height:206.8pt;mso-wrap-distance-left:9.0pt;mso-wrap-distance-top:0.0pt;mso-wrap-distance-right:9.0pt;mso-wrap-distance-bottom:0.0pt;" stroked="f">
                      <v:path textboxrect="0,0,0,0"/>
                      <w10:wrap type="square"/>
                      <v:imagedata r:id="rId48" o:title=""/>
                    </v:shape>
                  </w:pict>
                </mc:Fallback>
              </mc:AlternateContent>
            </w:r>
            <w:r/>
          </w:p>
        </w:tc>
      </w:tr>
      <w:tr>
        <w:trPr>
          <w:jc w:val="center"/>
          <w:trHeight w:val="3170"/>
        </w:trPr>
        <w:tc>
          <w:tcPr>
            <w:tcW w:w="426" w:type="dxa"/>
            <w:vAlign w:val="center"/>
            <w:textDirection w:val="lrTb"/>
            <w:noWrap w:val="false"/>
          </w:tcPr>
          <w:p>
            <w:pPr>
              <w:rPr>
                <w:rFonts w:hint="eastAsia" w:ascii="仿宋" w:hAnsi="仿宋" w:eastAsia="仿宋" w:cs="Times New Roman"/>
                <w:color w:val="auto"/>
                <w:szCs w:val="24"/>
                <w:highlight w:val="none"/>
                <w:lang w:eastAsia="zh-CN"/>
              </w:rPr>
            </w:pPr>
            <w:r>
              <w:rPr>
                <w:rFonts w:hint="eastAsia" w:ascii="仿宋" w:hAnsi="仿宋" w:eastAsia="仿宋" w:cs="Times New Roman"/>
                <w:color w:val="auto"/>
                <w:szCs w:val="24"/>
                <w:highlight w:val="none"/>
                <w:lang w:val="en-US" w:eastAsia="zh-CN"/>
              </w:rPr>
              <w:t xml:space="preserve">4</w:t>
            </w:r>
            <w:r/>
          </w:p>
        </w:tc>
        <w:tc>
          <w:tcPr>
            <w:tcW w:w="490" w:type="dxa"/>
            <w:vAlign w:val="center"/>
            <w:textDirection w:val="lrTb"/>
            <w:noWrap w:val="false"/>
          </w:tcPr>
          <w:p>
            <w:pPr>
              <w:rPr>
                <w:rFonts w:ascii="仿宋" w:hAnsi="仿宋" w:eastAsia="仿宋" w:cs="Times New Roman"/>
                <w:color w:val="auto"/>
                <w:szCs w:val="24"/>
                <w:highlight w:val="none"/>
              </w:rPr>
            </w:pPr>
            <w:r>
              <w:rPr>
                <w:rFonts w:hint="eastAsia"/>
                <w:color w:val="auto"/>
                <w:highlight w:val="none"/>
                <w:lang w:val="en-US" w:eastAsia="zh-CN"/>
              </w:rPr>
              <w:t xml:space="preserve">床</w:t>
            </w:r>
            <w:r>
              <w:rPr>
                <w:rFonts w:hint="eastAsia"/>
                <w:color w:val="auto"/>
                <w:highlight w:val="none"/>
              </w:rPr>
              <w:t xml:space="preserve">立柱</w:t>
            </w:r>
            <w:r/>
          </w:p>
        </w:tc>
        <w:tc>
          <w:tcPr>
            <w:tcW w:w="7986" w:type="dxa"/>
            <w:vAlign w:val="top"/>
            <w:textDirection w:val="lrTb"/>
            <w:noWrap w:val="false"/>
          </w:tcPr>
          <w:p>
            <w:pPr>
              <w:rPr>
                <w:rFonts w:ascii="仿宋" w:hAnsi="仿宋" w:eastAsia="仿宋" w:cs="Times New Roman"/>
                <w:color w:val="auto"/>
                <w:szCs w:val="24"/>
                <w:highlight w:val="none"/>
              </w:rPr>
            </w:pPr>
            <w:r>
              <w:rPr>
                <w:color w:val="auto"/>
                <w:highlight w:val="none"/>
              </w:rPr>
              <mc:AlternateContent>
                <mc:Choice Requires="wpg">
                  <w:drawing>
                    <wp:inline xmlns:wp="http://schemas.openxmlformats.org/drawingml/2006/wordprocessingDrawing" distT="0" distB="0" distL="0" distR="0">
                      <wp:extent cx="1903095" cy="1833245"/>
                      <wp:effectExtent l="0" t="0" r="1905" b="14604"/>
                      <wp:docPr id="4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49"/>
                              <a:stretch/>
                            </pic:blipFill>
                            <pic:spPr bwMode="auto">
                              <a:xfrm>
                                <a:off x="0" y="0"/>
                                <a:ext cx="1903095" cy="1833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49.8pt;height:144.3pt;mso-wrap-distance-left:0.0pt;mso-wrap-distance-top:0.0pt;mso-wrap-distance-right:0.0pt;mso-wrap-distance-bottom:0.0pt;" stroked="f">
                      <v:path textboxrect="0,0,0,0"/>
                      <v:imagedata r:id="rId49" o:title=""/>
                    </v:shape>
                  </w:pict>
                </mc:Fallback>
              </mc:AlternateContent>
            </w:r>
            <w:r/>
          </w:p>
        </w:tc>
      </w:tr>
      <w:tr>
        <w:trPr>
          <w:jc w:val="center"/>
          <w:trHeight w:val="3482"/>
        </w:trPr>
        <w:tc>
          <w:tcPr>
            <w:tcW w:w="426" w:type="dxa"/>
            <w:vAlign w:val="center"/>
            <w:textDirection w:val="lrTb"/>
            <w:noWrap w:val="false"/>
          </w:tcPr>
          <w:p>
            <w:pPr>
              <w:rPr>
                <w:rFonts w:hint="eastAsia" w:ascii="仿宋" w:hAnsi="仿宋" w:eastAsia="仿宋" w:cs="Times New Roman"/>
                <w:color w:val="auto"/>
                <w:szCs w:val="24"/>
                <w:highlight w:val="none"/>
                <w:lang w:eastAsia="zh-CN"/>
              </w:rPr>
            </w:pPr>
            <w:r>
              <w:rPr>
                <w:rFonts w:hint="eastAsia" w:ascii="仿宋" w:hAnsi="仿宋" w:eastAsia="仿宋" w:cs="Times New Roman"/>
                <w:color w:val="auto"/>
                <w:szCs w:val="24"/>
                <w:highlight w:val="none"/>
                <w:lang w:val="en-US" w:eastAsia="zh-CN"/>
              </w:rPr>
              <w:t xml:space="preserve">5</w:t>
            </w:r>
            <w:r/>
          </w:p>
        </w:tc>
        <w:tc>
          <w:tcPr>
            <w:tcW w:w="490" w:type="dxa"/>
            <w:vAlign w:val="center"/>
            <w:textDirection w:val="lrTb"/>
            <w:noWrap w:val="false"/>
          </w:tcPr>
          <w:p>
            <w:pPr>
              <w:rPr>
                <w:rFonts w:ascii="仿宋" w:hAnsi="仿宋" w:eastAsia="仿宋" w:cs="Times New Roman"/>
                <w:color w:val="auto"/>
                <w:szCs w:val="24"/>
                <w:highlight w:val="none"/>
              </w:rPr>
            </w:pPr>
            <w:r>
              <w:rPr>
                <w:rFonts w:hint="eastAsia"/>
                <w:color w:val="auto"/>
                <w:highlight w:val="none"/>
              </w:rPr>
              <w:t xml:space="preserve">长</w:t>
            </w:r>
            <w:r>
              <w:rPr>
                <w:rFonts w:hint="eastAsia"/>
                <w:color w:val="auto"/>
                <w:highlight w:val="none"/>
                <w:lang w:val="en-US" w:eastAsia="zh-CN"/>
              </w:rPr>
              <w:t xml:space="preserve">/短</w:t>
            </w:r>
            <w:r>
              <w:rPr>
                <w:rFonts w:hint="eastAsia"/>
                <w:color w:val="auto"/>
                <w:highlight w:val="none"/>
              </w:rPr>
              <w:t xml:space="preserve">横梁</w:t>
            </w:r>
            <w:r/>
          </w:p>
        </w:tc>
        <w:tc>
          <w:tcPr>
            <w:tcW w:w="7986" w:type="dxa"/>
            <w:vAlign w:val="top"/>
            <w:textDirection w:val="lrTb"/>
            <w:noWrap w:val="false"/>
          </w:tcPr>
          <w:p>
            <w:pPr>
              <w:rPr>
                <w:rFonts w:ascii="仿宋" w:hAnsi="仿宋" w:eastAsia="仿宋" w:cs="Times New Roman"/>
                <w:color w:val="auto"/>
                <w:szCs w:val="24"/>
                <w:highlight w:val="none"/>
              </w:rPr>
            </w:pPr>
            <w:r>
              <w:rPr>
                <w:color w:val="auto"/>
                <w:highlight w:val="none"/>
              </w:rPr>
              <mc:AlternateContent>
                <mc:Choice Requires="wpg">
                  <w:drawing>
                    <wp:inline xmlns:wp="http://schemas.openxmlformats.org/drawingml/2006/wordprocessingDrawing" distT="0" distB="0" distL="0" distR="0">
                      <wp:extent cx="1577340" cy="1905000"/>
                      <wp:effectExtent l="0" t="0" r="3810" b="0"/>
                      <wp:docPr id="4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50"/>
                              <a:stretch/>
                            </pic:blipFill>
                            <pic:spPr bwMode="auto">
                              <a:xfrm>
                                <a:off x="0" y="0"/>
                                <a:ext cx="1577340" cy="1905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24.2pt;height:150.0pt;mso-wrap-distance-left:0.0pt;mso-wrap-distance-top:0.0pt;mso-wrap-distance-right:0.0pt;mso-wrap-distance-bottom:0.0pt;" stroked="f">
                      <v:path textboxrect="0,0,0,0"/>
                      <v:imagedata r:id="rId50" o:title=""/>
                    </v:shape>
                  </w:pict>
                </mc:Fallback>
              </mc:AlternateContent>
            </w:r>
            <w:r>
              <w:rPr>
                <w:color w:val="auto"/>
                <w:highlight w:val="none"/>
              </w:rPr>
              <mc:AlternateContent>
                <mc:Choice Requires="wpg">
                  <w:drawing>
                    <wp:inline xmlns:wp="http://schemas.openxmlformats.org/drawingml/2006/wordprocessingDrawing" distT="0" distB="0" distL="0" distR="0">
                      <wp:extent cx="1513205" cy="1828165"/>
                      <wp:effectExtent l="0" t="0" r="10795" b="635"/>
                      <wp:docPr id="4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50"/>
                              <a:stretch/>
                            </pic:blipFill>
                            <pic:spPr bwMode="auto">
                              <a:xfrm>
                                <a:off x="0" y="0"/>
                                <a:ext cx="1513205" cy="18281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19.1pt;height:143.9pt;mso-wrap-distance-left:0.0pt;mso-wrap-distance-top:0.0pt;mso-wrap-distance-right:0.0pt;mso-wrap-distance-bottom:0.0pt;" stroked="f">
                      <v:path textboxrect="0,0,0,0"/>
                      <v:imagedata r:id="rId50" o:title=""/>
                    </v:shape>
                  </w:pict>
                </mc:Fallback>
              </mc:AlternateContent>
            </w:r>
            <w:r/>
          </w:p>
        </w:tc>
      </w:tr>
      <w:tr>
        <w:trPr>
          <w:jc w:val="center"/>
          <w:trHeight w:val="1651"/>
        </w:trPr>
        <w:tc>
          <w:tcPr>
            <w:tcW w:w="426" w:type="dxa"/>
            <w:vAlign w:val="center"/>
            <w:textDirection w:val="lrTb"/>
            <w:noWrap w:val="false"/>
          </w:tcPr>
          <w:p>
            <w:pPr>
              <w:rPr>
                <w:rFonts w:hint="default" w:ascii="仿宋" w:hAnsi="仿宋" w:eastAsia="仿宋" w:cs="Times New Roman"/>
                <w:color w:val="auto"/>
                <w:szCs w:val="24"/>
                <w:highlight w:val="none"/>
                <w:lang w:val="en-US" w:eastAsia="zh-CN"/>
              </w:rPr>
            </w:pPr>
            <w:r>
              <w:rPr>
                <w:rFonts w:hint="eastAsia" w:ascii="仿宋" w:hAnsi="仿宋" w:eastAsia="仿宋" w:cs="Times New Roman"/>
                <w:color w:val="auto"/>
                <w:szCs w:val="24"/>
                <w:highlight w:val="none"/>
                <w:lang w:val="en-US" w:eastAsia="zh-CN"/>
              </w:rPr>
              <w:t xml:space="preserve">6</w:t>
            </w:r>
            <w:r/>
          </w:p>
        </w:tc>
        <w:tc>
          <w:tcPr>
            <w:tcW w:w="490" w:type="dxa"/>
            <w:vAlign w:val="center"/>
            <w:textDirection w:val="lrTb"/>
            <w:noWrap w:val="false"/>
          </w:tcPr>
          <w:p>
            <w:pPr>
              <w:rPr>
                <w:rFonts w:hint="default" w:eastAsia="宋体"/>
                <w:color w:val="auto"/>
                <w:highlight w:val="none"/>
                <w:lang w:val="en-US" w:eastAsia="zh-CN"/>
              </w:rPr>
            </w:pPr>
            <w:r>
              <w:rPr>
                <w:rFonts w:hint="eastAsia"/>
                <w:color w:val="auto"/>
                <w:highlight w:val="none"/>
                <w:lang w:val="en-US" w:eastAsia="zh-CN"/>
              </w:rPr>
              <w:t xml:space="preserve">床支撑</w:t>
            </w:r>
            <w:r/>
          </w:p>
        </w:tc>
        <w:tc>
          <w:tcPr>
            <w:tcW w:w="7986" w:type="dxa"/>
            <w:vAlign w:val="top"/>
            <w:textDirection w:val="lrTb"/>
            <w:noWrap w:val="false"/>
          </w:tcPr>
          <w:p>
            <w:pPr>
              <w:rPr>
                <w:rFonts w:ascii="仿宋" w:hAnsi="仿宋" w:eastAsia="仿宋" w:cs="Times New Roman"/>
                <w:color w:val="auto"/>
                <w:szCs w:val="24"/>
                <w:highlight w:val="none"/>
              </w:rPr>
            </w:pPr>
            <w:r>
              <w:rPr>
                <w:rFonts w:hint="eastAsia" w:eastAsia="宋体"/>
                <w:color w:val="auto"/>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1112520</wp:posOffset>
                      </wp:positionH>
                      <wp:positionV relativeFrom="paragraph">
                        <wp:posOffset>76200</wp:posOffset>
                      </wp:positionV>
                      <wp:extent cx="1044575" cy="787400"/>
                      <wp:effectExtent l="0" t="0" r="3175" b="12700"/>
                      <wp:wrapNone/>
                      <wp:docPr id="44" name="图片 33" descr="7d3da5c92aba59f3196cc65270976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7d3da5c92aba59f3196cc652709764c"/>
                              <pic:cNvPicPr>
                                <a:picLocks noChangeAspect="1"/>
                              </pic:cNvPicPr>
                              <pic:nvPr/>
                            </pic:nvPicPr>
                            <pic:blipFill>
                              <a:blip r:embed="rId51"/>
                              <a:stretch/>
                            </pic:blipFill>
                            <pic:spPr bwMode="auto">
                              <a:xfrm>
                                <a:off x="0" y="0"/>
                                <a:ext cx="1044575" cy="78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4384;o:allowoverlap:true;o:allowincell:true;mso-position-horizontal-relative:text;margin-left:87.6pt;mso-position-horizontal:absolute;mso-position-vertical-relative:text;margin-top:6.0pt;mso-position-vertical:absolute;width:82.2pt;height:62.0pt;mso-wrap-distance-left:9.0pt;mso-wrap-distance-top:0.0pt;mso-wrap-distance-right:9.0pt;mso-wrap-distance-bottom:0.0pt;" stroked="f">
                      <v:path textboxrect="0,0,0,0"/>
                      <v:imagedata r:id="rId51" o:title=""/>
                    </v:shape>
                  </w:pict>
                </mc:Fallback>
              </mc:AlternateContent>
            </w:r>
            <w:r/>
          </w:p>
        </w:tc>
      </w:tr>
      <w:tr>
        <w:trPr>
          <w:jc w:val="center"/>
          <w:trHeight w:val="1977"/>
        </w:trPr>
        <w:tc>
          <w:tcPr>
            <w:tcW w:w="426" w:type="dxa"/>
            <w:vAlign w:val="center"/>
            <w:textDirection w:val="lrTb"/>
            <w:noWrap w:val="false"/>
          </w:tcPr>
          <w:p>
            <w:pPr>
              <w:rPr>
                <w:rFonts w:hint="default" w:ascii="仿宋" w:hAnsi="仿宋" w:eastAsia="仿宋" w:cs="Times New Roman"/>
                <w:color w:val="auto"/>
                <w:szCs w:val="24"/>
                <w:highlight w:val="none"/>
                <w:lang w:val="en-US" w:eastAsia="zh-CN"/>
              </w:rPr>
            </w:pPr>
            <w:r>
              <w:rPr>
                <w:rFonts w:hint="eastAsia" w:ascii="仿宋" w:hAnsi="仿宋" w:eastAsia="仿宋" w:cs="Times New Roman"/>
                <w:color w:val="auto"/>
                <w:szCs w:val="24"/>
                <w:highlight w:val="none"/>
                <w:lang w:val="en-US" w:eastAsia="zh-CN"/>
              </w:rPr>
              <w:t xml:space="preserve">7</w:t>
            </w:r>
            <w:r/>
          </w:p>
        </w:tc>
        <w:tc>
          <w:tcPr>
            <w:tcW w:w="490" w:type="dxa"/>
            <w:vAlign w:val="center"/>
            <w:textDirection w:val="lrTb"/>
            <w:noWrap w:val="false"/>
          </w:tcPr>
          <w:p>
            <w:pPr>
              <w:rPr>
                <w:rFonts w:hint="eastAsia"/>
                <w:color w:val="auto"/>
                <w:highlight w:val="none"/>
              </w:rPr>
            </w:pPr>
            <w:r>
              <w:rPr>
                <w:rFonts w:hint="eastAsia"/>
                <w:color w:val="auto"/>
                <w:highlight w:val="none"/>
              </w:rPr>
              <w:t xml:space="preserve">前护栏</w:t>
            </w:r>
            <w:r/>
          </w:p>
        </w:tc>
        <w:tc>
          <w:tcPr>
            <w:tcW w:w="7986" w:type="dxa"/>
            <w:vAlign w:val="top"/>
            <w:textDirection w:val="lrTb"/>
            <w:noWrap w:val="false"/>
          </w:tcPr>
          <w:p>
            <w:pPr>
              <w:rPr>
                <w:rFonts w:ascii="仿宋" w:hAnsi="仿宋" w:eastAsia="仿宋" w:cs="Times New Roman"/>
                <w:color w:val="auto"/>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200025</wp:posOffset>
                      </wp:positionH>
                      <wp:positionV relativeFrom="paragraph">
                        <wp:posOffset>60960</wp:posOffset>
                      </wp:positionV>
                      <wp:extent cx="3044825" cy="1011555"/>
                      <wp:effectExtent l="0" t="0" r="3175" b="17145"/>
                      <wp:wrapNone/>
                      <wp:docPr id="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6"/>
                              <pic:cNvPicPr>
                                <a:picLocks noChangeAspect="1"/>
                              </pic:cNvPicPr>
                              <pic:nvPr/>
                            </pic:nvPicPr>
                            <pic:blipFill>
                              <a:blip r:embed="rId52"/>
                              <a:stretch/>
                            </pic:blipFill>
                            <pic:spPr bwMode="auto">
                              <a:xfrm>
                                <a:off x="0" y="0"/>
                                <a:ext cx="3044825" cy="1011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5408;o:allowoverlap:true;o:allowincell:true;mso-position-horizontal-relative:text;margin-left:15.8pt;mso-position-horizontal:absolute;mso-position-vertical-relative:text;margin-top:4.8pt;mso-position-vertical:absolute;width:239.8pt;height:79.6pt;mso-wrap-distance-left:9.0pt;mso-wrap-distance-top:0.0pt;mso-wrap-distance-right:9.0pt;mso-wrap-distance-bottom:0.0pt;" stroked="f">
                      <v:path textboxrect="0,0,0,0"/>
                      <v:imagedata r:id="rId52" o:title=""/>
                    </v:shape>
                  </w:pict>
                </mc:Fallback>
              </mc:AlternateContent>
            </w:r>
            <w:r/>
          </w:p>
        </w:tc>
      </w:tr>
      <w:tr>
        <w:trPr>
          <w:jc w:val="center"/>
          <w:trHeight w:val="3649"/>
        </w:trPr>
        <w:tc>
          <w:tcPr>
            <w:tcW w:w="426" w:type="dxa"/>
            <w:vAlign w:val="center"/>
            <w:textDirection w:val="lrTb"/>
            <w:noWrap w:val="false"/>
          </w:tcPr>
          <w:p>
            <w:pPr>
              <w:rPr>
                <w:rFonts w:hint="default" w:ascii="仿宋" w:hAnsi="仿宋" w:eastAsia="仿宋" w:cs="Times New Roman"/>
                <w:color w:val="auto"/>
                <w:szCs w:val="24"/>
                <w:highlight w:val="none"/>
                <w:lang w:val="en-US" w:eastAsia="zh-CN"/>
              </w:rPr>
            </w:pPr>
            <w:r>
              <w:rPr>
                <w:rFonts w:hint="eastAsia" w:ascii="仿宋" w:hAnsi="仿宋" w:eastAsia="仿宋" w:cs="Times New Roman"/>
                <w:color w:val="auto"/>
                <w:szCs w:val="24"/>
                <w:highlight w:val="none"/>
                <w:lang w:val="en-US" w:eastAsia="zh-CN"/>
              </w:rPr>
              <w:t xml:space="preserve">8</w:t>
            </w:r>
            <w:r/>
          </w:p>
        </w:tc>
        <w:tc>
          <w:tcPr>
            <w:tcW w:w="490" w:type="dxa"/>
            <w:vAlign w:val="center"/>
            <w:textDirection w:val="lrTb"/>
            <w:noWrap w:val="false"/>
          </w:tcPr>
          <w:p>
            <w:pPr>
              <w:rPr>
                <w:rFonts w:hint="eastAsia"/>
                <w:color w:val="auto"/>
                <w:highlight w:val="none"/>
              </w:rPr>
            </w:pPr>
            <w:r>
              <w:rPr>
                <w:rFonts w:hint="eastAsia"/>
                <w:color w:val="auto"/>
                <w:highlight w:val="none"/>
              </w:rPr>
              <w:t xml:space="preserve">侧护栏</w:t>
            </w:r>
            <w:r/>
          </w:p>
        </w:tc>
        <w:tc>
          <w:tcPr>
            <w:tcW w:w="7986" w:type="dxa"/>
            <w:vAlign w:val="top"/>
            <w:textDirection w:val="lrTb"/>
            <w:noWrap w:val="false"/>
          </w:tcPr>
          <w:p>
            <w:pPr>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416560</wp:posOffset>
                      </wp:positionH>
                      <wp:positionV relativeFrom="paragraph">
                        <wp:posOffset>556895</wp:posOffset>
                      </wp:positionV>
                      <wp:extent cx="3086735" cy="1403350"/>
                      <wp:effectExtent l="0" t="0" r="18415" b="6350"/>
                      <wp:wrapNone/>
                      <wp:docPr id="4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7"/>
                              <pic:cNvPicPr>
                                <a:picLocks noChangeAspect="1"/>
                              </pic:cNvPicPr>
                              <pic:nvPr/>
                            </pic:nvPicPr>
                            <pic:blipFill>
                              <a:blip r:embed="rId53"/>
                              <a:stretch/>
                            </pic:blipFill>
                            <pic:spPr bwMode="auto">
                              <a:xfrm>
                                <a:off x="0" y="0"/>
                                <a:ext cx="3086735" cy="1403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7456;o:allowoverlap:true;o:allowincell:true;mso-position-horizontal-relative:text;margin-left:32.8pt;mso-position-horizontal:absolute;mso-position-vertical-relative:text;margin-top:43.9pt;mso-position-vertical:absolute;width:243.0pt;height:110.5pt;mso-wrap-distance-left:9.0pt;mso-wrap-distance-top:0.0pt;mso-wrap-distance-right:9.0pt;mso-wrap-distance-bottom:0.0pt;" stroked="f">
                      <v:path textboxrect="0,0,0,0"/>
                      <v:imagedata r:id="rId53" o:title=""/>
                    </v:shape>
                  </w:pict>
                </mc:Fallback>
              </mc:AlternateContent>
            </w:r>
            <w:r/>
          </w:p>
        </w:tc>
      </w:tr>
      <w:tr>
        <w:trPr>
          <w:jc w:val="center"/>
          <w:trHeight w:val="3649"/>
        </w:trPr>
        <w:tc>
          <w:tcPr>
            <w:tcW w:w="426" w:type="dxa"/>
            <w:vAlign w:val="center"/>
            <w:textDirection w:val="lrTb"/>
            <w:noWrap w:val="false"/>
          </w:tcPr>
          <w:p>
            <w:pPr>
              <w:rPr>
                <w:rFonts w:hint="eastAsia" w:ascii="仿宋" w:hAnsi="仿宋" w:eastAsia="仿宋" w:cs="Times New Roman"/>
                <w:color w:val="auto"/>
                <w:szCs w:val="24"/>
                <w:highlight w:val="none"/>
                <w:lang w:eastAsia="zh-CN"/>
              </w:rPr>
            </w:pPr>
            <w:r>
              <w:rPr>
                <w:rFonts w:hint="eastAsia" w:ascii="仿宋" w:hAnsi="仿宋" w:eastAsia="仿宋" w:cs="Times New Roman"/>
                <w:color w:val="auto"/>
                <w:szCs w:val="24"/>
                <w:highlight w:val="none"/>
                <w:lang w:val="en-US" w:eastAsia="zh-CN"/>
              </w:rPr>
              <w:t xml:space="preserve">9</w:t>
            </w:r>
            <w:r/>
          </w:p>
        </w:tc>
        <w:tc>
          <w:tcPr>
            <w:tcW w:w="490" w:type="dxa"/>
            <w:vAlign w:val="center"/>
            <w:textDirection w:val="lrTb"/>
            <w:noWrap w:val="false"/>
          </w:tcPr>
          <w:p>
            <w:pPr>
              <w:rPr>
                <w:rFonts w:ascii="仿宋" w:hAnsi="仿宋" w:eastAsia="仿宋" w:cs="Times New Roman"/>
                <w:color w:val="auto"/>
                <w:szCs w:val="24"/>
                <w:highlight w:val="none"/>
              </w:rPr>
            </w:pPr>
            <w:r>
              <w:rPr>
                <w:rFonts w:hint="eastAsia"/>
                <w:color w:val="auto"/>
                <w:highlight w:val="none"/>
              </w:rPr>
              <w:t xml:space="preserve">床楼梯 (爬梯)立柱</w:t>
            </w:r>
            <w:r/>
          </w:p>
        </w:tc>
        <w:tc>
          <w:tcPr>
            <w:tcW w:w="7986" w:type="dxa"/>
            <w:vAlign w:val="top"/>
            <w:textDirection w:val="lrTb"/>
            <w:noWrap w:val="false"/>
          </w:tcPr>
          <w:p>
            <w:pPr>
              <w:rPr>
                <w:rFonts w:ascii="仿宋" w:hAnsi="仿宋" w:eastAsia="仿宋" w:cs="Times New Roman"/>
                <w:color w:val="auto"/>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3061335</wp:posOffset>
                      </wp:positionH>
                      <wp:positionV relativeFrom="paragraph">
                        <wp:posOffset>154305</wp:posOffset>
                      </wp:positionV>
                      <wp:extent cx="838200" cy="2056130"/>
                      <wp:effectExtent l="0" t="0" r="0" b="1270"/>
                      <wp:wrapNone/>
                      <wp:docPr id="4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8"/>
                              <pic:cNvPicPr>
                                <a:picLocks noChangeAspect="1"/>
                              </pic:cNvPicPr>
                              <pic:nvPr/>
                            </pic:nvPicPr>
                            <pic:blipFill>
                              <a:blip r:embed="rId54"/>
                              <a:stretch/>
                            </pic:blipFill>
                            <pic:spPr bwMode="auto">
                              <a:xfrm>
                                <a:off x="0" y="0"/>
                                <a:ext cx="838200" cy="2056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6432;o:allowoverlap:true;o:allowincell:true;mso-position-horizontal-relative:text;margin-left:241.0pt;mso-position-horizontal:absolute;mso-position-vertical-relative:text;margin-top:12.1pt;mso-position-vertical:absolute;width:66.0pt;height:161.9pt;mso-wrap-distance-left:9.0pt;mso-wrap-distance-top:0.0pt;mso-wrap-distance-right:9.0pt;mso-wrap-distance-bottom:0.0pt;" stroked="f">
                      <v:path textboxrect="0,0,0,0"/>
                      <v:imagedata r:id="rId54" o:title=""/>
                    </v:shape>
                  </w:pict>
                </mc:Fallback>
              </mc:AlternateContent>
            </w:r>
            <w:r>
              <w:rPr>
                <w:color w:val="auto"/>
                <w:highlight w:val="none"/>
              </w:rPr>
              <mc:AlternateContent>
                <mc:Choice Requires="wpg">
                  <w:drawing>
                    <wp:inline xmlns:wp="http://schemas.openxmlformats.org/drawingml/2006/wordprocessingDrawing" distT="0" distB="0" distL="0" distR="0">
                      <wp:extent cx="2219960" cy="782955"/>
                      <wp:effectExtent l="0" t="0" r="8890" b="17145"/>
                      <wp:docPr id="4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29"/>
                              <pic:cNvPicPr>
                                <a:picLocks noChangeAspect="1"/>
                              </pic:cNvPicPr>
                              <pic:nvPr/>
                            </pic:nvPicPr>
                            <pic:blipFill>
                              <a:blip r:embed="rId55"/>
                              <a:stretch/>
                            </pic:blipFill>
                            <pic:spPr bwMode="auto">
                              <a:xfrm>
                                <a:off x="0" y="0"/>
                                <a:ext cx="2219960" cy="782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74.8pt;height:61.6pt;mso-wrap-distance-left:0.0pt;mso-wrap-distance-top:0.0pt;mso-wrap-distance-right:0.0pt;mso-wrap-distance-bottom:0.0pt;" stroked="f">
                      <v:path textboxrect="0,0,0,0"/>
                      <v:imagedata r:id="rId55" o:title=""/>
                    </v:shape>
                  </w:pict>
                </mc:Fallback>
              </mc:AlternateContent>
            </w:r>
            <w:r/>
          </w:p>
        </w:tc>
      </w:tr>
      <w:tr>
        <w:trPr>
          <w:jc w:val="center"/>
          <w:trHeight w:val="2856"/>
        </w:trPr>
        <w:tc>
          <w:tcPr>
            <w:tcW w:w="426" w:type="dxa"/>
            <w:vAlign w:val="center"/>
            <w:textDirection w:val="lrTb"/>
            <w:noWrap w:val="false"/>
          </w:tcPr>
          <w:p>
            <w:pPr>
              <w:rPr>
                <w:rFonts w:hint="default" w:ascii="仿宋" w:hAnsi="仿宋" w:eastAsia="仿宋" w:cs="Times New Roman"/>
                <w:color w:val="auto"/>
                <w:szCs w:val="24"/>
                <w:highlight w:val="none"/>
                <w:lang w:val="en-US" w:eastAsia="zh-CN"/>
              </w:rPr>
            </w:pPr>
            <w:r>
              <w:rPr>
                <w:rFonts w:hint="eastAsia" w:ascii="仿宋" w:hAnsi="仿宋" w:eastAsia="仿宋" w:cs="Times New Roman"/>
                <w:color w:val="auto"/>
                <w:szCs w:val="24"/>
                <w:highlight w:val="none"/>
                <w:lang w:val="en-US" w:eastAsia="zh-CN"/>
              </w:rPr>
              <w:t xml:space="preserve">10</w:t>
            </w:r>
            <w:r/>
          </w:p>
        </w:tc>
        <w:tc>
          <w:tcPr>
            <w:tcW w:w="490" w:type="dxa"/>
            <w:vAlign w:val="center"/>
            <w:textDirection w:val="lrTb"/>
            <w:noWrap w:val="false"/>
          </w:tcPr>
          <w:p>
            <w:pPr>
              <w:rPr>
                <w:rFonts w:ascii="仿宋" w:hAnsi="仿宋" w:eastAsia="仿宋" w:cs="Times New Roman"/>
                <w:color w:val="auto"/>
                <w:szCs w:val="24"/>
                <w:highlight w:val="none"/>
              </w:rPr>
            </w:pPr>
            <w:r>
              <w:rPr>
                <w:rFonts w:hint="eastAsia"/>
                <w:color w:val="auto"/>
                <w:highlight w:val="none"/>
                <w:lang w:val="en-US" w:eastAsia="zh-CN"/>
              </w:rPr>
              <w:t xml:space="preserve">立柱</w:t>
            </w:r>
            <w:r>
              <w:rPr>
                <w:rFonts w:hint="eastAsia"/>
                <w:color w:val="auto"/>
                <w:highlight w:val="none"/>
              </w:rPr>
              <w:t xml:space="preserve">防护胶套</w:t>
            </w:r>
            <w:r/>
          </w:p>
        </w:tc>
        <w:tc>
          <w:tcPr>
            <w:tcW w:w="7986" w:type="dxa"/>
            <w:vAlign w:val="top"/>
            <w:textDirection w:val="lrTb"/>
            <w:noWrap w:val="false"/>
          </w:tcPr>
          <w:p>
            <w:pPr>
              <w:rPr>
                <w:rFonts w:ascii="仿宋" w:hAnsi="仿宋" w:eastAsia="仿宋" w:cs="Times New Roman"/>
                <w:color w:val="auto"/>
                <w:szCs w:val="24"/>
                <w:highlight w:val="none"/>
              </w:rPr>
            </w:pPr>
            <w:r>
              <w:rPr>
                <w:rFonts w:hint="eastAsia"/>
                <w:color w:val="auto"/>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1010920</wp:posOffset>
                      </wp:positionH>
                      <wp:positionV relativeFrom="paragraph">
                        <wp:posOffset>180975</wp:posOffset>
                      </wp:positionV>
                      <wp:extent cx="1268095" cy="1554480"/>
                      <wp:effectExtent l="0" t="0" r="8255" b="7620"/>
                      <wp:wrapNone/>
                      <wp:docPr id="49" name="图片 12" descr="eda766dc820ea599f5c36b4d01894f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 descr="eda766dc820ea599f5c36b4d01894f7c"/>
                              <pic:cNvPicPr>
                                <a:picLocks noChangeAspect="1"/>
                              </pic:cNvPicPr>
                              <pic:nvPr/>
                            </pic:nvPicPr>
                            <pic:blipFill>
                              <a:blip r:embed="rId56"/>
                              <a:stretch/>
                            </pic:blipFill>
                            <pic:spPr bwMode="auto">
                              <a:xfrm>
                                <a:off x="0" y="0"/>
                                <a:ext cx="1268095" cy="15544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8480;o:allowoverlap:true;o:allowincell:true;mso-position-horizontal-relative:text;margin-left:79.6pt;mso-position-horizontal:absolute;mso-position-vertical-relative:text;margin-top:14.2pt;mso-position-vertical:absolute;width:99.8pt;height:122.4pt;mso-wrap-distance-left:9.0pt;mso-wrap-distance-top:0.0pt;mso-wrap-distance-right:9.0pt;mso-wrap-distance-bottom:0.0pt;" stroked="f">
                      <v:path textboxrect="0,0,0,0"/>
                      <v:imagedata r:id="rId56" o:title=""/>
                    </v:shape>
                  </w:pict>
                </mc:Fallback>
              </mc:AlternateContent>
            </w:r>
            <w:r/>
          </w:p>
        </w:tc>
      </w:tr>
    </w:tbl>
    <w:p>
      <w:pPr>
        <w:rPr>
          <w:rFonts w:hint="eastAsia" w:ascii="宋体" w:hAnsi="宋体" w:cs="宋体"/>
          <w:b/>
          <w:bCs/>
          <w:color w:val="auto"/>
          <w:sz w:val="21"/>
          <w:szCs w:val="21"/>
          <w:highlight w:val="none"/>
          <w:u w:val="single"/>
          <w:lang w:val="zh-CN" w:bidi="zh-CN"/>
        </w:rPr>
      </w:pPr>
      <w:r>
        <w:rPr>
          <w:rFonts w:hint="eastAsia" w:ascii="宋体" w:hAnsi="宋体" w:cs="宋体"/>
          <w:b/>
          <w:bCs/>
          <w:color w:val="auto"/>
          <w:sz w:val="21"/>
          <w:szCs w:val="21"/>
          <w:highlight w:val="none"/>
          <w:u w:val="single"/>
          <w:lang w:val="zh-CN" w:bidi="zh-CN"/>
        </w:rPr>
      </w:r>
      <w:r/>
    </w:p>
    <w:p>
      <w:pPr>
        <w:rPr>
          <w:rFonts w:hint="eastAsia"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（二）样品的评审方法以及评审标准：详见评标办法；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（三）是否需要随样品提交检测报告：否；，检测机构的要求：无；检测内容：无。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rPr>
        <w:t xml:space="preserve">四）提供样品的时间：2026年8月10日9:00-17:00；地点：丹阳市开发区兰陵路88号4楼418室；联系人：王东，联系电话：0511-86906230 。</w:t>
      </w:r>
      <w:r>
        <w:rPr>
          <w:rFonts w:hint="eastAsia" w:ascii="宋体" w:hAnsi="宋体" w:eastAsia="宋体" w:cs="宋体"/>
          <w:color w:val="auto"/>
          <w:sz w:val="21"/>
          <w:szCs w:val="21"/>
          <w:highlight w:val="none"/>
        </w:rPr>
        <w:t xml:space="preserve">请投标人在上述时间内提供样品并按规定位置安装完毕。超过截止时间的，采购人或采购代理机构将不予接收及安装，并将清场并封闭样品现场。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五）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ind w:firstLine="1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（六）制作、运输、安装和保管样品所发生的一切费用由投标人自理。</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（七）未在规定时间内提交样品或样品提交不齐全的或所提交样品与投标文件中所填报参数不一致的按无效投标处理。</w:t>
      </w:r>
      <w:r/>
    </w:p>
    <w:p>
      <w:pPr>
        <w:keepLines w:val="0"/>
        <w:keepNext w:val="0"/>
        <w:pageBreakBefore w:val="0"/>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十、</w:t>
      </w:r>
      <w:r>
        <w:rPr>
          <w:rFonts w:hint="eastAsia" w:ascii="宋体" w:hAnsi="宋体" w:eastAsia="宋体" w:cs="宋体"/>
          <w:b/>
          <w:color w:val="auto"/>
          <w:sz w:val="21"/>
          <w:szCs w:val="21"/>
          <w:highlight w:val="none"/>
          <w:lang w:val="zh-CN" w:bidi="zh-CN"/>
        </w:rPr>
        <w:t xml:space="preserve">检测报告</w:t>
      </w:r>
      <w:r/>
    </w:p>
    <w:p>
      <w:pPr>
        <w:numPr>
          <w:ilvl w:val="0"/>
          <w:numId w:val="0"/>
        </w:numPr>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t xml:space="preserve">10.1采购包1</w:t>
      </w:r>
      <w:r/>
    </w:p>
    <w:p>
      <w:p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（一）成品检测报告</w:t>
      </w:r>
      <w:r/>
    </w:p>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eastAsia="zh-CN" w:bidi="zh-CN"/>
        </w:rPr>
        <w:t xml:space="preserve">(1)</w:t>
      </w:r>
      <w:r>
        <w:rPr>
          <w:rFonts w:hint="eastAsia" w:ascii="宋体" w:hAnsi="宋体" w:eastAsia="宋体" w:cs="宋体"/>
          <w:b/>
          <w:bCs w:val="0"/>
          <w:color w:val="auto"/>
          <w:sz w:val="21"/>
          <w:szCs w:val="21"/>
          <w:highlight w:val="none"/>
          <w:lang w:val="en-US" w:bidi="zh-CN"/>
        </w:rPr>
        <w:t xml:space="preserve">提供医用治疗柜的</w:t>
      </w:r>
      <w:r>
        <w:rPr>
          <w:rFonts w:hint="eastAsia" w:ascii="宋体" w:hAnsi="宋体" w:eastAsia="宋体" w:cs="宋体"/>
          <w:b/>
          <w:bCs w:val="0"/>
          <w:color w:val="auto"/>
          <w:sz w:val="21"/>
          <w:szCs w:val="21"/>
          <w:highlight w:val="none"/>
          <w:lang w:val="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bCs w:val="0"/>
          <w:color w:val="auto"/>
          <w:sz w:val="21"/>
          <w:szCs w:val="21"/>
          <w:highlight w:val="none"/>
          <w:lang w:val="zh-CN" w:bidi="zh-CN"/>
        </w:rPr>
        <w:t xml:space="preserve">包含：</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en-US"/>
        </w:rPr>
        <w:t xml:space="preserve">①</w:t>
      </w:r>
      <w:r>
        <w:rPr>
          <w:rFonts w:hint="eastAsia" w:ascii="宋体" w:hAnsi="宋体" w:eastAsia="宋体" w:cs="宋体"/>
          <w:color w:val="auto"/>
          <w:highlight w:val="none"/>
          <w:lang w:val="en-US" w:eastAsia="zh-CN"/>
        </w:rPr>
        <w:t xml:space="preserve">依据符合GB/T 3075-2021《金属材料疲劳试验轴向力控制方法》标准，疲劳测试≥10万次：试样未断裂；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w:t>
      </w:r>
      <w:r>
        <w:rPr>
          <w:rFonts w:hint="eastAsia" w:ascii="宋体" w:hAnsi="宋体" w:cs="宋体"/>
          <w:color w:val="auto"/>
          <w:highlight w:val="none"/>
          <w:lang w:val="en-US" w:eastAsia="zh-CN"/>
        </w:rPr>
        <w:t xml:space="preserve">符合</w:t>
      </w:r>
      <w:r>
        <w:rPr>
          <w:rFonts w:hint="eastAsia" w:ascii="宋体" w:hAnsi="宋体" w:eastAsia="宋体" w:cs="宋体"/>
          <w:color w:val="auto"/>
          <w:highlight w:val="none"/>
          <w:lang w:val="en-US" w:eastAsia="zh-CN"/>
        </w:rPr>
        <w:t xml:space="preserve">GB/T 26696-2011《家具用高分子材料台面板》标准，耐香烟灼烧≥1级；耐酸碱≥1级；耐高温≥1级；吸水率≤0.5%；弯曲强度≥30MPa；</w:t>
      </w:r>
      <w:r/>
    </w:p>
    <w:p>
      <w:pPr>
        <w:rPr>
          <w:rFonts w:hint="eastAsia" w:ascii="宋体" w:hAnsi="宋体" w:eastAsia="宋体" w:cs="宋体"/>
          <w:strike w:val="0"/>
          <w:color w:val="auto"/>
          <w:highlight w:val="none"/>
          <w:lang w:val="en-US" w:eastAsia="zh-CN"/>
        </w:rPr>
      </w:pPr>
      <w:r>
        <w:rPr>
          <w:rFonts w:hint="eastAsia" w:ascii="宋体" w:hAnsi="宋体" w:eastAsia="宋体" w:cs="宋体"/>
          <w:strike w:val="0"/>
          <w:color w:val="auto"/>
          <w:highlight w:val="none"/>
          <w:lang w:val="en-US" w:eastAsia="zh-CN"/>
        </w:rPr>
        <w:t xml:space="preserve">③依据</w:t>
      </w:r>
      <w:r>
        <w:rPr>
          <w:rFonts w:hint="eastAsia" w:ascii="宋体" w:hAnsi="宋体" w:cs="宋体"/>
          <w:strike w:val="0"/>
          <w:color w:val="auto"/>
          <w:highlight w:val="none"/>
          <w:lang w:val="en-US" w:eastAsia="zh-CN"/>
        </w:rPr>
        <w:t xml:space="preserve">符合</w:t>
      </w:r>
      <w:r>
        <w:rPr>
          <w:rFonts w:hint="eastAsia" w:ascii="宋体" w:hAnsi="宋体" w:eastAsia="宋体" w:cs="宋体"/>
          <w:strike w:val="0"/>
          <w:color w:val="auto"/>
          <w:highlight w:val="none"/>
          <w:lang w:val="en-US" w:eastAsia="zh-CN"/>
        </w:rPr>
        <w:t xml:space="preserve">GB/T 228.1-2021《金属材料拉伸试验第1部分:室温试验方法》标准，力学性能抗拉强度≥450MPa;上屈服强度≥350MPa;断后伸长率≥30%；</w:t>
      </w:r>
      <w:r/>
    </w:p>
    <w:p>
      <w:pP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3325-2024《金属家具通用技术条件》标准，理化性能:硬度≥3H。通过基本结构安全；底脚着地平稳性≤2.0mm;</w:t>
      </w:r>
      <w:r>
        <w:rPr>
          <w:rFonts w:hint="eastAsia" w:ascii="宋体" w:hAnsi="宋体" w:cs="宋体"/>
          <w:color w:val="auto"/>
          <w:highlight w:val="none"/>
          <w:lang w:val="en-US" w:eastAsia="zh-CN"/>
        </w:rPr>
        <w:t xml:space="preserve">通过柜架类</w:t>
      </w:r>
      <w:r>
        <w:rPr>
          <w:rFonts w:hint="eastAsia" w:ascii="宋体" w:hAnsi="宋体" w:eastAsia="宋体" w:cs="宋体"/>
          <w:color w:val="auto"/>
          <w:highlight w:val="none"/>
          <w:lang w:val="en-US" w:eastAsia="zh-CN"/>
        </w:rPr>
        <w:t xml:space="preserve">结构强度试验</w:t>
      </w:r>
      <w:r>
        <w:rPr>
          <w:rFonts w:hint="eastAsia" w:ascii="宋体" w:hAnsi="宋体" w:cs="宋体"/>
          <w:color w:val="auto"/>
          <w:highlight w:val="none"/>
          <w:lang w:val="en-US" w:eastAsia="zh-CN"/>
        </w:rPr>
        <w:t xml:space="preserve">、开门试验、稳定性试验；</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w:t>
      </w:r>
      <w:r>
        <w:rPr>
          <w:rFonts w:hint="eastAsia" w:ascii="宋体" w:hAnsi="宋体" w:cs="宋体"/>
          <w:color w:val="auto"/>
          <w:highlight w:val="none"/>
          <w:lang w:val="en-US" w:eastAsia="zh-CN"/>
        </w:rPr>
        <w:t xml:space="preserve">符合</w:t>
      </w:r>
      <w:r>
        <w:rPr>
          <w:rFonts w:hint="eastAsia" w:ascii="宋体" w:hAnsi="宋体" w:eastAsia="宋体" w:cs="宋体"/>
          <w:color w:val="auto"/>
          <w:highlight w:val="none"/>
          <w:lang w:val="en-US" w:eastAsia="zh-CN"/>
        </w:rPr>
        <w:t xml:space="preserve">QB/T 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⑥依据</w:t>
      </w:r>
      <w:r>
        <w:rPr>
          <w:rFonts w:hint="eastAsia" w:ascii="宋体" w:hAnsi="宋体" w:cs="宋体"/>
          <w:color w:val="auto"/>
          <w:highlight w:val="none"/>
          <w:lang w:val="en-US" w:eastAsia="zh-CN"/>
        </w:rPr>
        <w:t xml:space="preserve">符合</w:t>
      </w:r>
      <w:r>
        <w:rPr>
          <w:rFonts w:hint="eastAsia" w:ascii="宋体" w:hAnsi="宋体" w:eastAsia="宋体" w:cs="宋体"/>
          <w:color w:val="auto"/>
          <w:highlight w:val="none"/>
          <w:lang w:val="en-US" w:eastAsia="zh-CN"/>
        </w:rPr>
        <w:t xml:space="preserve">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21604-2022《化学品急性皮肤刺激性/腐蚀性试验方法》标准；通过急性皮肤刺激性/腐蚀性试验检测；</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keepLines w:val="0"/>
        <w:keepNext w:val="0"/>
        <w:pageBreakBefore w:val="0"/>
        <w:spacing w:line="320" w:lineRule="exact"/>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color w:val="auto"/>
          <w:sz w:val="22"/>
          <w:highlight w:val="none"/>
          <w:lang w:val="zh-CN" w:bidi="zh-CN"/>
        </w:rPr>
        <w:t xml:space="preserve"> </w:t>
      </w:r>
      <w:r>
        <w:rPr>
          <w:rFonts w:hint="eastAsia" w:ascii="宋体" w:hAnsi="宋体" w:eastAsia="宋体" w:cs="宋体"/>
          <w:b/>
          <w:bCs w:val="0"/>
          <w:color w:val="auto"/>
          <w:sz w:val="21"/>
          <w:szCs w:val="22"/>
          <w:highlight w:val="none"/>
          <w:lang w:val="en-US" w:eastAsia="zh-CN" w:bidi="ar-SA"/>
        </w:rPr>
        <w:t xml:space="preserve">(2)</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highlight w:val="none"/>
          <w:lang w:val="en-US"/>
        </w:rPr>
        <w:t xml:space="preserve">医用处置柜</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bCs w:val="0"/>
          <w:color w:val="auto"/>
          <w:sz w:val="21"/>
          <w:szCs w:val="21"/>
          <w:highlight w:val="none"/>
          <w:lang w:val="zh-CN" w:bidi="zh-CN"/>
        </w:rPr>
        <w:t xml:space="preserve">包含：</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en-US"/>
        </w:rPr>
        <w:t xml:space="preserve">①</w:t>
      </w:r>
      <w:r>
        <w:rPr>
          <w:rFonts w:hint="eastAsia" w:ascii="宋体" w:hAnsi="宋体" w:eastAsia="宋体" w:cs="宋体"/>
          <w:color w:val="auto"/>
          <w:highlight w:val="none"/>
          <w:lang w:val="en-US" w:eastAsia="zh-CN"/>
        </w:rPr>
        <w:t xml:space="preserve">依据符合GB/T 3075-2021《金属材料疲劳试验轴向力控制方法》标准，疲劳测试≥10万次：试样未断裂；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②依据符合GB/T 26696-2011《家具用高分子材料台面板》标准，耐香烟灼烧≥1级；耐酸碱≥1级；耐高温≥1级；吸水率≤0.5%；弯曲强度≥30MPa；</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③依据符合GB/T 228.1-2021《金属材料拉伸试验第1部分:室温试验方法》标准，力学性能抗拉强度≥450MPa;上屈服强度≥350MPa;断后伸长率≥30%；</w:t>
      </w:r>
      <w:r/>
    </w:p>
    <w:p>
      <w:pPr>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④依据符合GB/T3325-2024《金属家具通用技术条件》标准，理化性能:硬度≥3H。通过基本结构安全；底脚着地平稳性≤2.0mm;</w:t>
      </w:r>
      <w:r>
        <w:rPr>
          <w:rFonts w:hint="eastAsia" w:ascii="宋体" w:hAnsi="宋体" w:cs="宋体"/>
          <w:color w:val="auto"/>
          <w:highlight w:val="none"/>
          <w:lang w:val="en-US" w:eastAsia="zh-CN"/>
        </w:rPr>
        <w:t xml:space="preserve">通过柜架类</w:t>
      </w:r>
      <w:r>
        <w:rPr>
          <w:rFonts w:hint="eastAsia" w:ascii="宋体" w:hAnsi="宋体" w:eastAsia="宋体" w:cs="宋体"/>
          <w:color w:val="auto"/>
          <w:highlight w:val="none"/>
          <w:lang w:val="en-US" w:eastAsia="zh-CN"/>
        </w:rPr>
        <w:t xml:space="preserve">结构强度试验</w:t>
      </w:r>
      <w:r>
        <w:rPr>
          <w:rFonts w:hint="eastAsia" w:ascii="宋体" w:hAnsi="宋体" w:cs="宋体"/>
          <w:color w:val="auto"/>
          <w:highlight w:val="none"/>
          <w:lang w:val="en-US" w:eastAsia="zh-CN"/>
        </w:rPr>
        <w:t xml:space="preserve">、开门试验、稳定性试验；</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⑤依据符合QB/T 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⑥依据符合GB/T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21604-2022《化学品急性皮肤刺激性/腐蚀性试验方法》标准；通过急性皮肤刺激性/腐蚀性试验检测；</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2"/>
          <w:highlight w:val="none"/>
          <w:lang w:val="en-US" w:eastAsia="zh-CN" w:bidi="ar-SA"/>
        </w:rPr>
        <w:t xml:space="preserve">(3)</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highlight w:val="none"/>
          <w:lang w:val="en-US"/>
        </w:rPr>
        <w:t xml:space="preserve">医用配餐柜</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bCs w:val="0"/>
          <w:color w:val="auto"/>
          <w:sz w:val="21"/>
          <w:szCs w:val="21"/>
          <w:highlight w:val="none"/>
          <w:lang w:val="zh-CN" w:bidi="zh-CN"/>
        </w:rPr>
        <w:t xml:space="preserve">包含：</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en-US"/>
        </w:rPr>
        <w:t xml:space="preserve">①</w:t>
      </w:r>
      <w:r>
        <w:rPr>
          <w:rFonts w:hint="eastAsia" w:ascii="宋体" w:hAnsi="宋体" w:eastAsia="宋体" w:cs="宋体"/>
          <w:color w:val="auto"/>
          <w:highlight w:val="none"/>
          <w:lang w:val="en-US" w:eastAsia="zh-CN"/>
        </w:rPr>
        <w:t xml:space="preserve">依据符合GB/T 3075-2021《金属材料疲劳试验轴向力控制方法》标准，疲劳测试≥10万次：试样未断裂；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②依据符合GB/T 26696-2011《家具用高分子材料台面板》标准，耐香烟灼烧≥1级；耐酸碱≥1级；耐高温≥1级；吸水率≤0.5%；弯曲强度≥30MPa；</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③依据符合GB/T 228.1-2021《金属材料拉伸试验第1部分:室温试验方法》标准，力学性能抗拉强度≥450MPa;上屈服强度≥350MPa;断后伸长率≥30%；</w:t>
      </w:r>
      <w:r/>
    </w:p>
    <w:p>
      <w:pP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④依据符合GB/T3325-2024《金属家具通用技术条件》标准，理化性能:硬度≥3H。通过基本结构安全；底脚着地平稳性≤2.0mm;</w:t>
      </w:r>
      <w:r>
        <w:rPr>
          <w:rFonts w:hint="eastAsia" w:ascii="宋体" w:hAnsi="宋体" w:cs="宋体"/>
          <w:color w:val="auto"/>
          <w:highlight w:val="none"/>
          <w:lang w:val="en-US" w:eastAsia="zh-CN"/>
        </w:rPr>
        <w:t xml:space="preserve">通过柜架类</w:t>
      </w:r>
      <w:r>
        <w:rPr>
          <w:rFonts w:hint="eastAsia" w:ascii="宋体" w:hAnsi="宋体" w:eastAsia="宋体" w:cs="宋体"/>
          <w:color w:val="auto"/>
          <w:highlight w:val="none"/>
          <w:lang w:val="en-US" w:eastAsia="zh-CN"/>
        </w:rPr>
        <w:t xml:space="preserve">结构强度试验</w:t>
      </w:r>
      <w:r>
        <w:rPr>
          <w:rFonts w:hint="eastAsia" w:ascii="宋体" w:hAnsi="宋体" w:cs="宋体"/>
          <w:color w:val="auto"/>
          <w:highlight w:val="none"/>
          <w:lang w:val="en-US" w:eastAsia="zh-CN"/>
        </w:rPr>
        <w:t xml:space="preserve">、开门试验、稳定性试验；</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⑤依据符合QB/T 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⑥依据符合GB/T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21604-2022《化学品急性皮肤刺激性/腐蚀性试验方法》标准；通过急性皮肤刺激性/腐蚀性试验检测；</w:t>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eastAsia="zh-CN" w:bidi="zh-CN"/>
        </w:rPr>
        <w:t xml:space="preserve">(4)</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sz w:val="21"/>
          <w:szCs w:val="21"/>
          <w:highlight w:val="none"/>
          <w:lang w:val="zh-CN" w:bidi="zh-CN"/>
        </w:rPr>
        <w:t xml:space="preserve">洗婴台</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bCs w:val="0"/>
          <w:color w:val="auto"/>
          <w:sz w:val="21"/>
          <w:szCs w:val="21"/>
          <w:highlight w:val="none"/>
          <w:lang w:val="zh-CN" w:bidi="zh-CN"/>
        </w:rPr>
        <w:t xml:space="preserve">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lang w:val="en-US" w:eastAsia="zh-CN"/>
        </w:rPr>
        <w:t xml:space="preserve">依据符合GB/T3075-2021《金属材料疲劳试验轴向力控制方法》标准；经≥10万次疲劳试验后，部件未发生开裂。</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26696-2011《家具用高分子材料台面板》标准；通过耐香烟灼烧≥1级；抗球冲击无裂纹或破损；耐酸碱≥1级；耐高温≥1级；</w:t>
      </w:r>
      <w:r>
        <w:rPr>
          <w:rFonts w:hint="eastAsia" w:ascii="宋体" w:hAnsi="宋体" w:cs="宋体"/>
          <w:color w:val="auto"/>
          <w:highlight w:val="none"/>
          <w:lang w:val="en-US" w:eastAsia="zh-CN"/>
        </w:rPr>
        <w:t xml:space="preserve">通过</w:t>
      </w:r>
      <w:r>
        <w:rPr>
          <w:rFonts w:hint="eastAsia" w:ascii="宋体" w:hAnsi="宋体" w:eastAsia="宋体" w:cs="宋体"/>
          <w:color w:val="auto"/>
          <w:highlight w:val="none"/>
          <w:lang w:val="en-US" w:eastAsia="zh-CN"/>
        </w:rPr>
        <w:t xml:space="preserve">耐沸水检测；吸水率≤0.25%；</w:t>
      </w:r>
      <w:r/>
    </w:p>
    <w:p>
      <w:pPr>
        <w:rPr>
          <w:rFonts w:hint="eastAsia" w:ascii="宋体" w:hAnsi="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依据符合GB/T3325-2024《金属家具通用技术条件》标准；形状和位置公差底脚着地平稳性≤2.0mm；通过基本结构安全检测；</w:t>
      </w:r>
      <w:r>
        <w:rPr>
          <w:rFonts w:hint="eastAsia" w:ascii="宋体" w:hAnsi="宋体" w:cs="宋体"/>
          <w:color w:val="auto"/>
          <w:highlight w:val="none"/>
          <w:lang w:val="en-US" w:eastAsia="zh-CN"/>
        </w:rPr>
        <w:t xml:space="preserve">通过柜架类</w:t>
      </w:r>
      <w:r>
        <w:rPr>
          <w:rFonts w:hint="eastAsia" w:ascii="宋体" w:hAnsi="宋体" w:eastAsia="宋体" w:cs="宋体"/>
          <w:color w:val="auto"/>
          <w:highlight w:val="none"/>
          <w:lang w:val="en-US" w:eastAsia="zh-CN"/>
        </w:rPr>
        <w:t xml:space="preserve">结构强度试验</w:t>
      </w:r>
      <w:r>
        <w:rPr>
          <w:rFonts w:hint="eastAsia" w:ascii="宋体" w:hAnsi="宋体" w:cs="宋体"/>
          <w:color w:val="auto"/>
          <w:highlight w:val="none"/>
          <w:lang w:val="en-US" w:eastAsia="zh-CN"/>
        </w:rPr>
        <w:t xml:space="preserve">、开门试验、稳定性试验；</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QB/T4371-2012《家具抗菌性能的评价》</w:t>
      </w:r>
      <w:r>
        <w:rPr>
          <w:rFonts w:hint="eastAsia" w:ascii="宋体" w:hAnsi="宋体" w:eastAsia="宋体" w:cs="宋体"/>
          <w:color w:val="auto"/>
          <w:highlight w:val="none"/>
          <w:lang w:val="en-US" w:eastAsia="zh-CN"/>
        </w:rPr>
        <w:t xml:space="preserve">标准；通过抗细菌性能检测至少包含大肠埃希氏菌（大肠杆菌）、肺炎克雷伯氏菌等任意5种菌类，抗细菌率或抑菌率均≥99%；　</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⑤</w:t>
      </w:r>
      <w:r>
        <w:rPr>
          <w:rFonts w:hint="eastAsia" w:ascii="宋体" w:hAnsi="宋体" w:eastAsia="宋体" w:cs="宋体"/>
          <w:color w:val="auto"/>
          <w:highlight w:val="none"/>
          <w:lang w:val="en-US" w:eastAsia="zh-CN"/>
        </w:rPr>
        <w:t xml:space="preserve">依据符合GB/T21604-2022《化学品急性皮肤刺激性/腐蚀性试验方法》标准；通过急性皮肤刺激性/腐蚀性试验检测；</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医用水盆柜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①依据符合QB/T 3832-1999《轻工产品金属镀层腐蚀试验结果的评价》、QB/T 3827-1999《轻工产品金属镀层和化学处理层的耐腐蚀试验方法乙酸盐雾试验(ASS)法》标准；乙酸盐雾试验≥200h;镀（涂）层对基体的保护等级≥9级；镀（涂）层本身耐腐蚀等级≥9级；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w:t>
      </w:r>
      <w:r>
        <w:rPr>
          <w:rFonts w:hint="eastAsia" w:ascii="宋体" w:hAnsi="宋体" w:eastAsia="宋体" w:cs="宋体"/>
          <w:color w:val="auto"/>
          <w:highlight w:val="none"/>
        </w:rPr>
        <w:t xml:space="preserve">QB/T4371-2012《家具抗菌性能的评价》</w:t>
      </w:r>
      <w:r>
        <w:rPr>
          <w:rFonts w:hint="eastAsia" w:ascii="宋体" w:hAnsi="宋体" w:eastAsia="宋体" w:cs="宋体"/>
          <w:color w:val="auto"/>
          <w:highlight w:val="none"/>
          <w:lang w:val="en-US" w:eastAsia="zh-CN"/>
        </w:rPr>
        <w:t xml:space="preserve">标准；通过抗细菌性能检测至少包含大肠埃希氏菌（大肠杆菌）、肺炎克雷伯氏菌等任意5种菌类，抗细菌率或抑菌率均≥99%　</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keepLines w:val="0"/>
        <w:keepNext w:val="0"/>
        <w:pageBreakBefore w:val="0"/>
        <w:spacing w:line="320" w:lineRule="exact"/>
        <w:rPr>
          <w:rFonts w:hint="eastAsia" w:ascii="宋体" w:hAnsi="宋体" w:eastAsia="宋体" w:cs="宋体"/>
          <w:b/>
          <w:color w:val="auto"/>
          <w:sz w:val="21"/>
          <w:szCs w:val="21"/>
          <w:highlight w:val="none"/>
          <w:lang w:val="zh-CN" w:bidi="zh-CN"/>
        </w:rPr>
      </w:pPr>
      <w:r>
        <w:rPr>
          <w:rFonts w:hint="eastAsia" w:ascii="宋体" w:hAnsi="宋体" w:eastAsia="宋体" w:cs="宋体"/>
          <w:b/>
          <w:bCs/>
          <w:color w:val="auto"/>
          <w:sz w:val="22"/>
          <w:highlight w:val="none"/>
          <w:lang w:val="zh-CN" w:bidi="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6</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药柜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en-US"/>
        </w:rPr>
        <w:t xml:space="preserve">①</w:t>
      </w:r>
      <w:r>
        <w:rPr>
          <w:rFonts w:hint="eastAsia" w:ascii="宋体" w:hAnsi="宋体" w:eastAsia="宋体" w:cs="宋体"/>
          <w:color w:val="auto"/>
          <w:highlight w:val="none"/>
          <w:lang w:val="en-US" w:eastAsia="zh-CN"/>
        </w:rPr>
        <w:t xml:space="preserve">依据符合GB/T 3075-2021《金属材料疲劳试验轴向力控制方法》标准，疲劳测试≥10万次：试样未断裂；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②依据符合GB/T 228.1-2021《金属材料拉伸试验第1部分:室温试验方法》标准，力学性能抗拉强度≥450MPa;上屈服强度≥350MPa;断后伸长率≥30%；</w:t>
      </w:r>
      <w:r/>
    </w:p>
    <w:p>
      <w:pP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③依据符合GB/T3325-2024《金属家具通用技术条件》标准，理化性能:硬度≥3H</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底脚着地平稳性≤2.0mm</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通过基本结构安全；</w:t>
      </w:r>
      <w:r>
        <w:rPr>
          <w:rFonts w:hint="eastAsia" w:ascii="宋体" w:hAnsi="宋体" w:cs="宋体"/>
          <w:color w:val="auto"/>
          <w:highlight w:val="none"/>
          <w:lang w:val="en-US" w:eastAsia="zh-CN"/>
        </w:rPr>
        <w:t xml:space="preserve">通过柜架类</w:t>
      </w:r>
      <w:r>
        <w:rPr>
          <w:rFonts w:hint="eastAsia" w:ascii="宋体" w:hAnsi="宋体" w:eastAsia="宋体" w:cs="宋体"/>
          <w:color w:val="auto"/>
          <w:highlight w:val="none"/>
          <w:lang w:val="en-US" w:eastAsia="zh-CN"/>
        </w:rPr>
        <w:t xml:space="preserve">结构强度试验</w:t>
      </w:r>
      <w:r>
        <w:rPr>
          <w:rFonts w:hint="eastAsia" w:ascii="宋体" w:hAnsi="宋体" w:cs="宋体"/>
          <w:color w:val="auto"/>
          <w:highlight w:val="none"/>
          <w:lang w:val="en-US" w:eastAsia="zh-CN"/>
        </w:rPr>
        <w:t xml:space="preserve">、开门试验、稳定性试验；</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④依据符合QB/T 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⑤依据符合GB/T21604-2022《化学品急性皮肤刺激性/腐蚀性试验方法》标准；通过急性皮肤刺激性/腐蚀性试验检测；</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7</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医用诊断床（</w:t>
      </w:r>
      <w:r>
        <w:rPr>
          <w:rFonts w:hint="eastAsia" w:ascii="宋体" w:hAnsi="宋体" w:eastAsia="宋体" w:cs="宋体"/>
          <w:b/>
          <w:color w:val="auto"/>
          <w:sz w:val="21"/>
          <w:szCs w:val="21"/>
          <w:highlight w:val="none"/>
          <w:lang w:val="en-US" w:bidi="zh-CN"/>
        </w:rPr>
        <w:t xml:space="preserve">诊床</w:t>
      </w:r>
      <w:r>
        <w:rPr>
          <w:rFonts w:hint="eastAsia" w:ascii="宋体" w:hAnsi="宋体" w:eastAsia="宋体" w:cs="宋体"/>
          <w:b/>
          <w:color w:val="auto"/>
          <w:sz w:val="21"/>
          <w:szCs w:val="21"/>
          <w:highlight w:val="none"/>
          <w:lang w:val="zh-CN" w:bidi="zh-CN"/>
        </w:rPr>
        <w:t xml:space="preserve">）</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lang w:val="zh-CN"/>
        </w:rPr>
        <w:t xml:space="preserve">GB/T 16799-2018《家具用皮革》</w:t>
      </w:r>
      <w:r>
        <w:rPr>
          <w:rFonts w:hint="eastAsia" w:ascii="宋体" w:hAnsi="宋体" w:eastAsia="宋体" w:cs="宋体"/>
          <w:color w:val="auto"/>
          <w:highlight w:val="none"/>
          <w:lang w:val="en-US" w:eastAsia="zh-CN"/>
        </w:rPr>
        <w:t xml:space="preserve">标准；游离甲醛≤50mg/kg；</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lang w:val="zh-CN"/>
        </w:rPr>
        <w:t xml:space="preserve">QB/T4371-2012《家具抗菌性能的评价》</w:t>
      </w:r>
      <w:r>
        <w:rPr>
          <w:rFonts w:hint="eastAsia" w:ascii="宋体" w:hAnsi="宋体" w:eastAsia="宋体" w:cs="宋体"/>
          <w:color w:val="auto"/>
          <w:highlight w:val="none"/>
          <w:lang w:val="en-US" w:eastAsia="zh-CN"/>
        </w:rPr>
        <w:t xml:space="preserve">标准；通过抗菌性能检测；</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lang w:val="zh-CN"/>
        </w:rPr>
        <w:t xml:space="preserve">QB/T 4199-2011《皮革防霉性能测试方法》</w:t>
      </w:r>
      <w:r>
        <w:rPr>
          <w:rFonts w:hint="eastAsia" w:ascii="宋体" w:hAnsi="宋体" w:eastAsia="宋体" w:cs="宋体"/>
          <w:color w:val="auto"/>
          <w:highlight w:val="none"/>
          <w:lang w:val="en-US" w:eastAsia="zh-CN"/>
        </w:rPr>
        <w:t xml:space="preserve">标准；通过皮革防霉性能检测；</w:t>
      </w:r>
      <w:r/>
    </w:p>
    <w:p>
      <w:pPr>
        <w:numPr>
          <w:ilvl w:val="0"/>
          <w:numId w:val="0"/>
        </w:numPr>
        <w:rPr>
          <w:rFonts w:hint="eastAsia" w:ascii="宋体" w:hAnsi="宋体" w:eastAsia="宋体" w:cs="宋体"/>
          <w:color w:val="auto"/>
          <w:highlight w:val="none"/>
          <w:lang w:val="en-US"/>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lang w:val="zh-CN"/>
        </w:rPr>
        <w:t xml:space="preserve">HG/T 2006-2022《热固性和热塑性粉末涂料》</w:t>
      </w:r>
      <w:r>
        <w:rPr>
          <w:rFonts w:hint="eastAsia" w:ascii="宋体" w:hAnsi="宋体" w:eastAsia="宋体" w:cs="宋体"/>
          <w:color w:val="auto"/>
          <w:highlight w:val="none"/>
          <w:lang w:val="en-US" w:eastAsia="zh-CN"/>
        </w:rPr>
        <w:t xml:space="preserve">标准；涂膜外观正常；</w:t>
      </w:r>
      <w:r/>
    </w:p>
    <w:p>
      <w:pPr>
        <w:numPr>
          <w:ilvl w:val="0"/>
          <w:numId w:val="0"/>
        </w:numPr>
        <w:rPr>
          <w:rFonts w:hint="eastAsia"/>
          <w:b/>
          <w:bCs w:val="0"/>
          <w:color w:val="auto"/>
          <w:sz w:val="21"/>
          <w:szCs w:val="21"/>
          <w:highlight w:val="none"/>
          <w:lang w:val="en-US" w:eastAsia="zh-CN"/>
        </w:rPr>
      </w:pPr>
      <w:r>
        <w:rPr>
          <w:rFonts w:hint="eastAsia"/>
          <w:b/>
          <w:bCs w:val="0"/>
          <w:color w:val="auto"/>
          <w:sz w:val="21"/>
          <w:szCs w:val="21"/>
          <w:highlight w:val="none"/>
          <w:lang w:val="en-US" w:eastAsia="zh-CN"/>
        </w:rPr>
      </w:r>
      <w:r/>
    </w:p>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8</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304不锈钢清洗池</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3325-2024《金属家具通用技术条件》标准，平整度、位差度、底脚着地平稳性通过国家标准检测；外观性能要求金属件焊接件通过国家标准检测；</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lang w:val="zh-CN" w:eastAsia="zh-CN"/>
        </w:rPr>
        <w:t xml:space="preserve">依据</w:t>
      </w:r>
      <w:r>
        <w:rPr>
          <w:rFonts w:hint="eastAsia" w:ascii="宋体" w:hAnsi="宋体" w:eastAsia="宋体" w:cs="宋体"/>
          <w:color w:val="auto"/>
          <w:highlight w:val="none"/>
          <w:lang w:val="en-US" w:eastAsia="zh-CN"/>
        </w:rPr>
        <w:t xml:space="preserve">符合GB/T 35607-2024《绿色产品评价家具》标准，家具中可迁移有害元素限量：铅≤20mg/kg、镉≤20mg/kg、铬≤20mg/kg、汞≤20mg/kg、锑≤20mg/kg、钡≤20mg/kg、硒≤20mg/kg；</w:t>
      </w:r>
      <w:r/>
    </w:p>
    <w:p>
      <w:pPr>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 </w:t>
      </w:r>
      <w:r/>
    </w:p>
    <w:p>
      <w:pPr>
        <w:keepLines w:val="0"/>
        <w:keepNext w:val="0"/>
        <w:pageBreakBefore w:val="0"/>
        <w:spacing w:line="320" w:lineRule="exact"/>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keepLines w:val="0"/>
        <w:keepNext w:val="0"/>
        <w:pageBreakBefore w:val="0"/>
        <w:spacing w:line="320" w:lineRule="exact"/>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9</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304不锈钢拖把池</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3325-2024《金属家具通用技术条件》标准，平整度、位差度、底脚着地平稳性通过国家标准检测；外观性能要求金属件焊接件通过国家标准检测；</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lang w:val="zh-CN" w:eastAsia="zh-CN"/>
        </w:rPr>
        <w:t xml:space="preserve">依据</w:t>
      </w:r>
      <w:r>
        <w:rPr>
          <w:rFonts w:hint="eastAsia" w:ascii="宋体" w:hAnsi="宋体" w:eastAsia="宋体" w:cs="宋体"/>
          <w:color w:val="auto"/>
          <w:highlight w:val="none"/>
          <w:lang w:val="en-US" w:eastAsia="zh-CN"/>
        </w:rPr>
        <w:t xml:space="preserve">符合GB/T 35607-2024《绿色产品评价家具》标准，家具中可迁移有害元素限量：家具中可迁移有害元素限量：铅≤20mg/kg、镉≤20mg/kg、铬≤20mg/kg、汞≤20mg/kg、锑≤20mg/kg、钡≤20mg/kg、硒≤20mg/kg；</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0</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诊断桌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color w:val="auto"/>
          <w:sz w:val="21"/>
          <w:szCs w:val="21"/>
          <w:highlight w:val="none"/>
          <w:lang w:val="en-US" w:bidi="zh-CN"/>
        </w:rPr>
      </w:pPr>
      <w:r>
        <w:rPr>
          <w:rFonts w:hint="eastAsia" w:ascii="宋体" w:hAnsi="宋体" w:eastAsia="宋体" w:cs="宋体"/>
          <w:color w:val="auto"/>
          <w:highlight w:val="none"/>
          <w:lang w:val="zh-CN"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zh-CN"/>
        </w:rPr>
        <w:t xml:space="preserve">GB/T 35607-2024《绿色产品评价 家具》</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rPr>
        <w:t xml:space="preserve">符合以下要求</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zh-CN" w:eastAsia="zh-CN"/>
        </w:rPr>
        <w:t xml:space="preserve">甲醛释放量≤0.035mg/m³、苯≤0.025mg/m³、甲苯≤0.05mg/m³、二甲苯≤0.05mg/m³、总挥发性有机化合物TVOC≤0.05mg/m³；</w:t>
      </w:r>
      <w:r>
        <w:rPr>
          <w:rFonts w:hint="eastAsia" w:ascii="宋体" w:hAnsi="宋体" w:eastAsia="宋体" w:cs="宋体"/>
          <w:color w:val="auto"/>
          <w:highlight w:val="none"/>
          <w:lang w:val="en-US"/>
        </w:rPr>
        <w:t xml:space="preserve">家具涂层可迁移元素：</w:t>
      </w:r>
      <w:r>
        <w:rPr>
          <w:rFonts w:hint="eastAsia" w:ascii="宋体" w:hAnsi="宋体" w:eastAsia="宋体" w:cs="宋体"/>
          <w:color w:val="auto"/>
          <w:highlight w:val="none"/>
          <w:lang w:val="en-US" w:eastAsia="zh-CN"/>
        </w:rPr>
        <w:t xml:space="preserve">铅≤20mg/kg、镉≤20mg/kg、铬≤20mg/kg、汞≤20mg/kg、锑≤20mg/kg、钡≤20mg/kg、硒≤20mg/kg；</w:t>
      </w:r>
      <w:r/>
    </w:p>
    <w:p>
      <w:pPr>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1</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病人椅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lang w:val="zh-CN"/>
        </w:rPr>
      </w:pPr>
      <w:r>
        <w:rPr>
          <w:rFonts w:hint="eastAsia" w:ascii="宋体" w:hAnsi="宋体" w:eastAsia="宋体" w:cs="宋体"/>
          <w:color w:val="auto"/>
          <w:sz w:val="21"/>
          <w:szCs w:val="22"/>
          <w:highlight w:val="none"/>
          <w:lang w:val="zh-CN" w:eastAsia="zh-CN" w:bidi="ar-SA"/>
        </w:rPr>
        <w:t xml:space="preserve">①</w:t>
      </w:r>
      <w:r>
        <w:rPr>
          <w:rFonts w:hint="eastAsia" w:ascii="宋体" w:hAnsi="宋体" w:eastAsia="宋体" w:cs="宋体"/>
          <w:color w:val="auto"/>
          <w:highlight w:val="none"/>
          <w:lang w:val="zh-CN"/>
        </w:rPr>
        <w:t xml:space="preserve">依据符合GB/T32487-2016《塑料家具通用技术条件》</w:t>
      </w:r>
      <w:r>
        <w:rPr>
          <w:rFonts w:hint="eastAsia" w:ascii="宋体" w:hAnsi="宋体" w:eastAsia="宋体" w:cs="宋体"/>
          <w:color w:val="auto"/>
          <w:highlight w:val="none"/>
          <w:lang w:val="en-US"/>
        </w:rPr>
        <w:t xml:space="preserve">标准，</w:t>
      </w:r>
      <w:r>
        <w:rPr>
          <w:rFonts w:hint="eastAsia" w:ascii="宋体" w:hAnsi="宋体" w:eastAsia="宋体" w:cs="宋体"/>
          <w:color w:val="auto"/>
          <w:highlight w:val="none"/>
          <w:lang w:val="zh-CN"/>
        </w:rPr>
        <w:t xml:space="preserve">塑料件外观：应无裂纹、明显变形、缩水、针孔；应无凹陷、飞边、折皱、疙瘩；应无气泡、杂质、伤痕、白印；表面应光洁，应无划痕、毛刺、拉毛、污渍；应无明显色差；力学性能：通过座面静载荷试验、椅背静载荷试验、椅腿前向静载荷试验、椅腿侧向静载荷试验、座面冲击试验、椅背冲击试验；理化性能：塑料件耐冷热循环，应无裂纹、鼓泡、变色、起皱；</w:t>
      </w:r>
      <w:r/>
    </w:p>
    <w:p>
      <w:pPr>
        <w:numPr>
          <w:ilvl w:val="0"/>
          <w:numId w:val="0"/>
        </w:numPr>
        <w:rPr>
          <w:rFonts w:hint="eastAsia" w:ascii="宋体" w:hAnsi="宋体" w:eastAsia="宋体" w:cs="宋体"/>
          <w:color w:val="auto"/>
          <w:highlight w:val="none"/>
          <w:lang w:val="en-US"/>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zh-CN"/>
        </w:rPr>
        <w:t xml:space="preserve">依据符合GB/T16422.3-2022《塑料实验室光源暴露试验方法第3部分：荧光紫外灯》</w:t>
      </w:r>
      <w:r>
        <w:rPr>
          <w:rFonts w:hint="eastAsia" w:ascii="宋体" w:hAnsi="宋体" w:eastAsia="宋体" w:cs="宋体"/>
          <w:color w:val="auto"/>
          <w:highlight w:val="none"/>
          <w:lang w:val="en-US"/>
        </w:rPr>
        <w:t xml:space="preserve">标准</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rPr>
        <w:t xml:space="preserve">通过荧光紫外老化（≥</w:t>
      </w:r>
      <w:r>
        <w:rPr>
          <w:rFonts w:hint="eastAsia" w:ascii="宋体" w:hAnsi="宋体" w:eastAsia="宋体" w:cs="宋体"/>
          <w:color w:val="auto"/>
          <w:highlight w:val="none"/>
          <w:lang w:val="en-US"/>
        </w:rPr>
        <w:t xml:space="preserve">2</w:t>
      </w:r>
      <w:r>
        <w:rPr>
          <w:rFonts w:hint="eastAsia" w:ascii="宋体" w:hAnsi="宋体" w:eastAsia="宋体" w:cs="宋体"/>
          <w:color w:val="auto"/>
          <w:highlight w:val="none"/>
          <w:lang w:val="zh-CN"/>
        </w:rPr>
        <w:t xml:space="preserve">00h）试验：试检后样品表面应无明显开裂；</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2</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提供转椅的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color w:val="auto"/>
          <w:sz w:val="21"/>
          <w:szCs w:val="21"/>
          <w:highlight w:val="none"/>
          <w:lang w:val="zh-CN" w:bidi="zh-CN"/>
        </w:rPr>
      </w:pP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zh-CN"/>
        </w:rPr>
        <w:t xml:space="preserve">依据符合</w:t>
      </w:r>
      <w:r>
        <w:rPr>
          <w:rFonts w:hint="eastAsia" w:ascii="宋体" w:hAnsi="宋体" w:eastAsia="宋体" w:cs="宋体"/>
          <w:b w:val="0"/>
          <w:bCs/>
          <w:color w:val="auto"/>
          <w:sz w:val="21"/>
          <w:szCs w:val="21"/>
          <w:highlight w:val="none"/>
          <w:lang w:val="zh-CN" w:bidi="zh-CN"/>
        </w:rPr>
        <w:t xml:space="preserve">QB/T 2280-2016《办公家具 办公</w:t>
      </w:r>
      <w:r>
        <w:rPr>
          <w:rFonts w:hint="eastAsia" w:ascii="宋体" w:hAnsi="宋体" w:eastAsia="宋体" w:cs="宋体"/>
          <w:b w:val="0"/>
          <w:bCs/>
          <w:color w:val="auto"/>
          <w:sz w:val="21"/>
          <w:szCs w:val="21"/>
          <w:highlight w:val="none"/>
          <w:lang w:val="en-US" w:bidi="zh-CN"/>
        </w:rPr>
        <w:t xml:space="preserve">椅</w:t>
      </w:r>
      <w:r>
        <w:rPr>
          <w:rFonts w:hint="eastAsia" w:ascii="宋体" w:hAnsi="宋体" w:eastAsia="宋体" w:cs="宋体"/>
          <w:b w:val="0"/>
          <w:bCs/>
          <w:color w:val="auto"/>
          <w:sz w:val="21"/>
          <w:szCs w:val="21"/>
          <w:highlight w:val="none"/>
          <w:lang w:val="zh-CN" w:bidi="zh-CN"/>
        </w:rPr>
        <w:t xml:space="preserve">》</w:t>
      </w:r>
      <w:r>
        <w:rPr>
          <w:rFonts w:hint="eastAsia" w:ascii="宋体" w:hAnsi="宋体" w:eastAsia="宋体" w:cs="宋体"/>
          <w:b w:val="0"/>
          <w:bCs w:val="0"/>
          <w:color w:val="auto"/>
          <w:sz w:val="21"/>
          <w:szCs w:val="21"/>
          <w:highlight w:val="none"/>
          <w:lang w:val="en-US" w:eastAsia="zh-CN"/>
        </w:rPr>
        <w:t xml:space="preserve">标准；通过力学性能座面冲击；</w:t>
      </w:r>
      <w:r/>
    </w:p>
    <w:p>
      <w:pPr>
        <w:numPr>
          <w:ilvl w:val="0"/>
          <w:numId w:val="0"/>
        </w:numPr>
        <w:rPr>
          <w:rFonts w:hint="eastAsia" w:ascii="宋体" w:hAnsi="宋体" w:eastAsia="宋体" w:cs="宋体"/>
          <w:b w:val="0"/>
          <w:bCs/>
          <w:color w:val="auto"/>
          <w:sz w:val="21"/>
          <w:szCs w:val="21"/>
          <w:highlight w:val="none"/>
          <w:lang w:val="en-US" w:bidi="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zh-CN"/>
        </w:rPr>
        <w:t xml:space="preserve">依据符合</w:t>
      </w:r>
      <w:r>
        <w:rPr>
          <w:rFonts w:hint="eastAsia" w:ascii="宋体" w:hAnsi="宋体" w:eastAsia="宋体" w:cs="宋体"/>
          <w:b w:val="0"/>
          <w:bCs/>
          <w:color w:val="auto"/>
          <w:sz w:val="21"/>
          <w:szCs w:val="21"/>
          <w:highlight w:val="none"/>
          <w:lang w:val="zh-CN" w:bidi="zh-CN"/>
        </w:rPr>
        <w:t xml:space="preserve">GB/T 29525-2013《座椅升降气弹簧 技术条件》</w:t>
      </w:r>
      <w:r>
        <w:rPr>
          <w:rFonts w:hint="eastAsia" w:ascii="宋体" w:hAnsi="宋体" w:eastAsia="宋体" w:cs="宋体"/>
          <w:b w:val="0"/>
          <w:bCs w:val="0"/>
          <w:color w:val="auto"/>
          <w:sz w:val="21"/>
          <w:szCs w:val="21"/>
          <w:highlight w:val="none"/>
          <w:lang w:val="en-US" w:eastAsia="zh-CN"/>
        </w:rPr>
        <w:t xml:space="preserve">标准；符合以下检测项目：</w:t>
      </w:r>
      <w:r>
        <w:rPr>
          <w:rFonts w:hint="eastAsia" w:ascii="宋体" w:hAnsi="宋体" w:eastAsia="宋体" w:cs="宋体"/>
          <w:b w:val="0"/>
          <w:bCs/>
          <w:color w:val="auto"/>
          <w:sz w:val="21"/>
          <w:szCs w:val="21"/>
          <w:highlight w:val="none"/>
          <w:lang w:val="en-US" w:bidi="zh-CN"/>
        </w:rPr>
        <w:t xml:space="preserve">伸展速度：气弹簧的伸展速度应在70mm/s-150mm/s之间；</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3</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输液椅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①依据GB/T 3325-2024《金属家具通用技术条件》标准；符合以下检测项目：金属件管材应无裂缝、叠缝；外露管口端面应封闭；圆管和扁线管弯曲处弧形应圆滑一致；通过基本结构安全检测；理化性能：冲击强度、耐盐浴通过检测；力学性能：椅凳类强度和耐久性（通过检测：座面静载荷试验、椅背静载荷试验、扶手垂直向下静载荷试验、座面耐久性试验、椅背耐久性试验、扶手耐久性试验）；椅凳类稳定性（通过检测：椅子向前倾翻试验应无倾翻、椅子向后倾翻试验应无倾翻）；</w:t>
      </w:r>
      <w:r/>
    </w:p>
    <w:p>
      <w:pPr>
        <w:keepLines w:val="0"/>
        <w:keepNext w:val="0"/>
        <w:pageBreakBefore w:val="0"/>
        <w:spacing w:line="320" w:lineRule="exact"/>
        <w:rPr>
          <w:rFonts w:hint="eastAsia" w:ascii="宋体" w:hAnsi="宋体" w:eastAsia="宋体" w:cs="宋体"/>
          <w:b/>
          <w:color w:val="auto"/>
          <w:sz w:val="21"/>
          <w:szCs w:val="21"/>
          <w:highlight w:val="none"/>
          <w:lang w:val="zh-CN" w:bidi="zh-CN"/>
        </w:rPr>
      </w:pPr>
      <w:r>
        <w:rPr>
          <w:rFonts w:hint="eastAsia" w:ascii="宋体" w:hAnsi="宋体" w:eastAsia="宋体" w:cs="宋体"/>
          <w:b/>
          <w:bCs/>
          <w:color w:val="auto"/>
          <w:sz w:val="22"/>
          <w:highlight w:val="none"/>
          <w:lang w:val="zh-CN" w:bidi="zh-CN"/>
        </w:rPr>
        <w:t xml:space="preserve">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(14)</w:t>
      </w:r>
      <w:r>
        <w:rPr>
          <w:rFonts w:hint="eastAsia" w:ascii="宋体" w:hAnsi="宋体" w:eastAsia="宋体" w:cs="宋体"/>
          <w:b/>
          <w:color w:val="auto"/>
          <w:sz w:val="21"/>
          <w:szCs w:val="21"/>
          <w:highlight w:val="none"/>
          <w:lang w:val="en-US" w:bidi="zh-CN"/>
        </w:rPr>
        <w:t xml:space="preserve">提供候诊椅（等候椅）的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①依据符合GB/T 35607-2024《绿色产品评价家具》标准；</w:t>
      </w:r>
      <w:r>
        <w:rPr>
          <w:rFonts w:hint="eastAsia" w:ascii="宋体" w:hAnsi="宋体" w:eastAsia="宋体" w:cs="宋体"/>
          <w:color w:val="auto"/>
          <w:highlight w:val="none"/>
          <w:lang w:val="zh-CN" w:eastAsia="zh-CN"/>
        </w:rPr>
        <w:t xml:space="preserve">甲醛释放量≤0.035mg/m³</w:t>
      </w:r>
      <w:r>
        <w:rPr>
          <w:rFonts w:hint="eastAsia" w:ascii="宋体" w:hAnsi="宋体" w:eastAsia="宋体" w:cs="宋体"/>
          <w:color w:val="auto"/>
          <w:highlight w:val="none"/>
          <w:lang w:val="en-US" w:eastAsia="zh-CN"/>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②依据符合GB/T 11345-2023《焊缝无损检测 超声检测 技术、检测等级和评定》标准；焊缝无损等级检测；</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w:t>
      </w:r>
      <w:r>
        <w:rPr>
          <w:rFonts w:hint="eastAsia" w:ascii="宋体" w:hAnsi="宋体" w:eastAsia="宋体" w:cs="宋体"/>
          <w:b/>
          <w:color w:val="auto"/>
          <w:sz w:val="21"/>
          <w:szCs w:val="21"/>
          <w:highlight w:val="none"/>
          <w:lang w:val="en-US" w:bidi="zh-CN"/>
        </w:rPr>
        <w:t xml:space="preserve">二</w:t>
      </w:r>
      <w:r>
        <w:rPr>
          <w:rFonts w:hint="eastAsia" w:ascii="宋体" w:hAnsi="宋体" w:eastAsia="宋体" w:cs="宋体"/>
          <w:b/>
          <w:color w:val="auto"/>
          <w:sz w:val="21"/>
          <w:szCs w:val="21"/>
          <w:highlight w:val="none"/>
          <w:lang w:val="zh-CN" w:bidi="zh-CN"/>
        </w:rPr>
        <w:t xml:space="preserve">）</w:t>
      </w:r>
      <w:r>
        <w:rPr>
          <w:rFonts w:hint="eastAsia" w:ascii="宋体" w:hAnsi="宋体" w:eastAsia="宋体" w:cs="宋体"/>
          <w:b/>
          <w:color w:val="auto"/>
          <w:sz w:val="21"/>
          <w:szCs w:val="21"/>
          <w:highlight w:val="none"/>
          <w:lang w:val="en-US" w:bidi="zh-CN"/>
        </w:rPr>
        <w:t xml:space="preserve">原材料</w:t>
      </w:r>
      <w:r>
        <w:rPr>
          <w:rFonts w:hint="eastAsia" w:ascii="宋体" w:hAnsi="宋体" w:eastAsia="宋体" w:cs="宋体"/>
          <w:b/>
          <w:color w:val="auto"/>
          <w:sz w:val="21"/>
          <w:szCs w:val="21"/>
          <w:highlight w:val="none"/>
          <w:lang w:val="zh-CN" w:bidi="zh-CN"/>
        </w:rPr>
        <w:t xml:space="preserve">检测报告</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人造石</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①依据符合JC/T 908-2013《人造石》标准；实体面材PMMA类:A级不小于70；荷载变形和冲击韧性实体面材冲击韧性不小于5.0kJ/m²，耐污染性耐污值总和：≤50；最大污迹深度：≤0.10mm;</w:t>
      </w:r>
      <w:r/>
    </w:p>
    <w:p>
      <w:pPr>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②</w:t>
      </w:r>
      <w:r>
        <w:rPr>
          <w:rFonts w:hint="eastAsia" w:ascii="宋体" w:hAnsi="宋体" w:eastAsia="宋体" w:cs="宋体"/>
          <w:color w:val="auto"/>
          <w:highlight w:val="none"/>
          <w:lang w:val="en-US" w:eastAsia="zh-CN"/>
        </w:rPr>
        <w:t xml:space="preserve">依据</w:t>
      </w:r>
      <w:r>
        <w:rPr>
          <w:rFonts w:hint="eastAsia" w:ascii="宋体" w:hAnsi="宋体" w:eastAsia="宋体" w:cs="宋体"/>
          <w:color w:val="auto"/>
          <w:highlight w:val="none"/>
          <w:lang w:val="zh-CN" w:eastAsia="zh-CN"/>
        </w:rPr>
        <w:t xml:space="preserve">符合GB/T 24128-2018《塑料塑料防霉剂的防霉效果评估》</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lang w:val="zh-CN" w:eastAsia="zh-CN"/>
        </w:rPr>
        <w:t xml:space="preserve">；试验霉种至少包含：桔青霉等5种及以上霉类，长霉级别不低于 0 级</w:t>
      </w:r>
      <w:r>
        <w:rPr>
          <w:rFonts w:hint="eastAsia" w:ascii="宋体" w:hAnsi="宋体" w:cs="宋体"/>
          <w:color w:val="auto"/>
          <w:highlight w:val="none"/>
          <w:lang w:val="zh-CN" w:eastAsia="zh-CN"/>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③依据符合GB/T 31402-2023《塑料和其他无孔材料表面抗菌活性的测定》标准，通过抗细菌性能检测至少包含大肠埃希氏菌（大肠杆菌）等任意5种菌类，抗细菌率或抑菌率均≥99%；</w:t>
      </w:r>
      <w:r/>
    </w:p>
    <w:p>
      <w:pPr>
        <w:pStyle w:val="712"/>
        <w:rPr>
          <w:rFonts w:hint="eastAsia"/>
          <w:color w:val="auto"/>
          <w:highlight w:val="none"/>
          <w:lang w:val="en-US" w:eastAsia="zh-CN"/>
        </w:rPr>
      </w:pPr>
      <w:r>
        <w:rPr>
          <w:rFonts w:hint="eastAsia"/>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(2)</w:t>
      </w:r>
      <w:r>
        <w:rPr>
          <w:rFonts w:hint="eastAsia" w:ascii="宋体" w:hAnsi="宋体" w:eastAsia="宋体" w:cs="宋体"/>
          <w:b/>
          <w:color w:val="auto"/>
          <w:sz w:val="21"/>
          <w:szCs w:val="21"/>
          <w:highlight w:val="none"/>
          <w:lang w:val="en-US" w:bidi="zh-CN"/>
        </w:rPr>
        <w:t xml:space="preserve">提供电解钢板的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①依据符合</w:t>
      </w:r>
      <w:r>
        <w:rPr>
          <w:rFonts w:hint="eastAsia" w:ascii="宋体" w:hAnsi="宋体" w:eastAsia="宋体" w:cs="宋体"/>
          <w:color w:val="auto"/>
          <w:highlight w:val="none"/>
        </w:rPr>
        <w:t xml:space="preserve">GB/T232-2024《金属材料 弯曲试验方法》</w:t>
      </w:r>
      <w:r>
        <w:rPr>
          <w:rFonts w:hint="eastAsia" w:ascii="宋体" w:hAnsi="宋体" w:cs="宋体"/>
          <w:color w:val="auto"/>
          <w:highlight w:val="none"/>
          <w:lang w:val="en-US" w:eastAsia="zh-CN"/>
        </w:rPr>
        <w:t xml:space="preserve">标准</w:t>
      </w:r>
      <w:r>
        <w:rPr>
          <w:rFonts w:hint="eastAsia" w:ascii="宋体" w:hAnsi="宋体" w:eastAsia="宋体" w:cs="宋体"/>
          <w:color w:val="auto"/>
          <w:highlight w:val="none"/>
        </w:rPr>
        <w:t xml:space="preserve">：通过弯曲试验后试样弯曲外表面无可见裂纹。</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rPr>
        <w:t xml:space="preserve">喷粉涂层按GB/T 4893.1-2021《家具表面漆膜理化性能试验 第1部分：耐冷液测定法》进行耐冷液测试</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③依据符合</w:t>
      </w:r>
      <w:r>
        <w:rPr>
          <w:rFonts w:hint="eastAsia" w:ascii="宋体" w:hAnsi="宋体" w:eastAsia="宋体" w:cs="宋体"/>
          <w:color w:val="auto"/>
          <w:highlight w:val="none"/>
        </w:rPr>
        <w:t xml:space="preserve">GB/T13448-2019《彩色涂层钢板及钢带试验方法》要求：反向冲击试样3次反向冲击均无脱落或开裂；耐酸碱试验结果：试样无失光、无变色、无起泡/脱落现象；</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④依据符合GB/T228.1-2021《金属材料 拉伸试验 第1部分:室温试验方法》的要求：抗拉强度≥400MPa、规定塑性延伸强度≥200MPa;断后伸长率≥50%；</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⑤依据符合GB/T 2423.18-2021《环境试验 第 2 部分：试验方法 试验 Kb：盐雾，交变（氯化钠溶液）》的要求，交变盐雾试验≥72h：试验后样品无锈蚀、鼓泡；</w:t>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(3)</w:t>
      </w:r>
      <w:r>
        <w:rPr>
          <w:rFonts w:hint="eastAsia" w:ascii="宋体" w:hAnsi="宋体" w:eastAsia="宋体" w:cs="宋体"/>
          <w:b/>
          <w:color w:val="auto"/>
          <w:sz w:val="21"/>
          <w:szCs w:val="21"/>
          <w:highlight w:val="none"/>
          <w:lang w:val="en-US" w:bidi="zh-CN"/>
        </w:rPr>
        <w:t xml:space="preserve">提供粉末的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①依据符合HG/T 2006-2022《热固性和热塑性粉末涂料》标准；铅笔硬度（内聚破坏中擦伤）≥3H；弯曲试验≤2，涂层无开裂或从底材上剥落；耐湿性（室内用）≥120h无异常，耐沸水性（≥48h）无异常；耐酸性[3%（质量分数）盐酸溶液]≥120h无异常；耐碱性[5%（质量分数）氢氧化钠溶液]室内用≥120h无异常；通过耐人工气候老化性≥120h检测，无粉化、起泡、开裂、剥落等异常现象，杯突试验≥4mm；干附着力≤1级、沸水附着力≤1级、湿附着力≤1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②依据符合GB/T 35602-2017《绿色产品评价 涂料》标准；重金属元素含量：铅（Pb）≤15mg/kg；镉（Cd）≤15mg/kg；六价铬（Cr6+）≤15mg/kg；汞（Hg）≤15mg/kg；砷（As）≤15mg/kg；钡（Ba）≤15mg/kg；硒（Se）≤15mg/kg；锑（Sb）≤15mg/kg；钴（Co）≤15mg/kg；</w:t>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(4)</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缓冲门铰（铰链）</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①依据符合QB/T2189-2013《家具五金杯状暗链》标准，通过功能垂直静载荷检测、水平静载荷检测、下沉量不应大于2.0mm;</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②依据符合QB/T 3832-1999《轻工产品金属镀层腐蚀试验结果的评价》、QB/T 3827-1999《轻工产品金属镀层和化学处理层的耐腐蚀试验方法乙酸盐雾试验(ASS)法》、GB/T6461-2002《金属基体上金属和其他无机覆盖层经腐蚀试验后的试样和试件的评级》标准；乙酸盐雾试验≥100h;镀（涂）层对基体的保护等级≥9级；镀（涂）层本身耐腐蚀等级≥9级；外观评级≥9级；保护评级≥9级；</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导轨（路轨）</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①依据符合QB/T 2454-2013《家具五金 抽屉导轨》标准;通过功能垂直向下静载荷、水平侧向静载荷、下沉量不超过2%；</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②依据符合QB/T 3832-1999《轻工产品金属镀层腐蚀试验结果的评价》、QB/T 3827-1999《轻工产品金属镀层和化学处理层的耐腐蚀试验方法乙酸盐雾试验(ASS)法》、GB/T6461-2002《金属基体上金属和其他无机覆盖层经腐蚀试验后的试样和试件的评级》标准；乙酸盐雾试验≥100h;镀（涂）层对基体的保护等级≥9级；镀（涂）层本身耐腐蚀等级≥9级；外观评级≥9级；保护评级≥9级；</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(6)</w:t>
      </w:r>
      <w:r>
        <w:rPr>
          <w:rFonts w:hint="eastAsia" w:ascii="宋体" w:hAnsi="宋体" w:eastAsia="宋体" w:cs="宋体"/>
          <w:b/>
          <w:color w:val="auto"/>
          <w:sz w:val="21"/>
          <w:szCs w:val="21"/>
          <w:highlight w:val="none"/>
          <w:lang w:val="en-US" w:bidi="zh-CN"/>
        </w:rPr>
        <w:t xml:space="preserve">提供理化板的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en-US" w:eastAsia="zh-CN"/>
        </w:rPr>
        <w:t xml:space="preserve">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17657-2022《人造板及饰面人造板理化性能试验方法》标准；耐化学性能达到5级；表面耐干热达到5级；耐化学性能污染物：硫酸（1.77%）；硝酸（65%）；氢氟酸（40%）；盐酸（37%）；磷酸（85%）；乙酸（99%）；丙酮（16h）；氢氧化钠（25%）；二氯甲烷；乙醇；四氯化碳；硼酸；高氯酸（90%）；铬酸（60%）；柠檬酸（10%）；氨水（10%）；氨基磺酸（5%）；碘酒；漂白剂；碱性金属清洗剂；红药水；咖啡；商用消毒剂：碱溶液清洗剂（10%）：指甲油清洗剂；盐酸清洗剂等至少20种化学试剂检测</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lang w:val="en-US" w:eastAsia="zh-CN"/>
        </w:rPr>
        <w:t xml:space="preserve">24h吸水率≤0.35%；表面耐磨达到1400r;表面耐划痕达到5级； </w:t>
      </w:r>
      <w:r/>
    </w:p>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en-US" w:eastAsia="zh-CN"/>
        </w:rPr>
        <w:t xml:space="preserve">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3398.2-2008《塑料 硬度测定 第2部分：洛氏硬度》标准；洛氏硬度≥110HR；</w:t>
      </w:r>
      <w:r/>
    </w:p>
    <w:p>
      <w:pPr>
        <w:numPr>
          <w:ilvl w:val="0"/>
          <w:numId w:val="0"/>
        </w:numPr>
        <w:ind w:left="425" w:hanging="425"/>
        <w:rPr>
          <w:rFonts w:hint="eastAsia" w:ascii="宋体" w:hAnsi="宋体" w:eastAsia="宋体" w:cs="宋体"/>
          <w:b/>
          <w:color w:val="auto"/>
          <w:sz w:val="21"/>
          <w:szCs w:val="21"/>
          <w:highlight w:val="none"/>
          <w:lang w:val="en-US" w:eastAsia="zh-CN" w:bidi="zh-CN"/>
        </w:rPr>
      </w:pPr>
      <w:r>
        <w:rPr>
          <w:rFonts w:hint="eastAsia" w:ascii="宋体" w:hAnsi="宋体" w:eastAsia="宋体" w:cs="宋体"/>
          <w:b/>
          <w:color w:val="auto"/>
          <w:sz w:val="21"/>
          <w:szCs w:val="21"/>
          <w:highlight w:val="none"/>
          <w:lang w:val="en-US" w:eastAsia="zh-CN" w:bidi="zh-CN"/>
        </w:rPr>
      </w:r>
      <w:r/>
    </w:p>
    <w:p>
      <w:pPr>
        <w:numPr>
          <w:ilvl w:val="0"/>
          <w:numId w:val="0"/>
        </w:numPr>
        <w:ind w:left="425" w:hanging="425"/>
        <w:rPr>
          <w:rFonts w:hint="default" w:ascii="宋体" w:hAnsi="宋体" w:eastAsia="宋体" w:cs="宋体"/>
          <w:b/>
          <w:color w:val="auto"/>
          <w:sz w:val="21"/>
          <w:szCs w:val="21"/>
          <w:highlight w:val="none"/>
          <w:lang w:val="en-US" w:eastAsia="zh-CN" w:bidi="zh-CN"/>
        </w:rPr>
      </w:pPr>
      <w:r>
        <w:rPr>
          <w:rFonts w:hint="default" w:ascii="宋体" w:hAnsi="宋体" w:eastAsia="宋体" w:cs="宋体"/>
          <w:b/>
          <w:color w:val="auto"/>
          <w:sz w:val="21"/>
          <w:szCs w:val="21"/>
          <w:highlight w:val="none"/>
          <w:lang w:val="en-US" w:eastAsia="zh-CN"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(7)</w:t>
      </w:r>
      <w:r>
        <w:rPr>
          <w:rFonts w:hint="eastAsia" w:ascii="宋体" w:hAnsi="宋体" w:eastAsia="宋体" w:cs="宋体"/>
          <w:b/>
          <w:bCs/>
          <w:color w:val="auto"/>
          <w:sz w:val="21"/>
          <w:szCs w:val="21"/>
          <w:highlight w:val="none"/>
          <w:lang w:val="en-US" w:bidi="zh-CN"/>
        </w:rPr>
        <w:t xml:space="preserve">刨花板</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en-US" w:eastAsia="zh-CN"/>
        </w:rPr>
        <w:t xml:space="preserve">依据符合</w:t>
      </w:r>
      <w:r>
        <w:rPr>
          <w:rFonts w:hint="eastAsia" w:ascii="宋体" w:hAnsi="宋体" w:eastAsia="宋体" w:cs="宋体"/>
          <w:b w:val="0"/>
          <w:bCs w:val="0"/>
          <w:color w:val="auto"/>
          <w:sz w:val="21"/>
          <w:szCs w:val="21"/>
          <w:highlight w:val="none"/>
          <w:lang w:val="en-US" w:eastAsia="zh-CN"/>
        </w:rPr>
        <w:t xml:space="preserve">GB/T 4897-2015《刨花板》标准</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含水率3-13%；静曲强度≥15MPa；弹性模量≥2000MPa；甲醛释放量≤0.015mg/m³；</w:t>
      </w:r>
      <w:r/>
    </w:p>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QB/T4371-2012《家具抗菌性能的评价》</w:t>
      </w:r>
      <w:r>
        <w:rPr>
          <w:rFonts w:hint="eastAsia" w:ascii="宋体" w:hAnsi="宋体" w:eastAsia="宋体" w:cs="宋体"/>
          <w:color w:val="auto"/>
          <w:highlight w:val="none"/>
          <w:lang w:val="en-US" w:eastAsia="zh-CN"/>
        </w:rPr>
        <w:t xml:space="preserve">标准；通过抗细菌性能检测至少包含大肠埃希氏菌（大肠杆菌）等任意5种菌类，抗细菌率或抑菌率均≥99%</w:t>
      </w:r>
      <w:r/>
    </w:p>
    <w:p>
      <w:p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eastAsia="zh-CN" w:bidi="zh-CN"/>
        </w:rPr>
      </w:pPr>
      <w:r>
        <w:rPr>
          <w:rFonts w:hint="eastAsia" w:ascii="宋体" w:hAnsi="宋体" w:eastAsia="宋体" w:cs="宋体"/>
          <w:b/>
          <w:color w:val="auto"/>
          <w:sz w:val="21"/>
          <w:szCs w:val="21"/>
          <w:highlight w:val="none"/>
          <w:lang w:val="en-US"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(8)</w:t>
      </w:r>
      <w:r>
        <w:rPr>
          <w:rFonts w:hint="eastAsia" w:ascii="宋体" w:hAnsi="宋体" w:eastAsia="宋体" w:cs="宋体"/>
          <w:b/>
          <w:color w:val="auto"/>
          <w:sz w:val="21"/>
          <w:szCs w:val="21"/>
          <w:highlight w:val="none"/>
          <w:lang w:val="en-US" w:bidi="zh-CN"/>
        </w:rPr>
        <w:t xml:space="preserve">提供白蜡木的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①依据符合GB/T 1927.4-2021《无疵小试样木材物理力学性质试验方法 第4部分：含水率测定》标准，通过含水率检测；</w:t>
      </w:r>
      <w:r>
        <w:rPr>
          <w:rFonts w:hint="eastAsia" w:ascii="宋体" w:hAnsi="宋体" w:eastAsia="宋体" w:cs="宋体"/>
          <w:color w:val="auto"/>
          <w:highlight w:val="none"/>
          <w:lang w:val="en-US" w:eastAsia="zh-CN"/>
        </w:rPr>
        <w:br/>
      </w:r>
      <w:r>
        <w:rPr>
          <w:rFonts w:hint="eastAsia" w:ascii="宋体" w:hAnsi="宋体" w:eastAsia="宋体" w:cs="宋体"/>
          <w:color w:val="auto"/>
          <w:highlight w:val="none"/>
          <w:lang w:val="en-US" w:eastAsia="zh-CN"/>
        </w:rPr>
        <w:t xml:space="preserve">②依据符合GB/T 1927.19-2021《无疵小试样木材物理力学性质试验方法 第19部分：硬度测定》标准，通过硬度检测；</w:t>
      </w:r>
      <w:r>
        <w:rPr>
          <w:rFonts w:hint="eastAsia" w:ascii="宋体" w:hAnsi="宋体" w:eastAsia="宋体" w:cs="宋体"/>
          <w:color w:val="auto"/>
          <w:highlight w:val="none"/>
          <w:lang w:val="en-US" w:eastAsia="zh-CN"/>
        </w:rPr>
        <w:br/>
      </w:r>
      <w:r>
        <w:rPr>
          <w:rFonts w:hint="eastAsia" w:ascii="宋体" w:hAnsi="宋体" w:eastAsia="宋体" w:cs="宋体"/>
          <w:color w:val="auto"/>
          <w:highlight w:val="none"/>
          <w:lang w:val="en-US" w:eastAsia="zh-CN"/>
        </w:rPr>
        <w:t xml:space="preserve">③依据符合GB/T 1927.17-2021《无疵小试样木材物理力学性质试验方法 第17部分:冲击韧性测定》标准，通过冲击韧性测定的检测；</w:t>
      </w:r>
      <w:r>
        <w:rPr>
          <w:rFonts w:hint="eastAsia" w:ascii="宋体" w:hAnsi="宋体" w:eastAsia="宋体" w:cs="宋体"/>
          <w:color w:val="auto"/>
          <w:highlight w:val="none"/>
          <w:lang w:val="en-US" w:eastAsia="zh-CN"/>
        </w:rPr>
        <w:br/>
      </w:r>
      <w:r>
        <w:rPr>
          <w:rFonts w:hint="eastAsia" w:ascii="宋体" w:hAnsi="宋体" w:eastAsia="宋体" w:cs="宋体"/>
          <w:color w:val="auto"/>
          <w:highlight w:val="none"/>
          <w:lang w:val="en-US" w:eastAsia="zh-CN"/>
        </w:rPr>
        <w:t xml:space="preserve">④依据符合GB/T 1927.21-2021《无疵小试样木材物理力学性质试验方法 第21部分:握钉力测定》标准，通过握钉力测定的检测；</w:t>
      </w:r>
      <w:r>
        <w:rPr>
          <w:rFonts w:hint="eastAsia" w:ascii="宋体" w:hAnsi="宋体" w:eastAsia="宋体" w:cs="宋体"/>
          <w:color w:val="auto"/>
          <w:highlight w:val="none"/>
          <w:lang w:val="en-US" w:eastAsia="zh-CN"/>
        </w:rPr>
        <w:br/>
      </w:r>
      <w:r>
        <w:rPr>
          <w:rFonts w:hint="eastAsia" w:ascii="宋体" w:hAnsi="宋体" w:eastAsia="宋体" w:cs="宋体"/>
          <w:color w:val="auto"/>
          <w:highlight w:val="none"/>
          <w:lang w:val="en-US" w:eastAsia="zh-CN"/>
        </w:rPr>
        <w:t xml:space="preserve">⑤依据符合GB/T 16259-2008《建筑材料人工气候加速老化试验方法》标准:人工气候加速老化≥240h；色差△E≤2.0;</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(9)</w:t>
      </w:r>
      <w:r>
        <w:rPr>
          <w:rFonts w:hint="eastAsia" w:ascii="宋体" w:hAnsi="宋体" w:eastAsia="宋体" w:cs="宋体"/>
          <w:b/>
          <w:color w:val="auto"/>
          <w:sz w:val="21"/>
          <w:szCs w:val="21"/>
          <w:highlight w:val="none"/>
          <w:lang w:val="en-US" w:bidi="zh-CN"/>
        </w:rPr>
        <w:t xml:space="preserve">提供皮革的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①依据符合GB/T 16799-2018《家具用皮革》标准，通过检测：摩擦色牢度（干擦（500次）、湿擦（250次）、碱性汗液（80次））及耐光性均≥5级；涂层粘着牢度≥10N/10mm；通过耐折牢度（50000次）、耐磨性（CS-10，500g，500r）及感官要求检验检测项目</w:t>
      </w:r>
      <w:r>
        <w:rPr>
          <w:rFonts w:hint="eastAsia" w:ascii="宋体" w:hAnsi="宋体" w:cs="宋体"/>
          <w:color w:val="auto"/>
          <w:highlight w:val="none"/>
          <w:lang w:val="en-US" w:eastAsia="zh-CN"/>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依据符合QB/T 4371-2012《家具抗菌性能的评价》标准，通过抗菌性能检测；</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依据符合QB/T 4199-2011《皮革 防霉性能测试方法》标准，通过皮革防霉性能检测；</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(10)</w:t>
      </w:r>
      <w:r>
        <w:rPr>
          <w:rFonts w:hint="eastAsia" w:ascii="宋体" w:hAnsi="宋体" w:eastAsia="宋体" w:cs="宋体"/>
          <w:b/>
          <w:color w:val="auto"/>
          <w:sz w:val="21"/>
          <w:szCs w:val="21"/>
          <w:highlight w:val="none"/>
          <w:lang w:val="en-US" w:bidi="zh-CN"/>
        </w:rPr>
        <w:t xml:space="preserve">提供海绵的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6344-2008</w:t>
      </w:r>
      <w:r>
        <w:rPr>
          <w:rFonts w:hint="eastAsia" w:ascii="宋体" w:hAnsi="宋体" w:eastAsia="宋体" w:cs="宋体"/>
          <w:color w:val="auto"/>
          <w:highlight w:val="none"/>
          <w:lang w:eastAsia="zh-CN"/>
        </w:rPr>
        <w:t xml:space="preserve">《软质泡沫聚合材料 拉伸强度和断裂伸长率的测定》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拉伸强度≥100kPa；断裂伸长率≥125%；撕裂强度≥5N/cm；干热老化后拉伸强度≥110kPa；湿热老化后拉伸强度≥120kPa；</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6343-2009</w:t>
      </w:r>
      <w:r>
        <w:rPr>
          <w:rFonts w:hint="eastAsia" w:ascii="宋体" w:hAnsi="宋体" w:eastAsia="宋体" w:cs="宋体"/>
          <w:color w:val="auto"/>
          <w:highlight w:val="none"/>
          <w:lang w:eastAsia="zh-CN"/>
        </w:rPr>
        <w:t xml:space="preserve">《泡沫塑料及橡胶 表观密度的测定》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表观密度≥50kg/</w:t>
      </w:r>
      <w:r>
        <w:rPr>
          <w:rFonts w:hint="eastAsia" w:ascii="宋体" w:hAnsi="宋体" w:eastAsia="宋体" w:cs="宋体"/>
          <w:color w:val="auto"/>
          <w:highlight w:val="none"/>
          <w:lang w:val="en-US" w:eastAsia="zh-CN"/>
        </w:rPr>
        <w:t xml:space="preserve">m³</w:t>
      </w:r>
      <w:r>
        <w:rPr>
          <w:rFonts w:hint="eastAsia" w:ascii="宋体" w:hAnsi="宋体" w:eastAsia="宋体" w:cs="宋体"/>
          <w:color w:val="auto"/>
          <w:highlight w:val="none"/>
        </w:rPr>
        <w:t xml:space="preserve">；</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QB/T2819-2006《软质泡沫材料长期疲劳性能的测定》</w:t>
      </w:r>
      <w:r>
        <w:rPr>
          <w:rFonts w:hint="eastAsia" w:ascii="宋体" w:hAnsi="宋体" w:eastAsia="宋体" w:cs="宋体"/>
          <w:color w:val="auto"/>
          <w:highlight w:val="none"/>
          <w:lang w:val="en-US" w:eastAsia="zh-CN"/>
        </w:rPr>
        <w:t xml:space="preserve">标准，通过恒定负荷反复压陷疲劳后的40%压陷硬度损失值(P)/%v类12≤P&lt;22；</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GB/T 10807-2006</w:t>
      </w:r>
      <w:r>
        <w:rPr>
          <w:rFonts w:hint="eastAsia" w:ascii="宋体" w:hAnsi="宋体" w:eastAsia="宋体" w:cs="宋体"/>
          <w:color w:val="auto"/>
          <w:highlight w:val="none"/>
          <w:lang w:eastAsia="zh-CN"/>
        </w:rPr>
        <w:t xml:space="preserve">《软质泡沫聚合材料 硬度的测定（压陷法）》</w:t>
      </w:r>
      <w:r>
        <w:rPr>
          <w:rFonts w:hint="eastAsia" w:ascii="宋体" w:hAnsi="宋体" w:eastAsia="宋体" w:cs="宋体"/>
          <w:color w:val="auto"/>
          <w:highlight w:val="none"/>
          <w:lang w:val="en-US" w:eastAsia="zh-CN"/>
        </w:rPr>
        <w:t xml:space="preserve">标准，40%压陷硬度偏差110≤IFD&lt;145；65%/25%压陷比≥1.8；75%压缩永久变形/%V类≤6</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⑤</w:t>
      </w:r>
      <w:r>
        <w:rPr>
          <w:rFonts w:hint="eastAsia" w:ascii="宋体" w:hAnsi="宋体" w:eastAsia="宋体" w:cs="宋体"/>
          <w:color w:val="auto"/>
          <w:highlight w:val="none"/>
          <w:lang w:val="en-US" w:eastAsia="zh-CN"/>
        </w:rPr>
        <w:t xml:space="preserve">依据符合GB/T6670-2008《软质泡沫聚合材料落球法回弹性能》标准，回弹率≥45%；</w:t>
      </w:r>
      <w:r/>
    </w:p>
    <w:p>
      <w:pPr>
        <w:pStyle w:val="696"/>
        <w:rPr>
          <w:rFonts w:hint="eastAsia"/>
          <w:color w:val="auto"/>
          <w:highlight w:val="none"/>
          <w:lang w:val="en-US" w:eastAsia="zh-CN"/>
        </w:rPr>
      </w:pPr>
      <w:r>
        <w:rPr>
          <w:rFonts w:hint="eastAsia"/>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(11)</w:t>
      </w:r>
      <w:r>
        <w:rPr>
          <w:rFonts w:hint="eastAsia" w:ascii="宋体" w:hAnsi="宋体" w:eastAsia="宋体" w:cs="宋体"/>
          <w:b/>
          <w:color w:val="auto"/>
          <w:sz w:val="21"/>
          <w:szCs w:val="21"/>
          <w:highlight w:val="none"/>
          <w:lang w:val="en-US" w:bidi="zh-CN"/>
        </w:rPr>
        <w:t xml:space="preserve">提供304不锈钢的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lang w:val="en-US" w:eastAsia="zh-CN"/>
        </w:rPr>
        <w:t xml:space="preserve">依据符合GB/T11170-2008《不锈钢多元素含量的测定火花放电原子发射光谱法（常规法）》标准，化学成分C（碳）≤0.05%、Si（硅）≤0.35%、Mn（锰）≤0.10%、P（磷）≤0.040%、S（硫）≤0.020%、Cr（铬）≤18.50%、Ni（镍）≤8.50%；</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依据符合QB/T4371-2012《家具抗菌性能的评价》标准，通过抗细菌性能检测至少包含大肠埃希氏菌（大肠杆菌）、肺炎克雷伯氏菌等任意5种菌类，抗细菌率或抑菌率均≥99%；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③依据符合GB/T 228.1-2021《金属材料 拉伸试验 第1部分：室温试验方法》标准；规定塑性延伸强度≥205MPa;抗拉强度≥515MPa;断后伸长率≥40%；</w:t>
      </w:r>
      <w:r/>
    </w:p>
    <w:p>
      <w:pPr>
        <w:rPr>
          <w:rFonts w:hint="default"/>
          <w:color w:val="auto"/>
          <w:highlight w:val="none"/>
          <w:lang w:val="en-US"/>
        </w:rPr>
      </w:pPr>
      <w:r>
        <w:rPr>
          <w:rFonts w:hint="default"/>
          <w:color w:val="auto"/>
          <w:highlight w:val="none"/>
          <w:lang w:val="en-US"/>
        </w:rPr>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t xml:space="preserve">10.2采购包2</w:t>
      </w:r>
      <w:r/>
    </w:p>
    <w:p>
      <w:pPr>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（一）成品检测报告</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钢制文件柜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eastAsia="宋体" w:cs="Times New Roman"/>
          <w:b w:val="0"/>
          <w:bCs w:val="0"/>
          <w:color w:val="auto"/>
          <w:sz w:val="21"/>
          <w:szCs w:val="21"/>
          <w:highlight w:val="none"/>
          <w:lang w:val="en-US" w:eastAsia="zh-CN"/>
        </w:rPr>
      </w:pPr>
      <w:r>
        <w:rPr>
          <w:rFonts w:hint="eastAsia" w:eastAsia="宋体" w:cs="Times New Roman"/>
          <w:b w:val="0"/>
          <w:bCs w:val="0"/>
          <w:color w:val="auto"/>
          <w:sz w:val="21"/>
          <w:szCs w:val="21"/>
          <w:highlight w:val="none"/>
          <w:lang w:val="en-US" w:eastAsia="zh-CN"/>
        </w:rPr>
        <w:t xml:space="preserve">①依据符合</w:t>
      </w:r>
      <w:r>
        <w:rPr>
          <w:rFonts w:hint="default" w:eastAsia="宋体" w:cs="Times New Roman"/>
          <w:b w:val="0"/>
          <w:bCs w:val="0"/>
          <w:color w:val="auto"/>
          <w:sz w:val="21"/>
          <w:szCs w:val="21"/>
          <w:highlight w:val="none"/>
          <w:lang w:val="en-US" w:eastAsia="zh-CN"/>
        </w:rPr>
        <w:t xml:space="preserve">QB/T 1097-2010《钢制文件柜》</w:t>
      </w:r>
      <w:r>
        <w:rPr>
          <w:rFonts w:hint="eastAsia" w:eastAsia="宋体" w:cs="Times New Roman"/>
          <w:b w:val="0"/>
          <w:bCs w:val="0"/>
          <w:color w:val="auto"/>
          <w:sz w:val="21"/>
          <w:szCs w:val="21"/>
          <w:highlight w:val="none"/>
          <w:lang w:val="en-US" w:eastAsia="zh-CN"/>
        </w:rPr>
        <w:t xml:space="preserve">标准，力学性能柜架类强度和耐久性结构强度试验-跌落试验。</w:t>
      </w:r>
      <w:r/>
    </w:p>
    <w:p>
      <w:pPr>
        <w:numPr>
          <w:ilvl w:val="0"/>
          <w:numId w:val="0"/>
        </w:numPr>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②依据符合</w:t>
      </w:r>
      <w:r>
        <w:rPr>
          <w:rFonts w:hint="default"/>
          <w:b w:val="0"/>
          <w:bCs w:val="0"/>
          <w:color w:val="auto"/>
          <w:sz w:val="21"/>
          <w:szCs w:val="21"/>
          <w:highlight w:val="none"/>
          <w:lang w:val="en-US" w:eastAsia="zh-CN"/>
        </w:rPr>
        <w:t xml:space="preserve">GB/T3325-2024《金属家具通用技术条件》</w:t>
      </w:r>
      <w:r>
        <w:rPr>
          <w:rFonts w:hint="eastAsia"/>
          <w:b w:val="0"/>
          <w:bCs w:val="0"/>
          <w:color w:val="auto"/>
          <w:sz w:val="21"/>
          <w:szCs w:val="21"/>
          <w:highlight w:val="none"/>
          <w:lang w:val="en-US" w:eastAsia="zh-CN"/>
        </w:rPr>
        <w:t xml:space="preserve">标准，理化性能要求：通过硬度、附着力检测；</w:t>
      </w:r>
      <w:r/>
    </w:p>
    <w:p>
      <w:pPr>
        <w:numPr>
          <w:ilvl w:val="0"/>
          <w:numId w:val="0"/>
        </w:numPr>
        <w:rPr>
          <w:rFonts w:hint="eastAsia" w:ascii="宋体" w:hAnsi="宋体" w:eastAsia="宋体" w:cs="宋体"/>
          <w:b/>
          <w:bCs w:val="0"/>
          <w:color w:val="auto"/>
          <w:sz w:val="21"/>
          <w:szCs w:val="21"/>
          <w:highlight w:val="none"/>
          <w:lang w:val="en-US" w:eastAsia="zh-CN" w:bidi="ar-SA"/>
        </w:rPr>
      </w:pPr>
      <w:r>
        <w:rPr>
          <w:rFonts w:hint="eastAsia"/>
          <w:b w:val="0"/>
          <w:bCs w:val="0"/>
          <w:color w:val="auto"/>
          <w:sz w:val="21"/>
          <w:szCs w:val="21"/>
          <w:highlight w:val="none"/>
          <w:lang w:val="en-US" w:eastAsia="zh-CN"/>
        </w:rPr>
        <w:t xml:space="preserve">③依据符合</w:t>
      </w:r>
      <w:r>
        <w:rPr>
          <w:rFonts w:hint="default"/>
          <w:b w:val="0"/>
          <w:bCs w:val="0"/>
          <w:color w:val="auto"/>
          <w:sz w:val="21"/>
          <w:szCs w:val="21"/>
          <w:highlight w:val="none"/>
          <w:lang w:val="en-US" w:eastAsia="zh-CN"/>
        </w:rPr>
        <w:t xml:space="preserve">GB/T 35607-2024《绿色产品评价家具》</w:t>
      </w:r>
      <w:r>
        <w:rPr>
          <w:rFonts w:hint="eastAsia"/>
          <w:b w:val="0"/>
          <w:bCs w:val="0"/>
          <w:color w:val="auto"/>
          <w:sz w:val="21"/>
          <w:szCs w:val="21"/>
          <w:highlight w:val="none"/>
          <w:lang w:val="en-US" w:eastAsia="zh-CN"/>
        </w:rPr>
        <w:t xml:space="preserve">标</w:t>
      </w:r>
      <w:r>
        <w:rPr>
          <w:rFonts w:hint="eastAsia" w:ascii="宋体" w:hAnsi="宋体" w:eastAsia="宋体" w:cs="Arial"/>
          <w:b w:val="0"/>
          <w:bCs w:val="0"/>
          <w:color w:val="auto"/>
          <w:sz w:val="21"/>
          <w:szCs w:val="21"/>
          <w:highlight w:val="none"/>
          <w:lang w:val="en-US" w:eastAsia="zh-CN"/>
        </w:rPr>
        <w:t xml:space="preserve">准，</w:t>
      </w:r>
      <w:r>
        <w:rPr>
          <w:rFonts w:hint="eastAsia" w:ascii="宋体" w:hAnsi="宋体" w:eastAsia="宋体" w:cs="宋体"/>
          <w:b w:val="0"/>
          <w:bCs/>
          <w:color w:val="auto"/>
          <w:sz w:val="21"/>
          <w:szCs w:val="21"/>
          <w:highlight w:val="none"/>
          <w:lang w:val="en-US" w:eastAsia="zh-CN" w:bidi="ar-SA"/>
        </w:rPr>
        <w:t xml:space="preserve">甲醛释放量≤0.035mg/m³、苯≤0.025mg/m³、甲苯≤0.05mg/m³、二甲苯≤0.05mg/m³、总挥发性有机化合物TVOC≤0.05mg/m³</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更衣柜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①</w:t>
      </w:r>
      <w:r>
        <w:rPr>
          <w:rFonts w:hint="eastAsia"/>
          <w:b w:val="0"/>
          <w:bCs w:val="0"/>
          <w:color w:val="auto"/>
          <w:sz w:val="21"/>
          <w:szCs w:val="21"/>
          <w:highlight w:val="none"/>
          <w:lang w:val="en-US" w:eastAsia="zh-CN"/>
        </w:rPr>
        <w:t xml:space="preserve">依据符合</w:t>
      </w:r>
      <w:r>
        <w:rPr>
          <w:rFonts w:hint="default"/>
          <w:b w:val="0"/>
          <w:bCs w:val="0"/>
          <w:color w:val="auto"/>
          <w:sz w:val="21"/>
          <w:szCs w:val="21"/>
          <w:highlight w:val="none"/>
          <w:lang w:val="en-US" w:eastAsia="zh-CN"/>
        </w:rPr>
        <w:t xml:space="preserve">GB/T 35607-2024《绿色产品评价家具》</w:t>
      </w:r>
      <w:r>
        <w:rPr>
          <w:rFonts w:hint="eastAsia"/>
          <w:b w:val="0"/>
          <w:bCs w:val="0"/>
          <w:color w:val="auto"/>
          <w:sz w:val="21"/>
          <w:szCs w:val="21"/>
          <w:highlight w:val="none"/>
          <w:lang w:val="en-US" w:eastAsia="zh-CN"/>
        </w:rPr>
        <w:t xml:space="preserve">标</w:t>
      </w:r>
      <w:r>
        <w:rPr>
          <w:rFonts w:hint="eastAsia" w:ascii="宋体" w:hAnsi="宋体" w:eastAsia="宋体" w:cs="Arial"/>
          <w:b w:val="0"/>
          <w:bCs w:val="0"/>
          <w:color w:val="auto"/>
          <w:sz w:val="21"/>
          <w:szCs w:val="21"/>
          <w:highlight w:val="none"/>
          <w:lang w:val="en-US" w:eastAsia="zh-CN"/>
        </w:rPr>
        <w:t xml:space="preserve">准，</w:t>
      </w:r>
      <w:r>
        <w:rPr>
          <w:rFonts w:hint="eastAsia" w:ascii="宋体" w:hAnsi="宋体" w:eastAsia="宋体" w:cs="宋体"/>
          <w:b w:val="0"/>
          <w:bCs w:val="0"/>
          <w:color w:val="auto"/>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③依据符合GB/T 2423.51-2020《环境试验 第2部分：试验方法 试验Ke：流动混合气体腐蚀试验》标准，通过检测进行流动混合气体腐蚀试验(Cl₂浓度10x10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vol/vol、H₂S浓度10x10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vol/vol、NO₂浓度200x10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vol/vol、SO₂浓度200x10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vol/vol)：≥96h流动混合气体腐蚀试验后，样品表面未出现腐蚀现象。</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④依据符合QB/T 4371-2012《家具抗菌性能的评价》标准，技术要求：抗菌性能：</w:t>
      </w:r>
      <w:r>
        <w:rPr>
          <w:rFonts w:hint="eastAsia" w:ascii="宋体" w:hAnsi="宋体" w:eastAsia="宋体" w:cs="宋体"/>
          <w:color w:val="auto"/>
          <w:sz w:val="21"/>
          <w:szCs w:val="21"/>
          <w:highlight w:val="none"/>
          <w:lang w:val="en-US" w:eastAsia="zh-CN" w:bidi="ar-SA"/>
        </w:rPr>
        <w:t xml:space="preserve">通过抗细菌性能检测至少包含大肠埃希氏菌（大肠杆菌）、肺炎克雷伯氏菌等任意5种菌类，抗菌率或抑菌率均≥99%；</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(3)</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鞋柜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①依据符合GB/T 35607-2024《绿色产品评价家具》标准，甲醛释放量≤0.035mg/m³、苯≤0.025mg/m³、甲苯≤0.05mg/m³、二甲苯≤0.05mg/m³、总挥发性有机化合物TVOC≤0.05mg/m³；</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③依据符合GB/T 2423.51-2020《环境试验 第2部分：试验方法 试验Ke：流动混合气体腐蚀试验》标准，通过检测进行流动混合气体腐蚀试验(Cl₂浓度10x10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vol/vol、H₂S浓度10x10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vol/vol、NO₂浓度200x10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vol/vol、SO₂浓度200x10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vol/vol)：≥96h流动混合气体腐蚀试验后，样品表面未出现腐蚀现象。</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④依据符合QB/T 4371-2012《家具抗菌性能的评价》标准，技术要求：抗菌性能：</w:t>
      </w:r>
      <w:r>
        <w:rPr>
          <w:rFonts w:hint="eastAsia" w:ascii="宋体" w:hAnsi="宋体" w:eastAsia="宋体" w:cs="宋体"/>
          <w:color w:val="auto"/>
          <w:sz w:val="21"/>
          <w:szCs w:val="21"/>
          <w:highlight w:val="none"/>
          <w:lang w:val="en-US" w:eastAsia="zh-CN" w:bidi="ar-SA"/>
        </w:rPr>
        <w:t xml:space="preserve">通过抗细菌性能检测至少包含大肠埃希氏菌（大肠杆菌）、肺炎克雷伯氏菌等任意5种菌类，抗菌率或抑菌率均≥99%；</w:t>
      </w:r>
      <w:r/>
    </w:p>
    <w:p>
      <w:pPr>
        <w:numPr>
          <w:ilvl w:val="0"/>
          <w:numId w:val="0"/>
        </w:num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rPr>
          <w:rFonts w:hint="default" w:ascii="宋体" w:hAnsi="宋体" w:eastAsia="宋体" w:cs="宋体"/>
          <w:b/>
          <w:bCs w:val="0"/>
          <w:color w:val="auto"/>
          <w:sz w:val="21"/>
          <w:szCs w:val="21"/>
          <w:highlight w:val="none"/>
          <w:lang w:val="en-US" w:eastAsia="zh-CN" w:bidi="ar-SA"/>
        </w:rPr>
      </w:pPr>
      <w:r>
        <w:rPr>
          <w:rFonts w:hint="default" w:ascii="宋体" w:hAnsi="宋体" w:eastAsia="宋体" w:cs="宋体"/>
          <w:b/>
          <w:bCs w:val="0"/>
          <w:color w:val="auto"/>
          <w:sz w:val="21"/>
          <w:szCs w:val="21"/>
          <w:highlight w:val="none"/>
          <w:lang w:val="en-US" w:eastAsia="zh-CN" w:bidi="ar-SA"/>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(4)</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储物柜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①</w:t>
      </w:r>
      <w:r>
        <w:rPr>
          <w:rFonts w:hint="eastAsia"/>
          <w:b w:val="0"/>
          <w:bCs w:val="0"/>
          <w:color w:val="auto"/>
          <w:sz w:val="21"/>
          <w:szCs w:val="21"/>
          <w:highlight w:val="none"/>
          <w:lang w:val="en-US" w:eastAsia="zh-CN"/>
        </w:rPr>
        <w:t xml:space="preserve">依据符合</w:t>
      </w:r>
      <w:r>
        <w:rPr>
          <w:rFonts w:hint="default"/>
          <w:b w:val="0"/>
          <w:bCs w:val="0"/>
          <w:color w:val="auto"/>
          <w:sz w:val="21"/>
          <w:szCs w:val="21"/>
          <w:highlight w:val="none"/>
          <w:lang w:val="en-US" w:eastAsia="zh-CN"/>
        </w:rPr>
        <w:t xml:space="preserve">GB/T 35607-2024《绿色产品评价家具》</w:t>
      </w:r>
      <w:r>
        <w:rPr>
          <w:rFonts w:hint="eastAsia"/>
          <w:b w:val="0"/>
          <w:bCs w:val="0"/>
          <w:color w:val="auto"/>
          <w:sz w:val="21"/>
          <w:szCs w:val="21"/>
          <w:highlight w:val="none"/>
          <w:lang w:val="en-US" w:eastAsia="zh-CN"/>
        </w:rPr>
        <w:t xml:space="preserve">标</w:t>
      </w:r>
      <w:r>
        <w:rPr>
          <w:rFonts w:hint="eastAsia" w:ascii="宋体" w:hAnsi="宋体" w:eastAsia="宋体" w:cs="Arial"/>
          <w:b w:val="0"/>
          <w:bCs w:val="0"/>
          <w:color w:val="auto"/>
          <w:sz w:val="21"/>
          <w:szCs w:val="21"/>
          <w:highlight w:val="none"/>
          <w:lang w:val="en-US" w:eastAsia="zh-CN"/>
        </w:rPr>
        <w:t xml:space="preserve">准，</w:t>
      </w:r>
      <w:r>
        <w:rPr>
          <w:rFonts w:hint="eastAsia" w:ascii="宋体" w:hAnsi="宋体" w:eastAsia="宋体" w:cs="宋体"/>
          <w:b w:val="0"/>
          <w:bCs w:val="0"/>
          <w:color w:val="auto"/>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③依据符合GB/T 2423.51-2020《环境试验 第2部分：试验方法 试验Ke：流动混合气体腐蚀试验》标准，通过检测进行流动混合气体腐蚀试验(Cl₂浓度10x10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vol/vol、H₂S浓度10x10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vol/vol、NO₂浓度200x10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vol/vol、SO₂浓度200x10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vol/vol)：≥96h流动混合气体腐蚀试验后，样品表面未出现腐蚀现象。</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④依据符合QB/T 4371-2012《家具抗菌性能的评价》标准，技术要求：抗菌性能：</w:t>
      </w:r>
      <w:r>
        <w:rPr>
          <w:rFonts w:hint="eastAsia" w:ascii="宋体" w:hAnsi="宋体" w:eastAsia="宋体" w:cs="宋体"/>
          <w:color w:val="auto"/>
          <w:sz w:val="21"/>
          <w:szCs w:val="21"/>
          <w:highlight w:val="none"/>
          <w:lang w:val="en-US" w:eastAsia="zh-CN" w:bidi="ar-SA"/>
        </w:rPr>
        <w:t xml:space="preserve">通过抗细菌性能检测至少包含大肠埃希氏菌（大肠杆菌）、肺炎克雷伯氏菌等任意5种菌类，抗菌率或抑菌率均≥99%；</w:t>
      </w:r>
      <w:r/>
    </w:p>
    <w:p>
      <w:pPr>
        <w:numPr>
          <w:ilvl w:val="0"/>
          <w:numId w:val="0"/>
        </w:num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换鞋凳</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eastAsia="zh-CN"/>
        </w:rPr>
      </w:pPr>
      <w:r>
        <w:rPr>
          <w:rFonts w:hint="eastAsia"/>
          <w:color w:val="auto"/>
          <w:highlight w:val="none"/>
          <w:lang w:val="en-US" w:eastAsia="zh-CN"/>
        </w:rPr>
        <w:t xml:space="preserve">①</w:t>
      </w:r>
      <w:r>
        <w:rPr>
          <w:rFonts w:hint="eastAsia" w:ascii="宋体" w:hAnsi="宋体" w:eastAsia="宋体" w:cs="宋体"/>
          <w:b w:val="0"/>
          <w:bCs w:val="0"/>
          <w:color w:val="auto"/>
          <w:sz w:val="21"/>
          <w:szCs w:val="21"/>
          <w:highlight w:val="none"/>
          <w:lang w:val="en-US" w:eastAsia="zh-CN" w:bidi="ar-SA"/>
        </w:rPr>
        <w:t xml:space="preserve">依据符合</w:t>
      </w:r>
      <w:r>
        <w:rPr>
          <w:rFonts w:hint="eastAsia"/>
          <w:color w:val="auto"/>
          <w:highlight w:val="none"/>
          <w:lang w:val="en-US" w:eastAsia="zh-CN"/>
        </w:rPr>
        <w:t xml:space="preserve">QB/T3827-1999《轻工产品金属镀层和化学处理层的耐腐蚀试验方法乙酸盐雾试验(ASS)法》；QB/T3832-1999《轻工产品金属镀层腐蚀试验结果的评价》标准；经过≥200小时乙酸盐雾试验后，镀（涂）层本身的耐腐蚀等级≥9级，镀（涂）层对基体的保护等级≥9级。</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b w:val="0"/>
          <w:bCs w:val="0"/>
          <w:color w:val="auto"/>
          <w:highlight w:val="none"/>
          <w:lang w:val="en-US" w:eastAsia="zh-CN"/>
        </w:rPr>
        <w:t xml:space="preserve">②</w:t>
      </w:r>
      <w:r>
        <w:rPr>
          <w:rFonts w:hint="eastAsia"/>
          <w:b w:val="0"/>
          <w:bCs w:val="0"/>
          <w:color w:val="auto"/>
          <w:sz w:val="21"/>
          <w:szCs w:val="21"/>
          <w:highlight w:val="none"/>
          <w:lang w:val="en-US" w:eastAsia="zh-CN"/>
        </w:rPr>
        <w:t xml:space="preserve">依据符合</w:t>
      </w:r>
      <w:r>
        <w:rPr>
          <w:rFonts w:hint="default"/>
          <w:b w:val="0"/>
          <w:bCs w:val="0"/>
          <w:color w:val="auto"/>
          <w:sz w:val="21"/>
          <w:szCs w:val="21"/>
          <w:highlight w:val="none"/>
          <w:lang w:val="en-US" w:eastAsia="zh-CN"/>
        </w:rPr>
        <w:t xml:space="preserve">GB/T 35607-2024《绿色产品评价家具》</w:t>
      </w:r>
      <w:r>
        <w:rPr>
          <w:rFonts w:hint="eastAsia"/>
          <w:b w:val="0"/>
          <w:bCs w:val="0"/>
          <w:color w:val="auto"/>
          <w:sz w:val="21"/>
          <w:szCs w:val="21"/>
          <w:highlight w:val="none"/>
          <w:lang w:val="en-US" w:eastAsia="zh-CN"/>
        </w:rPr>
        <w:t xml:space="preserve">标</w:t>
      </w:r>
      <w:r>
        <w:rPr>
          <w:rFonts w:hint="eastAsia" w:ascii="宋体" w:hAnsi="宋体" w:eastAsia="宋体" w:cs="Arial"/>
          <w:b w:val="0"/>
          <w:bCs w:val="0"/>
          <w:color w:val="auto"/>
          <w:sz w:val="21"/>
          <w:szCs w:val="21"/>
          <w:highlight w:val="none"/>
          <w:lang w:val="en-US" w:eastAsia="zh-CN"/>
        </w:rPr>
        <w:t xml:space="preserve">准，</w:t>
      </w:r>
      <w:r>
        <w:rPr>
          <w:rFonts w:hint="eastAsia" w:ascii="宋体" w:hAnsi="宋体" w:eastAsia="宋体" w:cs="宋体"/>
          <w:b w:val="0"/>
          <w:bCs w:val="0"/>
          <w:color w:val="auto"/>
          <w:sz w:val="21"/>
          <w:szCs w:val="21"/>
          <w:highlight w:val="none"/>
          <w:lang w:val="en-US" w:eastAsia="zh-CN" w:bidi="ar-SA"/>
        </w:rPr>
        <w:t xml:space="preserve">甲醛释放量≤0.035mg/m³、苯≤0.025mg/m³、甲苯≤0.05mg/m³、二甲苯≤0.05mg/m³、总挥发性有机化合物TVOC≤0.05mg/m³</w:t>
      </w:r>
      <w:r/>
    </w:p>
    <w:p>
      <w:pPr>
        <w:rPr>
          <w:rFonts w:hint="eastAsia"/>
          <w:color w:val="auto"/>
          <w:highlight w:val="none"/>
          <w:lang w:val="en-US" w:eastAsia="zh-CN"/>
        </w:rPr>
      </w:pPr>
      <w:r>
        <w:rPr>
          <w:rFonts w:hint="eastAsia"/>
          <w:color w:val="auto"/>
          <w:highlight w:val="none"/>
          <w:lang w:val="en-US" w:eastAsia="zh-CN"/>
        </w:rPr>
      </w:r>
      <w:r/>
    </w:p>
    <w:p>
      <w:pPr>
        <w:numPr>
          <w:ilvl w:val="0"/>
          <w:numId w:val="0"/>
        </w:numPr>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(6)</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医用货架</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①依据符合GB/T35607-2024《绿色产品评价 家具》标准，</w:t>
      </w:r>
      <w:r>
        <w:rPr>
          <w:rFonts w:hint="eastAsia" w:ascii="宋体" w:hAnsi="宋体" w:eastAsia="宋体" w:cs="宋体"/>
          <w:b w:val="0"/>
          <w:bCs/>
          <w:color w:val="auto"/>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②依据符合GB/T 3325-2024《金属家具通用技术条件》标准，理化性能耐盐浴100h划道两侧3mm外，应无鼓泡、锈蚀、剥落和起皱等现象。</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③依据符合GB/T11345-2023《焊缝无损检测超声检测技术、检测等级和评定》标准，通过焊缝无损等级检测，未发现缺陷。</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④QB/T 3832-1999《轻工产品金属镀层腐蚀试验结果的评价》、QB/T 3827-1999《轻工产品金属镀层和化学处理层的耐腐蚀试验方法乙酸盐雾试验(ASS)法》标准；乙酸盐雾试验≥200h;镀（涂）层对基体的保护等级≥9级；镀（涂）层本身耐腐蚀等级≥9级；</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(7)</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会议桌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b w:val="0"/>
          <w:bCs w:val="0"/>
          <w:color w:val="auto"/>
          <w:highlight w:val="none"/>
          <w:lang w:val="en-US" w:eastAsia="zh-CN"/>
        </w:rPr>
      </w:pPr>
      <w:r>
        <w:rPr>
          <w:rFonts w:hint="eastAsia"/>
          <w:color w:val="auto"/>
          <w:highlight w:val="none"/>
          <w:lang w:val="en-US" w:eastAsia="zh-CN"/>
        </w:rPr>
        <w:t xml:space="preserve">①依据符合GB/T35607-2024《绿色产品评价 家具》标准</w:t>
      </w:r>
      <w:r>
        <w:rPr>
          <w:rFonts w:hint="eastAsia"/>
          <w:b w:val="0"/>
          <w:bCs w:val="0"/>
          <w:color w:val="auto"/>
          <w:highlight w:val="none"/>
          <w:lang w:val="en-US" w:eastAsia="zh-CN"/>
        </w:rPr>
        <w:t xml:space="preserve">；产品有害物质：</w:t>
      </w:r>
      <w:r>
        <w:rPr>
          <w:rFonts w:hint="eastAsia" w:ascii="宋体" w:hAnsi="宋体" w:eastAsia="宋体" w:cs="宋体"/>
          <w:b w:val="0"/>
          <w:bCs w:val="0"/>
          <w:color w:val="auto"/>
          <w:sz w:val="21"/>
          <w:szCs w:val="21"/>
          <w:highlight w:val="none"/>
          <w:lang w:val="en-US" w:eastAsia="zh-CN" w:bidi="ar-SA"/>
        </w:rPr>
        <w:t xml:space="preserve">甲醛释放量≤0.035mg/m³、苯≤0.025mg/m³、甲苯≤0.05mg/m³、二甲苯≤0.05mg/m³、总挥发性有机化合物TVOC≤0.05mg/m³；</w:t>
      </w:r>
      <w:r/>
    </w:p>
    <w:p>
      <w:pPr>
        <w:rPr>
          <w:rFonts w:hint="eastAsia"/>
          <w:b w:val="0"/>
          <w:bCs w:val="0"/>
          <w:color w:val="auto"/>
          <w:highlight w:val="none"/>
          <w:lang w:val="en-US" w:eastAsia="zh-CN"/>
        </w:rPr>
      </w:pPr>
      <w:r>
        <w:rPr>
          <w:rFonts w:hint="eastAsia"/>
          <w:b w:val="0"/>
          <w:bCs w:val="0"/>
          <w:color w:val="auto"/>
          <w:highlight w:val="none"/>
          <w:lang w:val="en-US" w:eastAsia="zh-CN"/>
        </w:rPr>
        <w:t xml:space="preserve">②依据符合QB/T 3827-1999《轻工产品金属镀层和化学处理层的耐腐蚀试验方法乙酸盐雾试验(ASS)法》、QB/T 3832-1999《轻工产品金属镀层腐蚀试验结果的评价》标准；乙酸盐雾≥200h，镀（涂）层对基本的保护等级≥9级；镀（涂）层本身耐腐蚀≥9级。</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(8)</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屏风工作位</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rPr>
      </w:pPr>
      <w:r>
        <w:rPr>
          <w:rFonts w:hint="eastAsia"/>
          <w:color w:val="auto"/>
          <w:highlight w:val="none"/>
          <w:lang w:val="zh-CN"/>
        </w:rPr>
        <w:t xml:space="preserve">①依据</w:t>
      </w:r>
      <w:r>
        <w:rPr>
          <w:rFonts w:hint="eastAsia" w:ascii="宋体" w:hAnsi="宋体" w:cs="宋体"/>
          <w:b w:val="0"/>
          <w:bCs/>
          <w:color w:val="auto"/>
          <w:sz w:val="21"/>
          <w:szCs w:val="21"/>
          <w:highlight w:val="none"/>
          <w:lang w:val="en-US" w:bidi="zh-CN"/>
        </w:rPr>
        <w:t xml:space="preserve">符合</w:t>
      </w:r>
      <w:r>
        <w:rPr>
          <w:rFonts w:hint="eastAsia"/>
          <w:color w:val="auto"/>
          <w:highlight w:val="none"/>
          <w:lang w:val="zh-CN"/>
        </w:rPr>
        <w:t xml:space="preserve">GB/T3325-2024《金属家具通用技术条件》标准；符合以下检测项目：耐冷热循环：无裂缝、开裂、起皱、鼓泡现象；耐干热不低于5级；耐湿热不低于5级；耐污染性能不低于5级；耐污染性不低于5级（5级最好）；通过</w:t>
      </w:r>
      <w:r>
        <w:rPr>
          <w:rFonts w:hint="eastAsia"/>
          <w:color w:val="auto"/>
          <w:highlight w:val="none"/>
          <w:lang w:val="en-US" w:eastAsia="zh-CN"/>
        </w:rPr>
        <w:t xml:space="preserve">结构安全检测</w:t>
      </w:r>
      <w:r>
        <w:rPr>
          <w:rFonts w:hint="eastAsia"/>
          <w:color w:val="auto"/>
          <w:highlight w:val="none"/>
          <w:lang w:val="zh-CN"/>
        </w:rPr>
        <w:t xml:space="preserve">；</w:t>
      </w:r>
      <w:r>
        <w:rPr>
          <w:rFonts w:hint="eastAsia"/>
          <w:color w:val="auto"/>
          <w:highlight w:val="none"/>
          <w:lang w:val="en-US" w:eastAsia="zh-CN"/>
        </w:rPr>
        <w:t xml:space="preserve">力学性能</w:t>
      </w:r>
      <w:r>
        <w:rPr>
          <w:rFonts w:hint="eastAsia"/>
          <w:color w:val="auto"/>
          <w:highlight w:val="none"/>
          <w:lang w:val="zh-CN"/>
        </w:rPr>
        <w:t xml:space="preserve">：</w:t>
      </w:r>
      <w:r>
        <w:rPr>
          <w:rFonts w:hint="eastAsia"/>
          <w:color w:val="auto"/>
          <w:highlight w:val="none"/>
          <w:lang w:val="en-US" w:eastAsia="zh-CN"/>
        </w:rPr>
        <w:t xml:space="preserve">水平耐久性及结构强度试验-水平耐久性试验（加载</w:t>
      </w:r>
      <w:r>
        <w:rPr>
          <w:rFonts w:hint="eastAsia"/>
          <w:color w:val="auto"/>
          <w:highlight w:val="none"/>
          <w:lang w:val="zh-CN"/>
        </w:rPr>
        <w:t xml:space="preserve">力150N，循环加载15000次符合要求</w:t>
      </w:r>
      <w:r>
        <w:rPr>
          <w:rFonts w:hint="eastAsia"/>
          <w:color w:val="auto"/>
          <w:highlight w:val="none"/>
          <w:lang w:val="en-US"/>
        </w:rPr>
        <w:t xml:space="preserve">;</w:t>
      </w:r>
      <w:r>
        <w:rPr>
          <w:rFonts w:hint="eastAsia"/>
          <w:color w:val="auto"/>
          <w:highlight w:val="none"/>
          <w:lang w:val="en-US" w:eastAsia="zh-CN"/>
        </w:rPr>
        <w:t xml:space="preserve">）</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1"/>
          <w:szCs w:val="21"/>
          <w:highlight w:val="none"/>
          <w:lang w:val="en-US" w:bidi="zh-CN"/>
        </w:rPr>
      </w:pPr>
      <w:r>
        <w:rPr>
          <w:rFonts w:hint="eastAsia"/>
          <w:color w:val="auto"/>
          <w:highlight w:val="none"/>
          <w:lang w:val="zh-CN"/>
        </w:rPr>
        <w:t xml:space="preserve">②</w:t>
      </w:r>
      <w:r>
        <w:rPr>
          <w:rFonts w:hint="eastAsia" w:ascii="宋体" w:hAnsi="宋体" w:cs="宋体"/>
          <w:b w:val="0"/>
          <w:bCs/>
          <w:color w:val="auto"/>
          <w:sz w:val="21"/>
          <w:szCs w:val="21"/>
          <w:highlight w:val="none"/>
          <w:lang w:val="en-US" w:bidi="zh-CN"/>
        </w:rPr>
        <w:t xml:space="preserve">依据符合</w:t>
      </w:r>
      <w:r>
        <w:rPr>
          <w:rFonts w:hint="default" w:ascii="宋体" w:hAnsi="宋体" w:eastAsia="宋体" w:cs="宋体"/>
          <w:b w:val="0"/>
          <w:bCs/>
          <w:color w:val="auto"/>
          <w:sz w:val="21"/>
          <w:szCs w:val="21"/>
          <w:highlight w:val="none"/>
          <w:lang w:val="en-US" w:bidi="zh-CN"/>
        </w:rPr>
        <w:t xml:space="preserve">GB/T 35607-2024《绿色产品评价家具》</w:t>
      </w:r>
      <w:r>
        <w:rPr>
          <w:rFonts w:hint="eastAsia" w:ascii="宋体" w:hAnsi="宋体" w:cs="宋体"/>
          <w:b w:val="0"/>
          <w:bCs/>
          <w:color w:val="auto"/>
          <w:sz w:val="21"/>
          <w:szCs w:val="21"/>
          <w:highlight w:val="none"/>
          <w:lang w:val="en-US" w:bidi="zh-CN"/>
        </w:rPr>
        <w:t xml:space="preserve">标准，</w:t>
      </w:r>
      <w:r>
        <w:rPr>
          <w:rFonts w:hint="eastAsia" w:ascii="宋体" w:hAnsi="宋体" w:cs="宋体"/>
          <w:b w:val="0"/>
          <w:bCs w:val="0"/>
          <w:color w:val="auto"/>
          <w:sz w:val="21"/>
          <w:szCs w:val="21"/>
          <w:highlight w:val="none"/>
          <w:lang w:val="en-US" w:bidi="zh-CN"/>
        </w:rPr>
        <w:t xml:space="preserve">甲醛释放量</w:t>
      </w:r>
      <w:r>
        <w:rPr>
          <w:rFonts w:hint="eastAsia" w:ascii="宋体" w:hAnsi="宋体" w:eastAsia="宋体" w:cs="宋体"/>
          <w:b w:val="0"/>
          <w:bCs w:val="0"/>
          <w:color w:val="auto"/>
          <w:sz w:val="21"/>
          <w:szCs w:val="21"/>
          <w:highlight w:val="none"/>
          <w:lang w:val="en-US" w:eastAsia="zh-CN" w:bidi="ar-SA"/>
        </w:rPr>
        <w:t xml:space="preserve">≤0.035mg/m³</w:t>
      </w:r>
      <w:r>
        <w:rPr>
          <w:rFonts w:hint="eastAsia" w:ascii="宋体" w:hAnsi="宋体" w:cs="宋体"/>
          <w:b w:val="0"/>
          <w:bCs w:val="0"/>
          <w:color w:val="auto"/>
          <w:sz w:val="21"/>
          <w:szCs w:val="21"/>
          <w:highlight w:val="none"/>
          <w:lang w:val="en-US" w:bidi="zh-CN"/>
        </w:rPr>
        <w:t xml:space="preserve">；</w:t>
      </w:r>
      <w:r/>
    </w:p>
    <w:p>
      <w:pPr>
        <w:numPr>
          <w:ilvl w:val="0"/>
          <w:numId w:val="0"/>
        </w:numPr>
        <w:ind w:left="0" w:firstLine="422"/>
        <w:keepLines w:val="0"/>
        <w:keepNext w:val="0"/>
        <w:pageBreakBefore w:val="0"/>
        <w:spacing w:line="360" w:lineRule="auto"/>
        <w:widowControl w:val="off"/>
        <w:rPr>
          <w:rFonts w:hint="default" w:ascii="宋体" w:hAnsi="宋体" w:eastAsia="宋体" w:cs="宋体"/>
          <w:b/>
          <w:bCs w:val="0"/>
          <w:color w:val="auto"/>
          <w:sz w:val="21"/>
          <w:szCs w:val="21"/>
          <w:highlight w:val="none"/>
          <w:lang w:val="en-US" w:bidi="zh-CN"/>
        </w:rPr>
      </w:pPr>
      <w:r>
        <w:rPr>
          <w:rFonts w:hint="default"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(9)</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办公桌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ind w:left="0" w:firstLine="0"/>
        <w:jc w:val="left"/>
        <w:keepLines w:val="0"/>
        <w:keepNext w:val="0"/>
        <w:pageBreakBefore w:val="0"/>
        <w:widowControl w:val="off"/>
        <w:rPr>
          <w:rFonts w:hint="eastAsia" w:eastAsia="宋体" w:cs="Times New Roman"/>
          <w:b w:val="0"/>
          <w:bCs w:val="0"/>
          <w:color w:val="auto"/>
          <w:highlight w:val="none"/>
          <w:lang w:val="zh-CN" w:eastAsia="zh-CN"/>
        </w:rPr>
      </w:pPr>
      <w:r>
        <w:rPr>
          <w:rFonts w:hint="eastAsia"/>
          <w:b w:val="0"/>
          <w:bCs w:val="0"/>
          <w:color w:val="auto"/>
          <w:sz w:val="21"/>
          <w:szCs w:val="21"/>
          <w:highlight w:val="none"/>
          <w:lang w:val="zh-CN" w:eastAsia="zh-CN"/>
        </w:rPr>
        <w:t xml:space="preserve">①</w:t>
      </w:r>
      <w:r>
        <w:rPr>
          <w:rFonts w:hint="eastAsia" w:ascii="宋体" w:hAnsi="宋体" w:eastAsia="宋体" w:cs="宋体"/>
          <w:b w:val="0"/>
          <w:bCs w:val="0"/>
          <w:color w:val="auto"/>
          <w:sz w:val="21"/>
          <w:szCs w:val="21"/>
          <w:highlight w:val="none"/>
          <w:lang w:val="en-US" w:eastAsia="zh-CN" w:bidi="ar-SA"/>
        </w:rPr>
        <w:t xml:space="preserve">依据符合</w:t>
      </w:r>
      <w:r>
        <w:rPr>
          <w:rFonts w:hint="eastAsia"/>
          <w:b w:val="0"/>
          <w:bCs w:val="0"/>
          <w:color w:val="auto"/>
          <w:sz w:val="21"/>
          <w:szCs w:val="21"/>
          <w:highlight w:val="none"/>
          <w:lang w:val="zh-CN" w:eastAsia="zh-CN"/>
        </w:rPr>
        <w:t xml:space="preserve">GB/T 35607-2024《绿色产品评价 家具》标准；符合以下要求：（1）</w:t>
      </w:r>
      <w:r>
        <w:rPr>
          <w:rFonts w:hint="eastAsia" w:ascii="宋体" w:hAnsi="宋体" w:eastAsia="宋体" w:cs="宋体"/>
          <w:b w:val="0"/>
          <w:bCs w:val="0"/>
          <w:color w:val="auto"/>
          <w:sz w:val="21"/>
          <w:szCs w:val="21"/>
          <w:highlight w:val="none"/>
          <w:lang w:val="en-US" w:eastAsia="zh-CN" w:bidi="ar-SA"/>
        </w:rPr>
        <w:t xml:space="preserve">甲醛释放量≤0.035mg/m³、苯≤0.025mg/m³、甲苯≤0.05mg/m³、二甲苯≤0.05mg/m³、总挥发性有机化合物TVOC≤0.05mg/m³；</w:t>
      </w:r>
      <w:r>
        <w:rPr>
          <w:rFonts w:hint="eastAsia" w:eastAsia="宋体" w:cs="Times New Roman"/>
          <w:b w:val="0"/>
          <w:bCs w:val="0"/>
          <w:color w:val="auto"/>
          <w:highlight w:val="none"/>
          <w:lang w:val="zh-CN" w:eastAsia="zh-CN"/>
        </w:rPr>
        <w:t xml:space="preserve">（2）家具中可迁移有害元素限量：锑≤</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mg/kg；砷≤</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mg/kg；钡≤</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mg/kg；镉≤</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mg/kg；铬≤</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mg/kg；铅≤</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mg/kg；汞≤</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mg/kg；硒≤</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w:t>
      </w:r>
      <w:r/>
    </w:p>
    <w:p>
      <w:pPr>
        <w:numPr>
          <w:ilvl w:val="0"/>
          <w:numId w:val="0"/>
        </w:numPr>
        <w:ind w:left="0" w:firstLine="0"/>
        <w:jc w:val="left"/>
        <w:keepLines w:val="0"/>
        <w:keepNext w:val="0"/>
        <w:pageBreakBefore w:val="0"/>
        <w:widowControl w:val="off"/>
        <w:rPr>
          <w:rFonts w:hint="eastAsia" w:eastAsia="宋体" w:cs="Times New Roman"/>
          <w:color w:val="auto"/>
          <w:highlight w:val="none"/>
          <w:lang w:val="zh-CN" w:eastAsia="zh-CN"/>
        </w:rPr>
      </w:pPr>
      <w:r>
        <w:rPr>
          <w:rFonts w:hint="eastAsia" w:eastAsia="宋体" w:cs="Times New Roman"/>
          <w:color w:val="auto"/>
          <w:highlight w:val="none"/>
          <w:lang w:val="zh-CN"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default" w:ascii="宋体" w:hAnsi="宋体" w:eastAsia="宋体" w:cs="宋体"/>
          <w:b/>
          <w:bCs w:val="0"/>
          <w:color w:val="auto"/>
          <w:sz w:val="21"/>
          <w:szCs w:val="21"/>
          <w:highlight w:val="none"/>
          <w:lang w:val="en-US" w:eastAsia="zh-CN" w:bidi="zh-CN"/>
        </w:rPr>
      </w:pPr>
      <w:r>
        <w:rPr>
          <w:rFonts w:hint="default" w:ascii="宋体" w:hAnsi="宋体" w:eastAsia="宋体" w:cs="宋体"/>
          <w:b/>
          <w:bCs w:val="0"/>
          <w:color w:val="auto"/>
          <w:sz w:val="21"/>
          <w:szCs w:val="21"/>
          <w:highlight w:val="none"/>
          <w:lang w:val="en-US" w:eastAsia="zh-CN" w:bidi="zh-CN"/>
        </w:rPr>
      </w:r>
      <w:r/>
    </w:p>
    <w:p>
      <w:pPr>
        <w:numPr>
          <w:ilvl w:val="0"/>
          <w:numId w:val="0"/>
        </w:numPr>
        <w:ind w:left="425" w:hanging="425"/>
        <w:jc w:val="left"/>
        <w:keepLines w:val="0"/>
        <w:keepNext w:val="0"/>
        <w:pageBreakBefore w:val="0"/>
        <w:spacing w:line="360" w:lineRule="auto"/>
        <w:rPr>
          <w:rFonts w:hint="eastAsia"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t xml:space="preserve">(10)</w:t>
      </w:r>
      <w:r>
        <w:rPr>
          <w:rFonts w:hint="eastAsia" w:ascii="宋体" w:hAnsi="宋体" w:eastAsia="宋体" w:cs="宋体"/>
          <w:b/>
          <w:color w:val="auto"/>
          <w:sz w:val="21"/>
          <w:szCs w:val="21"/>
          <w:highlight w:val="none"/>
          <w:lang w:val="en-US" w:eastAsia="zh-CN" w:bidi="zh-CN"/>
        </w:rPr>
        <w:t xml:space="preserve">提供</w:t>
      </w:r>
      <w:r>
        <w:rPr>
          <w:rFonts w:hint="eastAsia" w:ascii="宋体" w:hAnsi="宋体" w:eastAsia="宋体" w:cs="宋体"/>
          <w:b/>
          <w:color w:val="auto"/>
          <w:sz w:val="21"/>
          <w:szCs w:val="21"/>
          <w:highlight w:val="none"/>
          <w:lang w:val="zh-CN" w:eastAsia="zh-CN" w:bidi="zh-CN"/>
        </w:rPr>
        <w:t xml:space="preserve">礼堂椅</w:t>
      </w:r>
      <w:r>
        <w:rPr>
          <w:rFonts w:hint="eastAsia" w:ascii="宋体" w:hAnsi="宋体" w:eastAsia="宋体" w:cs="宋体"/>
          <w:b/>
          <w:color w:val="auto"/>
          <w:sz w:val="21"/>
          <w:szCs w:val="21"/>
          <w:highlight w:val="none"/>
          <w:lang w:val="en-US" w:eastAsia="zh-CN" w:bidi="zh-CN"/>
        </w:rPr>
        <w:t xml:space="preserve">的</w:t>
      </w:r>
      <w:r>
        <w:rPr>
          <w:rFonts w:hint="eastAsia" w:ascii="宋体" w:hAnsi="宋体" w:eastAsia="宋体" w:cs="宋体"/>
          <w:b/>
          <w:color w:val="auto"/>
          <w:sz w:val="21"/>
          <w:szCs w:val="21"/>
          <w:highlight w:val="none"/>
          <w:lang w:val="zh-CN" w:eastAsia="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color w:val="auto"/>
          <w:sz w:val="21"/>
          <w:szCs w:val="21"/>
          <w:highlight w:val="none"/>
          <w:lang w:val="zh-CN" w:eastAsia="zh-CN" w:bidi="zh-CN"/>
        </w:rPr>
        <w:t xml:space="preserve">包含：</w:t>
      </w:r>
      <w:r/>
    </w:p>
    <w:p>
      <w:pPr>
        <w:pStyle w:val="682"/>
        <w:ind w:right="0"/>
        <w:keepLines w:val="0"/>
        <w:keepNext w:val="0"/>
        <w:spacing w:before="0" w:beforeAutospacing="0" w:after="0" w:afterAutospacing="0" w:line="17" w:lineRule="atLeast"/>
        <w:shd w:val="clear" w:color="auto" w:fill="ffffff"/>
        <w:widowControl/>
        <w:rPr>
          <w:rFonts w:hint="eastAsia" w:ascii="Calibri" w:hAnsi="Calibri" w:eastAsia="宋体" w:cs="Times New Roman"/>
          <w:b w:val="0"/>
          <w:bCs w:val="0"/>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Times New Roman"/>
          <w:b w:val="0"/>
          <w:bCs w:val="0"/>
          <w:color w:val="auto"/>
          <w:sz w:val="21"/>
          <w:szCs w:val="21"/>
          <w:highlight w:val="none"/>
          <w:lang w:val="zh-CN" w:eastAsia="zh-CN" w:bidi="ar-SA"/>
        </w:rPr>
        <w:t xml:space="preserve">①</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QB/T 2602-2013《</w:t>
      </w:r>
      <w:r>
        <w:rPr>
          <w:rFonts w:hint="default" w:ascii="Calibri" w:hAnsi="Calibri" w:eastAsia="宋体" w:cs="Times New Roman"/>
          <w:b w:val="0"/>
          <w:bCs w:val="0"/>
          <w:color w:val="auto"/>
          <w:sz w:val="21"/>
          <w:szCs w:val="21"/>
          <w:highlight w:val="none"/>
          <w:lang w:val="en-US" w:eastAsia="zh-CN" w:bidi="ar-SA"/>
        </w:rPr>
        <w:t xml:space="preserve">影剧院公共座椅</w:t>
      </w:r>
      <w:r>
        <w:rPr>
          <w:rFonts w:hint="eastAsia" w:ascii="Calibri" w:hAnsi="Calibri" w:eastAsia="宋体" w:cs="Times New Roman"/>
          <w:b w:val="0"/>
          <w:bCs w:val="0"/>
          <w:color w:val="auto"/>
          <w:sz w:val="21"/>
          <w:szCs w:val="21"/>
          <w:highlight w:val="none"/>
          <w:lang w:val="zh-CN" w:eastAsia="zh-CN" w:bidi="ar-SA"/>
        </w:rPr>
        <w:t xml:space="preserve">》：理化性能-木制件涂层：</w:t>
      </w:r>
      <w:r>
        <w:rPr>
          <w:rFonts w:hint="eastAsia" w:ascii="Calibri" w:hAnsi="Calibri" w:eastAsia="宋体" w:cs="Times New Roman"/>
          <w:b w:val="0"/>
          <w:bCs w:val="0"/>
          <w:color w:val="auto"/>
          <w:sz w:val="21"/>
          <w:szCs w:val="21"/>
          <w:highlight w:val="none"/>
          <w:lang w:val="en-US" w:eastAsia="zh-CN" w:bidi="ar-SA"/>
        </w:rPr>
        <w:t xml:space="preserve">通过耐磨检测、抗冲击检测、</w:t>
      </w:r>
      <w:r>
        <w:rPr>
          <w:rFonts w:hint="eastAsia" w:ascii="Calibri" w:hAnsi="Calibri" w:eastAsia="宋体" w:cs="Times New Roman"/>
          <w:b w:val="0"/>
          <w:bCs w:val="0"/>
          <w:color w:val="auto"/>
          <w:sz w:val="21"/>
          <w:szCs w:val="21"/>
          <w:highlight w:val="none"/>
          <w:lang w:val="zh-CN" w:eastAsia="zh-CN" w:bidi="ar-SA"/>
        </w:rPr>
        <w:t xml:space="preserve">力学性能-座面冲击试验（冲击高度300mm，10次）；椅背冲击试验（冲击高度620mm，10次）；扶手冲击试验（冲击高度620mm，角度68°，10次）；写字板垂直向下静载荷试验（300N，10次）；写字板耐久性试验（150N，2.5万次）；</w:t>
      </w:r>
      <w:r/>
    </w:p>
    <w:p>
      <w:pPr>
        <w:numPr>
          <w:ilvl w:val="0"/>
          <w:numId w:val="0"/>
        </w:numPr>
        <w:rPr>
          <w:rFonts w:hint="eastAsia" w:ascii="Calibri" w:hAnsi="Calibri" w:eastAsia="宋体" w:cs="Times New Roman"/>
          <w:b w:val="0"/>
          <w:bCs w:val="0"/>
          <w:color w:val="auto"/>
          <w:sz w:val="21"/>
          <w:szCs w:val="21"/>
          <w:highlight w:val="none"/>
          <w:lang w:val="zh-CN" w:eastAsia="zh-CN" w:bidi="ar-SA"/>
        </w:rPr>
      </w:pPr>
      <w:r>
        <w:rPr>
          <w:rFonts w:hint="eastAsia" w:ascii="Calibri" w:hAnsi="Calibri" w:eastAsia="宋体" w:cs="Times New Roman"/>
          <w:b w:val="0"/>
          <w:bCs w:val="0"/>
          <w:color w:val="auto"/>
          <w:sz w:val="21"/>
          <w:szCs w:val="21"/>
          <w:highlight w:val="none"/>
          <w:lang w:val="zh-CN" w:eastAsia="zh-CN" w:bidi="ar-SA"/>
        </w:rPr>
        <w:t xml:space="preserve">②</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GB/T 5455-2014《纺织品 燃烧性能 垂直方向损毁长度、阴燃和续燃时间的测定》：阻燃1级（织物）：氧指数≥33.0，损毁长度≤100mm，续燃时间≤3s,阴燃时间≤5s，燃烧滴落物未引起脱脂棉燃烧或阴燃；</w:t>
      </w:r>
      <w:r/>
    </w:p>
    <w:p>
      <w:pPr>
        <w:numPr>
          <w:ilvl w:val="0"/>
          <w:numId w:val="0"/>
        </w:numPr>
        <w:rPr>
          <w:rFonts w:hint="eastAsia" w:ascii="Calibri" w:hAnsi="Calibri" w:eastAsia="宋体" w:cs="Times New Roman"/>
          <w:b w:val="0"/>
          <w:bCs w:val="0"/>
          <w:color w:val="auto"/>
          <w:sz w:val="21"/>
          <w:szCs w:val="21"/>
          <w:highlight w:val="none"/>
          <w:lang w:val="zh-CN" w:eastAsia="zh-CN" w:bidi="ar-SA"/>
        </w:rPr>
      </w:pPr>
      <w:r>
        <w:rPr>
          <w:rFonts w:hint="eastAsia" w:ascii="Calibri" w:hAnsi="Calibri" w:eastAsia="宋体" w:cs="Times New Roman"/>
          <w:b w:val="0"/>
          <w:bCs w:val="0"/>
          <w:color w:val="auto"/>
          <w:sz w:val="21"/>
          <w:szCs w:val="21"/>
          <w:highlight w:val="none"/>
          <w:lang w:val="zh-CN" w:eastAsia="zh-CN" w:bidi="ar-SA"/>
        </w:rPr>
        <w:t xml:space="preserve">③</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GB/T 3923.1-2013《纺织品 织物拉伸性能 第1部分：断裂强力和断裂伸长率的测定（条样法）》：断裂强力：经向≥300N，纬向≥150N；</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值班床</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jc w:val="both"/>
        <w:widowControl w:val="off"/>
        <w:rPr>
          <w:rFonts w:hint="eastAsia" w:ascii="Calibri" w:hAnsi="Calibri" w:eastAsia="宋体" w:cs="Times New Roman"/>
          <w:b w:val="0"/>
          <w:bCs w:val="0"/>
          <w:color w:val="auto"/>
          <w:sz w:val="21"/>
          <w:szCs w:val="21"/>
          <w:highlight w:val="none"/>
          <w:lang w:val="en-US" w:eastAsia="zh-CN" w:bidi="ar-SA"/>
        </w:rPr>
      </w:pPr>
      <w:r>
        <w:rPr>
          <w:rFonts w:hint="eastAsia" w:ascii="Calibri" w:hAnsi="Calibri" w:eastAsia="宋体" w:cs="Times New Roman"/>
          <w:b w:val="0"/>
          <w:bCs w:val="0"/>
          <w:color w:val="auto"/>
          <w:sz w:val="21"/>
          <w:szCs w:val="21"/>
          <w:highlight w:val="none"/>
          <w:lang w:val="en-US" w:eastAsia="zh-CN" w:bidi="ar-SA"/>
        </w:rPr>
        <w:t xml:space="preserve">①依据符合GB/T35607-2024《绿色产品评价家具》标准，甲醛释放量≤0.05mg/m³；苯≤0.03mg/m³、甲苯≤0.08mg/m³、二甲苯≤0.10mg/m³、TVOC≤0.25mg/m³；</w:t>
      </w:r>
      <w:r/>
    </w:p>
    <w:p>
      <w:pPr>
        <w:numPr>
          <w:ilvl w:val="0"/>
          <w:numId w:val="0"/>
        </w:numPr>
        <w:jc w:val="both"/>
        <w:widowControl w:val="off"/>
        <w:rPr>
          <w:rFonts w:hint="default" w:ascii="Calibri" w:hAnsi="Calibri" w:eastAsia="宋体" w:cs="Times New Roman"/>
          <w:b w:val="0"/>
          <w:bCs w:val="0"/>
          <w:color w:val="auto"/>
          <w:sz w:val="21"/>
          <w:szCs w:val="21"/>
          <w:highlight w:val="none"/>
          <w:lang w:val="en-US" w:eastAsia="zh-CN" w:bidi="ar-SA"/>
        </w:rPr>
      </w:pPr>
      <w:r>
        <w:rPr>
          <w:rFonts w:hint="eastAsia" w:ascii="Calibri" w:hAnsi="Calibri" w:eastAsia="宋体" w:cs="Times New Roman"/>
          <w:b w:val="0"/>
          <w:bCs w:val="0"/>
          <w:color w:val="auto"/>
          <w:sz w:val="21"/>
          <w:szCs w:val="21"/>
          <w:highlight w:val="none"/>
          <w:lang w:val="zh-CN" w:eastAsia="zh-CN" w:bidi="ar-SA"/>
        </w:rPr>
        <w:t xml:space="preserve">②</w:t>
      </w:r>
      <w:r>
        <w:rPr>
          <w:rFonts w:hint="eastAsia" w:ascii="Calibri" w:hAnsi="Calibri" w:eastAsia="宋体" w:cs="Times New Roman"/>
          <w:b w:val="0"/>
          <w:bCs w:val="0"/>
          <w:color w:val="auto"/>
          <w:sz w:val="21"/>
          <w:szCs w:val="21"/>
          <w:highlight w:val="none"/>
          <w:lang w:val="en-US" w:eastAsia="zh-CN" w:bidi="ar-SA"/>
        </w:rPr>
        <w:t xml:space="preserve">依据符合GB/T 10125-2021《人造气氛腐蚀试验 盐雾试验》、QB/T 3832-1999《轻工产品金属镀层腐蚀试验结果的评价》、GB/T6461-2002《金属基体上金属和其他无机覆盖层经腐蚀试验后的试样和试件的评级》标准，耐腐蚀试验。乙酸盐雾试验≥18h,保护评级、外观评级均≥9级；涂（镀）层本身的耐腐蚀等级、对基体的保护等级≥9级；</w:t>
      </w:r>
      <w:r/>
    </w:p>
    <w:p>
      <w:pPr>
        <w:numPr>
          <w:ilvl w:val="0"/>
          <w:numId w:val="0"/>
        </w:numPr>
        <w:ind w:left="425" w:hanging="425"/>
        <w:keepLines w:val="0"/>
        <w:keepNext w:val="0"/>
        <w:pageBreakBefore w:val="0"/>
        <w:spacing w:line="360" w:lineRule="auto"/>
        <w:rPr>
          <w:rFonts w:hint="default" w:ascii="Calibri" w:hAnsi="Calibri" w:eastAsia="宋体" w:cs="Times New Roman"/>
          <w:b w:val="0"/>
          <w:bCs w:val="0"/>
          <w:color w:val="auto"/>
          <w:sz w:val="21"/>
          <w:szCs w:val="21"/>
          <w:highlight w:val="none"/>
          <w:lang w:val="en-US" w:eastAsia="zh-CN" w:bidi="ar-SA"/>
        </w:rPr>
      </w:pPr>
      <w:r>
        <w:rPr>
          <w:rFonts w:hint="eastAsia"/>
          <w:color w:val="auto"/>
          <w:highlight w:val="none"/>
          <w:lang w:val="zh-CN" w:eastAsia="zh-CN"/>
        </w:rPr>
        <w:t xml:space="preserve">③</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color w:val="auto"/>
          <w:highlight w:val="none"/>
          <w:lang w:val="zh-CN" w:eastAsia="zh-CN"/>
        </w:rPr>
        <w:t xml:space="preserve">WS/T 650-2019《抗菌和抑菌效果评价方法》</w:t>
      </w:r>
      <w:r>
        <w:rPr>
          <w:rFonts w:hint="eastAsia" w:ascii="Calibri" w:hAnsi="Calibri" w:eastAsia="宋体" w:cs="Times New Roman"/>
          <w:b w:val="0"/>
          <w:bCs w:val="0"/>
          <w:color w:val="auto"/>
          <w:sz w:val="21"/>
          <w:szCs w:val="21"/>
          <w:highlight w:val="none"/>
          <w:lang w:val="en-US" w:eastAsia="zh-CN" w:bidi="ar-SA"/>
        </w:rPr>
        <w:t xml:space="preserve">标准，</w:t>
      </w:r>
      <w:r>
        <w:rPr>
          <w:rFonts w:hint="eastAsia" w:cs="Times New Roman"/>
          <w:b w:val="0"/>
          <w:bCs w:val="0"/>
          <w:color w:val="auto"/>
          <w:sz w:val="21"/>
          <w:szCs w:val="21"/>
          <w:highlight w:val="none"/>
          <w:lang w:val="en-US" w:eastAsia="zh-CN" w:bidi="ar-SA"/>
        </w:rPr>
        <w:t xml:space="preserve">通过抗菌效果（抗菌性能）检测；</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办公椅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default"/>
          <w:color w:val="auto"/>
          <w:highlight w:val="none"/>
          <w:lang w:val="en-US" w:eastAsia="zh-CN"/>
        </w:rPr>
      </w:pPr>
      <w:r>
        <w:rPr>
          <w:rFonts w:hint="eastAsia"/>
          <w:color w:val="auto"/>
          <w:highlight w:val="none"/>
          <w:lang w:val="zh-CN" w:eastAsia="zh-CN"/>
        </w:rPr>
        <w:t xml:space="preserve">①检测依据符合GB/T3325-2024《金属家具通用技术条件》</w:t>
      </w:r>
      <w:r>
        <w:rPr>
          <w:rFonts w:hint="eastAsia"/>
          <w:color w:val="auto"/>
          <w:highlight w:val="none"/>
          <w:lang w:val="en-US" w:eastAsia="zh-CN"/>
        </w:rPr>
        <w:t xml:space="preserve">标准，通过基本结构安全检测；通过</w:t>
      </w:r>
      <w:r>
        <w:rPr>
          <w:rFonts w:hint="eastAsia"/>
          <w:color w:val="auto"/>
          <w:highlight w:val="none"/>
          <w:lang w:val="zh-CN" w:eastAsia="zh-CN"/>
        </w:rPr>
        <w:t xml:space="preserve">软、硬包件外观构件</w:t>
      </w:r>
      <w:r>
        <w:rPr>
          <w:rFonts w:hint="eastAsia"/>
          <w:color w:val="auto"/>
          <w:highlight w:val="none"/>
          <w:lang w:val="en-US" w:eastAsia="zh-CN"/>
        </w:rPr>
        <w:t xml:space="preserve">检测；</w:t>
      </w:r>
      <w:r/>
    </w:p>
    <w:p>
      <w:pPr>
        <w:rPr>
          <w:rFonts w:hint="eastAsia"/>
          <w:color w:val="auto"/>
          <w:highlight w:val="none"/>
          <w:lang w:val="zh-CN"/>
        </w:rPr>
      </w:pPr>
      <w:r>
        <w:rPr>
          <w:rFonts w:hint="eastAsia"/>
          <w:color w:val="auto"/>
          <w:highlight w:val="none"/>
          <w:lang w:val="zh-CN" w:eastAsia="zh-CN"/>
        </w:rPr>
        <w:t xml:space="preserve">②检测依据符合QB/T2280-2016《办公家具 办公椅》</w:t>
      </w:r>
      <w:r>
        <w:rPr>
          <w:rFonts w:hint="eastAsia"/>
          <w:color w:val="auto"/>
          <w:highlight w:val="none"/>
          <w:lang w:val="en-US" w:eastAsia="zh-CN"/>
        </w:rPr>
        <w:t xml:space="preserve">标准，</w:t>
      </w:r>
      <w:r>
        <w:rPr>
          <w:rFonts w:hint="eastAsia"/>
          <w:color w:val="auto"/>
          <w:highlight w:val="none"/>
          <w:lang w:val="zh-CN" w:eastAsia="zh-CN"/>
        </w:rPr>
        <w:t xml:space="preserve">理化性能软质聚氨酯泡沫塑料回弹性≥55%；75%压缩永久变形≤5</w:t>
      </w:r>
      <w:r>
        <w:rPr>
          <w:rFonts w:hint="eastAsia"/>
          <w:color w:val="auto"/>
          <w:highlight w:val="none"/>
          <w:lang w:val="en-US" w:eastAsia="zh-CN"/>
        </w:rPr>
        <w:t xml:space="preserve">%</w:t>
      </w:r>
      <w:r>
        <w:rPr>
          <w:rFonts w:hint="eastAsia"/>
          <w:color w:val="auto"/>
          <w:highlight w:val="none"/>
          <w:lang w:val="zh-CN" w:eastAsia="zh-CN"/>
        </w:rPr>
        <w:t xml:space="preserve">；干摩擦色牢度≥3级；椅座椅背耐久性≥10万次；公共场所用办公椅的阻燃性应满GB17927.2的要求；</w:t>
      </w:r>
      <w:r/>
    </w:p>
    <w:p>
      <w:pPr>
        <w:rPr>
          <w:rFonts w:hint="eastAsia"/>
          <w:b/>
          <w:bCs/>
          <w:color w:val="auto"/>
          <w:highlight w:val="none"/>
          <w:lang w:val="en-US" w:eastAsia="zh-CN"/>
        </w:rPr>
      </w:pPr>
      <w:r>
        <w:rPr>
          <w:rFonts w:hint="eastAsia"/>
          <w:b/>
          <w:bCs/>
          <w:color w:val="auto"/>
          <w:highlight w:val="none"/>
          <w:lang w:val="en-US" w:eastAsia="zh-CN"/>
        </w:rPr>
      </w:r>
      <w:r/>
    </w:p>
    <w:p>
      <w:pPr>
        <w:rPr>
          <w:rFonts w:hint="default"/>
          <w:b/>
          <w:bCs/>
          <w:color w:val="auto"/>
          <w:highlight w:val="none"/>
          <w:lang w:val="en-US" w:eastAsia="zh-CN"/>
        </w:rPr>
      </w:pPr>
      <w:r>
        <w:rPr>
          <w:rFonts w:hint="default"/>
          <w:b/>
          <w:bCs/>
          <w:color w:val="auto"/>
          <w:highlight w:val="none"/>
          <w:lang w:val="en-US" w:eastAsia="zh-CN"/>
        </w:rPr>
      </w:r>
      <w:r/>
    </w:p>
    <w:p>
      <w:pPr>
        <w:numPr>
          <w:ilvl w:val="0"/>
          <w:numId w:val="0"/>
        </w:numPr>
        <w:jc w:val="both"/>
        <w:widowControl w:val="off"/>
        <w:rPr>
          <w:rFonts w:hint="eastAsia" w:ascii="Calibri" w:hAnsi="Calibri" w:eastAsia="宋体" w:cs="Times New Roman"/>
          <w:b/>
          <w:bCs/>
          <w:color w:val="auto"/>
          <w:sz w:val="21"/>
          <w:szCs w:val="21"/>
          <w:highlight w:val="none"/>
          <w:lang w:val="en-US" w:eastAsia="zh-CN" w:bidi="ar-SA"/>
        </w:rPr>
      </w:pPr>
      <w:r>
        <w:rPr>
          <w:rFonts w:hint="eastAsia" w:ascii="Calibri" w:hAnsi="Calibri" w:eastAsia="宋体" w:cs="Times New Roman"/>
          <w:b/>
          <w:bCs/>
          <w:color w:val="auto"/>
          <w:sz w:val="21"/>
          <w:szCs w:val="21"/>
          <w:highlight w:val="none"/>
          <w:lang w:val="en-US" w:eastAsia="zh-CN" w:bidi="ar-SA"/>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t xml:space="preserve">(13)</w:t>
      </w:r>
      <w:r>
        <w:rPr>
          <w:rFonts w:hint="eastAsia" w:ascii="宋体" w:hAnsi="宋体" w:eastAsia="宋体" w:cs="宋体"/>
          <w:b/>
          <w:color w:val="auto"/>
          <w:sz w:val="21"/>
          <w:szCs w:val="21"/>
          <w:highlight w:val="none"/>
          <w:lang w:val="en-US" w:eastAsia="zh-CN" w:bidi="zh-CN"/>
        </w:rPr>
        <w:t xml:space="preserve">提供</w:t>
      </w:r>
      <w:r>
        <w:rPr>
          <w:rFonts w:hint="eastAsia" w:ascii="宋体" w:hAnsi="宋体" w:eastAsia="宋体" w:cs="宋体"/>
          <w:b/>
          <w:color w:val="auto"/>
          <w:sz w:val="21"/>
          <w:szCs w:val="21"/>
          <w:highlight w:val="none"/>
          <w:lang w:val="zh-CN" w:eastAsia="zh-CN" w:bidi="zh-CN"/>
        </w:rPr>
        <w:t xml:space="preserve">会议椅</w:t>
      </w:r>
      <w:r>
        <w:rPr>
          <w:rFonts w:hint="eastAsia" w:ascii="宋体" w:hAnsi="宋体" w:eastAsia="宋体" w:cs="宋体"/>
          <w:b/>
          <w:color w:val="auto"/>
          <w:sz w:val="21"/>
          <w:szCs w:val="21"/>
          <w:highlight w:val="none"/>
          <w:lang w:val="en-US" w:eastAsia="zh-CN" w:bidi="zh-CN"/>
        </w:rPr>
        <w:t xml:space="preserve">的</w:t>
      </w:r>
      <w:r>
        <w:rPr>
          <w:rFonts w:hint="eastAsia" w:ascii="宋体" w:hAnsi="宋体" w:eastAsia="宋体" w:cs="宋体"/>
          <w:b/>
          <w:color w:val="auto"/>
          <w:sz w:val="21"/>
          <w:szCs w:val="21"/>
          <w:highlight w:val="none"/>
          <w:lang w:val="zh-CN" w:eastAsia="zh-CN" w:bidi="zh-CN"/>
        </w:rPr>
        <w:t xml:space="preserve">检验（或检测）报告，报告中</w:t>
      </w:r>
      <w:r>
        <w:rPr>
          <w:rFonts w:hint="eastAsia" w:ascii="宋体" w:hAnsi="宋体" w:eastAsia="宋体" w:cs="宋体"/>
          <w:b/>
          <w:color w:val="auto"/>
          <w:sz w:val="21"/>
          <w:szCs w:val="21"/>
          <w:highlight w:val="none"/>
          <w:lang w:val="zh-CN" w:bidi="zh-CN"/>
        </w:rPr>
        <w:t xml:space="preserve">需</w:t>
      </w:r>
      <w:r>
        <w:rPr>
          <w:rFonts w:hint="eastAsia" w:ascii="宋体" w:hAnsi="宋体" w:eastAsia="宋体" w:cs="宋体"/>
          <w:b/>
          <w:color w:val="auto"/>
          <w:sz w:val="21"/>
          <w:szCs w:val="21"/>
          <w:highlight w:val="none"/>
          <w:lang w:val="zh-CN" w:eastAsia="zh-CN" w:bidi="zh-CN"/>
        </w:rPr>
        <w:t xml:space="preserve">包含：</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①</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38611-2020《办公家具 办公工作椅 稳定性、强度和耐久性测试方法》</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座面前沿倾翻测试、向前倾翻测试、扶手椅侧向倾翻测试均无倾翻；座面前沿静载荷测试、座面靠背联合静载荷测试、扶手向下静载荷测试-中间、扶手向下静载荷测试-前沿、扶手侧向静载荷测试、扶手耐久性测试（≥6万次）、旋转测试（≥1</w:t>
      </w:r>
      <w:r>
        <w:rPr>
          <w:rFonts w:hint="eastAsia" w:eastAsia="宋体" w:cs="Times New Roman"/>
          <w:b w:val="0"/>
          <w:bCs w:val="0"/>
          <w:color w:val="auto"/>
          <w:sz w:val="21"/>
          <w:szCs w:val="21"/>
          <w:highlight w:val="none"/>
          <w:lang w:val="en-US" w:eastAsia="zh-CN"/>
        </w:rPr>
        <w:t xml:space="preserve">0</w:t>
      </w:r>
      <w:r>
        <w:rPr>
          <w:rFonts w:hint="eastAsia" w:eastAsia="宋体" w:cs="Times New Roman"/>
          <w:b w:val="0"/>
          <w:bCs w:val="0"/>
          <w:color w:val="auto"/>
          <w:sz w:val="21"/>
          <w:szCs w:val="21"/>
          <w:highlight w:val="none"/>
          <w:lang w:val="zh-CN" w:eastAsia="zh-CN"/>
        </w:rPr>
        <w:t xml:space="preserve">万次）、脚轮和底座耐久性测试（≥10万次）；</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②</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35607-2024《绿色产品评价 家具》</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w:t>
      </w:r>
      <w:r>
        <w:rPr>
          <w:rFonts w:hint="eastAsia" w:ascii="Calibri" w:hAnsi="Calibri" w:eastAsia="宋体" w:cs="Times New Roman"/>
          <w:b w:val="0"/>
          <w:bCs w:val="0"/>
          <w:color w:val="auto"/>
          <w:sz w:val="21"/>
          <w:szCs w:val="21"/>
          <w:highlight w:val="none"/>
          <w:lang w:val="en-US" w:eastAsia="zh-CN" w:bidi="ar-SA"/>
        </w:rPr>
        <w:t xml:space="preserve">甲醛释放量≤0.05mg/m³；苯≤0.03mg/m³、甲苯≤0.08mg/m³、二甲苯≤0.10mg/m³、TVOC≤0.25mg/m³；</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③</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QB/T 2280-2016《办公家具 办公椅》</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；理化性能-软质聚氨酯泡沫塑料：密度：座面≥25kg/m³；回弹性≥35%、75%压缩永久变形≤10%</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④</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3325-2024《金属家具通用技术条件》</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通过检测：</w:t>
      </w:r>
      <w:r>
        <w:rPr>
          <w:rFonts w:hint="eastAsia" w:eastAsia="宋体" w:cs="Times New Roman"/>
          <w:b w:val="0"/>
          <w:bCs w:val="0"/>
          <w:color w:val="auto"/>
          <w:sz w:val="21"/>
          <w:szCs w:val="21"/>
          <w:highlight w:val="none"/>
          <w:lang w:val="zh-CN" w:eastAsia="zh-CN"/>
        </w:rPr>
        <w:t xml:space="preserve">产品外观性能-塑料件；软包件-软面包覆表面；金属件-电镀件；喷漆(塑)涂层；金属电镀层-抗盐雾：无锈点；金属喷漆(塑)涂层-硬度；</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en-US" w:eastAsia="zh-CN"/>
        </w:rPr>
      </w:pPr>
      <w:r>
        <w:rPr>
          <w:rFonts w:hint="eastAsia" w:ascii="Calibri" w:hAnsi="Calibri" w:eastAsia="宋体" w:cs="Times New Roman"/>
          <w:b w:val="0"/>
          <w:bCs w:val="0"/>
          <w:color w:val="auto"/>
          <w:sz w:val="21"/>
          <w:szCs w:val="21"/>
          <w:highlight w:val="none"/>
          <w:lang w:val="en-US" w:eastAsia="zh-CN" w:bidi="ar-SA"/>
        </w:rPr>
        <w:t xml:space="preserve">⑤</w:t>
      </w:r>
      <w:r>
        <w:rPr>
          <w:rFonts w:hint="eastAsia" w:eastAsia="宋体" w:cs="Times New Roman"/>
          <w:b w:val="0"/>
          <w:bCs w:val="0"/>
          <w:color w:val="auto"/>
          <w:sz w:val="21"/>
          <w:szCs w:val="21"/>
          <w:highlight w:val="none"/>
          <w:lang w:val="en-US" w:eastAsia="zh-CN"/>
        </w:rPr>
        <w:t xml:space="preserve">依据符合GB/T 19466.6-2009《塑料 差示扫描量热法（DSC）第6部分：氧化诱导时间（等温OIT）和氧化诱导温度（动态OIT）的测定》标准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氧化诱导时间（200℃）≥140min；</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en-US" w:eastAsia="zh-CN"/>
        </w:rPr>
      </w:pPr>
      <w:r>
        <w:rPr>
          <w:rFonts w:hint="eastAsia" w:ascii="Calibri" w:hAnsi="Calibri" w:eastAsia="宋体" w:cs="Times New Roman"/>
          <w:b w:val="0"/>
          <w:bCs w:val="0"/>
          <w:color w:val="auto"/>
          <w:sz w:val="21"/>
          <w:szCs w:val="21"/>
          <w:highlight w:val="none"/>
          <w:lang w:val="en-US" w:eastAsia="zh-CN" w:bidi="ar-SA"/>
        </w:rPr>
        <w:t xml:space="preserve">⑥</w:t>
      </w:r>
      <w:r>
        <w:rPr>
          <w:rFonts w:hint="eastAsia" w:eastAsia="宋体" w:cs="Times New Roman"/>
          <w:b w:val="0"/>
          <w:bCs w:val="0"/>
          <w:color w:val="auto"/>
          <w:sz w:val="21"/>
          <w:szCs w:val="21"/>
          <w:highlight w:val="none"/>
          <w:lang w:val="en-US" w:eastAsia="zh-CN"/>
        </w:rPr>
        <w:t xml:space="preserve">依据符合GB/T 8426-1998《纺织品 色牢度试验 耐光色牢度:日光》标准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耐日光色牢度≥3级；</w:t>
      </w:r>
      <w:r/>
    </w:p>
    <w:p>
      <w:pPr>
        <w:numPr>
          <w:ilvl w:val="0"/>
          <w:numId w:val="0"/>
        </w:numPr>
        <w:jc w:val="both"/>
        <w:widowControl w:val="off"/>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keepLines w:val="0"/>
        <w:keepNext w:val="0"/>
        <w:pageBreakBefore w:val="0"/>
        <w:widowControl w:val="off"/>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keepLines w:val="0"/>
        <w:keepNext w:val="0"/>
        <w:pageBreakBefore w:val="0"/>
        <w:widowControl w:val="off"/>
        <w:rPr>
          <w:rFonts w:hint="eastAsia" w:ascii="宋体" w:hAnsi="宋体" w:eastAsia="宋体" w:cs="宋体"/>
          <w:b/>
          <w:bCs w:val="0"/>
          <w:color w:val="auto"/>
          <w:sz w:val="21"/>
          <w:szCs w:val="21"/>
          <w:highlight w:val="none"/>
          <w:lang w:val="en-US" w:eastAsia="zh-CN" w:bidi="zh-CN"/>
        </w:rPr>
      </w:pPr>
      <w:r>
        <w:rPr>
          <w:rFonts w:hint="eastAsia" w:ascii="宋体" w:hAnsi="宋体" w:eastAsia="宋体" w:cs="宋体"/>
          <w:b/>
          <w:bCs w:val="0"/>
          <w:color w:val="auto"/>
          <w:sz w:val="21"/>
          <w:szCs w:val="21"/>
          <w:highlight w:val="none"/>
          <w:lang w:val="en-US"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en-US" w:eastAsia="zh-CN" w:bidi="zh-CN"/>
        </w:rPr>
        <w:t xml:space="preserve">(1</w:t>
      </w:r>
      <w:r>
        <w:rPr>
          <w:rFonts w:hint="eastAsia" w:ascii="宋体" w:hAnsi="宋体" w:eastAsia="宋体" w:cs="宋体"/>
          <w:b/>
          <w:color w:val="auto"/>
          <w:sz w:val="21"/>
          <w:szCs w:val="21"/>
          <w:highlight w:val="none"/>
          <w:lang w:val="en-US" w:eastAsia="zh-CN" w:bidi="zh-CN"/>
        </w:rPr>
        <w:t xml:space="preserve">4</w:t>
      </w:r>
      <w:r>
        <w:rPr>
          <w:rFonts w:hint="default" w:ascii="宋体" w:hAnsi="宋体" w:eastAsia="宋体" w:cs="宋体"/>
          <w:b/>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提供沙发的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rPr>
      </w:pPr>
      <w:r>
        <w:rPr>
          <w:rFonts w:hint="eastAsia"/>
          <w:color w:val="auto"/>
          <w:highlight w:val="none"/>
          <w:lang w:val="en-US" w:eastAsia="zh-CN"/>
        </w:rPr>
        <w:t xml:space="preserve">①</w:t>
      </w:r>
      <w:r>
        <w:rPr>
          <w:rFonts w:hint="eastAsia"/>
          <w:color w:val="auto"/>
          <w:highlight w:val="none"/>
          <w:lang w:val="zh-CN" w:eastAsia="zh-CN"/>
        </w:rPr>
        <w:t xml:space="preserve">依据符合</w:t>
      </w:r>
      <w:r>
        <w:rPr>
          <w:rFonts w:hint="eastAsia"/>
          <w:color w:val="auto"/>
          <w:highlight w:val="none"/>
          <w:lang w:val="zh-CN"/>
        </w:rPr>
        <w:t xml:space="preserve">QB/T 1952.1-2023《软体家具沙发》；</w:t>
      </w:r>
      <w:r>
        <w:rPr>
          <w:rFonts w:hint="eastAsia"/>
          <w:color w:val="auto"/>
          <w:highlight w:val="none"/>
          <w:lang w:val="en-US"/>
        </w:rPr>
        <w:t xml:space="preserve">摩擦声</w:t>
      </w:r>
      <w:r>
        <w:rPr>
          <w:rFonts w:hint="eastAsia"/>
          <w:color w:val="auto"/>
          <w:highlight w:val="none"/>
          <w:lang w:val="en-US" w:eastAsia="zh-CN"/>
        </w:rPr>
        <w:t xml:space="preserve">：</w:t>
      </w:r>
      <w:r>
        <w:rPr>
          <w:rFonts w:hint="eastAsia"/>
          <w:color w:val="auto"/>
          <w:highlight w:val="none"/>
          <w:lang w:val="en-US"/>
        </w:rPr>
        <w:t xml:space="preserve">徒手压座面和背面，应无异常的金属件摩擦或撞击等响声；抗引燃特性-阴燃的香烟未观察到试样表面或内部出现任何续燃、阴燃现象，评定该试样为阻燃I级，通过香烟抗引燃特性试验</w:t>
      </w:r>
      <w:r/>
    </w:p>
    <w:p>
      <w:pPr>
        <w:rPr>
          <w:rFonts w:hint="eastAsia"/>
          <w:color w:val="auto"/>
          <w:highlight w:val="none"/>
          <w:lang w:val="en-US" w:eastAsia="zh-CN"/>
        </w:rPr>
      </w:pPr>
      <w:r>
        <w:rPr>
          <w:rFonts w:hint="eastAsia"/>
          <w:color w:val="auto"/>
          <w:highlight w:val="none"/>
          <w:lang w:val="en-US" w:eastAsia="zh-CN"/>
        </w:rPr>
        <w:t xml:space="preserve">②</w:t>
      </w:r>
      <w:r>
        <w:rPr>
          <w:rFonts w:hint="eastAsia"/>
          <w:color w:val="auto"/>
          <w:highlight w:val="none"/>
          <w:lang w:val="zh-CN" w:eastAsia="zh-CN"/>
        </w:rPr>
        <w:t xml:space="preserve">依据符合</w:t>
      </w:r>
      <w:r>
        <w:rPr>
          <w:rFonts w:hint="eastAsia"/>
          <w:color w:val="auto"/>
          <w:highlight w:val="none"/>
          <w:lang w:val="zh-CN"/>
        </w:rPr>
        <w:t xml:space="preserve">GB/T 35607-2024《绿色产品评价家具》；</w:t>
      </w:r>
      <w:r>
        <w:rPr>
          <w:rFonts w:hint="eastAsia"/>
          <w:color w:val="auto"/>
          <w:highlight w:val="none"/>
          <w:lang w:val="en-US" w:eastAsia="zh-CN"/>
        </w:rPr>
        <w:t xml:space="preserve">苯≤0.03mg/m³、甲苯≤0.08mg/m³、二甲苯≤0.10mg/m³、TVOC≤0.25mg/m³；</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（二）原材料检测报告</w:t>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zh-CN" w:bidi="zh-CN"/>
        </w:rPr>
        <w:t xml:space="preserve">电解钢板</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①依据符合</w:t>
      </w:r>
      <w:r>
        <w:rPr>
          <w:rFonts w:hint="eastAsia" w:ascii="宋体" w:hAnsi="宋体" w:eastAsia="宋体" w:cs="宋体"/>
          <w:color w:val="auto"/>
          <w:highlight w:val="none"/>
        </w:rPr>
        <w:t xml:space="preserve">GB/T232-2024《金属材料 弯曲试验方法》</w:t>
      </w:r>
      <w:r>
        <w:rPr>
          <w:rFonts w:hint="eastAsia" w:ascii="宋体" w:hAnsi="宋体" w:cs="宋体"/>
          <w:color w:val="auto"/>
          <w:highlight w:val="none"/>
          <w:lang w:val="en-US" w:eastAsia="zh-CN"/>
        </w:rPr>
        <w:t xml:space="preserve">标准</w:t>
      </w:r>
      <w:r>
        <w:rPr>
          <w:rFonts w:hint="eastAsia" w:ascii="宋体" w:hAnsi="宋体" w:eastAsia="宋体" w:cs="宋体"/>
          <w:color w:val="auto"/>
          <w:highlight w:val="none"/>
        </w:rPr>
        <w:t xml:space="preserve">：通过弯曲试验后试样弯曲外表面无可见裂纹。</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rPr>
        <w:t xml:space="preserve">喷粉涂层按GB/T 4893.1-2021《家具表面漆膜理化性能试验 第1部分：耐冷液测定法》进行耐冷液测试</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③依据符合</w:t>
      </w:r>
      <w:r>
        <w:rPr>
          <w:rFonts w:hint="eastAsia" w:ascii="宋体" w:hAnsi="宋体" w:eastAsia="宋体" w:cs="宋体"/>
          <w:color w:val="auto"/>
          <w:highlight w:val="none"/>
        </w:rPr>
        <w:t xml:space="preserve">GB/T13448-2019《彩色涂层钢板及钢带试验方法》要求：反向冲击试样3次反向冲击均无脱落或开裂；耐酸碱试验结果：试样无失光、无变色、无起泡/脱落现象；</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④依据符合GB/T228.1-2021《金属材料 拉伸试验 第1部分:室温试验方法》的要求：抗拉强度≥400MPa、</w:t>
      </w:r>
      <w:r>
        <w:rPr>
          <w:rFonts w:hint="eastAsia" w:ascii="宋体" w:hAnsi="宋体" w:eastAsia="宋体" w:cs="宋体"/>
          <w:b w:val="0"/>
          <w:bCs w:val="0"/>
          <w:color w:val="auto"/>
          <w:highlight w:val="none"/>
          <w:lang w:val="en-US" w:eastAsia="zh-CN"/>
        </w:rPr>
        <w:t xml:space="preserve">规定塑性延伸强度≥200MPa;断后伸长率≥50%；</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⑤依据符合GB/T 2423.18-2021《环境试验 第 2 部分：试验方法 试验 Kb：盐雾，交变（氯化钠溶液）》的要求，交变盐雾试验≥72h：试验后样品无锈蚀、鼓泡；</w:t>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304不锈钢</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①</w:t>
      </w:r>
      <w:r>
        <w:rPr>
          <w:rFonts w:hint="eastAsia" w:ascii="宋体" w:hAnsi="宋体" w:eastAsia="宋体" w:cs="宋体"/>
          <w:b w:val="0"/>
          <w:bCs w:val="0"/>
          <w:color w:val="auto"/>
          <w:highlight w:val="none"/>
          <w:lang w:val="en-US" w:eastAsia="zh-CN"/>
        </w:rPr>
        <w:t xml:space="preserve">依据符合GB/T11170-2008《不锈钢多元素含量的测定火花放电原子发射光谱法（常规法）》标准，化学成分C（碳）≤0.05%、Si（硅）≤0.35%、Mn（锰）≤0.10%、P（磷）≤0.040%、S（硫）≤0.020%、Cr（铬）≤18.50%、Ni（镍）≤8.50%；</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依据符合QB/T4371-2012《家具抗菌性能的评价》标准，通过抗细菌性能检测至少包含大肠埃希氏菌（大肠杆菌）、肺炎克雷伯氏菌等任意5种菌类，抗细菌率或抑菌率均≥99%；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依据符合GB/T 228.1-2021《金属材料 拉伸试验 第1部分：室温试验方法》标准；规定塑性延伸强度≥205MPa;抗拉强度≥515MPa;断后伸长率≥40%；</w:t>
      </w:r>
      <w:r/>
    </w:p>
    <w:p>
      <w:pPr>
        <w:pStyle w:val="696"/>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(3)</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粉末</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ind w:firstLine="68"/>
        <w:jc w:val="left"/>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①依据符合HG/T 2006-2022《热固性和热塑性粉末涂料》标准；铅笔硬度（内聚破坏中擦伤）≥3H；弯曲试验≤2，涂层无开裂或未从底材上剥落；耐湿性（室内用）≥120h无异常，耐沸水性（≥48h）无异常；耐酸性[3%（质量分数）盐酸溶液]≥120h无异常；耐碱性[5%（质量分数）氢氧化钠溶液]室内用≥120h无异常；通过耐人工气候老化性≥120h检测，无粉化、起泡、开裂、剥落等异常现象，杯突试验≥4mm；干附着力≤1级、沸水附着力≤1级、湿附着力≤1级；</w:t>
      </w:r>
      <w:r/>
    </w:p>
    <w:p>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②依据符合GB/T 35602-2017《绿色产品评价 涂料》标准；重金属元素含量：铅（Pb）≤15mg/kg；镉（Cd）≤15mg/kg；六价铬（Cr</w:t>
      </w:r>
      <w:r>
        <w:rPr>
          <w:rFonts w:hint="eastAsia" w:ascii="宋体" w:hAnsi="宋体" w:eastAsia="宋体" w:cs="宋体"/>
          <w:b w:val="0"/>
          <w:bCs w:val="0"/>
          <w:color w:val="auto"/>
          <w:sz w:val="21"/>
          <w:szCs w:val="21"/>
          <w:highlight w:val="none"/>
          <w:vertAlign w:val="superscript"/>
          <w:lang w:val="en-US" w:eastAsia="zh-CN"/>
        </w:rPr>
        <w:t xml:space="preserve">6+</w:t>
      </w:r>
      <w:r>
        <w:rPr>
          <w:rFonts w:hint="eastAsia" w:ascii="宋体" w:hAnsi="宋体" w:eastAsia="宋体" w:cs="宋体"/>
          <w:b w:val="0"/>
          <w:bCs w:val="0"/>
          <w:color w:val="auto"/>
          <w:sz w:val="21"/>
          <w:szCs w:val="21"/>
          <w:highlight w:val="none"/>
          <w:lang w:val="en-US" w:eastAsia="zh-CN"/>
        </w:rPr>
        <w:t xml:space="preserve">）≤15mg/kg；汞（Hg）≤15mg/kg；砷（As）≤15mg/kg；钡（Ba）≤15mg/kg；硒（Se）≤15mg/kg；锑（Sb）≤15mg/kg；钴（Co）≤15mg/kg；</w:t>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(4)</w:t>
      </w:r>
      <w:r>
        <w:rPr>
          <w:rFonts w:hint="eastAsia" w:ascii="宋体" w:hAnsi="宋体" w:eastAsia="宋体" w:cs="宋体"/>
          <w:b/>
          <w:color w:val="auto"/>
          <w:sz w:val="21"/>
          <w:szCs w:val="21"/>
          <w:highlight w:val="none"/>
          <w:lang w:val="en-US" w:bidi="zh-CN"/>
        </w:rPr>
        <w:t xml:space="preserve">提供</w:t>
      </w:r>
      <w:r>
        <w:rPr>
          <w:rFonts w:hint="default" w:ascii="宋体" w:hAnsi="宋体" w:eastAsia="宋体" w:cs="宋体"/>
          <w:b/>
          <w:bCs/>
          <w:color w:val="auto"/>
          <w:sz w:val="21"/>
          <w:szCs w:val="21"/>
          <w:highlight w:val="none"/>
          <w:lang w:val="en-US" w:bidi="zh-CN"/>
        </w:rPr>
        <w:t xml:space="preserve">缓冲门铰（铰链）</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ind w:left="425" w:hanging="425"/>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①依据符合QB/T2189-2013《家具五金杯状暗链》标准，通过功能垂直静载荷检测、水平静载荷检测、下沉量不应大于2.0mm;</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②依据符合QB/T 3832-1999《轻工产品金属镀层腐蚀试验结果的评价》、QB/T 3827-1999《轻工产品金属镀层和化学处理层的耐腐蚀试验方法乙酸盐雾试验(ASS)法》、GB/T6461-2002《金属基体上金属和其他无机覆盖层经腐蚀试验后的试样和试件的评级》标准；乙酸盐雾试验≥100h;镀（涂）层对基体的保护等级≥9级；镀（涂）层本身耐腐蚀等级≥9级；外观评级≥9级；保护等级≥9级；</w:t>
      </w:r>
      <w:r/>
    </w:p>
    <w:p>
      <w:pPr>
        <w:numPr>
          <w:ilvl w:val="0"/>
          <w:numId w:val="0"/>
        </w:numPr>
        <w:ind w:left="425" w:hanging="425"/>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锁具</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eastAsia="zh-CN"/>
        </w:rPr>
      </w:pPr>
      <w:r>
        <w:rPr>
          <w:rFonts w:hint="eastAsia"/>
          <w:color w:val="auto"/>
          <w:highlight w:val="none"/>
          <w:lang w:val="en-US" w:eastAsia="zh-CN"/>
        </w:rPr>
        <w:t xml:space="preserve">①依据符合GB/T3325-2024《金属家具通用技术条件》标准，外观性能喷漆（塑）涂层应无漏喷、锈蚀、脱色、掉色等。冲击强度冲击高度400mm，应无剥落、裂纹、皱纹。耐盐浴：划道两侧 3mm 外，应无鼓泡、锈蚀、剥落和起皱等现象；</w:t>
      </w:r>
      <w:r/>
    </w:p>
    <w:p>
      <w:pPr>
        <w:rPr>
          <w:rFonts w:hint="eastAsia"/>
          <w:color w:val="auto"/>
          <w:highlight w:val="none"/>
          <w:lang w:val="en-US" w:eastAsia="zh-CN"/>
        </w:rPr>
      </w:pPr>
      <w:r>
        <w:rPr>
          <w:rFonts w:hint="eastAsia"/>
          <w:color w:val="auto"/>
          <w:highlight w:val="none"/>
          <w:lang w:val="en-US" w:eastAsia="zh-CN"/>
        </w:rPr>
        <w:t xml:space="preserve">②依据符合QB/T1621-2015《家具锁》标准，保密度弹子锁、叶片锁钥匙不同牙花数≥500种，弹子锁、叶片锁互开率检测合格；外观质量-电镀件耐腐蚀：电镀件外露表面经≥12h的中性盐雾试验后，应达到外观评级R</w:t>
      </w:r>
      <w:r>
        <w:rPr>
          <w:rFonts w:hint="eastAsia"/>
          <w:color w:val="auto"/>
          <w:highlight w:val="none"/>
          <w:vertAlign w:val="subscript"/>
          <w:lang w:val="en-US" w:eastAsia="zh-CN"/>
        </w:rPr>
        <w:t xml:space="preserve">A</w:t>
      </w:r>
      <w:r>
        <w:rPr>
          <w:rFonts w:hint="eastAsia"/>
          <w:color w:val="auto"/>
          <w:highlight w:val="none"/>
          <w:lang w:val="en-US" w:eastAsia="zh-CN"/>
        </w:rPr>
        <w:t xml:space="preserve">6级；</w:t>
      </w:r>
      <w:r/>
    </w:p>
    <w:p>
      <w:pPr>
        <w:rPr>
          <w:rFonts w:hint="eastAsia"/>
          <w:color w:val="auto"/>
          <w:highlight w:val="none"/>
          <w:lang w:val="en-US" w:eastAsia="zh-CN"/>
        </w:rPr>
      </w:pPr>
      <w:r>
        <w:rPr>
          <w:rFonts w:hint="eastAsia"/>
          <w:color w:val="auto"/>
          <w:highlight w:val="none"/>
          <w:lang w:val="en-US" w:eastAsia="zh-CN"/>
        </w:rPr>
        <w:t xml:space="preserve">③依据符合GB/T2423.30-2013《环境试验第2部分：试验方法试验XA和导则：在清洗剂中浸渍》标准，通过浸渍（浸渍温度：23±5°C，浸渍液：异丙醇，浸渍时间：5min)试验，外观无明显变化。</w:t>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(6)</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导轨（路轨）</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①依据符合QB/T 2454-2013《家具五金 抽屉导轨》标准;通过功能垂直向下静载荷、水平侧向静载荷、下沉量不超过2%；</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②依据符合QB/T 3832-1999《轻工产品金属镀层腐蚀试验结果的评价》、QB/T 3827-1999《轻工产品金属镀层和化学处理层的耐腐蚀试验方法乙酸盐雾试验(ASS)法》、GB/T6461-2002《金属基体上金属和其他无机覆盖层经腐蚀试验后的试样和试件的评级》标准；乙酸盐雾试验≥100h;镀（涂）层对基体的保护等级≥9级；镀（涂）层本身耐腐蚀等级≥9级；外观评级≥9级；保护等级≥9级；</w:t>
      </w:r>
      <w:r/>
    </w:p>
    <w:p>
      <w:pPr>
        <w:numPr>
          <w:ilvl w:val="0"/>
          <w:numId w:val="0"/>
        </w:numPr>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(7)</w:t>
      </w:r>
      <w:r>
        <w:rPr>
          <w:rFonts w:hint="eastAsia" w:ascii="宋体" w:hAnsi="宋体" w:eastAsia="宋体" w:cs="宋体"/>
          <w:b/>
          <w:color w:val="auto"/>
          <w:sz w:val="21"/>
          <w:szCs w:val="21"/>
          <w:highlight w:val="none"/>
          <w:lang w:val="en-US" w:bidi="zh-CN"/>
        </w:rPr>
        <w:t xml:space="preserve">提供</w:t>
      </w:r>
      <w:r>
        <w:rPr>
          <w:rFonts w:hint="default" w:ascii="宋体" w:hAnsi="宋体" w:eastAsia="宋体" w:cs="宋体"/>
          <w:b/>
          <w:bCs/>
          <w:color w:val="auto"/>
          <w:sz w:val="21"/>
          <w:szCs w:val="21"/>
          <w:highlight w:val="none"/>
          <w:lang w:val="en-US" w:bidi="zh-CN"/>
        </w:rPr>
        <w:t xml:space="preserve">刨花板</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①依据符合GB/T 4897-2015《刨花板》标准；含水率3-13%；静曲强度≥15MPa；弹性模量≥2000MPa；甲醛释放量≤0.015mg/m³；</w:t>
      </w:r>
      <w:r/>
    </w:p>
    <w:p>
      <w:p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②依据符合QB/T4371-2012《家具抗菌性能的评价》标准；通过抗细菌性能检测至少包含大肠埃希氏菌（大肠杆菌）等任意5种菌类，抗细菌率或抑菌率均≥99%；</w:t>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bCs/>
          <w:color w:val="auto"/>
          <w:sz w:val="21"/>
          <w:szCs w:val="21"/>
          <w:highlight w:val="none"/>
          <w:lang w:val="en-US" w:eastAsia="zh-CN" w:bidi="zh-CN"/>
        </w:rPr>
        <w:t xml:space="preserve">8</w:t>
      </w: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default" w:ascii="宋体" w:hAnsi="宋体" w:eastAsia="宋体" w:cs="宋体"/>
          <w:b/>
          <w:bCs/>
          <w:color w:val="auto"/>
          <w:sz w:val="21"/>
          <w:szCs w:val="21"/>
          <w:highlight w:val="none"/>
          <w:lang w:val="en-US" w:bidi="zh-CN"/>
        </w:rPr>
        <w:t xml:space="preserve">冷轧钢板</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①依据符合GB/T 228.1-2021《金属材料 拉伸试验第1部分:室温试验方法》标准，通过力学性能：抗拉强度≥400MPa、规定塑性延伸强度≥250MPa;断后伸长率≥26%。</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②依据符合GB/T 5464-2010《建筑材料不燃性试验方法》标准，通过燃烧性能检测。</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③依据符合GB/T 3325-2024《金属家具通用技术条件》标准；通过外观性能金属件检测合格；</w:t>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rPr>
          <w:rFonts w:hint="default" w:ascii="宋体" w:hAnsi="宋体" w:eastAsia="宋体" w:cs="宋体"/>
          <w:b/>
          <w:bCs/>
          <w:color w:val="auto"/>
          <w:sz w:val="21"/>
          <w:szCs w:val="21"/>
          <w:highlight w:val="none"/>
          <w:lang w:val="en-US" w:eastAsia="zh-CN" w:bidi="zh-CN"/>
        </w:rPr>
      </w:pPr>
      <w:r>
        <w:rPr>
          <w:rFonts w:hint="default" w:ascii="宋体" w:hAnsi="宋体" w:eastAsia="宋体" w:cs="宋体"/>
          <w:b/>
          <w:bCs/>
          <w:color w:val="auto"/>
          <w:sz w:val="21"/>
          <w:szCs w:val="21"/>
          <w:highlight w:val="none"/>
          <w:lang w:val="en-US" w:eastAsia="zh-CN" w:bidi="zh-CN"/>
        </w:rPr>
      </w:r>
      <w:r/>
    </w:p>
    <w:p>
      <w:pPr>
        <w:numPr>
          <w:ilvl w:val="0"/>
          <w:numId w:val="0"/>
        </w:numPr>
        <w:ind w:left="425" w:hanging="425"/>
        <w:rPr>
          <w:rFonts w:hint="default" w:ascii="宋体" w:hAnsi="宋体" w:eastAsia="宋体" w:cs="宋体"/>
          <w:b/>
          <w:bCs/>
          <w:color w:val="auto"/>
          <w:sz w:val="21"/>
          <w:szCs w:val="21"/>
          <w:highlight w:val="none"/>
          <w:lang w:val="en-US" w:eastAsia="zh-CN" w:bidi="zh-CN"/>
        </w:rPr>
      </w:pPr>
      <w:r>
        <w:rPr>
          <w:rFonts w:hint="default" w:ascii="宋体" w:hAnsi="宋体" w:eastAsia="宋体" w:cs="宋体"/>
          <w:b/>
          <w:bCs/>
          <w:color w:val="auto"/>
          <w:sz w:val="21"/>
          <w:szCs w:val="21"/>
          <w:highlight w:val="none"/>
          <w:lang w:val="en-US" w:eastAsia="zh-CN"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bCs/>
          <w:color w:val="auto"/>
          <w:sz w:val="21"/>
          <w:szCs w:val="21"/>
          <w:highlight w:val="none"/>
          <w:lang w:val="en-US" w:eastAsia="zh-CN" w:bidi="zh-CN"/>
        </w:rPr>
        <w:t xml:space="preserve">9</w:t>
      </w: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海绵</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6344-2008</w:t>
      </w:r>
      <w:r>
        <w:rPr>
          <w:rFonts w:hint="eastAsia" w:ascii="宋体" w:hAnsi="宋体" w:eastAsia="宋体" w:cs="宋体"/>
          <w:color w:val="auto"/>
          <w:highlight w:val="none"/>
          <w:lang w:eastAsia="zh-CN"/>
        </w:rPr>
        <w:t xml:space="preserve">《软质泡沫聚合材料 拉伸强度和断裂伸长率的测定》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拉伸强度≥100kPa；断裂伸长率≥125%；撕裂强度≥5N/cm；干热老化后拉伸强度≥110kPa；湿热老化后拉伸强度≥120kPa；</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6343-2009</w:t>
      </w:r>
      <w:r>
        <w:rPr>
          <w:rFonts w:hint="eastAsia" w:ascii="宋体" w:hAnsi="宋体" w:eastAsia="宋体" w:cs="宋体"/>
          <w:color w:val="auto"/>
          <w:highlight w:val="none"/>
          <w:lang w:eastAsia="zh-CN"/>
        </w:rPr>
        <w:t xml:space="preserve">《泡沫塑料及橡胶 表观密度的测定》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表观密度≥50kg/</w:t>
      </w:r>
      <w:r>
        <w:rPr>
          <w:rFonts w:hint="eastAsia" w:ascii="宋体" w:hAnsi="宋体" w:eastAsia="宋体" w:cs="宋体"/>
          <w:color w:val="auto"/>
          <w:highlight w:val="none"/>
          <w:lang w:val="en-US" w:eastAsia="zh-CN"/>
        </w:rPr>
        <w:t xml:space="preserve">m³</w:t>
      </w:r>
      <w:r>
        <w:rPr>
          <w:rFonts w:hint="eastAsia" w:ascii="宋体" w:hAnsi="宋体" w:eastAsia="宋体" w:cs="宋体"/>
          <w:color w:val="auto"/>
          <w:highlight w:val="none"/>
        </w:rPr>
        <w:t xml:space="preserve">；</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QB/T2819-2006《软质泡沫材料长期疲劳性能的测定》</w:t>
      </w:r>
      <w:r>
        <w:rPr>
          <w:rFonts w:hint="eastAsia" w:ascii="宋体" w:hAnsi="宋体" w:eastAsia="宋体" w:cs="宋体"/>
          <w:color w:val="auto"/>
          <w:highlight w:val="none"/>
          <w:lang w:val="en-US" w:eastAsia="zh-CN"/>
        </w:rPr>
        <w:t xml:space="preserve">标准，通过恒定负荷反复压陷疲劳后的40%压陷硬度损失值(P)/%v类12≤P&lt;22；</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GB/T 10807-2006</w:t>
      </w:r>
      <w:r>
        <w:rPr>
          <w:rFonts w:hint="eastAsia" w:ascii="宋体" w:hAnsi="宋体" w:eastAsia="宋体" w:cs="宋体"/>
          <w:color w:val="auto"/>
          <w:highlight w:val="none"/>
          <w:lang w:eastAsia="zh-CN"/>
        </w:rPr>
        <w:t xml:space="preserve">《软质泡沫聚合材料 硬度的测定（压陷法）》</w:t>
      </w:r>
      <w:r>
        <w:rPr>
          <w:rFonts w:hint="eastAsia" w:ascii="宋体" w:hAnsi="宋体" w:eastAsia="宋体" w:cs="宋体"/>
          <w:color w:val="auto"/>
          <w:highlight w:val="none"/>
          <w:lang w:val="en-US" w:eastAsia="zh-CN"/>
        </w:rPr>
        <w:t xml:space="preserve">标准，40%压陷硬度偏差110≤IFD&lt;145；65%/25%压陷比≥1.8；75%压缩永久变形/%V类≤6</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⑤</w:t>
      </w:r>
      <w:r>
        <w:rPr>
          <w:rFonts w:hint="eastAsia" w:ascii="宋体" w:hAnsi="宋体" w:eastAsia="宋体" w:cs="宋体"/>
          <w:color w:val="auto"/>
          <w:highlight w:val="none"/>
          <w:lang w:val="en-US" w:eastAsia="zh-CN"/>
        </w:rPr>
        <w:t xml:space="preserve">依据符合GB/T6670-2008《软质泡沫聚合材料落球法回弹性能》标准，回弹率≥45%；</w:t>
      </w:r>
      <w:r/>
    </w:p>
    <w:p>
      <w:pPr>
        <w:numPr>
          <w:ilvl w:val="0"/>
          <w:numId w:val="0"/>
        </w:numPr>
        <w:ind w:left="425" w:hanging="425"/>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0" w:firstLine="0"/>
        <w:jc w:val="left"/>
        <w:keepLines w:val="0"/>
        <w:keepNext w:val="0"/>
        <w:pageBreakBefore w:val="0"/>
        <w:widowControl w:val="off"/>
        <w:rPr>
          <w:rFonts w:hint="eastAsia" w:ascii="宋体" w:hAnsi="宋体" w:eastAsia="宋体" w:cs="宋体"/>
          <w:b w:val="0"/>
          <w:bCs/>
          <w:color w:val="auto"/>
          <w:sz w:val="21"/>
          <w:szCs w:val="21"/>
          <w:highlight w:val="none"/>
          <w:lang w:val="en-US" w:bidi="zh-CN"/>
        </w:rPr>
      </w:pPr>
      <w:r>
        <w:rPr>
          <w:rFonts w:hint="eastAsia" w:ascii="宋体" w:hAnsi="宋体" w:eastAsia="宋体" w:cs="宋体"/>
          <w:b w:val="0"/>
          <w:bCs/>
          <w:color w:val="auto"/>
          <w:sz w:val="21"/>
          <w:szCs w:val="21"/>
          <w:highlight w:val="none"/>
          <w:lang w:val="en-US" w:bidi="zh-CN"/>
        </w:rPr>
      </w:r>
      <w:r/>
    </w:p>
    <w:p>
      <w:pPr>
        <w:numPr>
          <w:ilvl w:val="0"/>
          <w:numId w:val="0"/>
        </w:numPr>
        <w:ind w:left="0" w:firstLine="0"/>
        <w:jc w:val="left"/>
        <w:keepLines w:val="0"/>
        <w:keepNext w:val="0"/>
        <w:pageBreakBefore w:val="0"/>
        <w:widowControl w:val="off"/>
        <w:rPr>
          <w:rFonts w:hint="eastAsia" w:ascii="宋体" w:hAnsi="宋体" w:eastAsia="宋体" w:cs="宋体"/>
          <w:b w:val="0"/>
          <w:bCs/>
          <w:color w:val="auto"/>
          <w:sz w:val="21"/>
          <w:szCs w:val="21"/>
          <w:highlight w:val="none"/>
          <w:lang w:val="en-US" w:bidi="zh-CN"/>
        </w:rPr>
      </w:pPr>
      <w:r>
        <w:rPr>
          <w:rFonts w:hint="eastAsia" w:ascii="宋体" w:hAnsi="宋体" w:eastAsia="宋体" w:cs="宋体"/>
          <w:b w:val="0"/>
          <w:bCs/>
          <w:color w:val="auto"/>
          <w:sz w:val="21"/>
          <w:szCs w:val="21"/>
          <w:highlight w:val="none"/>
          <w:lang w:val="en-US" w:bidi="zh-CN"/>
        </w:rPr>
      </w:r>
      <w:r/>
    </w:p>
    <w:p>
      <w:pPr>
        <w:numPr>
          <w:ilvl w:val="0"/>
          <w:numId w:val="0"/>
        </w:numPr>
        <w:ind w:left="425" w:hanging="425"/>
        <w:rPr>
          <w:rFonts w:hint="eastAsia" w:ascii="宋体" w:hAnsi="宋体" w:eastAsia="宋体" w:cs="宋体"/>
          <w:b/>
          <w:color w:val="auto"/>
          <w:sz w:val="21"/>
          <w:szCs w:val="21"/>
          <w:highlight w:val="none"/>
          <w:lang w:val="zh-CN" w:bidi="zh-CN"/>
        </w:rPr>
      </w:pPr>
      <w:r>
        <w:rPr>
          <w:rFonts w:hint="default" w:ascii="宋体" w:hAnsi="宋体" w:eastAsia="宋体" w:cs="宋体"/>
          <w:b/>
          <w:bCs/>
          <w:color w:val="auto"/>
          <w:sz w:val="21"/>
          <w:szCs w:val="21"/>
          <w:highlight w:val="none"/>
          <w:lang w:val="en-US" w:eastAsia="zh-CN" w:bidi="zh-CN"/>
        </w:rPr>
        <w:t xml:space="preserve">(1</w:t>
      </w:r>
      <w:r>
        <w:rPr>
          <w:rFonts w:hint="eastAsia" w:ascii="宋体" w:hAnsi="宋体" w:eastAsia="宋体" w:cs="宋体"/>
          <w:b/>
          <w:bCs/>
          <w:color w:val="auto"/>
          <w:sz w:val="21"/>
          <w:szCs w:val="21"/>
          <w:highlight w:val="none"/>
          <w:lang w:val="en-US" w:eastAsia="zh-CN" w:bidi="zh-CN"/>
        </w:rPr>
        <w:t xml:space="preserve">0</w:t>
      </w: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bCs/>
          <w:color w:val="auto"/>
          <w:sz w:val="21"/>
          <w:szCs w:val="21"/>
          <w:highlight w:val="none"/>
          <w:lang w:val="en-US" w:bidi="zh-CN"/>
        </w:rPr>
        <w:t xml:space="preserve">网布</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default" w:eastAsia="宋体" w:cs="Times New Roman"/>
          <w:color w:val="auto"/>
          <w:highlight w:val="none"/>
          <w:lang w:val="en-US" w:eastAsia="zh-CN"/>
        </w:rPr>
      </w:pPr>
      <w:r>
        <w:rPr>
          <w:rFonts w:hint="eastAsia" w:eastAsia="宋体" w:cs="Times New Roman"/>
          <w:color w:val="auto"/>
          <w:highlight w:val="none"/>
          <w:lang w:val="zh-CN" w:eastAsia="zh-CN"/>
        </w:rPr>
        <w:t xml:space="preserve">①</w:t>
      </w:r>
      <w:r>
        <w:rPr>
          <w:rFonts w:hint="eastAsia" w:eastAsia="宋体" w:cs="Times New Roman"/>
          <w:color w:val="auto"/>
          <w:highlight w:val="none"/>
          <w:lang w:val="en-US" w:eastAsia="zh-CN"/>
        </w:rPr>
        <w:t xml:space="preserve">依据符合</w:t>
      </w:r>
      <w:r>
        <w:rPr>
          <w:rFonts w:hint="eastAsia" w:eastAsia="宋体" w:cs="Times New Roman"/>
          <w:color w:val="auto"/>
          <w:highlight w:val="none"/>
          <w:lang w:val="zh-CN" w:eastAsia="zh-CN"/>
        </w:rPr>
        <w:t xml:space="preserve">GB/T 18885-2020《生态纺织品技术要求》</w:t>
      </w:r>
      <w:r>
        <w:rPr>
          <w:rFonts w:hint="eastAsia" w:eastAsia="宋体" w:cs="Times New Roman"/>
          <w:color w:val="auto"/>
          <w:highlight w:val="none"/>
          <w:lang w:val="en-US" w:eastAsia="zh-CN"/>
        </w:rPr>
        <w:t xml:space="preserve">标准，</w:t>
      </w:r>
      <w:r>
        <w:rPr>
          <w:rFonts w:hint="eastAsia" w:eastAsia="宋体" w:cs="Times New Roman"/>
          <w:color w:val="auto"/>
          <w:highlight w:val="none"/>
          <w:lang w:val="zh-CN" w:eastAsia="zh-CN"/>
        </w:rPr>
        <w:t xml:space="preserve">甲醛含量≤20mg/kg；通过染色牢度耐水(变色、沾色)级别检测；可分解致癌芳香胺染料：通过≥20种芳香胺染料检测；</w:t>
      </w:r>
      <w:r/>
    </w:p>
    <w:p>
      <w:pPr>
        <w:rPr>
          <w:rFonts w:hint="eastAsia" w:eastAsia="宋体" w:cs="Times New Roman"/>
          <w:color w:val="auto"/>
          <w:highlight w:val="none"/>
          <w:lang w:val="zh-CN" w:eastAsia="zh-CN"/>
        </w:rPr>
      </w:pPr>
      <w:r>
        <w:rPr>
          <w:rFonts w:hint="eastAsia" w:eastAsia="宋体" w:cs="Times New Roman"/>
          <w:color w:val="auto"/>
          <w:highlight w:val="none"/>
          <w:lang w:val="en-US" w:eastAsia="zh-CN"/>
        </w:rPr>
        <w:t xml:space="preserve">②依据符合</w:t>
      </w:r>
      <w:r>
        <w:rPr>
          <w:rFonts w:hint="eastAsia" w:eastAsia="宋体" w:cs="Times New Roman"/>
          <w:color w:val="auto"/>
          <w:highlight w:val="none"/>
          <w:lang w:val="zh-CN" w:eastAsia="zh-CN"/>
        </w:rPr>
        <w:t xml:space="preserve">QB/T4371-2012《家具抗菌性能的评价》</w:t>
      </w:r>
      <w:r>
        <w:rPr>
          <w:rFonts w:hint="eastAsia" w:eastAsia="宋体" w:cs="Times New Roman"/>
          <w:color w:val="auto"/>
          <w:highlight w:val="none"/>
          <w:lang w:val="en-US" w:eastAsia="zh-CN"/>
        </w:rPr>
        <w:t xml:space="preserve">标准，</w:t>
      </w:r>
      <w:r>
        <w:rPr>
          <w:rFonts w:hint="eastAsia" w:eastAsia="宋体" w:cs="Times New Roman"/>
          <w:color w:val="auto"/>
          <w:highlight w:val="none"/>
          <w:lang w:val="zh-CN" w:eastAsia="zh-CN"/>
        </w:rPr>
        <w:t xml:space="preserve">通过抗菌性能检测；</w:t>
      </w:r>
      <w:r/>
    </w:p>
    <w:p>
      <w:pPr>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r>
      <w:r/>
    </w:p>
    <w:p>
      <w:pPr>
        <w:keepLines w:val="0"/>
        <w:keepNext w:val="0"/>
        <w:pageBreakBefore w:val="0"/>
        <w:spacing w:line="360" w:lineRule="auto"/>
        <w:rPr>
          <w:rFonts w:hint="eastAsia" w:ascii="宋体" w:hAnsi="宋体" w:eastAsia="宋体" w:cs="宋体"/>
          <w:b/>
          <w:bCs/>
          <w:color w:val="auto"/>
          <w:sz w:val="21"/>
          <w:szCs w:val="21"/>
          <w:highlight w:val="none"/>
          <w:lang w:val="en-US" w:bidi="zh-CN"/>
        </w:rPr>
      </w:pPr>
      <w:r>
        <w:rPr>
          <w:rFonts w:hint="default" w:ascii="宋体" w:hAnsi="宋体" w:eastAsia="宋体" w:cs="宋体"/>
          <w:b/>
          <w:bCs/>
          <w:color w:val="auto"/>
          <w:sz w:val="21"/>
          <w:szCs w:val="21"/>
          <w:highlight w:val="none"/>
          <w:lang w:val="en-US" w:eastAsia="zh-CN" w:bidi="zh-CN"/>
        </w:rPr>
        <w:t xml:space="preserve">(1</w:t>
      </w:r>
      <w:r>
        <w:rPr>
          <w:rFonts w:hint="eastAsia" w:ascii="宋体" w:hAnsi="宋体" w:eastAsia="宋体" w:cs="宋体"/>
          <w:b/>
          <w:bCs/>
          <w:color w:val="auto"/>
          <w:sz w:val="21"/>
          <w:szCs w:val="21"/>
          <w:highlight w:val="none"/>
          <w:lang w:val="en-US" w:eastAsia="zh-CN" w:bidi="zh-CN"/>
        </w:rPr>
        <w:t xml:space="preserve">1</w:t>
      </w:r>
      <w:r>
        <w:rPr>
          <w:rFonts w:hint="default" w:ascii="宋体" w:hAnsi="宋体" w:eastAsia="宋体" w:cs="宋体"/>
          <w:b/>
          <w:bCs/>
          <w:color w:val="auto"/>
          <w:sz w:val="21"/>
          <w:szCs w:val="21"/>
          <w:highlight w:val="none"/>
          <w:lang w:val="en-US" w:eastAsia="zh-CN" w:bidi="zh-CN"/>
        </w:rPr>
        <w:t xml:space="preserve">)</w:t>
      </w:r>
      <w:r>
        <w:rPr>
          <w:rFonts w:hint="eastAsia" w:ascii="宋体" w:hAnsi="宋体" w:eastAsia="宋体" w:cs="宋体"/>
          <w:b/>
          <w:bCs/>
          <w:color w:val="auto"/>
          <w:sz w:val="21"/>
          <w:szCs w:val="21"/>
          <w:highlight w:val="none"/>
          <w:lang w:val="en-US" w:bidi="zh-CN"/>
        </w:rPr>
        <w:t xml:space="preserve">钢管</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①</w:t>
      </w:r>
      <w:r>
        <w:rPr>
          <w:rFonts w:hint="eastAsia" w:ascii="宋体" w:hAnsi="宋体" w:eastAsia="宋体" w:cs="宋体"/>
          <w:color w:val="auto"/>
          <w:sz w:val="21"/>
          <w:szCs w:val="21"/>
          <w:highlight w:val="none"/>
          <w:lang w:val="en-US" w:eastAsia="zh-CN"/>
        </w:rPr>
        <w:t xml:space="preserve">依据符合QB/T 3832-1999《轻工产品金属镀层腐蚀试验结果的评价》、QB/T 3827-1999《轻工产品金属镀层和化学处理层的耐腐蚀试验方法乙酸盐雾试验(ASS)法》标准，乙酸盐雾试验≥100h;镀（涂）层对基体的保护等级≥9级；镀（涂）层本身耐腐蚀等级≥9级；</w:t>
      </w:r>
      <w:r/>
    </w:p>
    <w:p>
      <w:pPr>
        <w:rPr>
          <w:rFonts w:hint="default"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bidi="zh-CN"/>
        </w:rPr>
        <w:t xml:space="preserve">②依据符合GB/T 228.1-2021《金属材料 拉伸试验 第1部分:室温试验方法》标准；抗拉强度320-450MPa;断后伸长率</w:t>
      </w:r>
      <w:r>
        <w:rPr>
          <w:rFonts w:hint="eastAsia" w:ascii="宋体" w:hAnsi="宋体" w:eastAsia="宋体" w:cs="宋体"/>
          <w:color w:val="auto"/>
          <w:sz w:val="21"/>
          <w:szCs w:val="21"/>
          <w:highlight w:val="none"/>
          <w:lang w:val="en-US" w:eastAsia="zh-CN"/>
        </w:rPr>
        <w:t xml:space="preserve">≥27%；屈服强度≥215</w:t>
      </w:r>
      <w:r>
        <w:rPr>
          <w:rFonts w:hint="eastAsia" w:ascii="宋体" w:hAnsi="宋体" w:eastAsia="宋体" w:cs="宋体"/>
          <w:b w:val="0"/>
          <w:bCs/>
          <w:color w:val="auto"/>
          <w:sz w:val="21"/>
          <w:szCs w:val="21"/>
          <w:highlight w:val="none"/>
          <w:lang w:val="en-US" w:eastAsia="zh-CN" w:bidi="zh-CN"/>
        </w:rPr>
        <w:t xml:space="preserve">MPa;</w:t>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rPr>
          <w:rFonts w:hint="default"/>
          <w:color w:val="auto"/>
          <w:highlight w:val="none"/>
          <w:lang w:val="en-US"/>
        </w:rPr>
      </w:pPr>
      <w:r>
        <w:rPr>
          <w:rFonts w:hint="default"/>
          <w:color w:val="auto"/>
          <w:highlight w:val="none"/>
          <w:lang w:val="en-US"/>
        </w:rPr>
      </w:r>
      <w:r/>
    </w:p>
    <w:p>
      <w:pPr>
        <w:rPr>
          <w:rFonts w:hint="default"/>
          <w:color w:val="auto"/>
          <w:highlight w:val="none"/>
          <w:lang w:val="en-US"/>
        </w:rPr>
      </w:pPr>
      <w:r>
        <w:rPr>
          <w:rFonts w:hint="default"/>
          <w:color w:val="auto"/>
          <w:highlight w:val="none"/>
          <w:lang w:val="en-US"/>
        </w:rPr>
      </w:r>
      <w:r/>
    </w:p>
    <w:p>
      <w:pPr>
        <w:ind w:firstLine="480"/>
        <w:keepLines w:val="0"/>
        <w:keepNext w:val="0"/>
        <w:pageBreakBefore w:val="0"/>
        <w:spacing w:line="360" w:lineRule="auto"/>
        <w:rPr>
          <w:rFonts w:hint="default" w:ascii="宋体" w:hAnsi="宋体" w:eastAsia="宋体" w:cs="宋体"/>
          <w:b/>
          <w:color w:val="auto"/>
          <w:sz w:val="24"/>
          <w:szCs w:val="24"/>
          <w:highlight w:val="none"/>
          <w:lang w:val="en-US" w:bidi="zh-CN"/>
        </w:rPr>
      </w:pPr>
      <w:r>
        <w:rPr>
          <w:rFonts w:hint="eastAsia" w:ascii="宋体" w:hAnsi="宋体" w:eastAsia="宋体" w:cs="宋体"/>
          <w:b/>
          <w:color w:val="auto"/>
          <w:sz w:val="24"/>
          <w:szCs w:val="24"/>
          <w:highlight w:val="none"/>
          <w:lang w:bidi="zh-CN"/>
        </w:rPr>
        <w:t xml:space="preserve">注</w:t>
      </w:r>
      <w:r>
        <w:rPr>
          <w:rFonts w:ascii="宋体" w:hAnsi="宋体" w:eastAsia="宋体" w:cs="宋体"/>
          <w:b/>
          <w:color w:val="auto"/>
          <w:sz w:val="24"/>
          <w:szCs w:val="24"/>
          <w:highlight w:val="none"/>
          <w:lang w:bidi="zh-CN"/>
        </w:rPr>
        <w:t xml:space="preserve">：</w:t>
      </w:r>
      <w:r>
        <w:rPr>
          <w:rFonts w:hint="eastAsia" w:ascii="宋体" w:hAnsi="宋体" w:eastAsia="宋体" w:cs="宋体"/>
          <w:b/>
          <w:color w:val="auto"/>
          <w:sz w:val="24"/>
          <w:szCs w:val="24"/>
          <w:highlight w:val="none"/>
          <w:lang w:bidi="zh-CN"/>
        </w:rPr>
        <w:t xml:space="preserve">第四部分标注“★”实质性要求，必须响应，不允许负偏离，否则作为无效投标处理。本文未尽之处按国家相关法律、法规执行。如有最新规定出台，按最新规定执行。对以上采购内容及项目需求部分的询问、质疑请向采购人提出，询问、质疑由采购人负责解释。</w:t>
      </w:r>
      <w:r/>
    </w:p>
    <w:p>
      <w:pPr>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ascii="宋体" w:hAnsi="宋体" w:eastAsia="宋体" w:cs="楷体"/>
          <w:b/>
          <w:color w:val="auto"/>
          <w:sz w:val="24"/>
          <w:szCs w:val="24"/>
          <w:highlight w:val="none"/>
        </w:rPr>
      </w:pPr>
      <w:r>
        <w:rPr>
          <w:rFonts w:hint="eastAsia" w:ascii="宋体" w:hAnsi="宋体" w:eastAsia="宋体" w:cs="宋体"/>
          <w:b/>
          <w:bCs/>
          <w:color w:val="auto"/>
          <w:sz w:val="32"/>
          <w:szCs w:val="32"/>
          <w:highlight w:val="none"/>
        </w:rPr>
        <w:t xml:space="preserve">第五部分    </w:t>
      </w:r>
      <w:bookmarkStart w:id="82" w:name="_Toc20821546"/>
      <w:r/>
      <w:bookmarkStart w:id="83" w:name="_Toc76955302"/>
      <w:r/>
      <w:bookmarkStart w:id="84" w:name="_Toc100386076"/>
      <w:r/>
      <w:bookmarkStart w:id="85" w:name="_Toc98669372"/>
      <w:r/>
      <w:bookmarkStart w:id="86" w:name="_Toc98669730"/>
      <w:r>
        <w:rPr>
          <w:rFonts w:hint="eastAsia" w:ascii="宋体" w:hAnsi="宋体" w:eastAsia="宋体" w:cs="宋体"/>
          <w:b/>
          <w:bCs/>
          <w:color w:val="auto"/>
          <w:sz w:val="32"/>
          <w:szCs w:val="32"/>
          <w:highlight w:val="none"/>
        </w:rPr>
        <w:t xml:space="preserve">评标办法和标准</w:t>
      </w:r>
      <w:r/>
    </w:p>
    <w:p>
      <w:pPr>
        <w:ind w:firstLine="357"/>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1.采购代理机构职责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 采购代理机构负责组织评标工作，并履行下列职责：</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（1）核对评审专家身份和采购人代表授权函，对评审专家在政府采购活动中的职责履行情况予以记录，并及时将有关违法违规行为向政府采购监管部门报告；</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（2）宣布评标纪律；</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（3）公布投标人名单，告知评审专家应当回避的情形；</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（4）组织评标委员会推选评标组长，采购人代表不得担任组长；</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（5）在评标期间采取必要的通讯管理措施，保证评标活动不受外界干扰；</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（6）根据评标委员会的要求介绍政府采购相关政策法规、招标文件；</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（10）处理与评标有关的其他事项。</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2.评标委员会职责</w:t>
      </w:r>
      <w:r/>
    </w:p>
    <w:p>
      <w:pPr>
        <w:ind w:firstLine="480"/>
        <w:spacing w:line="360" w:lineRule="auto"/>
        <w:rPr>
          <w:rFonts w:ascii="宋体" w:hAnsi="宋体" w:eastAsia="宋体" w:cs="楷体"/>
          <w:b/>
          <w:color w:val="auto"/>
          <w:sz w:val="24"/>
          <w:szCs w:val="24"/>
          <w:highlight w:val="none"/>
        </w:rPr>
        <w:outlineLvl w:val="2"/>
      </w:pPr>
      <w:r>
        <w:rPr>
          <w:rFonts w:hint="eastAsia" w:ascii="宋体" w:hAnsi="宋体" w:eastAsia="宋体" w:cs="楷体"/>
          <w:color w:val="auto"/>
          <w:sz w:val="24"/>
          <w:szCs w:val="24"/>
          <w:highlight w:val="none"/>
        </w:rPr>
        <w:t xml:space="preserve">2.1 评标委员会负责具体评标事务，并独立履行下列职责：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（1）审查、评价投标文件是否符合招标文件的商务、技术等实质性要求；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（2）要求投标人对投标文件有关事项作出澄清或者说明；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（3）对投标文件进行比较和评价；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（4）确定中标候选人名单，以及根据采购人委托直接确定中标人；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（5）向采购人、采购代理机构或者有关部门报告评标中发现的违法行为。</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3.评标注意事项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3.2</w:t>
      </w:r>
      <w:r>
        <w:rPr>
          <w:rFonts w:hint="eastAsia" w:ascii="宋体" w:hAnsi="宋体" w:eastAsia="宋体" w:cs="楷体"/>
          <w:b/>
          <w:color w:val="auto"/>
          <w:sz w:val="24"/>
          <w:szCs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3.5评标委员会及其成员不得有下列行为：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（1）确定参与评标至评标结束前私自接触投标人；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（3）违反评标纪律发表倾向性意见或者征询采购人的倾向性意见；</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（4）对需要专业判断的主观评审因素协商评分；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（5）在评标过程中擅离职守，影响评标程序正常进行；</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（6）记录、复制或者带走任何评标资料；</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（7）其他不遵守评标纪律的行为。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4.评标过程的保密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4.3</w:t>
      </w:r>
      <w:r>
        <w:rPr>
          <w:rFonts w:hint="eastAsia" w:ascii="宋体" w:hAnsi="宋体" w:eastAsia="宋体" w:cs="楷体"/>
          <w:b/>
          <w:color w:val="auto"/>
          <w:sz w:val="24"/>
          <w:szCs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5.报价前后不一致的处理原则</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5.1投标文件报价出现前后不一致的，按照下列规定修正：</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（1）投标文件中开标一览表内容与投标文件中相应内容不一致的，以开标一览表为准；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（2）大写金额和小写金额不一致的，以大写金额为准；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（3）单价金额小数点或者百分比有明显错位的，以开标一览表的总价为准，并修改单价；</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（4）总价金额与按单价汇总金额不一致的，以单价金额计算结果为准。</w:t>
      </w:r>
      <w:r/>
    </w:p>
    <w:p>
      <w:pPr>
        <w:ind w:left="1" w:firstLine="482"/>
        <w:spacing w:line="360" w:lineRule="auto"/>
        <w:rPr>
          <w:rFonts w:ascii="宋体" w:hAnsi="宋体" w:eastAsia="宋体" w:cs="楷体"/>
          <w:color w:val="auto"/>
          <w:sz w:val="24"/>
          <w:szCs w:val="24"/>
          <w:highlight w:val="none"/>
        </w:rPr>
      </w:pPr>
      <w:r>
        <w:rPr>
          <w:rFonts w:hint="eastAsia" w:ascii="宋体" w:hAnsi="宋体" w:eastAsia="宋体" w:cs="楷体"/>
          <w:b/>
          <w:color w:val="auto"/>
          <w:sz w:val="24"/>
          <w:szCs w:val="24"/>
          <w:highlight w:val="none"/>
        </w:rPr>
        <w:t xml:space="preserve">同时出现两种以上不一致的，按上述规定排序在先的原则进行修正</w:t>
      </w:r>
      <w:r>
        <w:rPr>
          <w:rFonts w:hint="eastAsia" w:ascii="宋体" w:hAnsi="宋体" w:eastAsia="宋体" w:cs="楷体"/>
          <w:color w:val="auto"/>
          <w:sz w:val="24"/>
          <w:szCs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eastAsia="宋体" w:cs="楷体"/>
          <w:b/>
          <w:color w:val="auto"/>
          <w:sz w:val="30"/>
          <w:szCs w:val="30"/>
          <w:highlight w:val="none"/>
        </w:rPr>
      </w:pPr>
      <w:r>
        <w:rPr>
          <w:rFonts w:hint="eastAsia" w:ascii="宋体" w:hAnsi="宋体" w:eastAsia="宋体" w:cs="楷体"/>
          <w:b/>
          <w:color w:val="auto"/>
          <w:sz w:val="30"/>
          <w:szCs w:val="30"/>
          <w:highlight w:val="none"/>
        </w:rPr>
        <w:t xml:space="preserve">6.投标人资格审查</w:t>
      </w:r>
      <w:r/>
    </w:p>
    <w:p>
      <w:pPr>
        <w:ind w:firstLine="480"/>
        <w:jc w:val="left"/>
        <w:spacing w:line="360" w:lineRule="auto"/>
        <w:widowControl/>
        <w:rPr>
          <w:rFonts w:ascii="宋体" w:hAnsi="宋体" w:eastAsia="宋体" w:cs="楷体"/>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6.1 采用资格后审方式</w:t>
      </w:r>
      <w:r/>
    </w:p>
    <w:p>
      <w:pPr>
        <w:ind w:firstLine="480"/>
        <w:jc w:val="left"/>
        <w:spacing w:line="360" w:lineRule="auto"/>
        <w:widowControl/>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开标结束后，采购人或代理机构将依法对投标人的资格进行审查。资格审查的内容如下：</w:t>
      </w:r>
      <w:r/>
    </w:p>
    <w:tbl>
      <w:tblPr>
        <w:tblStyle w:val="68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4059"/>
        <w:gridCol w:w="5017"/>
      </w:tblGrid>
      <w:tr>
        <w:trPr/>
        <w:tc>
          <w:tcPr>
            <w:tcW w:w="287" w:type="pct"/>
            <w:textDirection w:val="lrTb"/>
            <w:noWrap w:val="false"/>
          </w:tcPr>
          <w:p>
            <w:pPr>
              <w:jc w:val="cente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序号</w:t>
            </w:r>
            <w:r/>
          </w:p>
        </w:tc>
        <w:tc>
          <w:tcPr>
            <w:tcW w:w="2107" w:type="pct"/>
            <w:vAlign w:val="center"/>
            <w:textDirection w:val="lrTb"/>
            <w:noWrap w:val="false"/>
          </w:tcPr>
          <w:p>
            <w:pP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审查要素</w:t>
            </w:r>
            <w:r/>
          </w:p>
        </w:tc>
        <w:tc>
          <w:tcPr>
            <w:tcW w:w="2604" w:type="pct"/>
            <w:textDirection w:val="lrTb"/>
            <w:noWrap w:val="false"/>
          </w:tcPr>
          <w:p>
            <w:pPr>
              <w:jc w:val="center"/>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审查内容</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具有独立承担民事责任的能力</w:t>
            </w:r>
            <w:r/>
          </w:p>
        </w:tc>
        <w:tc>
          <w:tcPr>
            <w:tcW w:w="2604" w:type="pct"/>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提供法人或者其他组织的营业执照等证明文件扫描件；投标人为自然人的，提供其身份证扫描件</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具有良好的商业信誉和健全的财务会计制度</w:t>
            </w:r>
            <w:r/>
          </w:p>
        </w:tc>
        <w:tc>
          <w:tcPr>
            <w:tcW w:w="2604" w:type="pct"/>
            <w:vAlign w:val="center"/>
            <w:textDirection w:val="lrTb"/>
            <w:noWrap w:val="false"/>
          </w:tcPr>
          <w:p>
            <w:pPr>
              <w:spacing w:line="360" w:lineRule="auto"/>
              <w:rPr>
                <w:rFonts w:ascii="宋体" w:hAnsi="宋体" w:eastAsia="宋体" w:cs="楷体"/>
                <w:b/>
                <w:color w:val="auto"/>
                <w:sz w:val="24"/>
                <w:szCs w:val="24"/>
                <w:highlight w:val="none"/>
              </w:rPr>
            </w:pPr>
            <w:r>
              <w:rPr>
                <w:rFonts w:hint="eastAsia" w:ascii="宋体" w:hAnsi="宋体" w:eastAsia="宋体" w:cs="楷体"/>
                <w:bCs/>
                <w:color w:val="auto"/>
                <w:sz w:val="24"/>
                <w:szCs w:val="24"/>
                <w:highlight w:val="none"/>
              </w:rPr>
              <w:t xml:space="preserve">提供</w:t>
            </w:r>
            <w:r>
              <w:rPr>
                <w:rFonts w:hint="eastAsia" w:ascii="宋体" w:hAnsi="宋体" w:eastAsia="宋体" w:cs="楷体"/>
                <w:bCs/>
                <w:color w:val="auto"/>
                <w:sz w:val="24"/>
                <w:szCs w:val="24"/>
                <w:highlight w:val="none"/>
                <w:lang w:val="en-US" w:eastAsia="zh-CN"/>
              </w:rPr>
              <w:t xml:space="preserve">2025</w:t>
            </w:r>
            <w:r>
              <w:rPr>
                <w:rFonts w:hint="eastAsia" w:ascii="宋体" w:hAnsi="宋体" w:eastAsia="宋体" w:cs="楷体"/>
                <w:bCs/>
                <w:color w:val="auto"/>
                <w:sz w:val="24"/>
                <w:szCs w:val="24"/>
                <w:highlight w:val="none"/>
              </w:rPr>
              <w:t xml:space="preserve">年度财务报告，成立不满一年的提供至少一个月财务报告，或银行出具的资信证明，或财政部门认可的政府采购专业担保机构出具的投标担保函等；或提供资格承诺函</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具有履行合同所必需的设备和专业技术能力</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ascii="宋体" w:hAnsi="宋体" w:eastAsia="宋体" w:cs="宋体"/>
                <w:color w:val="auto"/>
                <w:sz w:val="24"/>
                <w:highlight w:val="none"/>
              </w:rPr>
              <w:t xml:space="preserve">提供声明函或提供资格承诺函</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有依法缴纳税收和社会保障资金的良好记录</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提供参加本次政府采购活动前半年内（至少一个月）依法缴纳税收和社会保险资金的相关材料；或提供资格承诺函</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参加政府采购活动前三年内，在经营活动中没有重大违法记录</w:t>
            </w:r>
            <w:r/>
          </w:p>
        </w:tc>
        <w:tc>
          <w:tcPr>
            <w:tcW w:w="2604" w:type="pct"/>
            <w:vAlign w:val="center"/>
            <w:textDirection w:val="lrTb"/>
            <w:noWrap w:val="false"/>
          </w:tcPr>
          <w:p>
            <w:pPr>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4"/>
                <w:highlight w:val="none"/>
              </w:rPr>
              <w:t xml:space="preserve">（1）提供声明函或资格承诺函。</w:t>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法律、行政法规规定的其他条件</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8"/>
                <w:highlight w:val="none"/>
              </w:rPr>
              <w:t xml:space="preserve">无</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落实政府采购政策需满足的资格要求</w:t>
            </w:r>
            <w:r/>
          </w:p>
        </w:tc>
        <w:tc>
          <w:tcPr>
            <w:tcW w:w="2604" w:type="pct"/>
            <w:vAlign w:val="center"/>
            <w:textDirection w:val="lrTb"/>
            <w:noWrap w:val="false"/>
          </w:tcPr>
          <w:p>
            <w:pPr>
              <w:spacing w:line="360" w:lineRule="auto"/>
              <w:rPr>
                <w:rFonts w:hint="eastAsia" w:ascii="宋体" w:hAnsi="宋体" w:eastAsia="宋体" w:cs="楷体"/>
                <w:color w:val="auto"/>
                <w:sz w:val="24"/>
                <w:szCs w:val="28"/>
                <w:highlight w:val="none"/>
                <w:lang w:eastAsia="zh-CN"/>
              </w:rPr>
            </w:pPr>
            <w:r>
              <w:rPr>
                <w:rFonts w:hint="eastAsia" w:ascii="宋体" w:hAnsi="宋体" w:eastAsia="宋体" w:cs="楷体"/>
                <w:color w:val="auto"/>
                <w:sz w:val="24"/>
                <w:szCs w:val="28"/>
                <w:highlight w:val="none"/>
                <w:lang w:eastAsia="zh-CN"/>
              </w:rPr>
              <w:t xml:space="preserve">本项目专门面向中小微企业</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资格承诺函</w:t>
            </w:r>
            <w:r/>
          </w:p>
        </w:tc>
        <w:tc>
          <w:tcPr>
            <w:tcW w:w="2604"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供应商可自行选择是否提供资格承诺函，若不提供资格承诺函的， 应按采购文件要求提供以上 2-5 项相应的证明材料。资格承诺函格式要求见投标文件组成部分。</w:t>
            </w:r>
            <w:r/>
          </w:p>
        </w:tc>
      </w:tr>
      <w:tr>
        <w:trPr/>
        <w:tc>
          <w:tcPr>
            <w:tcW w:w="287" w:type="pct"/>
            <w:vAlign w:val="center"/>
            <w:textDirection w:val="lrTb"/>
            <w:noWrap w:val="false"/>
          </w:tcPr>
          <w:p>
            <w:pPr>
              <w:jc w:val="cente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w:t>
            </w:r>
            <w:r/>
          </w:p>
        </w:tc>
        <w:tc>
          <w:tcPr>
            <w:tcW w:w="2107" w:type="pct"/>
            <w:vAlign w:val="center"/>
            <w:textDirection w:val="lrTb"/>
            <w:noWrap w:val="false"/>
          </w:tcPr>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特定资格条件</w:t>
            </w:r>
            <w:r/>
          </w:p>
        </w:tc>
        <w:tc>
          <w:tcPr>
            <w:tcW w:w="2604" w:type="pct"/>
            <w:vAlign w:val="center"/>
            <w:textDirection w:val="lrTb"/>
            <w:noWrap w:val="false"/>
          </w:tcPr>
          <w:p>
            <w:pPr>
              <w:spacing w:line="360" w:lineRule="auto"/>
              <w:rPr>
                <w:rFonts w:hint="eastAsia" w:ascii="宋体" w:hAnsi="宋体" w:eastAsia="宋体" w:cs="楷体"/>
                <w:color w:val="auto"/>
                <w:sz w:val="24"/>
                <w:szCs w:val="24"/>
                <w:highlight w:val="none"/>
                <w:lang w:eastAsia="zh-CN"/>
              </w:rPr>
            </w:pPr>
            <w:r>
              <w:rPr>
                <w:rFonts w:hint="eastAsia" w:ascii="宋体" w:hAnsi="宋体" w:eastAsia="宋体" w:cs="宋体"/>
                <w:color w:val="auto"/>
                <w:sz w:val="24"/>
                <w:szCs w:val="28"/>
                <w:highlight w:val="none"/>
                <w:lang w:eastAsia="zh-CN"/>
              </w:rPr>
              <w:t xml:space="preserve">无</w:t>
            </w:r>
            <w:r/>
          </w:p>
        </w:tc>
      </w:tr>
    </w:tbl>
    <w:p>
      <w:pPr>
        <w:jc w:val="left"/>
        <w:spacing w:before="200" w:after="200" w:line="360" w:lineRule="auto"/>
        <w:widowControl/>
        <w:rPr>
          <w:rFonts w:ascii="宋体" w:hAnsi="宋体" w:eastAsia="宋体" w:cs="楷体"/>
          <w:b/>
          <w:color w:val="auto"/>
          <w:sz w:val="30"/>
          <w:szCs w:val="30"/>
          <w:highlight w:val="none"/>
        </w:rPr>
      </w:pPr>
      <w:r>
        <w:rPr>
          <w:rFonts w:hint="eastAsia" w:ascii="宋体" w:hAnsi="宋体" w:eastAsia="宋体" w:cs="楷体"/>
          <w:b/>
          <w:color w:val="auto"/>
          <w:sz w:val="30"/>
          <w:szCs w:val="30"/>
          <w:highlight w:val="none"/>
        </w:rPr>
        <w:t xml:space="preserve">7</w:t>
      </w:r>
      <w:r>
        <w:rPr>
          <w:rFonts w:ascii="宋体" w:hAnsi="宋体" w:eastAsia="宋体" w:cs="楷体"/>
          <w:b/>
          <w:color w:val="auto"/>
          <w:sz w:val="30"/>
          <w:szCs w:val="30"/>
          <w:highlight w:val="none"/>
        </w:rPr>
        <w:t xml:space="preserve">.</w:t>
      </w:r>
      <w:r>
        <w:rPr>
          <w:rFonts w:hint="eastAsia" w:ascii="宋体" w:hAnsi="宋体" w:eastAsia="宋体" w:cs="楷体"/>
          <w:b/>
          <w:color w:val="auto"/>
          <w:sz w:val="30"/>
          <w:szCs w:val="30"/>
          <w:highlight w:val="none"/>
        </w:rPr>
        <w:t xml:space="preserve">投标人符合性审查</w:t>
      </w:r>
      <w:r/>
    </w:p>
    <w:p>
      <w:pPr>
        <w:ind w:firstLine="480"/>
        <w:jc w:val="left"/>
        <w:widowControl/>
        <w:rPr>
          <w:rFonts w:ascii="宋体" w:hAnsi="宋体" w:cs="楷体"/>
          <w:color w:val="auto"/>
          <w:sz w:val="24"/>
          <w:highlight w:val="none"/>
        </w:rPr>
      </w:pPr>
      <w:r>
        <w:rPr>
          <w:rFonts w:ascii="宋体" w:hAnsi="宋体" w:eastAsia="宋体" w:cs="宋体"/>
          <w:color w:val="auto"/>
          <w:sz w:val="24"/>
          <w:highlight w:val="none"/>
        </w:rPr>
        <w:t xml:space="preserve"> </w:t>
      </w:r>
      <w:r>
        <w:rPr>
          <w:rFonts w:hint="eastAsia" w:ascii="宋体" w:hAnsi="宋体" w:eastAsia="宋体" w:cs="楷体"/>
          <w:color w:val="auto"/>
          <w:sz w:val="24"/>
          <w:highlight w:val="none"/>
        </w:rPr>
        <w:t xml:space="preserve">7</w:t>
      </w:r>
      <w:r>
        <w:rPr>
          <w:rFonts w:hint="eastAsia" w:ascii="宋体" w:hAnsi="宋体" w:cs="楷体"/>
          <w:color w:val="auto"/>
          <w:sz w:val="24"/>
          <w:highlight w:val="none"/>
        </w:rPr>
        <w:t xml:space="preserve">.1 评标委员会将对符合资格的投标人的投标文件进行符合性审查，审查内容主要是投标文件的有效性和对招标文件的响应程度，以确定是否满足招标文件的实质性要求。</w:t>
      </w:r>
      <w:r/>
    </w:p>
    <w:tbl>
      <w:tblPr>
        <w:tblStyle w:val="689"/>
        <w:tblW w:w="4877"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375"/>
        <w:gridCol w:w="620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2" w:type="dxa"/>
            <w:vAlign w:val="center"/>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4" w:type="pct"/>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审查内容</w:t>
            </w:r>
            <w:r/>
          </w:p>
        </w:tc>
      </w:tr>
      <w:tr>
        <w:trPr/>
        <w:tc>
          <w:tcPr>
            <w:tcBorders>
              <w:top w:val="single" w:color="000000" w:sz="2" w:space="0"/>
              <w:left w:val="single" w:color="000000" w:sz="2" w:space="0"/>
              <w:right w:val="single" w:color="000000" w:sz="2" w:space="0"/>
            </w:tcBorders>
            <w:tcMar>
              <w:top w:w="100" w:type="dxa"/>
              <w:bottom w:w="100" w:type="dxa"/>
            </w:tcMar>
            <w:tcW w:w="434" w:type="pct"/>
            <w:vAlign w:val="center"/>
            <w:vMerge w:val="restart"/>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p>
        </w:tc>
        <w:tc>
          <w:tcPr>
            <w:tcBorders>
              <w:top w:val="single" w:color="000000" w:sz="2" w:space="0"/>
              <w:left w:val="single" w:color="000000" w:sz="2" w:space="0"/>
              <w:right w:val="single" w:color="000000" w:sz="2" w:space="0"/>
            </w:tcBorders>
            <w:tcMar>
              <w:top w:w="100" w:type="dxa"/>
              <w:bottom w:w="100" w:type="dxa"/>
            </w:tcMar>
            <w:tcW w:w="1264" w:type="pct"/>
            <w:vAlign w:val="center"/>
            <w:vMerge w:val="restart"/>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投标</w:t>
            </w:r>
            <w:r>
              <w:rPr>
                <w:rFonts w:hint="eastAsia" w:ascii="宋体" w:hAnsi="宋体" w:eastAsia="宋体" w:cs="Times New Roman"/>
                <w:color w:val="auto"/>
                <w:sz w:val="24"/>
                <w:szCs w:val="24"/>
                <w:highlight w:val="none"/>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投标文件的有效电子签章。</w:t>
            </w:r>
            <w:r/>
          </w:p>
        </w:tc>
      </w:tr>
      <w:tr>
        <w:trPr/>
        <w:tc>
          <w:tcPr>
            <w:tcBorders>
              <w:left w:val="single" w:color="000000" w:sz="2" w:space="0"/>
              <w:right w:val="single" w:color="000000" w:sz="2" w:space="0"/>
            </w:tcBorders>
            <w:tcMar>
              <w:top w:w="100" w:type="dxa"/>
              <w:bottom w:w="100" w:type="dxa"/>
            </w:tcMar>
            <w:tcW w:w="434" w:type="pct"/>
            <w:vAlign w:val="center"/>
            <w:vMerge w:val="continue"/>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left w:val="single" w:color="000000" w:sz="2" w:space="0"/>
              <w:right w:val="single" w:color="000000" w:sz="2" w:space="0"/>
            </w:tcBorders>
            <w:tcMar>
              <w:top w:w="100" w:type="dxa"/>
              <w:bottom w:w="100" w:type="dxa"/>
            </w:tcMar>
            <w:tcW w:w="1264" w:type="pct"/>
            <w:vAlign w:val="center"/>
            <w:vMerge w:val="continue"/>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投标</w:t>
            </w:r>
            <w:r>
              <w:rPr>
                <w:rFonts w:ascii="宋体" w:hAnsi="宋体" w:eastAsia="宋体" w:cs="Times New Roman"/>
                <w:color w:val="auto"/>
                <w:sz w:val="24"/>
                <w:szCs w:val="24"/>
                <w:highlight w:val="none"/>
                <w:shd w:val="clear" w:color="auto" w:fill="ffffff"/>
              </w:rPr>
              <w:t xml:space="preserve">报价</w:t>
            </w:r>
            <w:r>
              <w:rPr>
                <w:rFonts w:hint="eastAsia" w:ascii="宋体" w:hAnsi="宋体" w:eastAsia="宋体" w:cs="Times New Roman"/>
                <w:color w:val="auto"/>
                <w:sz w:val="24"/>
                <w:szCs w:val="24"/>
                <w:highlight w:val="none"/>
                <w:shd w:val="clear" w:color="auto" w:fill="ffffff"/>
              </w:rPr>
              <w:t xml:space="preserve">。</w:t>
            </w:r>
            <w:r/>
          </w:p>
        </w:tc>
      </w:tr>
      <w:tr>
        <w:trPr/>
        <w:tc>
          <w:tcPr>
            <w:tcBorders>
              <w:left w:val="single" w:color="000000" w:sz="2" w:space="0"/>
              <w:bottom w:val="single" w:color="000000" w:sz="2" w:space="0"/>
              <w:right w:val="single" w:color="000000" w:sz="2" w:space="0"/>
            </w:tcBorders>
            <w:tcMar>
              <w:top w:w="100" w:type="dxa"/>
              <w:bottom w:w="100" w:type="dxa"/>
            </w:tcMar>
            <w:tcW w:w="434" w:type="pct"/>
            <w:vAlign w:val="center"/>
            <w:vMerge w:val="continue"/>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left w:val="single" w:color="000000" w:sz="2" w:space="0"/>
              <w:bottom w:val="single" w:color="000000" w:sz="2" w:space="0"/>
              <w:right w:val="single" w:color="000000" w:sz="2" w:space="0"/>
            </w:tcBorders>
            <w:tcMar>
              <w:top w:w="100" w:type="dxa"/>
              <w:bottom w:w="100" w:type="dxa"/>
            </w:tcMar>
            <w:tcW w:w="1264" w:type="pct"/>
            <w:vAlign w:val="center"/>
            <w:vMerge w:val="continue"/>
            <w:textDirection w:val="lrTb"/>
            <w:noWrap/>
          </w:tcPr>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shd w:val="clear" w:color="auto" w:fill="ffffff"/>
              </w:rPr>
            </w:pPr>
            <w:r>
              <w:rPr>
                <w:rFonts w:hint="eastAsia" w:ascii="宋体" w:hAnsi="宋体" w:eastAsia="宋体" w:cs="Times New Roman"/>
                <w:color w:val="auto"/>
                <w:sz w:val="24"/>
                <w:szCs w:val="24"/>
                <w:highlight w:val="none"/>
                <w:shd w:val="clear" w:color="auto" w:fill="ffffff"/>
              </w:rPr>
              <w:t xml:space="preserve">未发现属无效投标的情形。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2" w:type="dxa"/>
            <w:vAlign w:val="center"/>
            <w:textDirection w:val="lrTb"/>
            <w:noWrap/>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4" w:type="pct"/>
            <w:vAlign w:val="center"/>
            <w:textDirection w:val="lrTb"/>
            <w:noWrap/>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审查投标文件，以确定其是否满足招标文件的实质性要求。不满足招标文件的实质性要求的，投标无效。</w:t>
            </w:r>
            <w:r/>
          </w:p>
        </w:tc>
      </w:tr>
    </w:tbl>
    <w:p>
      <w:pPr>
        <w:ind w:firstLine="480"/>
        <w:spacing w:line="400" w:lineRule="exact"/>
        <w:rPr>
          <w:rFonts w:ascii="宋体" w:hAnsi="宋体"/>
          <w:color w:val="auto"/>
          <w:sz w:val="24"/>
          <w:highlight w:val="none"/>
        </w:rPr>
      </w:pPr>
      <w:r>
        <w:rPr>
          <w:rFonts w:ascii="宋体" w:hAnsi="宋体"/>
          <w:color w:val="auto"/>
          <w:sz w:val="24"/>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jc w:val="left"/>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numPr>
          <w:ilvl w:val="0"/>
          <w:numId w:val="0"/>
        </w:numPr>
        <w:jc w:val="left"/>
        <w:widowControl/>
        <w:rPr>
          <w:rFonts w:hint="eastAsia" w:ascii="宋体" w:hAnsi="宋体" w:eastAsia="宋体" w:cs="楷体"/>
          <w:b/>
          <w:color w:val="auto"/>
          <w:sz w:val="30"/>
          <w:szCs w:val="30"/>
          <w:highlight w:val="none"/>
        </w:rPr>
      </w:pPr>
      <w:r>
        <w:rPr>
          <w:rFonts w:hint="eastAsia" w:ascii="宋体" w:hAnsi="宋体" w:eastAsia="宋体" w:cs="楷体"/>
          <w:b/>
          <w:color w:val="auto"/>
          <w:sz w:val="30"/>
          <w:szCs w:val="30"/>
          <w:highlight w:val="none"/>
          <w:lang w:val="en-US" w:eastAsia="zh-CN" w:bidi="ar-SA"/>
        </w:rPr>
        <w:t xml:space="preserve">8.</w:t>
      </w:r>
      <w:r>
        <w:rPr>
          <w:rFonts w:hint="eastAsia" w:ascii="宋体" w:hAnsi="宋体" w:eastAsia="宋体" w:cs="楷体"/>
          <w:b/>
          <w:color w:val="auto"/>
          <w:sz w:val="30"/>
          <w:szCs w:val="30"/>
          <w:highlight w:val="none"/>
        </w:rPr>
        <w:t xml:space="preserve">本项目采用综合评分法。</w:t>
      </w:r>
      <w:bookmarkStart w:id="87" w:name="EB4b4dac0d76bc4dafafdb7b397071a175"/>
      <w:r/>
      <w:bookmarkEnd w:id="87"/>
      <w:r/>
      <w:r/>
    </w:p>
    <w:p>
      <w:pPr>
        <w:numPr>
          <w:ilvl w:val="0"/>
          <w:numId w:val="0"/>
        </w:numPr>
        <w:jc w:val="left"/>
        <w:widowControl/>
        <w:rPr>
          <w:rFonts w:hint="eastAsia" w:ascii="宋体" w:hAnsi="宋体" w:eastAsia="宋体" w:cs="楷体"/>
          <w:b/>
          <w:color w:val="auto"/>
          <w:sz w:val="30"/>
          <w:szCs w:val="30"/>
          <w:highlight w:val="none"/>
        </w:rPr>
      </w:pPr>
      <w:r>
        <w:rPr>
          <w:rFonts w:hint="eastAsia" w:ascii="宋体" w:hAnsi="宋体" w:eastAsia="宋体" w:cs="楷体"/>
          <w:b/>
          <w:color w:val="auto"/>
          <w:sz w:val="30"/>
          <w:szCs w:val="30"/>
          <w:highlight w:val="none"/>
        </w:rPr>
      </w:r>
      <w:r/>
    </w:p>
    <w:p>
      <w:pPr>
        <w:numPr>
          <w:ilvl w:val="0"/>
          <w:numId w:val="0"/>
        </w:numPr>
        <w:jc w:val="left"/>
        <w:widowControl/>
        <w:rPr>
          <w:rFonts w:hint="eastAsia" w:ascii="宋体" w:hAnsi="宋体" w:eastAsia="宋体" w:cs="楷体"/>
          <w:b/>
          <w:color w:val="auto"/>
          <w:sz w:val="24"/>
          <w:szCs w:val="24"/>
          <w:highlight w:val="none"/>
          <w:lang w:eastAsia="zh-CN"/>
        </w:rPr>
      </w:pPr>
      <w:r>
        <w:rPr>
          <w:rFonts w:hint="eastAsia" w:ascii="宋体" w:hAnsi="宋体" w:eastAsia="宋体" w:cs="楷体"/>
          <w:b/>
          <w:color w:val="auto"/>
          <w:sz w:val="24"/>
          <w:szCs w:val="24"/>
          <w:highlight w:val="none"/>
          <w:lang w:eastAsia="zh-CN"/>
        </w:rPr>
        <w:t xml:space="preserve">采购包1：</w:t>
      </w:r>
      <w:bookmarkEnd w:id="82"/>
      <w:r/>
      <w:bookmarkEnd w:id="83"/>
      <w:r/>
      <w:bookmarkEnd w:id="84"/>
      <w:r/>
      <w:bookmarkEnd w:id="85"/>
      <w:r/>
      <w:bookmarkEnd w:id="86"/>
      <w:r/>
      <w:r/>
    </w:p>
    <w:p>
      <w:pPr>
        <w:numPr>
          <w:ilvl w:val="0"/>
          <w:numId w:val="0"/>
        </w:numPr>
        <w:jc w:val="left"/>
        <w:widowControl/>
        <w:rPr>
          <w:rFonts w:hint="default" w:ascii="宋体" w:hAnsi="宋体" w:eastAsia="宋体" w:cs="楷体"/>
          <w:b/>
          <w:color w:val="auto"/>
          <w:sz w:val="24"/>
          <w:szCs w:val="24"/>
          <w:highlight w:val="none"/>
          <w:lang w:val="en-US" w:eastAsia="zh-CN"/>
        </w:rPr>
      </w:pPr>
      <w:r>
        <w:rPr>
          <w:rFonts w:hint="default" w:ascii="宋体" w:hAnsi="宋体" w:eastAsia="宋体" w:cs="楷体"/>
          <w:b/>
          <w:color w:val="auto"/>
          <w:sz w:val="24"/>
          <w:szCs w:val="24"/>
          <w:highlight w:val="none"/>
          <w:lang w:val="en-US" w:eastAsia="zh-CN"/>
        </w:rPr>
      </w:r>
      <w:r/>
    </w:p>
    <w:tbl>
      <w:tblPr>
        <w:tblStyle w:val="689"/>
        <w:tblW w:w="496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2791"/>
        <w:gridCol w:w="2669"/>
        <w:gridCol w:w="205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70"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9"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74"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70"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91"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cs="宋体"/>
                <w:color w:val="auto"/>
                <w:szCs w:val="24"/>
                <w:highlight w:val="none"/>
                <w:lang w:val="en-US" w:eastAsia="zh-CN"/>
              </w:rPr>
              <w:t xml:space="preserve">53</w:t>
            </w:r>
            <w:r>
              <w:rPr>
                <w:rFonts w:hint="eastAsia" w:ascii="宋体" w:hAnsi="宋体" w:eastAsia="宋体" w:cs="宋体"/>
                <w:color w:val="auto"/>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69"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55"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.00</w:t>
            </w:r>
            <w:r/>
          </w:p>
        </w:tc>
      </w:tr>
    </w:tbl>
    <w:p>
      <w:pPr>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（一）技术评估</w:t>
      </w:r>
      <w:r/>
    </w:p>
    <w:tbl>
      <w:tblPr>
        <w:tblStyle w:val="689"/>
        <w:tblW w:w="99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6"/>
        <w:gridCol w:w="1047"/>
        <w:gridCol w:w="7384"/>
        <w:gridCol w:w="853"/>
      </w:tblGrid>
      <w:tr>
        <w:trPr>
          <w:jc w:val="center"/>
          <w:trHeight w:val="748"/>
        </w:trPr>
        <w:tc>
          <w:tcPr>
            <w:tcW w:w="636"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序号</w:t>
            </w:r>
            <w:r/>
          </w:p>
        </w:tc>
        <w:tc>
          <w:tcPr>
            <w:tcW w:w="1047"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评审因素</w:t>
            </w:r>
            <w:r/>
          </w:p>
        </w:tc>
        <w:tc>
          <w:tcPr>
            <w:tcW w:w="7384"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评审细则</w:t>
            </w:r>
            <w:r/>
          </w:p>
        </w:tc>
        <w:tc>
          <w:tcPr>
            <w:tcW w:w="853"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分值</w:t>
            </w:r>
            <w:r/>
          </w:p>
        </w:tc>
      </w:tr>
      <w:tr>
        <w:trPr>
          <w:jc w:val="center"/>
          <w:trHeight w:val="748"/>
        </w:trPr>
        <w:tc>
          <w:tcPr>
            <w:gridSpan w:val="3"/>
            <w:tcW w:w="9067"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技术评价</w:t>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cs="宋体"/>
                <w:color w:val="auto"/>
                <w:sz w:val="22"/>
                <w:highlight w:val="none"/>
                <w:lang w:val="en-US" w:bidi="zh-CN"/>
              </w:rPr>
              <w:t xml:space="preserve">18</w:t>
            </w:r>
            <w:r>
              <w:rPr>
                <w:rFonts w:hint="eastAsia" w:ascii="宋体" w:hAnsi="宋体" w:eastAsia="宋体" w:cs="宋体"/>
                <w:color w:val="auto"/>
                <w:sz w:val="22"/>
                <w:highlight w:val="none"/>
                <w:lang w:val="zh-CN" w:bidi="zh-CN"/>
              </w:rPr>
              <w:t xml:space="preserve">.0</w:t>
            </w:r>
            <w:r/>
          </w:p>
        </w:tc>
      </w:tr>
      <w:tr>
        <w:trPr>
          <w:jc w:val="center"/>
          <w:trHeight w:val="748"/>
        </w:trPr>
        <w:tc>
          <w:tcPr>
            <w:tcW w:w="636" w:type="dxa"/>
            <w:vAlign w:val="center"/>
            <w:textDirection w:val="lrTb"/>
            <w:noWrap w:val="false"/>
          </w:tcPr>
          <w:p>
            <w:pPr>
              <w:ind w:firstLine="68"/>
              <w:jc w:val="left"/>
              <w:rPr>
                <w:rFonts w:hint="eastAsia" w:ascii="宋体" w:hAnsi="宋体" w:eastAsia="宋体" w:cs="宋体"/>
                <w:b w:val="0"/>
                <w:bCs w:val="0"/>
                <w:color w:val="auto"/>
                <w:sz w:val="22"/>
                <w:highlight w:val="none"/>
                <w:lang w:bidi="zh-CN"/>
              </w:rPr>
            </w:pPr>
            <w:r>
              <w:rPr>
                <w:rFonts w:hint="eastAsia" w:ascii="宋体" w:hAnsi="宋体" w:eastAsia="宋体" w:cs="宋体"/>
                <w:b w:val="0"/>
                <w:bCs w:val="0"/>
                <w:color w:val="auto"/>
                <w:sz w:val="22"/>
                <w:highlight w:val="none"/>
                <w:lang w:bidi="zh-CN"/>
              </w:rPr>
              <w:t xml:space="preserve">1.</w:t>
            </w:r>
            <w:r>
              <w:rPr>
                <w:rFonts w:hint="eastAsia" w:ascii="宋体" w:hAnsi="宋体" w:eastAsia="宋体" w:cs="宋体"/>
                <w:b w:val="0"/>
                <w:bCs w:val="0"/>
                <w:color w:val="auto"/>
                <w:sz w:val="22"/>
                <w:highlight w:val="none"/>
                <w:lang w:val="en-US" w:bidi="zh-CN"/>
              </w:rPr>
              <w:t xml:space="preserve">1</w:t>
            </w:r>
            <w:r/>
          </w:p>
        </w:tc>
        <w:tc>
          <w:tcPr>
            <w:tcW w:w="1047" w:type="dxa"/>
            <w:vAlign w:val="center"/>
            <w:textDirection w:val="lrTb"/>
            <w:noWrap w:val="false"/>
          </w:tcPr>
          <w:p>
            <w:pPr>
              <w:jc w:val="both"/>
              <w:rPr>
                <w:rFonts w:hint="eastAsia" w:ascii="宋体" w:hAnsi="宋体" w:eastAsia="宋体" w:cs="宋体"/>
                <w:b w:val="0"/>
                <w:bCs w:val="0"/>
                <w:color w:val="auto"/>
                <w:sz w:val="22"/>
                <w:highlight w:val="none"/>
                <w:lang w:val="zh-CN" w:bidi="zh-CN"/>
              </w:rPr>
            </w:pPr>
            <w:r>
              <w:rPr>
                <w:rFonts w:hint="eastAsia" w:ascii="宋体" w:hAnsi="宋体" w:cs="宋体"/>
                <w:b w:val="0"/>
                <w:bCs w:val="0"/>
                <w:color w:val="auto"/>
                <w:sz w:val="22"/>
                <w:highlight w:val="none"/>
                <w:lang w:val="zh-CN" w:bidi="zh-CN"/>
              </w:rPr>
              <w:t xml:space="preserve">投标产品工艺方案评价</w:t>
            </w:r>
            <w:r/>
          </w:p>
        </w:tc>
        <w:tc>
          <w:tcPr>
            <w:tcW w:w="7384"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产品的符合性：投标人</w:t>
            </w:r>
            <w:r>
              <w:rPr>
                <w:rFonts w:hint="eastAsia" w:ascii="宋体" w:hAnsi="宋体" w:eastAsia="宋体" w:cs="宋体"/>
                <w:color w:val="auto"/>
                <w:sz w:val="22"/>
                <w:highlight w:val="none"/>
                <w:lang w:bidi="zh-CN"/>
              </w:rPr>
              <w:t xml:space="preserve">提供产品清单</w:t>
            </w:r>
            <w:r>
              <w:rPr>
                <w:rFonts w:hint="eastAsia" w:ascii="宋体" w:hAnsi="宋体" w:cs="宋体"/>
                <w:color w:val="auto"/>
                <w:sz w:val="22"/>
                <w:highlight w:val="none"/>
                <w:lang w:val="en-US" w:bidi="zh-CN"/>
              </w:rPr>
              <w:t xml:space="preserve">中</w:t>
            </w:r>
            <w:r>
              <w:rPr>
                <w:rFonts w:hint="eastAsia" w:ascii="宋体" w:hAnsi="宋体" w:eastAsia="宋体" w:cs="宋体"/>
                <w:color w:val="auto"/>
                <w:sz w:val="22"/>
                <w:highlight w:val="none"/>
                <w:lang w:bidi="zh-CN"/>
              </w:rPr>
              <w:t xml:space="preserve">标</w:t>
            </w:r>
            <w:r>
              <w:rPr>
                <w:rFonts w:hint="eastAsia" w:ascii="宋体" w:hAnsi="宋体" w:cs="宋体"/>
                <w:color w:val="auto"/>
                <w:sz w:val="22"/>
                <w:highlight w:val="none"/>
                <w:lang w:bidi="zh-CN"/>
              </w:rPr>
              <w:t xml:space="preserve">“</w:t>
            </w:r>
            <w:r>
              <w:rPr>
                <w:rFonts w:hint="eastAsia" w:ascii="宋体" w:hAnsi="宋体" w:eastAsia="宋体" w:cs="宋体"/>
                <w:color w:val="auto"/>
                <w:sz w:val="22"/>
                <w:highlight w:val="none"/>
                <w:lang w:bidi="zh-CN"/>
              </w:rPr>
              <w:t xml:space="preserve">○</w:t>
            </w:r>
            <w:r>
              <w:rPr>
                <w:rFonts w:hint="eastAsia" w:ascii="宋体" w:hAnsi="宋体" w:cs="宋体"/>
                <w:color w:val="auto"/>
                <w:sz w:val="22"/>
                <w:highlight w:val="none"/>
                <w:lang w:bidi="zh-CN"/>
              </w:rPr>
              <w:t xml:space="preserve">”</w:t>
            </w:r>
            <w:r>
              <w:rPr>
                <w:rFonts w:hint="eastAsia" w:ascii="宋体" w:hAnsi="宋体" w:eastAsia="宋体" w:cs="宋体"/>
                <w:color w:val="auto"/>
                <w:sz w:val="22"/>
                <w:highlight w:val="none"/>
                <w:lang w:bidi="zh-CN"/>
              </w:rPr>
              <w:t xml:space="preserve">的</w:t>
            </w:r>
            <w:r>
              <w:rPr>
                <w:rFonts w:hint="eastAsia" w:ascii="宋体" w:hAnsi="宋体" w:cs="宋体"/>
                <w:color w:val="auto"/>
                <w:sz w:val="22"/>
                <w:highlight w:val="none"/>
                <w:lang w:val="en-US" w:bidi="zh-CN"/>
              </w:rPr>
              <w:t xml:space="preserve">20</w:t>
            </w:r>
            <w:r>
              <w:rPr>
                <w:rFonts w:hint="eastAsia" w:ascii="宋体" w:hAnsi="宋体" w:eastAsia="宋体" w:cs="宋体"/>
                <w:color w:val="auto"/>
                <w:sz w:val="22"/>
                <w:highlight w:val="none"/>
                <w:lang w:bidi="zh-CN"/>
              </w:rPr>
              <w:t xml:space="preserve">项产品</w:t>
            </w:r>
            <w:r>
              <w:rPr>
                <w:rFonts w:hint="eastAsia" w:ascii="宋体" w:hAnsi="宋体" w:eastAsia="宋体" w:cs="宋体"/>
                <w:color w:val="auto"/>
                <w:sz w:val="22"/>
                <w:highlight w:val="none"/>
                <w:lang w:val="zh-CN" w:bidi="zh-CN"/>
              </w:rPr>
              <w:t xml:space="preserve">的三视图、部件分解图、用料说明、彩图或实物图，由评委评分：</w:t>
            </w:r>
            <w:r/>
          </w:p>
          <w:p>
            <w:pPr>
              <w:numPr>
                <w:ilvl w:val="0"/>
                <w:numId w:val="9"/>
              </w:numPr>
              <w:ind w:firstLine="68"/>
              <w:jc w:val="both"/>
              <w:rPr>
                <w:rFonts w:hint="eastAsia" w:ascii="宋体" w:hAnsi="宋体" w:cs="宋体"/>
                <w:color w:val="auto"/>
                <w:sz w:val="22"/>
                <w:highlight w:val="none"/>
                <w:lang w:val="zh-CN" w:bidi="zh-CN"/>
              </w:rPr>
            </w:pPr>
            <w:r>
              <w:rPr>
                <w:rFonts w:hint="eastAsia" w:ascii="宋体" w:hAnsi="宋体" w:eastAsia="宋体" w:cs="宋体"/>
                <w:color w:val="auto"/>
                <w:sz w:val="22"/>
                <w:highlight w:val="none"/>
                <w:lang w:val="zh-CN" w:bidi="zh-CN"/>
              </w:rPr>
              <w:t xml:space="preserve">三视图：主视图、俯视图、左视图齐全；</w:t>
            </w:r>
            <w:r/>
          </w:p>
          <w:p>
            <w:pPr>
              <w:ind w:firstLine="68"/>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（2）产品部件分解图：标注主要产品部件；</w:t>
            </w:r>
            <w:r/>
          </w:p>
          <w:p>
            <w:pPr>
              <w:ind w:firstLine="68"/>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（3）用料说明：将产品所用主要材料标识</w:t>
            </w:r>
            <w:r>
              <w:rPr>
                <w:rFonts w:hint="eastAsia" w:ascii="宋体" w:hAnsi="宋体" w:eastAsia="宋体" w:cs="宋体"/>
                <w:color w:val="auto"/>
                <w:sz w:val="22"/>
                <w:highlight w:val="none"/>
                <w:lang w:val="en-US" w:bidi="zh-CN"/>
              </w:rPr>
              <w:t xml:space="preserve">准确</w:t>
            </w:r>
            <w:r>
              <w:rPr>
                <w:rFonts w:hint="eastAsia" w:ascii="宋体" w:hAnsi="宋体" w:eastAsia="宋体" w:cs="宋体"/>
                <w:color w:val="auto"/>
                <w:sz w:val="22"/>
                <w:highlight w:val="none"/>
                <w:lang w:val="zh-CN" w:bidi="zh-CN"/>
              </w:rPr>
              <w:t xml:space="preserve">；</w:t>
            </w:r>
            <w:r/>
          </w:p>
          <w:p>
            <w:pPr>
              <w:ind w:firstLine="68"/>
              <w:jc w:val="both"/>
              <w:rPr>
                <w:rFonts w:hint="default" w:ascii="宋体" w:hAnsi="宋体" w:cs="宋体"/>
                <w:color w:val="auto"/>
                <w:sz w:val="22"/>
                <w:highlight w:val="none"/>
                <w:lang w:val="en-US" w:bidi="zh-CN"/>
              </w:rPr>
            </w:pPr>
            <w:r>
              <w:rPr>
                <w:rFonts w:hint="eastAsia" w:ascii="宋体" w:hAnsi="宋体" w:cs="宋体"/>
                <w:color w:val="auto"/>
                <w:sz w:val="22"/>
                <w:highlight w:val="none"/>
                <w:lang w:val="zh-CN" w:bidi="zh-CN"/>
              </w:rPr>
              <w:t xml:space="preserve">（</w:t>
            </w:r>
            <w:r>
              <w:rPr>
                <w:rFonts w:hint="eastAsia" w:ascii="宋体" w:hAnsi="宋体" w:cs="宋体"/>
                <w:color w:val="auto"/>
                <w:sz w:val="22"/>
                <w:highlight w:val="none"/>
                <w:lang w:val="en-US" w:bidi="zh-CN"/>
              </w:rPr>
              <w:t xml:space="preserve">4</w:t>
            </w:r>
            <w:r>
              <w:rPr>
                <w:rFonts w:hint="eastAsia" w:ascii="宋体" w:hAnsi="宋体" w:cs="宋体"/>
                <w:color w:val="auto"/>
                <w:sz w:val="22"/>
                <w:highlight w:val="none"/>
                <w:lang w:val="zh-CN" w:bidi="zh-CN"/>
              </w:rPr>
              <w:t xml:space="preserve">）</w:t>
            </w:r>
            <w:r>
              <w:rPr>
                <w:rFonts w:hint="eastAsia" w:ascii="宋体" w:hAnsi="宋体" w:cs="宋体"/>
                <w:color w:val="auto"/>
                <w:sz w:val="22"/>
                <w:highlight w:val="none"/>
                <w:lang w:val="en-US" w:bidi="zh-CN"/>
              </w:rPr>
              <w:t xml:space="preserve">图片：可以是效果图或实物照片，但必须符合招标文件要求。</w:t>
            </w:r>
            <w:r/>
          </w:p>
          <w:p>
            <w:pPr>
              <w:numPr>
                <w:ilvl w:val="0"/>
                <w:numId w:val="0"/>
              </w:numPr>
              <w:jc w:val="both"/>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投标人提供的产品资料符合以上</w:t>
            </w:r>
            <w:r>
              <w:rPr>
                <w:rFonts w:hint="eastAsia" w:ascii="宋体" w:hAnsi="宋体" w:cs="宋体"/>
                <w:color w:val="auto"/>
                <w:sz w:val="22"/>
                <w:highlight w:val="none"/>
                <w:lang w:val="en-US" w:bidi="zh-CN"/>
              </w:rPr>
              <w:t xml:space="preserve">四</w:t>
            </w:r>
            <w:r>
              <w:rPr>
                <w:rFonts w:hint="eastAsia" w:ascii="宋体" w:hAnsi="宋体" w:eastAsia="宋体" w:cs="宋体"/>
                <w:color w:val="auto"/>
                <w:sz w:val="22"/>
                <w:highlight w:val="none"/>
                <w:lang w:val="zh-CN" w:bidi="zh-CN"/>
              </w:rPr>
              <w:t xml:space="preserve">项要求，</w:t>
            </w:r>
            <w:r>
              <w:rPr>
                <w:rFonts w:hint="eastAsia" w:ascii="宋体" w:hAnsi="宋体" w:cs="宋体"/>
                <w:color w:val="auto"/>
                <w:sz w:val="22"/>
                <w:highlight w:val="none"/>
                <w:lang w:val="en-US" w:bidi="zh-CN"/>
              </w:rPr>
              <w:t xml:space="preserve">每个产品</w:t>
            </w:r>
            <w:r>
              <w:rPr>
                <w:rFonts w:hint="eastAsia" w:ascii="宋体" w:hAnsi="宋体" w:eastAsia="宋体" w:cs="宋体"/>
                <w:color w:val="auto"/>
                <w:sz w:val="22"/>
                <w:highlight w:val="none"/>
                <w:lang w:val="zh-CN" w:bidi="zh-CN"/>
              </w:rPr>
              <w:t xml:space="preserve">得</w:t>
            </w:r>
            <w:r>
              <w:rPr>
                <w:rFonts w:hint="eastAsia" w:ascii="宋体" w:hAnsi="宋体" w:eastAsia="宋体" w:cs="宋体"/>
                <w:color w:val="auto"/>
                <w:sz w:val="22"/>
                <w:highlight w:val="none"/>
                <w:lang w:val="en-US" w:bidi="zh-CN"/>
              </w:rPr>
              <w:t xml:space="preserve">0.</w:t>
            </w:r>
            <w:r>
              <w:rPr>
                <w:rFonts w:hint="eastAsia" w:ascii="宋体" w:hAnsi="宋体" w:cs="宋体"/>
                <w:color w:val="auto"/>
                <w:sz w:val="22"/>
                <w:highlight w:val="none"/>
                <w:lang w:val="en-US" w:bidi="zh-CN"/>
              </w:rPr>
              <w:t xml:space="preserve">2</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cs="宋体"/>
                <w:color w:val="auto"/>
                <w:sz w:val="22"/>
                <w:highlight w:val="none"/>
                <w:lang w:val="en-US" w:bidi="zh-CN"/>
              </w:rPr>
              <w:t xml:space="preserve">4</w:t>
            </w:r>
            <w:r>
              <w:rPr>
                <w:rFonts w:hint="eastAsia" w:ascii="宋体" w:hAnsi="宋体" w:eastAsia="宋体" w:cs="宋体"/>
                <w:color w:val="auto"/>
                <w:sz w:val="22"/>
                <w:highlight w:val="none"/>
                <w:lang w:val="zh-CN" w:bidi="zh-CN"/>
              </w:rPr>
              <w:t xml:space="preserve">.0</w:t>
            </w:r>
            <w:r/>
          </w:p>
        </w:tc>
      </w:tr>
      <w:tr>
        <w:trPr>
          <w:jc w:val="center"/>
          <w:trHeight w:val="563"/>
        </w:trPr>
        <w:tc>
          <w:tcPr>
            <w:tcW w:w="636" w:type="dxa"/>
            <w:vAlign w:val="center"/>
            <w:textDirection w:val="lrTb"/>
            <w:noWrap w:val="false"/>
          </w:tcPr>
          <w:p>
            <w:pPr>
              <w:ind w:firstLine="68"/>
              <w:jc w:val="lef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1.</w:t>
            </w:r>
            <w:r>
              <w:rPr>
                <w:rFonts w:hint="eastAsia" w:ascii="宋体" w:hAnsi="宋体" w:eastAsia="宋体" w:cs="宋体"/>
                <w:color w:val="auto"/>
                <w:sz w:val="22"/>
                <w:highlight w:val="none"/>
                <w:lang w:val="en-US" w:bidi="zh-CN"/>
              </w:rPr>
              <w:t xml:space="preserve">2</w:t>
            </w:r>
            <w:r/>
          </w:p>
        </w:tc>
        <w:tc>
          <w:tcPr>
            <w:tcW w:w="1047" w:type="dxa"/>
            <w:vAlign w:val="center"/>
            <w:textDirection w:val="lrTb"/>
            <w:noWrap w:val="false"/>
          </w:tcPr>
          <w:p>
            <w:pPr>
              <w:jc w:val="left"/>
              <w:rPr>
                <w:rFonts w:hint="eastAsia" w:ascii="宋体" w:hAnsi="宋体" w:cs="宋体"/>
                <w:color w:val="auto"/>
                <w:sz w:val="22"/>
                <w:highlight w:val="none"/>
                <w:lang w:val="zh-CN" w:bidi="zh-CN"/>
              </w:rPr>
            </w:pPr>
            <w:r>
              <w:rPr>
                <w:rFonts w:hint="eastAsia" w:ascii="宋体" w:hAnsi="宋体" w:cs="宋体"/>
                <w:color w:val="auto"/>
                <w:sz w:val="22"/>
                <w:highlight w:val="none"/>
                <w:lang w:val="zh-CN" w:bidi="zh-CN"/>
              </w:rPr>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成品检测评价</w:t>
            </w:r>
            <w:r/>
          </w:p>
        </w:tc>
        <w:tc>
          <w:tcPr>
            <w:tcW w:w="7384" w:type="dxa"/>
            <w:vAlign w:val="center"/>
            <w:textDirection w:val="lrTb"/>
            <w:noWrap w:val="false"/>
          </w:tcPr>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eastAsia="zh-CN" w:bidi="zh-CN"/>
              </w:rPr>
              <w:t xml:space="preserve">(1)</w:t>
            </w:r>
            <w:r>
              <w:rPr>
                <w:rFonts w:hint="eastAsia" w:ascii="宋体" w:hAnsi="宋体" w:eastAsia="宋体" w:cs="宋体"/>
                <w:b/>
                <w:bCs w:val="0"/>
                <w:color w:val="auto"/>
                <w:sz w:val="21"/>
                <w:szCs w:val="21"/>
                <w:highlight w:val="none"/>
                <w:lang w:val="en-US" w:bidi="zh-CN"/>
              </w:rPr>
              <w:t xml:space="preserve">提供医用治疗柜的</w:t>
            </w:r>
            <w:r>
              <w:rPr>
                <w:rFonts w:hint="eastAsia" w:ascii="宋体" w:hAnsi="宋体" w:eastAsia="宋体" w:cs="宋体"/>
                <w:b/>
                <w:bCs w:val="0"/>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en-US"/>
              </w:rPr>
              <w:t xml:space="preserve">①</w:t>
            </w:r>
            <w:r>
              <w:rPr>
                <w:rFonts w:hint="eastAsia" w:ascii="宋体" w:hAnsi="宋体" w:eastAsia="宋体" w:cs="宋体"/>
                <w:color w:val="auto"/>
                <w:highlight w:val="none"/>
                <w:lang w:val="en-US" w:eastAsia="zh-CN"/>
              </w:rPr>
              <w:t xml:space="preserve">依据符合GB/T 3075-2021《金属材料疲劳试验轴向力控制方法》标准，疲劳测试≥10万次：试样未断裂；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w:t>
            </w:r>
            <w:r>
              <w:rPr>
                <w:rFonts w:hint="eastAsia" w:ascii="宋体" w:hAnsi="宋体" w:cs="宋体"/>
                <w:color w:val="auto"/>
                <w:highlight w:val="none"/>
                <w:lang w:val="en-US" w:eastAsia="zh-CN"/>
              </w:rPr>
              <w:t xml:space="preserve">符合</w:t>
            </w:r>
            <w:r>
              <w:rPr>
                <w:rFonts w:hint="eastAsia" w:ascii="宋体" w:hAnsi="宋体" w:eastAsia="宋体" w:cs="宋体"/>
                <w:color w:val="auto"/>
                <w:highlight w:val="none"/>
                <w:lang w:val="en-US" w:eastAsia="zh-CN"/>
              </w:rPr>
              <w:t xml:space="preserve">GB/T 26696-2011《家具用高分子材料台面板》标准，耐香烟灼烧≥1级；耐酸碱≥1级；耐高温≥1级；吸水率≤0.5%；弯曲强度≥30MPa；</w:t>
            </w:r>
            <w:r/>
          </w:p>
          <w:p>
            <w:pPr>
              <w:rPr>
                <w:rFonts w:hint="eastAsia" w:ascii="宋体" w:hAnsi="宋体" w:eastAsia="宋体" w:cs="宋体"/>
                <w:strike w:val="0"/>
                <w:color w:val="auto"/>
                <w:highlight w:val="none"/>
                <w:lang w:val="en-US" w:eastAsia="zh-CN"/>
              </w:rPr>
            </w:pPr>
            <w:r>
              <w:rPr>
                <w:rFonts w:hint="eastAsia" w:ascii="宋体" w:hAnsi="宋体" w:eastAsia="宋体" w:cs="宋体"/>
                <w:strike w:val="0"/>
                <w:color w:val="auto"/>
                <w:highlight w:val="none"/>
                <w:lang w:val="en-US" w:eastAsia="zh-CN"/>
              </w:rPr>
              <w:t xml:space="preserve">③依据</w:t>
            </w:r>
            <w:r>
              <w:rPr>
                <w:rFonts w:hint="eastAsia" w:ascii="宋体" w:hAnsi="宋体" w:cs="宋体"/>
                <w:strike w:val="0"/>
                <w:color w:val="auto"/>
                <w:highlight w:val="none"/>
                <w:lang w:val="en-US" w:eastAsia="zh-CN"/>
              </w:rPr>
              <w:t xml:space="preserve">符合</w:t>
            </w:r>
            <w:r>
              <w:rPr>
                <w:rFonts w:hint="eastAsia" w:ascii="宋体" w:hAnsi="宋体" w:eastAsia="宋体" w:cs="宋体"/>
                <w:strike w:val="0"/>
                <w:color w:val="auto"/>
                <w:highlight w:val="none"/>
                <w:lang w:val="en-US" w:eastAsia="zh-CN"/>
              </w:rPr>
              <w:t xml:space="preserve">GB/T 228.1-2021《金属材料拉伸试验第1部分:室温试验方法》标准，力学性能抗拉强度≥450MPa;上屈服强度≥350MPa;断后伸长率≥30%；</w:t>
            </w:r>
            <w:r/>
          </w:p>
          <w:p>
            <w:pP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3325-2024《金属家具通用技术条件》标准，理化性能:硬度≥3H。通过基本结构安全；底脚着地平稳性≤2.0mm;</w:t>
            </w:r>
            <w:r>
              <w:rPr>
                <w:rFonts w:hint="eastAsia" w:ascii="宋体" w:hAnsi="宋体" w:cs="宋体"/>
                <w:color w:val="auto"/>
                <w:highlight w:val="none"/>
                <w:lang w:val="en-US" w:eastAsia="zh-CN"/>
              </w:rPr>
              <w:t xml:space="preserve">通过柜架类</w:t>
            </w:r>
            <w:r>
              <w:rPr>
                <w:rFonts w:hint="eastAsia" w:ascii="宋体" w:hAnsi="宋体" w:eastAsia="宋体" w:cs="宋体"/>
                <w:color w:val="auto"/>
                <w:highlight w:val="none"/>
                <w:lang w:val="en-US" w:eastAsia="zh-CN"/>
              </w:rPr>
              <w:t xml:space="preserve">结构强度试验</w:t>
            </w:r>
            <w:r>
              <w:rPr>
                <w:rFonts w:hint="eastAsia" w:ascii="宋体" w:hAnsi="宋体" w:cs="宋体"/>
                <w:color w:val="auto"/>
                <w:highlight w:val="none"/>
                <w:lang w:val="en-US" w:eastAsia="zh-CN"/>
              </w:rPr>
              <w:t xml:space="preserve">、开门试验、稳定性试验；</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w:t>
            </w:r>
            <w:r>
              <w:rPr>
                <w:rFonts w:hint="eastAsia" w:ascii="宋体" w:hAnsi="宋体" w:cs="宋体"/>
                <w:color w:val="auto"/>
                <w:highlight w:val="none"/>
                <w:lang w:val="en-US" w:eastAsia="zh-CN"/>
              </w:rPr>
              <w:t xml:space="preserve">符合</w:t>
            </w:r>
            <w:r>
              <w:rPr>
                <w:rFonts w:hint="eastAsia" w:ascii="宋体" w:hAnsi="宋体" w:eastAsia="宋体" w:cs="宋体"/>
                <w:color w:val="auto"/>
                <w:highlight w:val="none"/>
                <w:lang w:val="en-US" w:eastAsia="zh-CN"/>
              </w:rPr>
              <w:t xml:space="preserve">QB/T 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⑥依据</w:t>
            </w:r>
            <w:r>
              <w:rPr>
                <w:rFonts w:hint="eastAsia" w:ascii="宋体" w:hAnsi="宋体" w:cs="宋体"/>
                <w:color w:val="auto"/>
                <w:highlight w:val="none"/>
                <w:lang w:val="en-US" w:eastAsia="zh-CN"/>
              </w:rPr>
              <w:t xml:space="preserve">符合</w:t>
            </w:r>
            <w:r>
              <w:rPr>
                <w:rFonts w:hint="eastAsia" w:ascii="宋体" w:hAnsi="宋体" w:eastAsia="宋体" w:cs="宋体"/>
                <w:color w:val="auto"/>
                <w:highlight w:val="none"/>
                <w:lang w:val="en-US" w:eastAsia="zh-CN"/>
              </w:rPr>
              <w:t xml:space="preserve">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21604-2022《化学品急性皮肤刺激性/腐蚀性试验方法》标准；通过急性皮肤刺激性/腐蚀性试验检测；</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keepLines w:val="0"/>
              <w:keepNext w:val="0"/>
              <w:pageBreakBefore w:val="0"/>
              <w:spacing w:line="320" w:lineRule="exact"/>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color w:val="auto"/>
                <w:sz w:val="22"/>
                <w:highlight w:val="none"/>
                <w:lang w:val="zh-CN" w:bidi="zh-CN"/>
              </w:rPr>
              <w:t xml:space="preserve"> </w:t>
            </w:r>
            <w:r>
              <w:rPr>
                <w:rFonts w:hint="eastAsia" w:ascii="宋体" w:hAnsi="宋体" w:eastAsia="宋体" w:cs="宋体"/>
                <w:b/>
                <w:bCs w:val="0"/>
                <w:color w:val="auto"/>
                <w:sz w:val="21"/>
                <w:szCs w:val="22"/>
                <w:highlight w:val="none"/>
                <w:lang w:val="en-US" w:eastAsia="zh-CN" w:bidi="ar-SA"/>
              </w:rPr>
              <w:t xml:space="preserve">(2)</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highlight w:val="none"/>
                <w:lang w:val="en-US"/>
              </w:rPr>
              <w:t xml:space="preserve">医用处置柜</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en-US"/>
              </w:rPr>
              <w:t xml:space="preserve">①</w:t>
            </w:r>
            <w:r>
              <w:rPr>
                <w:rFonts w:hint="eastAsia" w:ascii="宋体" w:hAnsi="宋体" w:eastAsia="宋体" w:cs="宋体"/>
                <w:color w:val="auto"/>
                <w:highlight w:val="none"/>
                <w:lang w:val="en-US" w:eastAsia="zh-CN"/>
              </w:rPr>
              <w:t xml:space="preserve">依据符合GB/T 3075-2021《金属材料疲劳试验轴向力控制方法》标准，疲劳测试≥10万次：试样未断裂；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②依据符合GB/T 26696-2011《家具用高分子材料台面板》标准，耐香烟灼烧≥1级；耐酸碱≥1级；耐高温≥1级；吸水率≤0.5%；弯曲强度≥30MPa；</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③依据符合GB/T 228.1-2021《金属材料拉伸试验第1部分:室温试验方法》标准，力学性能抗拉强度≥450MPa;上屈服强度≥350MPa;断后伸长率≥30%；</w:t>
            </w:r>
            <w:r/>
          </w:p>
          <w:p>
            <w:pPr>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④依据符合GB/T3325-2024《金属家具通用技术条件》标准，理化性能:硬度≥3H。通过基本结构安全；底脚着地平稳性≤2.0mm;</w:t>
            </w:r>
            <w:r>
              <w:rPr>
                <w:rFonts w:hint="eastAsia" w:ascii="宋体" w:hAnsi="宋体" w:cs="宋体"/>
                <w:color w:val="auto"/>
                <w:highlight w:val="none"/>
                <w:lang w:val="en-US" w:eastAsia="zh-CN"/>
              </w:rPr>
              <w:t xml:space="preserve">通过柜架类</w:t>
            </w:r>
            <w:r>
              <w:rPr>
                <w:rFonts w:hint="eastAsia" w:ascii="宋体" w:hAnsi="宋体" w:eastAsia="宋体" w:cs="宋体"/>
                <w:color w:val="auto"/>
                <w:highlight w:val="none"/>
                <w:lang w:val="en-US" w:eastAsia="zh-CN"/>
              </w:rPr>
              <w:t xml:space="preserve">结构强度试验</w:t>
            </w:r>
            <w:r>
              <w:rPr>
                <w:rFonts w:hint="eastAsia" w:ascii="宋体" w:hAnsi="宋体" w:cs="宋体"/>
                <w:color w:val="auto"/>
                <w:highlight w:val="none"/>
                <w:lang w:val="en-US" w:eastAsia="zh-CN"/>
              </w:rPr>
              <w:t xml:space="preserve">、开门试验、稳定性试验；</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⑤依据符合QB/T 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⑥依据符合GB/T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21604-2022《化学品急性皮肤刺激性/腐蚀性试验方法》标准；通过急性皮肤刺激性/腐蚀性试验检测；</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w:t>
            </w: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2"/>
                <w:highlight w:val="none"/>
                <w:lang w:val="en-US" w:eastAsia="zh-CN" w:bidi="ar-SA"/>
              </w:rPr>
              <w:t xml:space="preserve">(3)</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highlight w:val="none"/>
                <w:lang w:val="en-US"/>
              </w:rPr>
              <w:t xml:space="preserve">医用配餐柜</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en-US"/>
              </w:rPr>
              <w:t xml:space="preserve">①</w:t>
            </w:r>
            <w:r>
              <w:rPr>
                <w:rFonts w:hint="eastAsia" w:ascii="宋体" w:hAnsi="宋体" w:eastAsia="宋体" w:cs="宋体"/>
                <w:color w:val="auto"/>
                <w:highlight w:val="none"/>
                <w:lang w:val="en-US" w:eastAsia="zh-CN"/>
              </w:rPr>
              <w:t xml:space="preserve">依据符合GB/T 3075-2021《金属材料疲劳试验轴向力控制方法》标准，疲劳测试≥10万次：试样未断裂；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②依据符合GB/T 26696-2011《家具用高分子材料台面板》标准，耐香烟灼烧≥1级；耐酸碱≥1级；耐高温≥1级；吸水率≤0.5%；弯曲强度≥30MPa；</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③依据符合GB/T 228.1-2021《金属材料拉伸试验第1部分:室温试验方法》标准，力学性能抗拉强度≥450MPa;上屈服强度≥350MPa;断后伸长率≥30%；</w:t>
            </w:r>
            <w:r/>
          </w:p>
          <w:p>
            <w:pP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④依据符合GB/T3325-2024《金属家具通用技术条件》标准，理化性能:硬度≥3H。通过基本结构安全；底脚着地平稳性≤2.0mm;</w:t>
            </w:r>
            <w:r>
              <w:rPr>
                <w:rFonts w:hint="eastAsia" w:ascii="宋体" w:hAnsi="宋体" w:cs="宋体"/>
                <w:color w:val="auto"/>
                <w:highlight w:val="none"/>
                <w:lang w:val="en-US" w:eastAsia="zh-CN"/>
              </w:rPr>
              <w:t xml:space="preserve">通过柜架类</w:t>
            </w:r>
            <w:r>
              <w:rPr>
                <w:rFonts w:hint="eastAsia" w:ascii="宋体" w:hAnsi="宋体" w:eastAsia="宋体" w:cs="宋体"/>
                <w:color w:val="auto"/>
                <w:highlight w:val="none"/>
                <w:lang w:val="en-US" w:eastAsia="zh-CN"/>
              </w:rPr>
              <w:t xml:space="preserve">结构强度试验</w:t>
            </w:r>
            <w:r>
              <w:rPr>
                <w:rFonts w:hint="eastAsia" w:ascii="宋体" w:hAnsi="宋体" w:cs="宋体"/>
                <w:color w:val="auto"/>
                <w:highlight w:val="none"/>
                <w:lang w:val="en-US" w:eastAsia="zh-CN"/>
              </w:rPr>
              <w:t xml:space="preserve">、开门试验、稳定性试验；</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⑤依据符合QB/T 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⑥依据符合GB/T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21604-2022《化学品急性皮肤刺激性/腐蚀性试验方法》标准；通过急性皮肤刺激性/腐蚀性试验检测；</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eastAsia="zh-CN" w:bidi="zh-CN"/>
              </w:rPr>
              <w:t xml:space="preserve">(4)</w:t>
            </w:r>
            <w:r>
              <w:rPr>
                <w:rFonts w:hint="eastAsia" w:ascii="宋体" w:hAnsi="宋体" w:eastAsia="宋体" w:cs="宋体"/>
                <w:b/>
                <w:bCs w:val="0"/>
                <w:color w:val="auto"/>
                <w:sz w:val="21"/>
                <w:szCs w:val="21"/>
                <w:highlight w:val="none"/>
                <w:lang w:val="en-US" w:bidi="zh-CN"/>
              </w:rPr>
              <w:t xml:space="preserve">提供</w:t>
            </w:r>
            <w:r>
              <w:rPr>
                <w:rFonts w:hint="eastAsia" w:ascii="宋体" w:hAnsi="宋体" w:eastAsia="宋体" w:cs="宋体"/>
                <w:b/>
                <w:bCs w:val="0"/>
                <w:color w:val="auto"/>
                <w:sz w:val="21"/>
                <w:szCs w:val="21"/>
                <w:highlight w:val="none"/>
                <w:lang w:val="zh-CN" w:bidi="zh-CN"/>
              </w:rPr>
              <w:t xml:space="preserve">洗婴台</w:t>
            </w:r>
            <w:r>
              <w:rPr>
                <w:rFonts w:hint="eastAsia" w:ascii="宋体" w:hAnsi="宋体" w:eastAsia="宋体" w:cs="宋体"/>
                <w:b/>
                <w:bCs w:val="0"/>
                <w:color w:val="auto"/>
                <w:sz w:val="21"/>
                <w:szCs w:val="21"/>
                <w:highlight w:val="none"/>
                <w:lang w:val="en-US" w:bidi="zh-CN"/>
              </w:rPr>
              <w:t xml:space="preserve">的</w:t>
            </w:r>
            <w:r>
              <w:rPr>
                <w:rFonts w:hint="eastAsia" w:ascii="宋体" w:hAnsi="宋体" w:eastAsia="宋体" w:cs="宋体"/>
                <w:b/>
                <w:bCs w:val="0"/>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lang w:val="en-US" w:eastAsia="zh-CN"/>
              </w:rPr>
              <w:t xml:space="preserve">依据符合GB/T3075-2021《金属材料疲劳试验轴向力控制方法》标准；经≥10万次疲劳试验后，部件未发生开裂。</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26696-2011《家具用高分子材料台面板》标准；通过耐香烟灼烧≥1级；抗球冲击无裂纹或破损；耐酸碱≥1级；耐高温≥1级；</w:t>
            </w:r>
            <w:r>
              <w:rPr>
                <w:rFonts w:hint="eastAsia" w:ascii="宋体" w:hAnsi="宋体" w:cs="宋体"/>
                <w:color w:val="auto"/>
                <w:highlight w:val="none"/>
                <w:lang w:val="en-US" w:eastAsia="zh-CN"/>
              </w:rPr>
              <w:t xml:space="preserve">通过</w:t>
            </w:r>
            <w:r>
              <w:rPr>
                <w:rFonts w:hint="eastAsia" w:ascii="宋体" w:hAnsi="宋体" w:eastAsia="宋体" w:cs="宋体"/>
                <w:color w:val="auto"/>
                <w:highlight w:val="none"/>
                <w:lang w:val="en-US" w:eastAsia="zh-CN"/>
              </w:rPr>
              <w:t xml:space="preserve">耐沸水检测；吸水率≤0.25%；</w:t>
            </w:r>
            <w:r/>
          </w:p>
          <w:p>
            <w:pPr>
              <w:rPr>
                <w:rFonts w:hint="eastAsia" w:ascii="宋体" w:hAnsi="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依据符合GB/T3325-2024《金属家具通用技术条件》标准；形状和位置公差底脚着地平稳性≤2.0mm；通过基本结构安全检测；</w:t>
            </w:r>
            <w:r>
              <w:rPr>
                <w:rFonts w:hint="eastAsia" w:ascii="宋体" w:hAnsi="宋体" w:cs="宋体"/>
                <w:color w:val="auto"/>
                <w:highlight w:val="none"/>
                <w:lang w:val="en-US" w:eastAsia="zh-CN"/>
              </w:rPr>
              <w:t xml:space="preserve">通过柜架类</w:t>
            </w:r>
            <w:r>
              <w:rPr>
                <w:rFonts w:hint="eastAsia" w:ascii="宋体" w:hAnsi="宋体" w:eastAsia="宋体" w:cs="宋体"/>
                <w:color w:val="auto"/>
                <w:highlight w:val="none"/>
                <w:lang w:val="en-US" w:eastAsia="zh-CN"/>
              </w:rPr>
              <w:t xml:space="preserve">结构强度试验</w:t>
            </w:r>
            <w:r>
              <w:rPr>
                <w:rFonts w:hint="eastAsia" w:ascii="宋体" w:hAnsi="宋体" w:cs="宋体"/>
                <w:color w:val="auto"/>
                <w:highlight w:val="none"/>
                <w:lang w:val="en-US" w:eastAsia="zh-CN"/>
              </w:rPr>
              <w:t xml:space="preserve">、开门试验、稳定性试验；</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QB/T4371-2012《家具抗菌性能的评价》</w:t>
            </w:r>
            <w:r>
              <w:rPr>
                <w:rFonts w:hint="eastAsia" w:ascii="宋体" w:hAnsi="宋体" w:eastAsia="宋体" w:cs="宋体"/>
                <w:color w:val="auto"/>
                <w:highlight w:val="none"/>
                <w:lang w:val="en-US" w:eastAsia="zh-CN"/>
              </w:rPr>
              <w:t xml:space="preserve">标准；通过抗细菌性能检测至少包含大肠埃希氏菌（大肠杆菌）、肺炎克雷伯氏菌等任意5种菌类，抗细菌率或抑菌率均≥99%；　</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⑤</w:t>
            </w:r>
            <w:r>
              <w:rPr>
                <w:rFonts w:hint="eastAsia" w:ascii="宋体" w:hAnsi="宋体" w:eastAsia="宋体" w:cs="宋体"/>
                <w:color w:val="auto"/>
                <w:highlight w:val="none"/>
                <w:lang w:val="en-US" w:eastAsia="zh-CN"/>
              </w:rPr>
              <w:t xml:space="preserve">依据符合GB/T21604-2022《化学品急性皮肤刺激性/腐蚀性试验方法》标准；通过急性皮肤刺激性/腐蚀性试验检测；</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w:t>
            </w: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医用水盆柜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①依据符合QB/T 3832-1999《轻工产品金属镀层腐蚀试验结果的评价》、QB/T 3827-1999《轻工产品金属镀层和化学处理层的耐腐蚀试验方法乙酸盐雾试验(ASS)法》标准；乙酸盐雾试验≥200h;镀（涂）层对基体的保护等级≥9级；镀（涂）层本身耐腐蚀等级≥9级；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w:t>
            </w:r>
            <w:r>
              <w:rPr>
                <w:rFonts w:hint="eastAsia" w:ascii="宋体" w:hAnsi="宋体" w:eastAsia="宋体" w:cs="宋体"/>
                <w:color w:val="auto"/>
                <w:highlight w:val="none"/>
              </w:rPr>
              <w:t xml:space="preserve">QB/T4371-2012《家具抗菌性能的评价》</w:t>
            </w:r>
            <w:r>
              <w:rPr>
                <w:rFonts w:hint="eastAsia" w:ascii="宋体" w:hAnsi="宋体" w:eastAsia="宋体" w:cs="宋体"/>
                <w:color w:val="auto"/>
                <w:highlight w:val="none"/>
                <w:lang w:val="en-US" w:eastAsia="zh-CN"/>
              </w:rPr>
              <w:t xml:space="preserve">标准；通过抗细菌性能检测至少包含大肠埃希氏菌（大肠杆菌）、肺炎克雷伯氏菌等任意5种菌类，抗细菌率或抑菌率均≥99%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keepLines w:val="0"/>
              <w:keepNext w:val="0"/>
              <w:pageBreakBefore w:val="0"/>
              <w:spacing w:line="320" w:lineRule="exact"/>
              <w:rPr>
                <w:rFonts w:hint="eastAsia" w:ascii="宋体" w:hAnsi="宋体" w:eastAsia="宋体" w:cs="宋体"/>
                <w:b/>
                <w:color w:val="auto"/>
                <w:sz w:val="21"/>
                <w:szCs w:val="21"/>
                <w:highlight w:val="none"/>
                <w:lang w:val="zh-CN" w:bidi="zh-CN"/>
              </w:rPr>
            </w:pPr>
            <w:r>
              <w:rPr>
                <w:rFonts w:hint="eastAsia" w:ascii="宋体" w:hAnsi="宋体" w:eastAsia="宋体" w:cs="宋体"/>
                <w:b/>
                <w:bCs/>
                <w:color w:val="auto"/>
                <w:sz w:val="22"/>
                <w:highlight w:val="none"/>
                <w:lang w:val="zh-CN" w:bidi="zh-CN"/>
              </w:rPr>
              <w:t xml:space="preserve"> </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6</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药柜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en-US"/>
              </w:rPr>
              <w:t xml:space="preserve">①</w:t>
            </w:r>
            <w:r>
              <w:rPr>
                <w:rFonts w:hint="eastAsia" w:ascii="宋体" w:hAnsi="宋体" w:eastAsia="宋体" w:cs="宋体"/>
                <w:color w:val="auto"/>
                <w:highlight w:val="none"/>
                <w:lang w:val="en-US" w:eastAsia="zh-CN"/>
              </w:rPr>
              <w:t xml:space="preserve">依据符合GB/T 3075-2021《金属材料疲劳试验轴向力控制方法》标准，疲劳测试≥10万次：试样未断裂；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②依据符合GB/T 228.1-2021《金属材料拉伸试验第1部分:室温试验方法》标准，力学性能抗拉强度≥450MPa;上屈服强度≥350MPa;断后伸长率≥30%；</w:t>
            </w:r>
            <w:r/>
          </w:p>
          <w:p>
            <w:pP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③依据符合GB/T3325-2024《金属家具通用技术条件》标准，理化性能:硬度≥3H</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底脚着地平稳性≤2.0mm</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通过基本结构安全；</w:t>
            </w:r>
            <w:r>
              <w:rPr>
                <w:rFonts w:hint="eastAsia" w:ascii="宋体" w:hAnsi="宋体" w:cs="宋体"/>
                <w:color w:val="auto"/>
                <w:highlight w:val="none"/>
                <w:lang w:val="en-US" w:eastAsia="zh-CN"/>
              </w:rPr>
              <w:t xml:space="preserve">通过柜架类</w:t>
            </w:r>
            <w:r>
              <w:rPr>
                <w:rFonts w:hint="eastAsia" w:ascii="宋体" w:hAnsi="宋体" w:eastAsia="宋体" w:cs="宋体"/>
                <w:color w:val="auto"/>
                <w:highlight w:val="none"/>
                <w:lang w:val="en-US" w:eastAsia="zh-CN"/>
              </w:rPr>
              <w:t xml:space="preserve">结构强度试验</w:t>
            </w:r>
            <w:r>
              <w:rPr>
                <w:rFonts w:hint="eastAsia" w:ascii="宋体" w:hAnsi="宋体" w:cs="宋体"/>
                <w:color w:val="auto"/>
                <w:highlight w:val="none"/>
                <w:lang w:val="en-US" w:eastAsia="zh-CN"/>
              </w:rPr>
              <w:t xml:space="preserve">、开门试验、稳定性试验；</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④依据符合QB/T 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⑤依据符合GB/T21604-2022《化学品急性皮肤刺激性/腐蚀性试验方法》标准；通过急性皮肤刺激性/腐蚀性试验检测；</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7</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医用诊断床（</w:t>
            </w:r>
            <w:r>
              <w:rPr>
                <w:rFonts w:hint="eastAsia" w:ascii="宋体" w:hAnsi="宋体" w:eastAsia="宋体" w:cs="宋体"/>
                <w:b/>
                <w:color w:val="auto"/>
                <w:sz w:val="21"/>
                <w:szCs w:val="21"/>
                <w:highlight w:val="none"/>
                <w:lang w:val="en-US" w:bidi="zh-CN"/>
              </w:rPr>
              <w:t xml:space="preserve">诊床</w:t>
            </w:r>
            <w:r>
              <w:rPr>
                <w:rFonts w:hint="eastAsia" w:ascii="宋体" w:hAnsi="宋体" w:eastAsia="宋体" w:cs="宋体"/>
                <w:b/>
                <w:color w:val="auto"/>
                <w:sz w:val="21"/>
                <w:szCs w:val="21"/>
                <w:highlight w:val="none"/>
                <w:lang w:val="zh-CN" w:bidi="zh-CN"/>
              </w:rPr>
              <w:t xml:space="preserve">）</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lang w:val="zh-CN"/>
              </w:rPr>
              <w:t xml:space="preserve">GB/T 16799-2018《家具用皮革》</w:t>
            </w:r>
            <w:r>
              <w:rPr>
                <w:rFonts w:hint="eastAsia" w:ascii="宋体" w:hAnsi="宋体" w:eastAsia="宋体" w:cs="宋体"/>
                <w:color w:val="auto"/>
                <w:highlight w:val="none"/>
                <w:lang w:val="en-US" w:eastAsia="zh-CN"/>
              </w:rPr>
              <w:t xml:space="preserve">标准；游离甲醛≤50mg/kg；</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lang w:val="zh-CN"/>
              </w:rPr>
              <w:t xml:space="preserve">QB/T4371-2012《家具抗菌性能的评价》</w:t>
            </w:r>
            <w:r>
              <w:rPr>
                <w:rFonts w:hint="eastAsia" w:ascii="宋体" w:hAnsi="宋体" w:eastAsia="宋体" w:cs="宋体"/>
                <w:color w:val="auto"/>
                <w:highlight w:val="none"/>
                <w:lang w:val="en-US" w:eastAsia="zh-CN"/>
              </w:rPr>
              <w:t xml:space="preserve">标准；通过抗菌性能检测；</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lang w:val="zh-CN"/>
              </w:rPr>
              <w:t xml:space="preserve">QB/T 4199-2011《皮革防霉性能测试方法》</w:t>
            </w:r>
            <w:r>
              <w:rPr>
                <w:rFonts w:hint="eastAsia" w:ascii="宋体" w:hAnsi="宋体" w:eastAsia="宋体" w:cs="宋体"/>
                <w:color w:val="auto"/>
                <w:highlight w:val="none"/>
                <w:lang w:val="en-US" w:eastAsia="zh-CN"/>
              </w:rPr>
              <w:t xml:space="preserve">标准；通过皮革防霉性能检测；</w:t>
            </w:r>
            <w:r/>
          </w:p>
          <w:p>
            <w:pPr>
              <w:numPr>
                <w:ilvl w:val="0"/>
                <w:numId w:val="0"/>
              </w:numPr>
              <w:rPr>
                <w:rFonts w:hint="eastAsia" w:ascii="宋体" w:hAnsi="宋体" w:eastAsia="宋体" w:cs="宋体"/>
                <w:color w:val="auto"/>
                <w:highlight w:val="none"/>
                <w:lang w:val="en-US"/>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lang w:val="zh-CN"/>
              </w:rPr>
              <w:t xml:space="preserve">HG/T 2006-2022《热固性和热塑性粉末涂料》</w:t>
            </w:r>
            <w:r>
              <w:rPr>
                <w:rFonts w:hint="eastAsia" w:ascii="宋体" w:hAnsi="宋体" w:eastAsia="宋体" w:cs="宋体"/>
                <w:color w:val="auto"/>
                <w:highlight w:val="none"/>
                <w:lang w:val="en-US" w:eastAsia="zh-CN"/>
              </w:rPr>
              <w:t xml:space="preserve">标准；涂膜外观正常；</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numPr>
                <w:ilvl w:val="0"/>
                <w:numId w:val="0"/>
              </w:numPr>
              <w:rPr>
                <w:rFonts w:hint="eastAsia"/>
                <w:b/>
                <w:bCs w:val="0"/>
                <w:color w:val="auto"/>
                <w:sz w:val="21"/>
                <w:szCs w:val="21"/>
                <w:highlight w:val="none"/>
                <w:lang w:val="en-US" w:eastAsia="zh-CN"/>
              </w:rPr>
            </w:pPr>
            <w:r>
              <w:rPr>
                <w:rFonts w:hint="eastAsia"/>
                <w:b/>
                <w:bCs w:val="0"/>
                <w:color w:val="auto"/>
                <w:sz w:val="21"/>
                <w:szCs w:val="21"/>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8</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304不锈钢清洗池</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3325-2024《金属家具通用技术条件》标准，平整度、位差度、底脚着地平稳性通过国家标准检测；外观性能要求金属件焊接件通过国家标准检测；</w:t>
            </w:r>
            <w:r/>
          </w:p>
          <w:p>
            <w:pPr>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sz w:val="21"/>
                <w:szCs w:val="21"/>
                <w:highlight w:val="none"/>
                <w:lang w:val="en-US" w:eastAsia="zh-CN" w:bidi="zh-CN"/>
              </w:rPr>
              <w:t xml:space="preserve">②</w:t>
            </w:r>
            <w:r>
              <w:rPr>
                <w:rFonts w:hint="eastAsia" w:ascii="宋体" w:hAnsi="宋体" w:eastAsia="宋体" w:cs="宋体"/>
                <w:b w:val="0"/>
                <w:bCs/>
                <w:color w:val="auto"/>
                <w:sz w:val="21"/>
                <w:szCs w:val="21"/>
                <w:highlight w:val="none"/>
                <w:lang w:val="zh-CN" w:bidi="zh-CN"/>
              </w:rPr>
              <w:t xml:space="preserve">依据</w:t>
            </w:r>
            <w:r>
              <w:rPr>
                <w:rFonts w:hint="eastAsia" w:ascii="宋体" w:hAnsi="宋体" w:eastAsia="宋体" w:cs="宋体"/>
                <w:b w:val="0"/>
                <w:bCs/>
                <w:color w:val="auto"/>
                <w:sz w:val="21"/>
                <w:szCs w:val="21"/>
                <w:highlight w:val="none"/>
                <w:lang w:val="en-US" w:bidi="zh-CN"/>
              </w:rPr>
              <w:t xml:space="preserve">符合</w:t>
            </w:r>
            <w:r>
              <w:rPr>
                <w:rFonts w:hint="eastAsia" w:ascii="宋体" w:hAnsi="宋体" w:eastAsia="宋体" w:cs="宋体"/>
                <w:b w:val="0"/>
                <w:bCs/>
                <w:color w:val="auto"/>
                <w:sz w:val="21"/>
                <w:szCs w:val="21"/>
                <w:highlight w:val="none"/>
                <w:lang w:val="en-US" w:eastAsia="zh-CN" w:bidi="zh-CN"/>
              </w:rPr>
              <w:t xml:space="preserve">GB/T 35607-2024《绿色产品评价家具》标准，家具中可迁移有害元素限量：铅≤20mg/kg、镉≤20mg/kg、铬≤20mg/kg、汞≤20mg/kg、锑≤20mg/kg、钡≤20mg/kg、硒≤20mg/kg；</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val="0"/>
                <w:bCs/>
                <w:color w:val="auto"/>
                <w:sz w:val="22"/>
                <w:highlight w:val="none"/>
                <w:lang w:val="zh-CN" w:bidi="zh-CN"/>
              </w:rPr>
              <w:t xml:space="preserve"> </w:t>
            </w: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eastAsia="zh-CN" w:bidi="zh-CN"/>
              </w:rPr>
              <w:t xml:space="preserve">9</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304不锈钢拖把池</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3325-2024《金属家具通用技术条件》标准，平整度、位差度、底脚着地平稳性通过国家标准检测；外观性能要求金属件焊接件通过国家标准检测；</w:t>
            </w:r>
            <w:r/>
          </w:p>
          <w:p>
            <w:pPr>
              <w:rPr>
                <w:rFonts w:hint="eastAsia" w:ascii="宋体" w:hAnsi="宋体" w:eastAsia="宋体" w:cs="宋体"/>
                <w:b w:val="0"/>
                <w:bCs/>
                <w:color w:val="auto"/>
                <w:highlight w:val="none"/>
                <w:lang w:val="en-US" w:eastAsia="zh-CN"/>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en-US" w:eastAsia="zh-CN"/>
              </w:rPr>
              <w:t xml:space="preserve">GB/T 35607-2024《绿色产品评价家具》标准，家具中可迁移有害元素限量：</w:t>
            </w:r>
            <w:r>
              <w:rPr>
                <w:rFonts w:hint="eastAsia" w:ascii="宋体" w:hAnsi="宋体" w:eastAsia="宋体" w:cs="宋体"/>
                <w:b w:val="0"/>
                <w:bCs/>
                <w:color w:val="auto"/>
                <w:sz w:val="21"/>
                <w:szCs w:val="21"/>
                <w:highlight w:val="none"/>
                <w:lang w:val="en-US" w:eastAsia="zh-CN" w:bidi="zh-CN"/>
              </w:rPr>
              <w:t xml:space="preserve">家具中可迁移有害元素限量：铅≤20mg/kg、镉≤20mg/kg、铬≤20mg/kg、汞≤20mg/kg、锑≤20mg/kg、钡≤20mg/kg、硒≤20mg/kg；</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0</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诊断桌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b/>
                <w:color w:val="auto"/>
                <w:sz w:val="21"/>
                <w:szCs w:val="21"/>
                <w:highlight w:val="none"/>
                <w:lang w:val="en-US" w:bidi="zh-CN"/>
              </w:rPr>
            </w:pPr>
            <w:r>
              <w:rPr>
                <w:rFonts w:hint="eastAsia" w:ascii="宋体" w:hAnsi="宋体" w:eastAsia="宋体" w:cs="宋体"/>
                <w:color w:val="auto"/>
                <w:highlight w:val="none"/>
                <w:lang w:val="zh-CN" w:eastAsia="zh-CN"/>
              </w:rPr>
              <w:t xml:space="preserve">①</w:t>
            </w:r>
            <w:r>
              <w:rPr>
                <w:rFonts w:hint="eastAsia" w:ascii="宋体" w:hAnsi="宋体" w:eastAsia="宋体" w:cs="宋体"/>
                <w:color w:val="auto"/>
                <w:highlight w:val="none"/>
                <w:lang w:val="zh-CN"/>
              </w:rPr>
              <w:t xml:space="preserve">依据</w:t>
            </w:r>
            <w:r>
              <w:rPr>
                <w:rFonts w:hint="eastAsia" w:ascii="宋体" w:hAnsi="宋体" w:eastAsia="宋体" w:cs="宋体"/>
                <w:color w:val="auto"/>
                <w:highlight w:val="none"/>
                <w:lang w:val="en-US"/>
              </w:rPr>
              <w:t xml:space="preserve">符合</w:t>
            </w:r>
            <w:r>
              <w:rPr>
                <w:rFonts w:hint="eastAsia" w:ascii="宋体" w:hAnsi="宋体" w:eastAsia="宋体" w:cs="宋体"/>
                <w:color w:val="auto"/>
                <w:highlight w:val="none"/>
                <w:lang w:val="zh-CN"/>
              </w:rPr>
              <w:t xml:space="preserve">GB/T 35607-2024《绿色产品评价 家具》</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rPr>
              <w:t xml:space="preserve">符合以下要求</w:t>
            </w:r>
            <w:r>
              <w:rPr>
                <w:rFonts w:hint="eastAsia" w:ascii="宋体" w:hAnsi="宋体" w:eastAsia="宋体" w:cs="宋体"/>
                <w:color w:val="auto"/>
                <w:highlight w:val="none"/>
                <w:lang w:val="zh-CN"/>
              </w:rPr>
              <w:t xml:space="preserve">：</w:t>
            </w:r>
            <w:r>
              <w:rPr>
                <w:rFonts w:hint="eastAsia" w:ascii="宋体" w:hAnsi="宋体" w:eastAsia="宋体" w:cs="宋体"/>
                <w:b w:val="0"/>
                <w:bCs/>
                <w:color w:val="auto"/>
                <w:sz w:val="21"/>
                <w:szCs w:val="21"/>
                <w:highlight w:val="none"/>
                <w:lang w:val="zh-CN" w:eastAsia="zh-CN" w:bidi="zh-CN"/>
              </w:rPr>
              <w:t xml:space="preserve">甲醛释放量≤0.035mg/m³、苯≤0.025mg/m³、甲苯≤0.05mg/m³、二甲苯≤0.05mg/m³、总挥发性有机化合物TVOC≤0.05mg/m³；</w:t>
            </w:r>
            <w:r>
              <w:rPr>
                <w:rFonts w:hint="eastAsia" w:ascii="宋体" w:hAnsi="宋体" w:eastAsia="宋体" w:cs="宋体"/>
                <w:b w:val="0"/>
                <w:bCs/>
                <w:color w:val="auto"/>
                <w:sz w:val="21"/>
                <w:szCs w:val="21"/>
                <w:highlight w:val="none"/>
                <w:lang w:val="en-US" w:bidi="zh-CN"/>
              </w:rPr>
              <w:t xml:space="preserve">家具涂层可迁移元素：</w:t>
            </w:r>
            <w:r>
              <w:rPr>
                <w:rFonts w:hint="eastAsia" w:ascii="宋体" w:hAnsi="宋体" w:eastAsia="宋体" w:cs="宋体"/>
                <w:b w:val="0"/>
                <w:bCs/>
                <w:color w:val="auto"/>
                <w:sz w:val="21"/>
                <w:szCs w:val="21"/>
                <w:highlight w:val="none"/>
                <w:lang w:val="en-US" w:eastAsia="zh-CN" w:bidi="zh-CN"/>
              </w:rPr>
              <w:t xml:space="preserve">铅≤20mg/kg、镉≤20mg/kg、铬≤20mg/kg、汞≤20mg/kg、锑≤20mg/kg、钡≤20mg/kg、硒≤20mg/kg；</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color w:val="auto"/>
                <w:sz w:val="21"/>
                <w:szCs w:val="21"/>
                <w:highlight w:val="none"/>
                <w:lang w:val="zh-CN" w:bidi="zh-CN"/>
              </w:rPr>
              <w:t xml:space="preserve"> </w:t>
            </w: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1</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病人椅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color w:val="auto"/>
                <w:highlight w:val="none"/>
                <w:lang w:val="zh-CN"/>
              </w:rPr>
            </w:pPr>
            <w:r>
              <w:rPr>
                <w:rFonts w:hint="eastAsia" w:ascii="宋体" w:hAnsi="宋体" w:eastAsia="宋体" w:cs="宋体"/>
                <w:color w:val="auto"/>
                <w:sz w:val="21"/>
                <w:szCs w:val="22"/>
                <w:highlight w:val="none"/>
                <w:lang w:val="zh-CN" w:eastAsia="zh-CN" w:bidi="ar-SA"/>
              </w:rPr>
              <w:t xml:space="preserve">①</w:t>
            </w:r>
            <w:r>
              <w:rPr>
                <w:rFonts w:hint="eastAsia" w:ascii="宋体" w:hAnsi="宋体" w:eastAsia="宋体" w:cs="宋体"/>
                <w:color w:val="auto"/>
                <w:highlight w:val="none"/>
                <w:lang w:val="zh-CN"/>
              </w:rPr>
              <w:t xml:space="preserve">依据符合GB/T32487-2016《塑料家具通用技术条件》</w:t>
            </w:r>
            <w:r>
              <w:rPr>
                <w:rFonts w:hint="eastAsia" w:ascii="宋体" w:hAnsi="宋体" w:eastAsia="宋体" w:cs="宋体"/>
                <w:color w:val="auto"/>
                <w:highlight w:val="none"/>
                <w:lang w:val="en-US"/>
              </w:rPr>
              <w:t xml:space="preserve">标准，</w:t>
            </w:r>
            <w:r>
              <w:rPr>
                <w:rFonts w:hint="eastAsia" w:ascii="宋体" w:hAnsi="宋体" w:eastAsia="宋体" w:cs="宋体"/>
                <w:color w:val="auto"/>
                <w:highlight w:val="none"/>
                <w:lang w:val="zh-CN"/>
              </w:rPr>
              <w:t xml:space="preserve">塑料件外观：应无裂纹、明显变形、缩水、针孔；应无凹陷、飞边、折皱、疙瘩；应无气泡、杂质、伤痕、白印；表面应光洁，应无划痕、毛刺、拉毛、污渍；应无明显色差；力学性能：通过座面静载荷试验、椅背静载荷试验、椅腿前向静载荷试验、椅腿侧向静载荷试验、座面冲击试验、椅背冲击试验；理化性能：塑料件耐冷热循环，应无裂纹、鼓泡、变色、起皱；</w:t>
            </w:r>
            <w:r/>
          </w:p>
          <w:p>
            <w:pPr>
              <w:numPr>
                <w:ilvl w:val="0"/>
                <w:numId w:val="0"/>
              </w:numPr>
              <w:rPr>
                <w:rFonts w:hint="eastAsia" w:ascii="宋体" w:hAnsi="宋体" w:eastAsia="宋体" w:cs="宋体"/>
                <w:color w:val="auto"/>
                <w:highlight w:val="none"/>
                <w:lang w:val="en-US"/>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zh-CN"/>
              </w:rPr>
              <w:t xml:space="preserve">依据符合GB/T16422.3-2022《塑料实验室光源暴露试验方法第3部分：荧光紫外灯》</w:t>
            </w:r>
            <w:r>
              <w:rPr>
                <w:rFonts w:hint="eastAsia" w:ascii="宋体" w:hAnsi="宋体" w:eastAsia="宋体" w:cs="宋体"/>
                <w:color w:val="auto"/>
                <w:highlight w:val="none"/>
                <w:lang w:val="en-US"/>
              </w:rPr>
              <w:t xml:space="preserve">标准</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rPr>
              <w:t xml:space="preserve">通过荧光紫外老化（≥</w:t>
            </w:r>
            <w:r>
              <w:rPr>
                <w:rFonts w:hint="eastAsia" w:ascii="宋体" w:hAnsi="宋体" w:eastAsia="宋体" w:cs="宋体"/>
                <w:color w:val="auto"/>
                <w:highlight w:val="none"/>
                <w:lang w:val="en-US"/>
              </w:rPr>
              <w:t xml:space="preserve">2</w:t>
            </w:r>
            <w:r>
              <w:rPr>
                <w:rFonts w:hint="eastAsia" w:ascii="宋体" w:hAnsi="宋体" w:eastAsia="宋体" w:cs="宋体"/>
                <w:color w:val="auto"/>
                <w:highlight w:val="none"/>
                <w:lang w:val="zh-CN"/>
              </w:rPr>
              <w:t xml:space="preserve">00h）试验：试检后样品表面应无明显开裂；</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w:t>
            </w: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2</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提供转椅的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color w:val="auto"/>
                <w:sz w:val="21"/>
                <w:szCs w:val="21"/>
                <w:highlight w:val="none"/>
                <w:lang w:val="zh-CN" w:bidi="zh-CN"/>
              </w:rPr>
            </w:pP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zh-CN"/>
              </w:rPr>
              <w:t xml:space="preserve">依据符合</w:t>
            </w:r>
            <w:r>
              <w:rPr>
                <w:rFonts w:hint="eastAsia" w:ascii="宋体" w:hAnsi="宋体" w:eastAsia="宋体" w:cs="宋体"/>
                <w:b w:val="0"/>
                <w:bCs/>
                <w:color w:val="auto"/>
                <w:sz w:val="21"/>
                <w:szCs w:val="21"/>
                <w:highlight w:val="none"/>
                <w:lang w:val="zh-CN" w:bidi="zh-CN"/>
              </w:rPr>
              <w:t xml:space="preserve">QB/T 2280-2016《办公家具 办公</w:t>
            </w:r>
            <w:r>
              <w:rPr>
                <w:rFonts w:hint="eastAsia" w:ascii="宋体" w:hAnsi="宋体" w:eastAsia="宋体" w:cs="宋体"/>
                <w:b w:val="0"/>
                <w:bCs/>
                <w:color w:val="auto"/>
                <w:sz w:val="21"/>
                <w:szCs w:val="21"/>
                <w:highlight w:val="none"/>
                <w:lang w:val="en-US" w:bidi="zh-CN"/>
              </w:rPr>
              <w:t xml:space="preserve">椅</w:t>
            </w:r>
            <w:r>
              <w:rPr>
                <w:rFonts w:hint="eastAsia" w:ascii="宋体" w:hAnsi="宋体" w:eastAsia="宋体" w:cs="宋体"/>
                <w:b w:val="0"/>
                <w:bCs/>
                <w:color w:val="auto"/>
                <w:sz w:val="21"/>
                <w:szCs w:val="21"/>
                <w:highlight w:val="none"/>
                <w:lang w:val="zh-CN" w:bidi="zh-CN"/>
              </w:rPr>
              <w:t xml:space="preserve">》</w:t>
            </w:r>
            <w:r>
              <w:rPr>
                <w:rFonts w:hint="eastAsia" w:ascii="宋体" w:hAnsi="宋体" w:eastAsia="宋体" w:cs="宋体"/>
                <w:b w:val="0"/>
                <w:bCs w:val="0"/>
                <w:color w:val="auto"/>
                <w:sz w:val="21"/>
                <w:szCs w:val="21"/>
                <w:highlight w:val="none"/>
                <w:lang w:val="en-US" w:eastAsia="zh-CN"/>
              </w:rPr>
              <w:t xml:space="preserve">标准；通过力学性能座面冲击；</w:t>
            </w:r>
            <w:r/>
          </w:p>
          <w:p>
            <w:pPr>
              <w:numPr>
                <w:ilvl w:val="0"/>
                <w:numId w:val="0"/>
              </w:numPr>
              <w:rPr>
                <w:rFonts w:hint="eastAsia" w:ascii="宋体" w:hAnsi="宋体" w:eastAsia="宋体" w:cs="宋体"/>
                <w:b w:val="0"/>
                <w:bCs/>
                <w:color w:val="auto"/>
                <w:sz w:val="21"/>
                <w:szCs w:val="21"/>
                <w:highlight w:val="none"/>
                <w:lang w:val="en-US" w:bidi="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zh-CN"/>
              </w:rPr>
              <w:t xml:space="preserve">依据符合</w:t>
            </w:r>
            <w:r>
              <w:rPr>
                <w:rFonts w:hint="eastAsia" w:ascii="宋体" w:hAnsi="宋体" w:eastAsia="宋体" w:cs="宋体"/>
                <w:b w:val="0"/>
                <w:bCs/>
                <w:color w:val="auto"/>
                <w:sz w:val="21"/>
                <w:szCs w:val="21"/>
                <w:highlight w:val="none"/>
                <w:lang w:val="zh-CN" w:bidi="zh-CN"/>
              </w:rPr>
              <w:t xml:space="preserve">GB/T 29525-2013《座椅升降气弹簧 技术条件》</w:t>
            </w:r>
            <w:r>
              <w:rPr>
                <w:rFonts w:hint="eastAsia" w:ascii="宋体" w:hAnsi="宋体" w:eastAsia="宋体" w:cs="宋体"/>
                <w:b w:val="0"/>
                <w:bCs w:val="0"/>
                <w:color w:val="auto"/>
                <w:sz w:val="21"/>
                <w:szCs w:val="21"/>
                <w:highlight w:val="none"/>
                <w:lang w:val="en-US" w:eastAsia="zh-CN"/>
              </w:rPr>
              <w:t xml:space="preserve">标准；符合以下检测项目：</w:t>
            </w:r>
            <w:r>
              <w:rPr>
                <w:rFonts w:hint="eastAsia" w:ascii="宋体" w:hAnsi="宋体" w:eastAsia="宋体" w:cs="宋体"/>
                <w:b w:val="0"/>
                <w:bCs/>
                <w:color w:val="auto"/>
                <w:sz w:val="21"/>
                <w:szCs w:val="21"/>
                <w:highlight w:val="none"/>
                <w:lang w:val="en-US" w:bidi="zh-CN"/>
              </w:rPr>
              <w:t xml:space="preserve">伸展速度：气弹簧的伸展速度应在70mm/s-150mm/s之间；</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w:t>
            </w: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eastAsia="zh-CN" w:bidi="zh-CN"/>
              </w:rPr>
              <w:t xml:space="preserve">3</w:t>
            </w:r>
            <w:r>
              <w:rPr>
                <w:rFonts w:hint="eastAsia" w:ascii="宋体" w:hAnsi="宋体" w:eastAsia="宋体" w:cs="宋体"/>
                <w:b/>
                <w:color w:val="auto"/>
                <w:sz w:val="21"/>
                <w:szCs w:val="21"/>
                <w:highlight w:val="none"/>
                <w:lang w:val="zh-CN" w:eastAsia="zh-CN" w:bidi="zh-CN"/>
              </w:rPr>
              <w:t xml:space="preserve">)</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输液椅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①依据GB/T 3325-2024《金属家具通用技术条件》标准；符合以下检测项目：金属件管材应无裂缝、叠缝；外露管口端面应封闭；圆管和扁线管弯曲处弧形应圆滑一致；通过基本结构安全检测；理化性能：冲击强度、耐盐浴通过检测；力学性能：椅凳类强度和耐久性（通过检测：座面静载荷试验、椅背静载荷试验、扶手垂直向下静载荷试验、座面耐久性试验、椅背耐久性试验、扶手耐久性试验）；椅凳类稳定性（通过检测：椅子向前倾翻试验应无倾翻、椅子向后倾翻试验应无倾翻）；</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 </w:t>
            </w: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keepLines w:val="0"/>
              <w:keepNext w:val="0"/>
              <w:pageBreakBefore w:val="0"/>
              <w:spacing w:line="320" w:lineRule="exact"/>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en-US" w:eastAsia="zh-CN" w:bidi="zh-CN"/>
              </w:rPr>
              <w:t xml:space="preserve">(14)</w:t>
            </w:r>
            <w:r>
              <w:rPr>
                <w:rFonts w:hint="eastAsia" w:ascii="宋体" w:hAnsi="宋体" w:eastAsia="宋体" w:cs="宋体"/>
                <w:b/>
                <w:color w:val="auto"/>
                <w:sz w:val="21"/>
                <w:szCs w:val="21"/>
                <w:highlight w:val="none"/>
                <w:lang w:val="en-US" w:bidi="zh-CN"/>
              </w:rPr>
              <w:t xml:space="preserve">提供候诊椅（等候椅）的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ascii="宋体" w:hAnsi="宋体" w:eastAsia="宋体" w:cs="宋体"/>
                <w:color w:val="auto"/>
                <w:highlight w:val="none"/>
                <w:lang w:val="en-US" w:eastAsia="zh-CN"/>
              </w:rPr>
            </w:pPr>
            <w:r>
              <w:rPr>
                <w:rFonts w:hint="eastAsia" w:ascii="宋体" w:hAnsi="宋体" w:eastAsia="宋体" w:cs="宋体"/>
                <w:strike w:val="0"/>
                <w:color w:val="auto"/>
                <w:highlight w:val="none"/>
                <w:lang w:val="en-US" w:eastAsia="zh-CN"/>
              </w:rPr>
              <w:t xml:space="preserve">①</w:t>
            </w:r>
            <w:r>
              <w:rPr>
                <w:rFonts w:hint="eastAsia" w:ascii="宋体" w:hAnsi="宋体" w:eastAsia="宋体" w:cs="宋体"/>
                <w:b w:val="0"/>
                <w:bCs/>
                <w:color w:val="auto"/>
                <w:sz w:val="21"/>
                <w:szCs w:val="21"/>
                <w:highlight w:val="none"/>
                <w:lang w:val="en-US" w:eastAsia="zh-CN" w:bidi="zh-CN"/>
              </w:rPr>
              <w:t xml:space="preserve">依据符合GB/T 35607-2024《绿色产品评价家具》标准；</w:t>
            </w:r>
            <w:r>
              <w:rPr>
                <w:rFonts w:hint="eastAsia" w:ascii="宋体" w:hAnsi="宋体" w:eastAsia="宋体" w:cs="宋体"/>
                <w:b w:val="0"/>
                <w:bCs/>
                <w:color w:val="auto"/>
                <w:sz w:val="21"/>
                <w:szCs w:val="21"/>
                <w:highlight w:val="none"/>
                <w:lang w:val="zh-CN" w:eastAsia="zh-CN" w:bidi="zh-CN"/>
              </w:rPr>
              <w:t xml:space="preserve">甲醛释放量≤0.035mg/m³</w:t>
            </w:r>
            <w:r>
              <w:rPr>
                <w:rFonts w:hint="eastAsia" w:ascii="宋体" w:hAnsi="宋体" w:eastAsia="宋体" w:cs="宋体"/>
                <w:b w:val="0"/>
                <w:bCs/>
                <w:color w:val="auto"/>
                <w:sz w:val="21"/>
                <w:szCs w:val="21"/>
                <w:highlight w:val="none"/>
                <w:lang w:val="en-US" w:eastAsia="zh-CN" w:bidi="zh-CN"/>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②依据符合GB/T 11345-2023《焊缝无损检测 超声检测 技术、检测等级和评定》标准；焊缝无损等级检测；</w:t>
            </w:r>
            <w:r/>
          </w:p>
          <w:p>
            <w:pPr>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val="zh-CN" w:bidi="zh-CN"/>
              </w:rPr>
              <w:t xml:space="preserve">以上全部满足并检测合格得</w:t>
            </w:r>
            <w:r>
              <w:rPr>
                <w:rFonts w:hint="eastAsia" w:ascii="宋体" w:hAnsi="宋体" w:eastAsia="宋体" w:cs="宋体"/>
                <w:b/>
                <w:bCs/>
                <w:color w:val="auto"/>
                <w:sz w:val="22"/>
                <w:highlight w:val="none"/>
                <w:lang w:val="en-US" w:bidi="zh-CN"/>
              </w:rPr>
              <w:t xml:space="preserve">1</w:t>
            </w:r>
            <w:r>
              <w:rPr>
                <w:rFonts w:hint="eastAsia" w:ascii="宋体" w:hAnsi="宋体" w:eastAsia="宋体" w:cs="宋体"/>
                <w:b/>
                <w:bCs/>
                <w:color w:val="auto"/>
                <w:sz w:val="22"/>
                <w:highlight w:val="none"/>
                <w:lang w:val="zh-CN" w:bidi="zh-CN"/>
              </w:rPr>
              <w:t xml:space="preserve">分，缺项不得分。 </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注</w:t>
            </w:r>
            <w:r>
              <w:rPr>
                <w:rFonts w:hint="eastAsia" w:ascii="宋体" w:hAnsi="宋体" w:eastAsia="宋体" w:cs="宋体"/>
                <w:color w:val="auto"/>
                <w:sz w:val="21"/>
                <w:szCs w:val="21"/>
                <w:highlight w:val="none"/>
                <w:lang w:val="zh-CN" w:bidi="zh-CN"/>
              </w:rPr>
              <w:t xml:space="preserve">（</w:t>
            </w:r>
            <w:r>
              <w:rPr>
                <w:rFonts w:ascii="Segoe UI" w:hAnsi="Segoe UI" w:eastAsia="Segoe UI" w:cs="Segoe UI"/>
                <w:i w:val="0"/>
                <w:iCs w:val="0"/>
                <w:caps w:val="0"/>
                <w:color w:val="auto"/>
                <w:spacing w:val="0"/>
                <w:sz w:val="21"/>
                <w:szCs w:val="21"/>
                <w:highlight w:val="none"/>
                <w:shd w:val="clear" w:color="auto" w:fill="fafafa"/>
              </w:rPr>
              <w:t xml:space="preserve">适用于全部</w:t>
            </w:r>
            <w:r>
              <w:rPr>
                <w:rFonts w:hint="eastAsia" w:ascii="Segoe UI" w:hAnsi="Segoe UI" w:eastAsia="宋体" w:cs="Segoe UI"/>
                <w:i w:val="0"/>
                <w:iCs w:val="0"/>
                <w:caps w:val="0"/>
                <w:color w:val="auto"/>
                <w:spacing w:val="0"/>
                <w:sz w:val="21"/>
                <w:szCs w:val="21"/>
                <w:highlight w:val="none"/>
                <w:shd w:val="clear" w:color="auto" w:fill="fafafa"/>
                <w:lang w:eastAsia="zh-CN"/>
              </w:rPr>
              <w:t xml:space="preserve">成品</w:t>
            </w:r>
            <w:r>
              <w:rPr>
                <w:rFonts w:ascii="Segoe UI" w:hAnsi="Segoe UI" w:eastAsia="Segoe UI" w:cs="Segoe UI"/>
                <w:i w:val="0"/>
                <w:iCs w:val="0"/>
                <w:caps w:val="0"/>
                <w:color w:val="auto"/>
                <w:spacing w:val="0"/>
                <w:sz w:val="21"/>
                <w:szCs w:val="21"/>
                <w:highlight w:val="none"/>
                <w:shd w:val="clear" w:color="auto" w:fill="fafafa"/>
              </w:rPr>
              <w:t xml:space="preserve">检测</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2"/>
                <w:highlight w:val="none"/>
                <w:lang w:val="zh-CN" w:bidi="zh-CN"/>
              </w:rPr>
              <w:t xml:space="preserve">：</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①送检人须是投标单位或所投产品生厂商；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②检测报告须提供日期为 202</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val="zh-CN" w:bidi="zh-CN"/>
              </w:rPr>
              <w:t xml:space="preserve">年 1月1 日后，并带有CMA 标志。供应商须对以上检测项目在报告中进行明显标注，如不标注，对评审产生的影响供应商自行承担。</w:t>
            </w:r>
            <w:r/>
          </w:p>
          <w:p>
            <w:pPr>
              <w:ind w:firstLine="68"/>
              <w:jc w:val="left"/>
              <w:keepLines w:val="0"/>
              <w:keepNext w:val="0"/>
              <w:pageBreakBefore w:val="0"/>
              <w:spacing w:line="320" w:lineRule="exac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③</w:t>
            </w:r>
            <w:r>
              <w:rPr>
                <w:rFonts w:hint="eastAsia" w:ascii="宋体" w:hAnsi="宋体" w:eastAsia="宋体" w:cs="宋体"/>
                <w:color w:val="auto"/>
                <w:sz w:val="22"/>
                <w:highlight w:val="none"/>
                <w:lang w:bidi="zh-CN"/>
              </w:rPr>
              <w:t xml:space="preserve">检验报告材料必须清晰且完整含封面</w:t>
            </w:r>
            <w:r>
              <w:rPr>
                <w:rFonts w:hint="eastAsia" w:ascii="宋体" w:hAnsi="宋体" w:eastAsia="宋体" w:cs="宋体"/>
                <w:color w:val="auto"/>
                <w:sz w:val="22"/>
                <w:highlight w:val="none"/>
                <w:lang w:val="en-US" w:bidi="zh-CN"/>
              </w:rPr>
              <w:t xml:space="preserve">等信息</w:t>
            </w:r>
            <w:r>
              <w:rPr>
                <w:rFonts w:hint="eastAsia" w:ascii="宋体" w:hAnsi="宋体" w:eastAsia="宋体" w:cs="宋体"/>
                <w:color w:val="auto"/>
                <w:sz w:val="22"/>
                <w:highlight w:val="none"/>
                <w:lang w:bidi="zh-CN"/>
              </w:rPr>
              <w:t xml:space="preserve">，仅复印局部内容的检测报告视为无效。</w:t>
            </w:r>
            <w:r>
              <w:rPr>
                <w:rFonts w:hint="eastAsia" w:ascii="宋体" w:hAnsi="宋体" w:eastAsia="宋体" w:cs="宋体"/>
                <w:color w:val="auto"/>
                <w:sz w:val="22"/>
                <w:highlight w:val="none"/>
                <w:lang w:val="zh-CN" w:bidi="zh-CN"/>
              </w:rPr>
              <w:t xml:space="preserve">以上检测报告在标书中提供扫描件并加盖公章；</w:t>
            </w:r>
            <w:r>
              <w:rPr>
                <w:rFonts w:hint="eastAsia" w:ascii="宋体" w:hAnsi="宋体" w:eastAsia="宋体" w:cs="宋体"/>
                <w:color w:val="auto"/>
                <w:sz w:val="22"/>
                <w:highlight w:val="none"/>
                <w:lang w:bidi="zh-CN"/>
              </w:rPr>
              <w:t xml:space="preserve">检测报告在</w:t>
            </w:r>
            <w:r>
              <w:rPr>
                <w:rFonts w:hint="eastAsia" w:ascii="宋体" w:hAnsi="宋体" w:eastAsia="宋体" w:cs="宋体"/>
                <w:color w:val="auto"/>
                <w:sz w:val="22"/>
                <w:highlight w:val="none"/>
                <w:lang w:val="zh-CN" w:bidi="zh-CN"/>
              </w:rPr>
              <w:t xml:space="preserve">全国认证认可信息公共服务平台官网（http://cx.cnca.cn/)查询截图（</w:t>
            </w:r>
            <w:r>
              <w:rPr>
                <w:rFonts w:hint="eastAsia" w:ascii="宋体" w:hAnsi="宋体" w:eastAsia="宋体" w:cs="宋体"/>
                <w:color w:val="auto"/>
                <w:sz w:val="22"/>
                <w:highlight w:val="none"/>
                <w:lang w:val="en-US" w:bidi="zh-CN"/>
              </w:rPr>
              <w:t xml:space="preserve">如遇到网页升级,提供检测机构官网截图）</w:t>
            </w:r>
            <w:r>
              <w:rPr>
                <w:rFonts w:hint="eastAsia" w:ascii="宋体" w:hAnsi="宋体" w:eastAsia="宋体" w:cs="宋体"/>
                <w:color w:val="auto"/>
                <w:sz w:val="22"/>
                <w:highlight w:val="none"/>
                <w:lang w:val="zh-CN" w:bidi="zh-CN"/>
              </w:rPr>
              <w:t xml:space="preserve">加盖</w:t>
            </w:r>
            <w:r>
              <w:rPr>
                <w:rFonts w:hint="eastAsia" w:ascii="宋体" w:hAnsi="宋体" w:eastAsia="宋体" w:cs="宋体"/>
                <w:color w:val="auto"/>
                <w:sz w:val="22"/>
                <w:highlight w:val="none"/>
                <w:lang w:val="en-US" w:bidi="zh-CN"/>
              </w:rPr>
              <w:t xml:space="preserve">电子</w:t>
            </w:r>
            <w:r>
              <w:rPr>
                <w:rFonts w:hint="eastAsia" w:ascii="宋体" w:hAnsi="宋体" w:eastAsia="宋体" w:cs="宋体"/>
                <w:color w:val="auto"/>
                <w:sz w:val="22"/>
                <w:highlight w:val="none"/>
                <w:lang w:val="zh-CN" w:bidi="zh-CN"/>
              </w:rPr>
              <w:t xml:space="preserve">公章，</w:t>
            </w:r>
            <w:r>
              <w:rPr>
                <w:rFonts w:hint="eastAsia" w:ascii="宋体" w:hAnsi="宋体" w:eastAsia="宋体" w:cs="宋体"/>
                <w:color w:val="auto"/>
                <w:sz w:val="22"/>
                <w:highlight w:val="none"/>
                <w:lang w:val="en-US" w:bidi="zh-CN"/>
              </w:rPr>
              <w:t xml:space="preserve">制造商授权的投标人需加盖制造商公章方可有效。原件中标后备查。</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④检测报告中必须包含所列的所有检测项目，否则不得分。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w:t>
            </w:r>
            <w:r>
              <w:rPr>
                <w:rFonts w:hint="eastAsia" w:ascii="宋体" w:hAnsi="宋体" w:cs="宋体"/>
                <w:color w:val="auto"/>
                <w:sz w:val="22"/>
                <w:highlight w:val="none"/>
                <w:lang w:val="en-US" w:bidi="zh-CN"/>
              </w:rPr>
              <w:t xml:space="preserve">4</w:t>
            </w:r>
            <w:r>
              <w:rPr>
                <w:rFonts w:hint="eastAsia" w:ascii="宋体" w:hAnsi="宋体" w:eastAsia="宋体" w:cs="宋体"/>
                <w:color w:val="auto"/>
                <w:sz w:val="22"/>
                <w:highlight w:val="none"/>
                <w:lang w:val="en-US" w:bidi="zh-CN"/>
              </w:rPr>
              <w:t xml:space="preserve">.0</w:t>
            </w:r>
            <w:r/>
          </w:p>
        </w:tc>
      </w:tr>
      <w:tr>
        <w:trPr>
          <w:jc w:val="center"/>
          <w:trHeight w:val="168"/>
        </w:trPr>
        <w:tc>
          <w:tcPr>
            <w:gridSpan w:val="3"/>
            <w:tcW w:w="9067" w:type="dxa"/>
            <w:vAlign w:val="center"/>
            <w:textDirection w:val="lrTb"/>
            <w:noWrap w:val="false"/>
          </w:tcPr>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原材料检测评价</w:t>
            </w:r>
            <w:r/>
          </w:p>
        </w:tc>
        <w:tc>
          <w:tcPr>
            <w:tcW w:w="853"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11.0</w:t>
            </w:r>
            <w:r/>
          </w:p>
        </w:tc>
      </w:tr>
      <w:tr>
        <w:trPr>
          <w:jc w:val="center"/>
          <w:trHeight w:val="2616"/>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2.1</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zh-CN" w:bidi="zh-CN"/>
              </w:rPr>
              <w:t xml:space="preserve">人造石</w:t>
            </w:r>
            <w:r/>
          </w:p>
        </w:tc>
        <w:tc>
          <w:tcPr>
            <w:tcW w:w="7384" w:type="dxa"/>
            <w:vAlign w:val="center"/>
            <w:textDirection w:val="lrTb"/>
            <w:noWrap w:val="false"/>
          </w:tcPr>
          <w:p>
            <w:pPr>
              <w:rPr>
                <w:rFonts w:hint="eastAsia" w:ascii="宋体" w:hAnsi="宋体" w:eastAsia="宋体" w:cs="宋体"/>
                <w:color w:val="auto"/>
                <w:highlight w:val="none"/>
                <w:lang w:val="zh-CN"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auto"/>
                <w:highlight w:val="none"/>
                <w:lang w:val="zh-CN" w:eastAsia="zh-CN"/>
              </w:rPr>
              <w:t xml:space="preserve">①依据符合JC/T 908-2013《人造石》标准；实体面材PMMA类:A级不小于70；荷载变形和冲击韧性实体面材冲击韧性不小于5.0kJ/m²，耐污染性耐污值总和：≤50；最大污迹深度：≤0.10mm;</w:t>
            </w:r>
            <w:r/>
          </w:p>
          <w:p>
            <w:pPr>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②</w:t>
            </w:r>
            <w:r>
              <w:rPr>
                <w:rFonts w:hint="eastAsia" w:ascii="宋体" w:hAnsi="宋体" w:eastAsia="宋体" w:cs="宋体"/>
                <w:color w:val="auto"/>
                <w:highlight w:val="none"/>
                <w:lang w:val="en-US" w:eastAsia="zh-CN"/>
              </w:rPr>
              <w:t xml:space="preserve">依据</w:t>
            </w:r>
            <w:r>
              <w:rPr>
                <w:rFonts w:hint="eastAsia" w:ascii="宋体" w:hAnsi="宋体" w:eastAsia="宋体" w:cs="宋体"/>
                <w:color w:val="auto"/>
                <w:highlight w:val="none"/>
                <w:lang w:val="zh-CN" w:eastAsia="zh-CN"/>
              </w:rPr>
              <w:t xml:space="preserve">符合GB/T 24128-2018《塑料料防剂的防霉效果评估》</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lang w:val="zh-CN" w:eastAsia="zh-CN"/>
              </w:rPr>
              <w:t xml:space="preserve">；试验霉种至少包含：桔青霉等5种及以上霉类，长霉级别不低于 0 级</w:t>
            </w:r>
            <w:r>
              <w:rPr>
                <w:rFonts w:hint="eastAsia" w:ascii="宋体" w:hAnsi="宋体" w:cs="宋体"/>
                <w:color w:val="auto"/>
                <w:highlight w:val="none"/>
                <w:lang w:val="zh-CN" w:eastAsia="zh-CN"/>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③依据符合GB/T 31402-2023《塑料和其他无孔材料表面抗菌活性的测定》标准，通过抗细菌性能检测至少包含大肠埃希氏菌（大肠杆菌）等任意5种菌类，抗细菌率或抑菌率均≥99%；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2</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电解钢板</w:t>
            </w:r>
            <w:r/>
          </w:p>
        </w:tc>
        <w:tc>
          <w:tcPr>
            <w:tcW w:w="738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auto"/>
                <w:highlight w:val="none"/>
                <w:lang w:val="en-US" w:eastAsia="zh-CN"/>
              </w:rPr>
              <w:t xml:space="preserve">①依据符合</w:t>
            </w:r>
            <w:r>
              <w:rPr>
                <w:rFonts w:hint="eastAsia" w:ascii="宋体" w:hAnsi="宋体" w:eastAsia="宋体" w:cs="宋体"/>
                <w:color w:val="auto"/>
                <w:highlight w:val="none"/>
              </w:rPr>
              <w:t xml:space="preserve">GB/T232-2024《金属材料 弯曲试验方法》</w:t>
            </w:r>
            <w:r>
              <w:rPr>
                <w:rFonts w:hint="eastAsia" w:ascii="宋体" w:hAnsi="宋体" w:cs="宋体"/>
                <w:color w:val="auto"/>
                <w:highlight w:val="none"/>
                <w:lang w:val="en-US" w:eastAsia="zh-CN"/>
              </w:rPr>
              <w:t xml:space="preserve">标准</w:t>
            </w:r>
            <w:r>
              <w:rPr>
                <w:rFonts w:hint="eastAsia" w:ascii="宋体" w:hAnsi="宋体" w:eastAsia="宋体" w:cs="宋体"/>
                <w:color w:val="auto"/>
                <w:highlight w:val="none"/>
              </w:rPr>
              <w:t xml:space="preserve">：通过弯曲试验后试样弯曲外表面无可见裂纹。</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rPr>
              <w:t xml:space="preserve">喷粉涂层按GB/T 4893.1-2021《家具表面漆膜理化性能试验 第1部分：耐冷液测定法》进行耐冷液测试</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③依据符合</w:t>
            </w:r>
            <w:r>
              <w:rPr>
                <w:rFonts w:hint="eastAsia" w:ascii="宋体" w:hAnsi="宋体" w:eastAsia="宋体" w:cs="宋体"/>
                <w:color w:val="auto"/>
                <w:highlight w:val="none"/>
              </w:rPr>
              <w:t xml:space="preserve">GB/T13448-2019《彩色涂层钢板及钢带试验方法》要求：反向冲击试样3次反向冲击均无脱落或开裂；耐酸碱试验结果：试样无失光、无变色、无起泡/脱落现象；</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④依据符合GB/T228.1-2021《金属材料 拉伸试验 第1部分:室温试验方法》的要求：抗拉强度≥400MPa、规定塑性延伸强度≥200MPa;断后伸长率≥50%；</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⑤依据符合GB/T 2423.18-2021《环境试验 第 2 部分：试验方法 试验 Kb：盐雾，交变（氯化钠溶液）》的要求，交变盐雾试验≥72h：试验后样品无锈蚀、鼓泡；</w:t>
            </w:r>
            <w:r/>
          </w:p>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3</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粉末</w:t>
            </w:r>
            <w:r/>
          </w:p>
        </w:tc>
        <w:tc>
          <w:tcPr>
            <w:tcW w:w="7384"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auto"/>
                <w:highlight w:val="none"/>
                <w:lang w:val="en-US" w:eastAsia="zh-CN"/>
              </w:rPr>
              <w:t xml:space="preserve">①依据符合HG/T 2006-2022《热固性和热塑性粉末涂料》标准；铅笔硬度（内聚破坏中擦伤）≥3H；弯曲试验≤2，涂层无开裂或从底材上剥落；耐湿性（室内用）≥120h无异常，耐沸水性（≥48h）无异常；耐酸性[3%（质量分数）盐酸溶液]≥120h无异常；耐碱性[5%（质量分数）氢氧化钠溶液]室内用≥120h无异常；通过耐人工气候老化性≥120h检测，无粉化、起泡、开裂、剥落等异常现象，杯突试验≥4mm；干附着力≤1级、沸水附着力≤1级、湿附着力≤1级；</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②</w:t>
            </w:r>
            <w:r>
              <w:rPr>
                <w:rFonts w:hint="eastAsia" w:ascii="宋体" w:hAnsi="宋体" w:eastAsia="宋体" w:cs="宋体"/>
                <w:b w:val="0"/>
                <w:bCs w:val="0"/>
                <w:color w:val="auto"/>
                <w:sz w:val="21"/>
                <w:szCs w:val="21"/>
                <w:highlight w:val="none"/>
                <w:lang w:val="en-US" w:eastAsia="zh-CN"/>
              </w:rPr>
              <w:t xml:space="preserve">依据符合GB/T 35602-2017《绿色产品评价 涂料》标准；重金属元素含量：铅（Pb）≤15mg/kg；镉（Cd）≤15mg/kg；六价铬（Cr</w:t>
            </w:r>
            <w:r>
              <w:rPr>
                <w:rFonts w:hint="eastAsia" w:ascii="宋体" w:hAnsi="宋体" w:eastAsia="宋体" w:cs="宋体"/>
                <w:b w:val="0"/>
                <w:bCs w:val="0"/>
                <w:color w:val="auto"/>
                <w:sz w:val="21"/>
                <w:szCs w:val="21"/>
                <w:highlight w:val="none"/>
                <w:vertAlign w:val="superscript"/>
                <w:lang w:val="en-US" w:eastAsia="zh-CN"/>
              </w:rPr>
              <w:t xml:space="preserve">6+</w:t>
            </w:r>
            <w:r>
              <w:rPr>
                <w:rFonts w:hint="eastAsia" w:ascii="宋体" w:hAnsi="宋体" w:eastAsia="宋体" w:cs="宋体"/>
                <w:b w:val="0"/>
                <w:bCs w:val="0"/>
                <w:color w:val="auto"/>
                <w:sz w:val="21"/>
                <w:szCs w:val="21"/>
                <w:highlight w:val="none"/>
                <w:lang w:val="en-US" w:eastAsia="zh-CN"/>
              </w:rPr>
              <w:t xml:space="preserve">）≤15mg/kg；汞（Hg）≤15mg/kg；砷（As）≤15mg/kg；钡（Ba）≤15mg/kg；硒（Se）≤15mg/kg；锑（Sb）≤15mg/kg；钴（Co）≤15mg/kg；</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numPr>
                <w:ilvl w:val="0"/>
                <w:numId w:val="0"/>
              </w:numPr>
              <w:jc w:val="left"/>
              <w:keepLines w:val="0"/>
              <w:keepNext w:val="0"/>
              <w:pageBreakBefore w:val="0"/>
              <w:spacing w:line="360" w:lineRule="auto"/>
              <w:widowControl/>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4</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bCs/>
                <w:color w:val="auto"/>
                <w:sz w:val="21"/>
                <w:szCs w:val="21"/>
                <w:highlight w:val="none"/>
                <w:lang w:val="en-US" w:bidi="zh-CN"/>
              </w:rPr>
              <w:t xml:space="preserve">缓冲门铰（铰链）</w:t>
            </w:r>
            <w:r/>
          </w:p>
        </w:tc>
        <w:tc>
          <w:tcPr>
            <w:tcW w:w="7384"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auto"/>
                <w:highlight w:val="none"/>
                <w:lang w:val="en-US" w:eastAsia="zh-CN"/>
              </w:rPr>
              <w:t xml:space="preserve">①依据符合QB/T2189-2013《家具五金杯状暗链》标准，通过功能垂直静载荷检测、水平静载荷检测、下沉量不应大于2.0mm;</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②依据符合QB/T 3832-1999《轻工产品金属镀层腐蚀试验结果的评价》、QB/T 3827-1999《轻工产品金属镀层和化学处理层的耐腐蚀试验方法乙酸盐雾试验(ASS)法》、GB/T6461-2002《金属基体上金属和其他无机覆盖层经腐蚀试验后的试样和试件的评级》标准；乙酸盐雾试验≥100h;镀（涂）层对基体的保护等级≥9级；镀（涂）层本身耐腐蚀等级≥9级；外观评级≥9级；保护等级≥9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5</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bCs/>
                <w:color w:val="auto"/>
                <w:sz w:val="21"/>
                <w:szCs w:val="21"/>
                <w:highlight w:val="none"/>
                <w:lang w:val="en-US" w:bidi="zh-CN"/>
              </w:rPr>
              <w:t xml:space="preserve">导轨（路轨）</w:t>
            </w:r>
            <w:r/>
          </w:p>
        </w:tc>
        <w:tc>
          <w:tcPr>
            <w:tcW w:w="7384"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auto"/>
                <w:highlight w:val="none"/>
                <w:lang w:val="en-US" w:eastAsia="zh-CN"/>
              </w:rPr>
              <w:t xml:space="preserve">①依据符合QB/T 2454-2013《家具五金 抽屉导轨》标准;通过功能垂直向下静载荷、水平侧向静载荷、下沉量不超过2%；</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②依据符合QB/T 3832-1999《轻工产品金属镀层腐蚀试验结果的评价》、QB/T 3827-1999《轻工产品金属镀层和化学处理层的耐腐蚀试验方法乙酸盐雾试验(ASS)法》、GB/T6461-2002《金属基体上金属和其他无机覆盖层经腐蚀试验后的试样和试件的评级》标准；乙酸盐雾试验≥100h;镀（涂）层对基体的保护等级≥9级；镀（涂）层本身耐腐蚀等级≥9级；外观评级≥9级；保护等级≥9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91"/>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6</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bCs/>
                <w:color w:val="auto"/>
                <w:sz w:val="21"/>
                <w:szCs w:val="21"/>
                <w:highlight w:val="none"/>
                <w:lang w:val="en-US" w:bidi="zh-CN"/>
              </w:rPr>
            </w:pPr>
            <w:r>
              <w:rPr>
                <w:rFonts w:hint="eastAsia" w:ascii="宋体" w:hAnsi="宋体" w:eastAsia="宋体" w:cs="宋体"/>
                <w:b/>
                <w:color w:val="auto"/>
                <w:sz w:val="21"/>
                <w:szCs w:val="21"/>
                <w:highlight w:val="none"/>
                <w:lang w:val="en-US" w:bidi="zh-CN"/>
              </w:rPr>
              <w:t xml:space="preserve">理化板</w:t>
            </w:r>
            <w:r/>
          </w:p>
        </w:tc>
        <w:tc>
          <w:tcPr>
            <w:tcW w:w="7384"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en-US" w:eastAsia="zh-CN"/>
              </w:rPr>
              <w:t xml:space="preserve">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17657-2022《人造板及饰面人造板理化性能试验方法》标准；耐化学性能达到5级；表面耐干热达到5级；耐化学性能污染物：硫酸（1.77%）；硝酸（65%）；氢氟酸（40%）；盐酸（37%）；磷酸（85%）；乙酸（99%）；丙酮（16h）；氢氧化钠（25%）；二氯甲烷；乙醇；四氯化碳；硼酸；高氯酸（90%）；铬酸（60%）；柠檬酸（10%）；氨水（10%）；氨基磺酸（5%）；碘酒；漂白剂；碱性金属清洗剂；红药水；咖啡；商用消毒剂：碱溶液清洗剂（10%）：指甲油清洗剂；盐酸清洗剂等至少20种化学试剂检测</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lang w:val="en-US" w:eastAsia="zh-CN"/>
              </w:rPr>
              <w:t xml:space="preserve">24h吸水率≤0.35%；表面耐磨达到1400r;表面耐划痕达到5级； </w:t>
            </w:r>
            <w:r/>
          </w:p>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en-US" w:eastAsia="zh-CN"/>
              </w:rPr>
              <w:t xml:space="preserve">依据符合GB/T</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3398.2-2008《塑料 硬度测定 第2部分：洛氏硬度》标准；洛氏硬度≥110HR；</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numPr>
                <w:ilvl w:val="0"/>
                <w:numId w:val="0"/>
              </w:numPr>
              <w:ind w:left="425" w:hanging="425"/>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7</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bCs/>
                <w:color w:val="auto"/>
                <w:sz w:val="21"/>
                <w:szCs w:val="21"/>
                <w:highlight w:val="none"/>
                <w:lang w:val="en-US" w:bidi="zh-CN"/>
              </w:rPr>
              <w:t xml:space="preserve">刨花板</w:t>
            </w:r>
            <w:r/>
          </w:p>
        </w:tc>
        <w:tc>
          <w:tcPr>
            <w:tcW w:w="7384"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b w:val="0"/>
                <w:bCs w:val="0"/>
                <w:color w:val="auto"/>
                <w:sz w:val="21"/>
                <w:szCs w:val="21"/>
                <w:highlight w:val="none"/>
                <w:lang w:val="en-US" w:eastAsia="zh-CN" w:bidi="ar-SA"/>
              </w:rPr>
              <w:t xml:space="preserve">①</w:t>
            </w:r>
            <w:r>
              <w:rPr>
                <w:rFonts w:hint="eastAsia" w:ascii="宋体" w:hAnsi="宋体" w:eastAsia="宋体" w:cs="宋体"/>
                <w:color w:val="auto"/>
                <w:highlight w:val="none"/>
                <w:lang w:val="en-US" w:eastAsia="zh-CN"/>
              </w:rPr>
              <w:t xml:space="preserve">依据符合</w:t>
            </w:r>
            <w:r>
              <w:rPr>
                <w:rFonts w:hint="eastAsia" w:ascii="宋体" w:hAnsi="宋体" w:eastAsia="宋体" w:cs="宋体"/>
                <w:b w:val="0"/>
                <w:bCs w:val="0"/>
                <w:color w:val="auto"/>
                <w:sz w:val="21"/>
                <w:szCs w:val="21"/>
                <w:highlight w:val="none"/>
                <w:lang w:val="en-US" w:eastAsia="zh-CN"/>
              </w:rPr>
              <w:t xml:space="preserve">GB/T 4897-2015《刨花板》标准</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含水率3-13%；静曲强度≥15MPa；弹性模量≥2000MPa；甲醛释放量≤0.015mg/m³；</w:t>
            </w:r>
            <w:r/>
          </w:p>
          <w:p>
            <w:pP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QB/T4371-2012《家具抗菌性能的评价》</w:t>
            </w:r>
            <w:r>
              <w:rPr>
                <w:rFonts w:hint="eastAsia" w:ascii="宋体" w:hAnsi="宋体" w:eastAsia="宋体" w:cs="宋体"/>
                <w:color w:val="auto"/>
                <w:highlight w:val="none"/>
                <w:lang w:val="en-US" w:eastAsia="zh-CN"/>
              </w:rPr>
              <w:t xml:space="preserve">标准；通过抗细菌性能检测至少包含大肠埃希氏菌（大肠杆菌）等任意5种菌类，抗细菌率或抑菌率均≥99%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8</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白蜡木</w:t>
            </w:r>
            <w:r/>
          </w:p>
        </w:tc>
        <w:tc>
          <w:tcPr>
            <w:tcW w:w="7384" w:type="dxa"/>
            <w:vAlign w:val="center"/>
            <w:textDirection w:val="lrTb"/>
            <w:noWrap w:val="false"/>
          </w:tcPr>
          <w:p>
            <w:pPr>
              <w:numPr>
                <w:ilvl w:val="0"/>
                <w:numId w:val="0"/>
              </w:numPr>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rPr>
              <w:t xml:space="preserve">检测项目包含：①依据符合GB/T 1927.4-2021《无疵小试样木材物理力学性质试验方法 第4部分：含水率测定》标准，通过含水率检测；</w:t>
            </w:r>
            <w:r>
              <w:rPr>
                <w:rFonts w:hint="eastAsia" w:ascii="宋体" w:hAnsi="宋体" w:eastAsia="宋体" w:cs="宋体"/>
                <w:b w:val="0"/>
                <w:bCs w:val="0"/>
                <w:color w:val="auto"/>
                <w:szCs w:val="24"/>
                <w:highlight w:val="none"/>
              </w:rPr>
              <w:br/>
            </w:r>
            <w:r>
              <w:rPr>
                <w:rFonts w:hint="eastAsia" w:ascii="宋体" w:hAnsi="宋体" w:eastAsia="宋体" w:cs="宋体"/>
                <w:b w:val="0"/>
                <w:bCs w:val="0"/>
                <w:color w:val="auto"/>
                <w:szCs w:val="24"/>
                <w:highlight w:val="none"/>
              </w:rPr>
              <w:t xml:space="preserve">②依据符合GB/T 1927.19-2021《无疵小试样木材物理力学性质试验方法 第19部分：硬度测定》标准，通过硬度检测；</w:t>
            </w:r>
            <w:r>
              <w:rPr>
                <w:rFonts w:hint="eastAsia" w:ascii="宋体" w:hAnsi="宋体" w:eastAsia="宋体" w:cs="宋体"/>
                <w:b w:val="0"/>
                <w:bCs w:val="0"/>
                <w:color w:val="auto"/>
                <w:szCs w:val="24"/>
                <w:highlight w:val="none"/>
              </w:rPr>
              <w:br/>
            </w:r>
            <w:r>
              <w:rPr>
                <w:rFonts w:hint="eastAsia" w:ascii="宋体" w:hAnsi="宋体" w:eastAsia="宋体" w:cs="宋体"/>
                <w:b w:val="0"/>
                <w:bCs w:val="0"/>
                <w:color w:val="auto"/>
                <w:szCs w:val="24"/>
                <w:highlight w:val="none"/>
              </w:rPr>
              <w:t xml:space="preserve">③依据符合GB/T 1927.17-2021《无疵小试样木材物理力学性质试验方法 第17部分:冲击韧性测定》标准，通过冲击韧性测定的检测；</w:t>
            </w:r>
            <w:r>
              <w:rPr>
                <w:rFonts w:hint="eastAsia" w:ascii="宋体" w:hAnsi="宋体" w:eastAsia="宋体" w:cs="宋体"/>
                <w:b w:val="0"/>
                <w:bCs w:val="0"/>
                <w:color w:val="auto"/>
                <w:szCs w:val="24"/>
                <w:highlight w:val="none"/>
              </w:rPr>
              <w:br/>
            </w:r>
            <w:r>
              <w:rPr>
                <w:rFonts w:hint="eastAsia" w:ascii="宋体" w:hAnsi="宋体" w:eastAsia="宋体" w:cs="宋体"/>
                <w:b w:val="0"/>
                <w:bCs w:val="0"/>
                <w:color w:val="auto"/>
                <w:szCs w:val="24"/>
                <w:highlight w:val="none"/>
              </w:rPr>
              <w:t xml:space="preserve">④依据符合GB/T 1927.21-2021《无疵小试样木材物理力学性质试验方法 第21部分:握钉力测定》标准，通过握钉力测定的检测；</w:t>
            </w:r>
            <w:r>
              <w:rPr>
                <w:rFonts w:hint="eastAsia" w:ascii="宋体" w:hAnsi="宋体" w:eastAsia="宋体" w:cs="宋体"/>
                <w:b w:val="0"/>
                <w:bCs w:val="0"/>
                <w:color w:val="auto"/>
                <w:szCs w:val="24"/>
                <w:highlight w:val="none"/>
              </w:rPr>
              <w:br/>
            </w:r>
            <w:r>
              <w:rPr>
                <w:rFonts w:hint="eastAsia" w:ascii="宋体" w:hAnsi="宋体" w:eastAsia="宋体" w:cs="宋体"/>
                <w:b w:val="0"/>
                <w:bCs w:val="0"/>
                <w:color w:val="auto"/>
                <w:szCs w:val="24"/>
                <w:highlight w:val="none"/>
              </w:rPr>
              <w:t xml:space="preserve">⑤依据符合GB/T 16259-2008《建筑材料人工气候加速老化试验方法》标准:人工气候加速老化≥240h；色差△E≤2.0;</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numPr>
                <w:ilvl w:val="0"/>
                <w:numId w:val="0"/>
              </w:num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9</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皮革</w:t>
            </w:r>
            <w:r/>
          </w:p>
        </w:tc>
        <w:tc>
          <w:tcPr>
            <w:tcW w:w="7384"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auto"/>
                <w:highlight w:val="none"/>
                <w:lang w:val="en-US" w:eastAsia="zh-CN"/>
              </w:rPr>
              <w:t xml:space="preserve">①依据符合GB/T 16799-2018《家具用皮革》标准，通过检测：摩擦色牢度（干擦（500次）、湿擦（250次）、碱性汗液（80次））及耐光性均≥5级；涂层粘着牢度≥10N/10mm；通过耐折牢度（50000次）、耐磨性（CS-10，500g，500r）及感官要求检验检测项目</w:t>
            </w:r>
            <w:r>
              <w:rPr>
                <w:rFonts w:hint="eastAsia" w:ascii="宋体" w:hAnsi="宋体" w:cs="宋体"/>
                <w:color w:val="auto"/>
                <w:highlight w:val="none"/>
                <w:lang w:val="en-US" w:eastAsia="zh-CN"/>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依据符合QB/T 4371-2012《家具抗菌性能的评价》标准，通过抗菌性能检测；</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依据符合QB/T 4199-2011《皮革 防霉性能测试方法》标准，通过皮革防霉性能检测；</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2.</w:t>
            </w:r>
            <w:r>
              <w:rPr>
                <w:rFonts w:hint="eastAsia" w:ascii="宋体" w:hAnsi="宋体" w:eastAsia="宋体" w:cs="宋体"/>
                <w:color w:val="auto"/>
                <w:sz w:val="22"/>
                <w:szCs w:val="22"/>
                <w:highlight w:val="none"/>
                <w:lang w:val="en-US" w:eastAsia="zh-CN" w:bidi="zh-CN"/>
              </w:rPr>
              <w:t xml:space="preserve">10</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b/>
                <w:color w:val="auto"/>
                <w:sz w:val="21"/>
                <w:szCs w:val="21"/>
                <w:highlight w:val="none"/>
                <w:lang w:val="en-US" w:bidi="zh-CN"/>
              </w:rPr>
              <w:t xml:space="preserve">海绵</w:t>
            </w:r>
            <w:r/>
          </w:p>
        </w:tc>
        <w:tc>
          <w:tcPr>
            <w:tcW w:w="7384" w:type="dxa"/>
            <w:vAlign w:val="center"/>
            <w:textDirection w:val="lrTb"/>
            <w:noWrap w:val="false"/>
          </w:tcPr>
          <w:p>
            <w:pPr>
              <w:numPr>
                <w:ilvl w:val="0"/>
                <w:numId w:val="0"/>
              </w:numPr>
              <w:rPr>
                <w:rFonts w:hint="eastAsia" w:ascii="宋体" w:hAnsi="宋体" w:eastAsia="宋体" w:cs="宋体"/>
                <w:color w:val="auto"/>
                <w:highlight w:val="none"/>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6344-2008</w:t>
            </w:r>
            <w:r>
              <w:rPr>
                <w:rFonts w:hint="eastAsia" w:ascii="宋体" w:hAnsi="宋体" w:eastAsia="宋体" w:cs="宋体"/>
                <w:color w:val="auto"/>
                <w:highlight w:val="none"/>
                <w:lang w:eastAsia="zh-CN"/>
              </w:rPr>
              <w:t xml:space="preserve">《软质泡沫聚合材料 拉伸强度和断裂伸长率的测定》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拉伸强度≥100kPa；断裂伸长率≥125%；撕裂强度≥5N/cm；干热老化后拉伸强度≥110kPa；湿热老化后拉伸强度≥120kPa；</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6343-2009</w:t>
            </w:r>
            <w:r>
              <w:rPr>
                <w:rFonts w:hint="eastAsia" w:ascii="宋体" w:hAnsi="宋体" w:eastAsia="宋体" w:cs="宋体"/>
                <w:color w:val="auto"/>
                <w:highlight w:val="none"/>
                <w:lang w:eastAsia="zh-CN"/>
              </w:rPr>
              <w:t xml:space="preserve">《泡沫塑料及橡胶 表观密度的测定》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表观密度≥50kg/</w:t>
            </w:r>
            <w:r>
              <w:rPr>
                <w:rFonts w:hint="eastAsia" w:ascii="宋体" w:hAnsi="宋体" w:eastAsia="宋体" w:cs="宋体"/>
                <w:color w:val="auto"/>
                <w:highlight w:val="none"/>
                <w:lang w:val="en-US" w:eastAsia="zh-CN"/>
              </w:rPr>
              <w:t xml:space="preserve">m³</w:t>
            </w:r>
            <w:r>
              <w:rPr>
                <w:rFonts w:hint="eastAsia" w:ascii="宋体" w:hAnsi="宋体" w:eastAsia="宋体" w:cs="宋体"/>
                <w:color w:val="auto"/>
                <w:highlight w:val="none"/>
              </w:rPr>
              <w:t xml:space="preserve">；</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QB/T2819-2006《软质泡沫材料长期疲劳性能的测定》</w:t>
            </w:r>
            <w:r>
              <w:rPr>
                <w:rFonts w:hint="eastAsia" w:ascii="宋体" w:hAnsi="宋体" w:eastAsia="宋体" w:cs="宋体"/>
                <w:color w:val="auto"/>
                <w:highlight w:val="none"/>
                <w:lang w:val="en-US" w:eastAsia="zh-CN"/>
              </w:rPr>
              <w:t xml:space="preserve">标准，通过恒定负荷反复压陷疲劳后的40%压陷硬度损失值(P)/%v类12≤P&lt;22；</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GB/T 10807-2006</w:t>
            </w:r>
            <w:r>
              <w:rPr>
                <w:rFonts w:hint="eastAsia" w:ascii="宋体" w:hAnsi="宋体" w:eastAsia="宋体" w:cs="宋体"/>
                <w:color w:val="auto"/>
                <w:highlight w:val="none"/>
                <w:lang w:eastAsia="zh-CN"/>
              </w:rPr>
              <w:t xml:space="preserve">《软质泡沫聚合材料 硬度的测定（压陷法）》</w:t>
            </w:r>
            <w:r>
              <w:rPr>
                <w:rFonts w:hint="eastAsia" w:ascii="宋体" w:hAnsi="宋体" w:eastAsia="宋体" w:cs="宋体"/>
                <w:color w:val="auto"/>
                <w:highlight w:val="none"/>
                <w:lang w:val="en-US" w:eastAsia="zh-CN"/>
              </w:rPr>
              <w:t xml:space="preserve">标准，40%压陷硬度偏差110≤IFD&lt;145；65%/25%压陷比≥1.8；75%压缩永久变形/%V类≤6</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⑤</w:t>
            </w:r>
            <w:r>
              <w:rPr>
                <w:rFonts w:hint="eastAsia" w:ascii="宋体" w:hAnsi="宋体" w:eastAsia="宋体" w:cs="宋体"/>
                <w:color w:val="auto"/>
                <w:highlight w:val="none"/>
                <w:lang w:val="en-US" w:eastAsia="zh-CN"/>
              </w:rPr>
              <w:t xml:space="preserve">依据符合GB/T6670-2008《软质泡沫聚合材料落球法回弹性能》标准，回弹率≥45%；</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68"/>
              <w:jc w:val="left"/>
              <w:keepLines w:val="0"/>
              <w:keepNext w:val="0"/>
              <w:pageBreakBefore w:val="0"/>
              <w:spacing w:line="320" w:lineRule="exact"/>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ind w:left="425" w:hanging="425"/>
              <w:jc w:val="center"/>
              <w:rPr>
                <w:rFonts w:hint="eastAsia" w:ascii="宋体" w:hAnsi="宋体" w:eastAsia="宋体" w:cs="宋体"/>
                <w:color w:val="auto"/>
                <w:sz w:val="22"/>
                <w:highlight w:val="none"/>
                <w:lang w:val="en-US" w:bidi="zh-CN"/>
              </w:rPr>
            </w:pPr>
            <w:r>
              <w:rPr>
                <w:rFonts w:hint="default" w:ascii="宋体" w:hAnsi="宋体" w:eastAsia="宋体" w:cs="宋体"/>
                <w:color w:val="auto"/>
                <w:sz w:val="22"/>
                <w:szCs w:val="22"/>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jc w:val="center"/>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2.11</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t xml:space="preserve">304不锈钢</w:t>
            </w:r>
            <w:r/>
          </w:p>
        </w:tc>
        <w:tc>
          <w:tcPr>
            <w:tcW w:w="7384" w:type="dxa"/>
            <w:vAlign w:val="center"/>
            <w:textDirection w:val="lrTb"/>
            <w:noWrap w:val="false"/>
          </w:tcPr>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Cs w:val="24"/>
                <w:highlight w:val="none"/>
              </w:rPr>
              <w:t xml:space="preserve">检测项目包含：</w:t>
            </w:r>
            <w:r>
              <w:rPr>
                <w:rFonts w:hint="eastAsia" w:ascii="宋体" w:hAnsi="宋体" w:eastAsia="宋体" w:cs="宋体"/>
                <w:b w:val="0"/>
                <w:bCs w:val="0"/>
                <w:color w:val="auto"/>
                <w:sz w:val="21"/>
                <w:szCs w:val="22"/>
                <w:highlight w:val="none"/>
                <w:lang w:val="en-US" w:eastAsia="zh-CN" w:bidi="ar-SA"/>
              </w:rPr>
              <w:t xml:space="preserve">①</w:t>
            </w:r>
            <w:r>
              <w:rPr>
                <w:rFonts w:hint="eastAsia" w:ascii="宋体" w:hAnsi="宋体" w:eastAsia="宋体" w:cs="宋体"/>
                <w:b w:val="0"/>
                <w:bCs w:val="0"/>
                <w:color w:val="auto"/>
                <w:highlight w:val="none"/>
                <w:lang w:val="en-US" w:eastAsia="zh-CN"/>
              </w:rPr>
              <w:t xml:space="preserve">依据符合GB/T11170-2008《不锈钢多元素含量的测定火花放电原子发射光谱法（常规法）》标准，化学成分C（碳）≤0.05%、Si（硅）≤0.35%、Mn（锰）≤0.10%、P（磷）≤0.040%、S（硫）≤0.020%、Cr（铬）≤18.50%、Ni（镍）≤8.50%；</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依据符合QB/T4371-2012《家具抗菌性能的评价》标准，通过抗细菌性能检测至少包含大肠埃希氏菌（大肠杆菌）、肺炎克雷伯氏菌等任意5种菌类，抗细菌率或抑菌率均≥99%；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依据符合GB/T 228.1-2021《金属材料 拉伸试验 第1部分：室温试验方法》标准；规定塑性延伸强度≥205MPa;抗拉强度≥515MPa;断后伸长率≥40%；</w:t>
            </w:r>
            <w:r/>
          </w:p>
          <w:p>
            <w:pPr>
              <w:pStyle w:val="696"/>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val="0"/>
                <w:bCs w:val="0"/>
                <w:color w:val="auto"/>
                <w:sz w:val="22"/>
                <w:highlight w:val="none"/>
                <w:lang w:val="zh-CN" w:bidi="zh-CN"/>
              </w:rPr>
            </w:pPr>
            <w:r>
              <w:rPr>
                <w:rFonts w:hint="eastAsia" w:ascii="宋体" w:hAnsi="宋体" w:eastAsia="宋体" w:cs="宋体"/>
                <w:color w:val="auto"/>
                <w:sz w:val="22"/>
                <w:highlight w:val="none"/>
                <w:lang w:val="zh-CN" w:bidi="zh-CN"/>
              </w:rPr>
              <w:t xml:space="preserve">全部符合得</w:t>
            </w:r>
            <w:r>
              <w:rPr>
                <w:rFonts w:ascii="宋体" w:hAnsi="宋体" w:eastAsia="宋体" w:cs="宋体"/>
                <w:color w:val="auto"/>
                <w:sz w:val="22"/>
                <w:highlight w:val="none"/>
                <w:lang w:val="zh-CN" w:bidi="zh-CN"/>
              </w:rPr>
              <w:t xml:space="preserve"> 1 </w:t>
            </w:r>
            <w:r>
              <w:rPr>
                <w:rFonts w:hint="eastAsia" w:ascii="宋体" w:hAnsi="宋体" w:eastAsia="宋体" w:cs="宋体"/>
                <w:color w:val="auto"/>
                <w:sz w:val="22"/>
                <w:highlight w:val="none"/>
                <w:lang w:val="zh-CN" w:bidi="zh-CN"/>
              </w:rPr>
              <w:t xml:space="preserve">分，缺项不得分。</w:t>
            </w:r>
            <w:r/>
          </w:p>
        </w:tc>
        <w:tc>
          <w:tcPr>
            <w:tcW w:w="853" w:type="dxa"/>
            <w:vAlign w:val="center"/>
            <w:textDirection w:val="lrTb"/>
            <w:noWrap w:val="false"/>
          </w:tcPr>
          <w:p>
            <w:pPr>
              <w:numPr>
                <w:ilvl w:val="0"/>
                <w:numId w:val="0"/>
              </w:numPr>
              <w:jc w:val="center"/>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1.0</w:t>
            </w:r>
            <w:r/>
          </w:p>
        </w:tc>
      </w:tr>
      <w:tr>
        <w:trPr>
          <w:jc w:val="center"/>
          <w:trHeight w:val="1096"/>
        </w:trPr>
        <w:tc>
          <w:tcPr>
            <w:gridSpan w:val="4"/>
            <w:tcW w:w="9920"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注</w:t>
            </w:r>
            <w:r>
              <w:rPr>
                <w:rFonts w:hint="eastAsia" w:ascii="宋体" w:hAnsi="宋体" w:eastAsia="宋体" w:cs="宋体"/>
                <w:color w:val="auto"/>
                <w:sz w:val="21"/>
                <w:szCs w:val="21"/>
                <w:highlight w:val="none"/>
                <w:lang w:val="zh-CN" w:bidi="zh-CN"/>
              </w:rPr>
              <w:t xml:space="preserve">（</w:t>
            </w:r>
            <w:r>
              <w:rPr>
                <w:rFonts w:ascii="Segoe UI" w:hAnsi="Segoe UI" w:eastAsia="Segoe UI" w:cs="Segoe UI"/>
                <w:i w:val="0"/>
                <w:iCs w:val="0"/>
                <w:caps w:val="0"/>
                <w:color w:val="auto"/>
                <w:spacing w:val="0"/>
                <w:sz w:val="21"/>
                <w:szCs w:val="21"/>
                <w:highlight w:val="none"/>
                <w:shd w:val="clear" w:color="auto" w:fill="fafafa"/>
              </w:rPr>
              <w:t xml:space="preserve">适用于全部原材料检测</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2"/>
                <w:highlight w:val="none"/>
                <w:lang w:val="zh-CN" w:bidi="zh-CN"/>
              </w:rPr>
              <w:t xml:space="preserve">：</w:t>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①送检人须是投标单位或所投产品生厂商；</w:t>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②检测报告须提供日期为 202</w:t>
            </w:r>
            <w:r>
              <w:rPr>
                <w:rFonts w:hint="eastAsia" w:ascii="宋体" w:hAnsi="宋体" w:cs="宋体"/>
                <w:color w:val="auto"/>
                <w:sz w:val="22"/>
                <w:highlight w:val="none"/>
                <w:lang w:val="en-US" w:bidi="zh-CN"/>
              </w:rPr>
              <w:t xml:space="preserve">3</w:t>
            </w:r>
            <w:r>
              <w:rPr>
                <w:rFonts w:hint="eastAsia" w:ascii="宋体" w:hAnsi="宋体" w:eastAsia="宋体" w:cs="宋体"/>
                <w:color w:val="auto"/>
                <w:sz w:val="22"/>
                <w:highlight w:val="none"/>
                <w:lang w:val="zh-CN" w:bidi="zh-CN"/>
              </w:rPr>
              <w:t xml:space="preserve">年 1月1 日后，并带有CMA 标志。供应商须对以上检测项目在报告中进行明显标注，如不标注，对评审产生的影响供应商自行承担。</w:t>
            </w:r>
            <w:r/>
          </w:p>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③</w:t>
            </w:r>
            <w:r>
              <w:rPr>
                <w:rFonts w:hint="eastAsia" w:ascii="宋体" w:hAnsi="宋体" w:eastAsia="宋体" w:cs="宋体"/>
                <w:color w:val="auto"/>
                <w:sz w:val="22"/>
                <w:highlight w:val="none"/>
                <w:lang w:bidi="zh-CN"/>
              </w:rPr>
              <w:t xml:space="preserve">检验报告材料必须清晰且完整含封面</w:t>
            </w:r>
            <w:r>
              <w:rPr>
                <w:rFonts w:hint="eastAsia" w:ascii="宋体" w:hAnsi="宋体" w:eastAsia="宋体" w:cs="宋体"/>
                <w:color w:val="auto"/>
                <w:sz w:val="22"/>
                <w:highlight w:val="none"/>
                <w:lang w:val="en-US" w:bidi="zh-CN"/>
              </w:rPr>
              <w:t xml:space="preserve">等信息</w:t>
            </w:r>
            <w:r>
              <w:rPr>
                <w:rFonts w:hint="eastAsia" w:ascii="宋体" w:hAnsi="宋体" w:eastAsia="宋体" w:cs="宋体"/>
                <w:color w:val="auto"/>
                <w:sz w:val="22"/>
                <w:highlight w:val="none"/>
                <w:lang w:bidi="zh-CN"/>
              </w:rPr>
              <w:t xml:space="preserve">，仅复印局部内容的检测报告视为无效。</w:t>
            </w:r>
            <w:r>
              <w:rPr>
                <w:rFonts w:hint="eastAsia" w:ascii="宋体" w:hAnsi="宋体" w:eastAsia="宋体" w:cs="宋体"/>
                <w:color w:val="auto"/>
                <w:sz w:val="22"/>
                <w:highlight w:val="none"/>
                <w:lang w:val="zh-CN" w:bidi="zh-CN"/>
              </w:rPr>
              <w:t xml:space="preserve">以上检测报告在标书中提供扫描件并加盖公章；</w:t>
            </w:r>
            <w:r>
              <w:rPr>
                <w:rFonts w:hint="eastAsia" w:ascii="宋体" w:hAnsi="宋体" w:eastAsia="宋体" w:cs="宋体"/>
                <w:color w:val="auto"/>
                <w:sz w:val="22"/>
                <w:highlight w:val="none"/>
                <w:lang w:bidi="zh-CN"/>
              </w:rPr>
              <w:t xml:space="preserve">检测报告在</w:t>
            </w:r>
            <w:r>
              <w:rPr>
                <w:rFonts w:hint="eastAsia" w:ascii="宋体" w:hAnsi="宋体" w:eastAsia="宋体" w:cs="宋体"/>
                <w:color w:val="auto"/>
                <w:sz w:val="22"/>
                <w:highlight w:val="none"/>
                <w:lang w:val="zh-CN" w:bidi="zh-CN"/>
              </w:rPr>
              <w:t xml:space="preserve">全国认证认可信息公共服务平台官网（http://cx.cnca.cn/)查询截图（</w:t>
            </w:r>
            <w:r>
              <w:rPr>
                <w:rFonts w:hint="eastAsia" w:ascii="宋体" w:hAnsi="宋体" w:eastAsia="宋体" w:cs="宋体"/>
                <w:color w:val="auto"/>
                <w:sz w:val="22"/>
                <w:highlight w:val="none"/>
                <w:lang w:val="en-US" w:bidi="zh-CN"/>
              </w:rPr>
              <w:t xml:space="preserve">如遇到网页升级,提供检测机构官网截图）</w:t>
            </w:r>
            <w:r>
              <w:rPr>
                <w:rFonts w:hint="eastAsia" w:ascii="宋体" w:hAnsi="宋体" w:eastAsia="宋体" w:cs="宋体"/>
                <w:color w:val="auto"/>
                <w:sz w:val="22"/>
                <w:highlight w:val="none"/>
                <w:lang w:val="zh-CN" w:bidi="zh-CN"/>
              </w:rPr>
              <w:t xml:space="preserve">加盖</w:t>
            </w:r>
            <w:r>
              <w:rPr>
                <w:rFonts w:hint="eastAsia" w:ascii="宋体" w:hAnsi="宋体" w:eastAsia="宋体" w:cs="宋体"/>
                <w:color w:val="auto"/>
                <w:sz w:val="22"/>
                <w:highlight w:val="none"/>
                <w:lang w:val="en-US" w:bidi="zh-CN"/>
              </w:rPr>
              <w:t xml:space="preserve">电子</w:t>
            </w:r>
            <w:r>
              <w:rPr>
                <w:rFonts w:hint="eastAsia" w:ascii="宋体" w:hAnsi="宋体" w:eastAsia="宋体" w:cs="宋体"/>
                <w:color w:val="auto"/>
                <w:sz w:val="22"/>
                <w:highlight w:val="none"/>
                <w:lang w:val="zh-CN" w:bidi="zh-CN"/>
              </w:rPr>
              <w:t xml:space="preserve">公章，</w:t>
            </w:r>
            <w:r>
              <w:rPr>
                <w:rFonts w:hint="eastAsia" w:ascii="宋体" w:hAnsi="宋体" w:eastAsia="宋体" w:cs="宋体"/>
                <w:color w:val="auto"/>
                <w:sz w:val="22"/>
                <w:highlight w:val="none"/>
                <w:lang w:val="en-US" w:bidi="zh-CN"/>
              </w:rPr>
              <w:t xml:space="preserve">制造商授权的投标人需加盖制造商公章方可有效。</w:t>
            </w:r>
            <w:r/>
          </w:p>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④检测报告中必须包含所列的所有检测项目，否则不得分。</w:t>
            </w:r>
            <w:r/>
          </w:p>
        </w:tc>
      </w:tr>
      <w:tr>
        <w:trPr>
          <w:jc w:val="center"/>
          <w:trHeight w:val="90"/>
        </w:trPr>
        <w:tc>
          <w:tcPr>
            <w:gridSpan w:val="3"/>
            <w:tcW w:w="9067" w:type="dxa"/>
            <w:vAlign w:val="center"/>
            <w:textDirection w:val="lrTb"/>
            <w:noWrap w:val="false"/>
          </w:tcPr>
          <w:p>
            <w:pPr>
              <w:ind w:firstLine="68"/>
              <w:jc w:val="lef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highlight w:val="none"/>
                <w:lang w:val="zh-CN" w:bidi="zh-CN"/>
              </w:rPr>
              <w:t xml:space="preserve">生产能力</w:t>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cs="宋体"/>
                <w:color w:val="auto"/>
                <w:sz w:val="22"/>
                <w:highlight w:val="none"/>
                <w:lang w:val="en-US" w:bidi="zh-CN"/>
              </w:rPr>
              <w:t xml:space="preserve">5</w:t>
            </w:r>
            <w:r>
              <w:rPr>
                <w:rFonts w:hint="eastAsia" w:ascii="宋体" w:hAnsi="宋体" w:eastAsia="宋体" w:cs="宋体"/>
                <w:color w:val="auto"/>
                <w:sz w:val="22"/>
                <w:highlight w:val="none"/>
                <w:lang w:val="en-US" w:bidi="zh-CN"/>
              </w:rPr>
              <w:t xml:space="preserve">.0</w:t>
            </w:r>
            <w:r/>
          </w:p>
        </w:tc>
      </w:tr>
      <w:tr>
        <w:trPr>
          <w:jc w:val="center"/>
          <w:trHeight w:val="3929"/>
        </w:trPr>
        <w:tc>
          <w:tcPr>
            <w:tcW w:w="636"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bidi="zh-CN"/>
              </w:rPr>
              <w:t xml:space="preserve">3</w:t>
            </w:r>
            <w:r>
              <w:rPr>
                <w:rFonts w:hint="eastAsia" w:ascii="宋体" w:hAnsi="宋体" w:eastAsia="宋体" w:cs="宋体"/>
                <w:color w:val="auto"/>
                <w:sz w:val="22"/>
                <w:highlight w:val="none"/>
                <w:lang w:val="en-US" w:bidi="zh-CN"/>
              </w:rPr>
              <w:t xml:space="preserve">.1</w:t>
            </w:r>
            <w:r/>
          </w:p>
        </w:tc>
        <w:tc>
          <w:tcPr>
            <w:tcW w:w="1047"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主要设备</w:t>
            </w:r>
            <w:r/>
          </w:p>
        </w:tc>
        <w:tc>
          <w:tcPr>
            <w:tcW w:w="7384" w:type="dxa"/>
            <w:vAlign w:val="center"/>
            <w:textDirection w:val="lrTb"/>
            <w:noWrap w:val="false"/>
          </w:tcPr>
          <w:p>
            <w:pPr>
              <w:numPr>
                <w:ilvl w:val="0"/>
                <w:numId w:val="0"/>
              </w:numPr>
              <w:jc w:val="lef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en-US" w:eastAsia="zh-CN" w:bidi="zh-CN"/>
              </w:rPr>
              <w:t xml:space="preserve">投标人或</w:t>
            </w:r>
            <w:r>
              <w:rPr>
                <w:rFonts w:hint="eastAsia" w:ascii="宋体" w:hAnsi="宋体" w:eastAsia="宋体" w:cs="宋体"/>
                <w:color w:val="auto"/>
                <w:sz w:val="22"/>
                <w:szCs w:val="22"/>
                <w:highlight w:val="none"/>
                <w:lang w:val="zh-CN" w:bidi="zh-CN"/>
              </w:rPr>
              <w:t xml:space="preserve">核心产品生厂商主要生产设备:数控折弯机、CNC电脑数控裁板锯，数控转塔冲床、全自动上浮式底漆砂光机、数控双头切割锯床、智能多用途木工镂铣床、板材自动冲剪线、推台锯、排钻、智能木工钻铣加工中心、光纤激光焊接机、数控打磨机、喷粉生产线、数控剪板机、自动封边机、曲线封边机、压力机、冷压机、缝纫机、数控切割机。</w:t>
            </w:r>
            <w:r/>
          </w:p>
          <w:p>
            <w:pPr>
              <w:pStyle w:val="693"/>
              <w:ind w:left="0" w:firstLine="0"/>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以上设备种类＜3种得0分；3种≤以上设备种类＜6种得1分；6种≤以上设备种类＜9种得2分；9种≤以上设备种类＜12种得3分；以上设备种类≥12种得5分；提供设备现场照片及购置发票扫描件。</w:t>
            </w:r>
            <w:r/>
          </w:p>
          <w:p>
            <w:pPr>
              <w:ind w:firstLine="68"/>
              <w:jc w:val="left"/>
              <w:rPr>
                <w:rFonts w:hint="eastAsia" w:ascii="宋体" w:hAnsi="宋体" w:eastAsia="宋体" w:cs="宋体"/>
                <w:color w:val="auto"/>
                <w:sz w:val="22"/>
                <w:szCs w:val="22"/>
                <w:highlight w:val="none"/>
                <w:lang w:val="en-US" w:bidi="zh-CN"/>
              </w:rPr>
            </w:pPr>
            <w:r>
              <w:rPr>
                <w:rFonts w:hint="eastAsia" w:ascii="宋体" w:hAnsi="宋体" w:eastAsia="宋体" w:cs="宋体"/>
                <w:color w:val="auto"/>
                <w:sz w:val="22"/>
                <w:szCs w:val="22"/>
                <w:highlight w:val="none"/>
                <w:lang w:val="zh-CN" w:bidi="zh-CN"/>
              </w:rPr>
              <w:t xml:space="preserve">注：（</w:t>
            </w:r>
            <w:r>
              <w:rPr>
                <w:rFonts w:hint="eastAsia" w:ascii="宋体" w:hAnsi="宋体" w:eastAsia="宋体" w:cs="宋体"/>
                <w:color w:val="auto"/>
                <w:sz w:val="22"/>
                <w:szCs w:val="22"/>
                <w:highlight w:val="none"/>
                <w:lang w:val="en-US" w:bidi="zh-CN"/>
              </w:rPr>
              <w:t xml:space="preserve">1）</w:t>
            </w:r>
            <w:r>
              <w:rPr>
                <w:rFonts w:hint="eastAsia" w:ascii="宋体" w:hAnsi="宋体" w:eastAsia="宋体" w:cs="宋体"/>
                <w:color w:val="auto"/>
                <w:sz w:val="22"/>
                <w:szCs w:val="22"/>
                <w:highlight w:val="none"/>
                <w:lang w:val="zh-CN" w:bidi="zh-CN"/>
              </w:rPr>
              <w:t xml:space="preserve">有效证明材料：提供设备现场照片、购置发票、设备购置发票的购置人名称与产品生厂商名称一致。</w:t>
            </w:r>
            <w:r>
              <w:rPr>
                <w:rFonts w:hint="eastAsia" w:ascii="宋体" w:hAnsi="宋体" w:eastAsia="宋体" w:cs="宋体"/>
                <w:color w:val="auto"/>
                <w:sz w:val="22"/>
                <w:szCs w:val="22"/>
                <w:highlight w:val="none"/>
                <w:lang w:val="en-US" w:bidi="zh-CN"/>
              </w:rPr>
              <w:t xml:space="preserve">租赁者提供最近1年内发票及租赁合同，现场照片；</w:t>
            </w:r>
            <w:r/>
          </w:p>
          <w:p>
            <w:pPr>
              <w:numPr>
                <w:ilvl w:val="0"/>
                <w:numId w:val="0"/>
              </w:num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szCs w:val="22"/>
                <w:highlight w:val="none"/>
                <w:lang w:val="zh-CN" w:eastAsia="zh-CN" w:bidi="zh-CN"/>
              </w:rPr>
              <w:t xml:space="preserve">（2）</w:t>
            </w:r>
            <w:r>
              <w:rPr>
                <w:rFonts w:hint="eastAsia" w:ascii="宋体" w:hAnsi="宋体" w:eastAsia="宋体" w:cs="宋体"/>
                <w:color w:val="auto"/>
                <w:sz w:val="22"/>
                <w:szCs w:val="22"/>
                <w:highlight w:val="none"/>
                <w:lang w:val="zh-CN" w:bidi="zh-CN"/>
              </w:rPr>
              <w:t xml:space="preserve">如设备名称不一致，应提供设备的技术资料、参数性能、现场照片以证明其所购设备与上列要求的设备具有同等功能水平</w:t>
            </w:r>
            <w:r>
              <w:rPr>
                <w:rFonts w:hint="eastAsia" w:ascii="宋体" w:hAnsi="宋体" w:cs="宋体"/>
                <w:color w:val="auto"/>
                <w:sz w:val="22"/>
                <w:szCs w:val="22"/>
                <w:highlight w:val="none"/>
                <w:lang w:val="zh-CN" w:bidi="zh-CN"/>
              </w:rPr>
              <w:t xml:space="preserve">，</w:t>
            </w:r>
            <w:r>
              <w:rPr>
                <w:rFonts w:hint="eastAsia" w:ascii="宋体" w:hAnsi="宋体" w:cs="宋体"/>
                <w:color w:val="auto"/>
                <w:highlight w:val="none"/>
              </w:rPr>
              <w:t xml:space="preserve">经评标委员会认可后可得分</w:t>
            </w:r>
            <w:r>
              <w:rPr>
                <w:rFonts w:hint="eastAsia" w:ascii="宋体" w:hAnsi="宋体" w:cs="宋体"/>
                <w:color w:val="auto"/>
                <w:highlight w:val="none"/>
                <w:lang w:eastAsia="zh-CN"/>
              </w:rPr>
              <w:t xml:space="preserve">。</w:t>
            </w:r>
            <w:r>
              <w:rPr>
                <w:rFonts w:hint="eastAsia" w:ascii="宋体" w:hAnsi="宋体" w:eastAsia="宋体" w:cs="宋体"/>
                <w:color w:val="auto"/>
                <w:sz w:val="22"/>
                <w:szCs w:val="22"/>
                <w:highlight w:val="none"/>
                <w:lang w:val="zh-CN" w:bidi="zh-CN"/>
              </w:rPr>
              <w:t xml:space="preserve">采购人有权对以上发票、资料、照片真实性进行核实，如发现虚假材料，将视为提供虚假材料谋取中标</w:t>
            </w:r>
            <w:r>
              <w:rPr>
                <w:rFonts w:hint="eastAsia" w:ascii="宋体" w:hAnsi="宋体" w:eastAsia="宋体" w:cs="宋体"/>
                <w:color w:val="auto"/>
                <w:sz w:val="22"/>
                <w:highlight w:val="none"/>
                <w:lang w:val="zh-CN" w:bidi="zh-CN"/>
              </w:rPr>
              <w:t xml:space="preserve">。</w:t>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bidi="zh-CN"/>
              </w:rPr>
            </w:pPr>
            <w:r>
              <w:rPr>
                <w:rFonts w:hint="eastAsia" w:ascii="宋体" w:hAnsi="宋体" w:cs="宋体"/>
                <w:color w:val="auto"/>
                <w:sz w:val="22"/>
                <w:highlight w:val="none"/>
                <w:lang w:val="en-US" w:bidi="zh-CN"/>
              </w:rPr>
              <w:t xml:space="preserve">5</w:t>
            </w:r>
            <w:r>
              <w:rPr>
                <w:rFonts w:hint="eastAsia" w:ascii="宋体" w:hAnsi="宋体" w:eastAsia="宋体" w:cs="宋体"/>
                <w:color w:val="auto"/>
                <w:sz w:val="22"/>
                <w:highlight w:val="none"/>
                <w:lang w:bidi="zh-CN"/>
              </w:rPr>
              <w:t xml:space="preserve">.0</w:t>
            </w:r>
            <w:r/>
          </w:p>
        </w:tc>
      </w:tr>
      <w:tr>
        <w:trPr>
          <w:jc w:val="center"/>
          <w:trHeight w:val="360"/>
        </w:trPr>
        <w:tc>
          <w:tcPr>
            <w:gridSpan w:val="3"/>
            <w:tcW w:w="9067" w:type="dxa"/>
            <w:vAlign w:val="center"/>
            <w:textDirection w:val="lrTb"/>
            <w:noWrap w:val="false"/>
          </w:tcPr>
          <w:p>
            <w:pPr>
              <w:numPr>
                <w:ilvl w:val="0"/>
                <w:numId w:val="0"/>
              </w:numPr>
              <w:jc w:val="lef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t xml:space="preserve">样品评价</w:t>
            </w:r>
            <w:r/>
          </w:p>
        </w:tc>
        <w:tc>
          <w:tcPr>
            <w:tcW w:w="853" w:type="dxa"/>
            <w:vAlign w:val="center"/>
            <w:textDirection w:val="lrTb"/>
            <w:noWrap w:val="false"/>
          </w:tcPr>
          <w:p>
            <w:pPr>
              <w:ind w:firstLine="68"/>
              <w:jc w:val="center"/>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14.0</w:t>
            </w:r>
            <w:r/>
          </w:p>
        </w:tc>
      </w:tr>
      <w:tr>
        <w:trPr>
          <w:jc w:val="center"/>
          <w:trHeight w:val="8066"/>
        </w:trPr>
        <w:tc>
          <w:tcPr>
            <w:tcW w:w="636"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4.1</w:t>
            </w:r>
            <w:r/>
          </w:p>
        </w:tc>
        <w:tc>
          <w:tcPr>
            <w:tcW w:w="1047" w:type="dxa"/>
            <w:vAlign w:val="center"/>
            <w:textDirection w:val="lrTb"/>
            <w:noWrap w:val="false"/>
          </w:tcPr>
          <w:p>
            <w:pPr>
              <w:ind w:firstLine="68"/>
              <w:jc w:val="left"/>
              <w:keepLines w:val="0"/>
              <w:keepNext w:val="0"/>
              <w:pageBreakBefore w:val="0"/>
              <w:spacing w:line="320" w:lineRule="exac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样品评价（</w:t>
            </w:r>
            <w:r>
              <w:rPr>
                <w:rFonts w:hint="eastAsia" w:ascii="宋体" w:hAnsi="宋体" w:eastAsia="宋体" w:cs="宋体"/>
                <w:color w:val="auto"/>
                <w:sz w:val="22"/>
                <w:highlight w:val="none"/>
                <w:lang w:val="en-US" w:eastAsia="zh-CN" w:bidi="zh-CN"/>
              </w:rPr>
              <w:t xml:space="preserve">医用治疗柜</w:t>
            </w:r>
            <w:r>
              <w:rPr>
                <w:rFonts w:hint="eastAsia" w:ascii="宋体" w:hAnsi="宋体" w:eastAsia="宋体" w:cs="宋体"/>
                <w:color w:val="auto"/>
                <w:sz w:val="22"/>
                <w:highlight w:val="none"/>
                <w:lang w:val="zh-CN" w:bidi="zh-CN"/>
              </w:rPr>
              <w:t xml:space="preserve">）</w:t>
            </w:r>
            <w:r/>
          </w:p>
        </w:tc>
        <w:tc>
          <w:tcPr>
            <w:tcW w:w="7384"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根据招标文件第四项项目需求中关于出样产品技术参数和样图的要求生产样品，测量工具为：0～5m 钢卷尺（精度 1mm）、十分度游标卡尺（精度 0.1mm）。对</w:t>
            </w:r>
            <w:r>
              <w:rPr>
                <w:rFonts w:hint="eastAsia" w:ascii="宋体" w:hAnsi="宋体" w:eastAsia="宋体" w:cs="宋体"/>
                <w:color w:val="auto"/>
                <w:sz w:val="22"/>
                <w:highlight w:val="none"/>
                <w:lang w:val="en-US" w:eastAsia="zh-CN" w:bidi="zh-CN"/>
              </w:rPr>
              <w:t xml:space="preserve">医用治疗柜进行逐项评分，最高得5分。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外观款式（1.2 分）：样品外观无划痕、无变形、无掉漆、无开裂或无镀层脱落，无死角、无繁杂装饰，适配诊疗室、换药室场景；整体造型、尺寸比例与送样图纸一致，误差不超过（公差：±5mm）；边角处理圆滑无尖锐毛刺，符合医用安全规范。全部满足要求得 1.2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材质要求（1.2 分）：样品材质类型、厚度与招标文件要求一致，金属部件无锈蚀，板材无开裂、鼓包、分层；表面涂层或饰面无脱落、色差，理化性能符合国标要求。全部满足要求得 1.2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功能配置（1.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分）：样品全部功能部件（滑轨、合页、门锁等）齐全且可正常使用；医用专用功能（分类收纳、防腐蚀、易清洁）符合使用场景要求，无卫生死角，便于整体清洁消杀；部件连接牢固无松动、脱落风险。全部满足要求得 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工艺细节（1.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 分）：样品焊接、封边、拼接处平整光滑无明显缝隙；五金件安装位置精准，开关、推拉顺畅无卡顿；层板承重均匀，重载无变形，整体组装牢固，无松动晃动，完全满足医疗洁净、消杀、安全使用要求；标识、铭牌齐全清晰且与产品参数一致。全部满足要求得 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特殊情形说明：</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若样品存在重大缺陷（如结构断裂、核心功能失效），该类样品直接计 0 分，不再分项评分。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bidi="zh-CN"/>
              </w:rPr>
              <w:t xml:space="preserve">注：</w:t>
            </w:r>
            <w:r>
              <w:rPr>
                <w:rFonts w:hint="eastAsia" w:ascii="宋体" w:hAnsi="宋体" w:eastAsia="宋体" w:cs="宋体"/>
                <w:b/>
                <w:bCs/>
                <w:color w:val="auto"/>
                <w:sz w:val="22"/>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2"/>
                <w:highlight w:val="none"/>
                <w:lang w:val="en-US" w:bidi="zh-CN"/>
              </w:rPr>
              <w:t xml:space="preserve">无效投标</w:t>
            </w:r>
            <w:r>
              <w:rPr>
                <w:rFonts w:hint="eastAsia" w:ascii="宋体" w:hAnsi="宋体" w:eastAsia="宋体" w:cs="宋体"/>
                <w:b/>
                <w:bCs/>
                <w:color w:val="auto"/>
                <w:sz w:val="22"/>
                <w:highlight w:val="none"/>
                <w:lang w:val="zh-CN" w:bidi="zh-CN"/>
              </w:rPr>
              <w:t xml:space="preserve">处理。以上样品不接受3D打印件。</w:t>
            </w:r>
            <w:r/>
          </w:p>
        </w:tc>
        <w:tc>
          <w:tcPr>
            <w:tcW w:w="853" w:type="dxa"/>
            <w:vAlign w:val="center"/>
            <w:textDirection w:val="lrTb"/>
            <w:noWrap w:val="false"/>
          </w:tcPr>
          <w:p>
            <w:pPr>
              <w:ind w:firstLine="68"/>
              <w:jc w:val="center"/>
              <w:rPr>
                <w:rFonts w:hint="eastAsia" w:ascii="宋体" w:hAnsi="宋体" w:cs="宋体"/>
                <w:color w:val="auto"/>
                <w:sz w:val="22"/>
                <w:highlight w:val="none"/>
                <w:lang w:val="en-US" w:bidi="zh-CN"/>
              </w:rPr>
            </w:pPr>
            <w:r>
              <w:rPr>
                <w:rFonts w:hint="eastAsia" w:ascii="宋体" w:hAnsi="宋体" w:eastAsia="宋体" w:cs="宋体"/>
                <w:color w:val="auto"/>
                <w:sz w:val="22"/>
                <w:highlight w:val="none"/>
                <w:lang w:val="en-US" w:bidi="zh-CN"/>
              </w:rPr>
              <w:t xml:space="preserve">5</w:t>
            </w:r>
            <w:r>
              <w:rPr>
                <w:rFonts w:hint="eastAsia" w:ascii="宋体" w:hAnsi="宋体" w:eastAsia="宋体" w:cs="宋体"/>
                <w:color w:val="auto"/>
                <w:sz w:val="22"/>
                <w:highlight w:val="none"/>
                <w:lang w:val="zh-CN" w:bidi="zh-CN"/>
              </w:rPr>
              <w:t xml:space="preserve">.0</w:t>
            </w:r>
            <w:r/>
          </w:p>
        </w:tc>
      </w:tr>
      <w:tr>
        <w:trPr>
          <w:jc w:val="center"/>
          <w:trHeight w:val="1535"/>
        </w:trPr>
        <w:tc>
          <w:tcPr>
            <w:tcW w:w="636" w:type="dxa"/>
            <w:vAlign w:val="center"/>
            <w:textDirection w:val="lrTb"/>
            <w:noWrap w:val="false"/>
          </w:tcPr>
          <w:p>
            <w:pPr>
              <w:ind w:firstLine="68"/>
              <w:jc w:val="center"/>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4.2</w:t>
            </w:r>
            <w:r/>
          </w:p>
        </w:tc>
        <w:tc>
          <w:tcPr>
            <w:tcW w:w="1047"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样品评价（</w:t>
            </w:r>
            <w:r>
              <w:rPr>
                <w:rFonts w:hint="eastAsia" w:ascii="宋体" w:hAnsi="宋体" w:eastAsia="宋体" w:cs="宋体"/>
                <w:color w:val="auto"/>
                <w:sz w:val="22"/>
                <w:highlight w:val="none"/>
                <w:lang w:val="en-US" w:eastAsia="zh-CN" w:bidi="zh-CN"/>
              </w:rPr>
              <w:t xml:space="preserve">单面西药操作柜</w:t>
            </w:r>
            <w:r>
              <w:rPr>
                <w:rFonts w:hint="eastAsia" w:ascii="宋体" w:hAnsi="宋体" w:eastAsia="宋体" w:cs="宋体"/>
                <w:color w:val="auto"/>
                <w:sz w:val="22"/>
                <w:highlight w:val="none"/>
                <w:lang w:val="zh-CN" w:bidi="zh-CN"/>
              </w:rPr>
              <w:t xml:space="preserve">）</w:t>
            </w:r>
            <w:r/>
          </w:p>
        </w:tc>
        <w:tc>
          <w:tcPr>
            <w:tcW w:w="7384"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根据招标文件第四项项目需求中关于出样产品技术参数和样图的要求生产样品，测量工具为：0～5m 钢卷尺（精度 1mm）、十分度游标卡尺（精度 0.1mm）。对</w:t>
            </w:r>
            <w:r>
              <w:rPr>
                <w:rFonts w:hint="eastAsia" w:ascii="宋体" w:hAnsi="宋体" w:eastAsia="宋体" w:cs="宋体"/>
                <w:color w:val="auto"/>
                <w:sz w:val="22"/>
                <w:highlight w:val="none"/>
                <w:lang w:val="en-US" w:eastAsia="zh-CN" w:bidi="zh-CN"/>
              </w:rPr>
              <w:t xml:space="preserve">单面西药操作柜进行逐项评分，最高得5分。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外观款式（1.2 分）：样品外观无划痕、无变形、无掉漆、无开裂或无镀层脱落；整体造型、尺寸比例与送样图纸一致，误差不超过（公差：±5mm）；边角处理圆滑无尖锐毛刺，符合医用安全规范；柜体整洁通透、无积尘死角，台面平整开阔，便于药品分拣操作。全部满足要求得 1.2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材质要求（1.2 分）：样品材质类型、厚度与招标文件要求一致，金属部件无锈蚀，板材无开裂、鼓包、分层；表面涂层或饰面无脱落、色差，理化性能符合国标要求。全部满足要求得 1.2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功能配置（1.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分）：样品全部功能部件（滑轨、合页、门锁等）齐全且可正常使用；医用专用功能（分类收纳、防腐蚀、易清洁）符合使用场景要求；柜体密封性能好，防尘、防潮、防污染，符合药房药品存储规范；部件连接牢固无松动、脱落风险。全部满足要求得 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工艺细节（1.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 分）：样品焊接、拼接处平整光滑无明显缝隙，卫生无死角，适配药房高频操作、高频消杀场景；五金件安装位置精准，开关、推拉顺畅无卡顿；标识、铭牌齐全清晰且与产品参数一致。全部满足要求得 1.</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特殊情形说明：</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若样品存在重大缺陷（如结构断裂、核心功能失效），该类样品直接计 0 分，不再分项评分。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keepLines w:val="0"/>
              <w:keepNext w:val="0"/>
              <w:pageBreakBefore w:val="0"/>
              <w:spacing w:line="320" w:lineRule="exact"/>
              <w:rPr>
                <w:rFonts w:hint="eastAsia" w:ascii="宋体" w:hAnsi="宋体" w:eastAsia="宋体" w:cs="宋体"/>
                <w:b/>
                <w:bCs/>
                <w:color w:val="auto"/>
                <w:sz w:val="22"/>
                <w:highlight w:val="none"/>
                <w:lang w:val="zh-CN" w:bidi="zh-CN"/>
              </w:rPr>
            </w:pPr>
            <w:r>
              <w:rPr>
                <w:rFonts w:hint="eastAsia" w:ascii="宋体" w:hAnsi="宋体" w:eastAsia="宋体" w:cs="宋体"/>
                <w:b/>
                <w:bCs/>
                <w:color w:val="auto"/>
                <w:sz w:val="22"/>
                <w:highlight w:val="none"/>
                <w:lang w:bidi="zh-CN"/>
              </w:rPr>
              <w:t xml:space="preserve">注：</w:t>
            </w:r>
            <w:r>
              <w:rPr>
                <w:rFonts w:hint="eastAsia" w:ascii="宋体" w:hAnsi="宋体" w:eastAsia="宋体" w:cs="宋体"/>
                <w:b/>
                <w:bCs/>
                <w:color w:val="auto"/>
                <w:sz w:val="22"/>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2"/>
                <w:highlight w:val="none"/>
                <w:lang w:val="en-US" w:bidi="zh-CN"/>
              </w:rPr>
              <w:t xml:space="preserve">无效投标</w:t>
            </w:r>
            <w:r>
              <w:rPr>
                <w:rFonts w:hint="eastAsia" w:ascii="宋体" w:hAnsi="宋体" w:eastAsia="宋体" w:cs="宋体"/>
                <w:b/>
                <w:bCs/>
                <w:color w:val="auto"/>
                <w:sz w:val="22"/>
                <w:highlight w:val="none"/>
                <w:lang w:val="zh-CN" w:bidi="zh-CN"/>
              </w:rPr>
              <w:t xml:space="preserve">处理。以上样品不接受3D打印件。</w:t>
            </w:r>
            <w:r/>
          </w:p>
          <w:p>
            <w:pPr>
              <w:ind w:firstLine="68"/>
              <w:jc w:val="left"/>
              <w:keepLines w:val="0"/>
              <w:keepNext w:val="0"/>
              <w:pageBreakBefore w:val="0"/>
              <w:spacing w:line="320" w:lineRule="exact"/>
              <w:rPr>
                <w:rFonts w:hint="eastAsia"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r>
            <w:r/>
          </w:p>
        </w:tc>
        <w:tc>
          <w:tcPr>
            <w:tcW w:w="853" w:type="dxa"/>
            <w:vAlign w:val="center"/>
            <w:textDirection w:val="lrTb"/>
            <w:noWrap w:val="false"/>
          </w:tcPr>
          <w:p>
            <w:pPr>
              <w:ind w:firstLine="68"/>
              <w:jc w:val="center"/>
              <w:rPr>
                <w:rFonts w:hint="eastAsia" w:ascii="宋体" w:hAnsi="宋体" w:cs="宋体"/>
                <w:color w:val="auto"/>
                <w:sz w:val="22"/>
                <w:highlight w:val="none"/>
                <w:lang w:val="en-US" w:bidi="zh-CN"/>
              </w:rPr>
            </w:pPr>
            <w:r>
              <w:rPr>
                <w:rFonts w:hint="eastAsia" w:ascii="宋体" w:hAnsi="宋体" w:eastAsia="宋体" w:cs="宋体"/>
                <w:color w:val="auto"/>
                <w:sz w:val="22"/>
                <w:highlight w:val="none"/>
                <w:lang w:val="en-US" w:bidi="zh-CN"/>
              </w:rPr>
              <w:t xml:space="preserve">5</w:t>
            </w:r>
            <w:r>
              <w:rPr>
                <w:rFonts w:hint="eastAsia" w:ascii="宋体" w:hAnsi="宋体" w:eastAsia="宋体" w:cs="宋体"/>
                <w:color w:val="auto"/>
                <w:sz w:val="22"/>
                <w:highlight w:val="none"/>
                <w:lang w:val="zh-CN" w:bidi="zh-CN"/>
              </w:rPr>
              <w:t xml:space="preserve">.0</w:t>
            </w:r>
            <w:r/>
          </w:p>
        </w:tc>
      </w:tr>
      <w:tr>
        <w:trPr>
          <w:jc w:val="center"/>
          <w:trHeight w:val="3929"/>
        </w:trPr>
        <w:tc>
          <w:tcPr>
            <w:tcW w:w="636"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4.3</w:t>
            </w:r>
            <w:r/>
          </w:p>
        </w:tc>
        <w:tc>
          <w:tcPr>
            <w:tcW w:w="1047" w:type="dxa"/>
            <w:vAlign w:val="center"/>
            <w:textDirection w:val="lrTb"/>
            <w:noWrap w:val="false"/>
          </w:tcPr>
          <w:p>
            <w:pPr>
              <w:ind w:firstLine="68"/>
              <w:jc w:val="left"/>
              <w:keepLines w:val="0"/>
              <w:keepNext w:val="0"/>
              <w:pageBreakBefore w:val="0"/>
              <w:spacing w:line="320" w:lineRule="exac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zh-CN" w:bidi="zh-CN"/>
              </w:rPr>
              <w:t xml:space="preserve">样品评价（</w:t>
            </w:r>
            <w:r>
              <w:rPr>
                <w:rFonts w:hint="eastAsia" w:ascii="宋体" w:hAnsi="宋体" w:eastAsia="宋体" w:cs="宋体"/>
                <w:color w:val="auto"/>
                <w:sz w:val="22"/>
                <w:highlight w:val="none"/>
                <w:lang w:val="en-US" w:eastAsia="zh-CN" w:bidi="zh-CN"/>
              </w:rPr>
              <w:t xml:space="preserve">诊断桌</w:t>
            </w:r>
            <w:r>
              <w:rPr>
                <w:rFonts w:hint="eastAsia" w:ascii="宋体" w:hAnsi="宋体" w:eastAsia="宋体" w:cs="宋体"/>
                <w:color w:val="auto"/>
                <w:sz w:val="22"/>
                <w:highlight w:val="none"/>
                <w:lang w:val="zh-CN" w:bidi="zh-CN"/>
              </w:rPr>
              <w:t xml:space="preserve">）</w:t>
            </w:r>
            <w:r/>
          </w:p>
        </w:tc>
        <w:tc>
          <w:tcPr>
            <w:tcW w:w="7384"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根据招标文件第四项项目需求中关于出样产品技术参数和样图的要求生产样品，测量工具为：0～5m 钢卷尺（精度 1mm）、十分度游标卡尺（精度 0.1mm）。对</w:t>
            </w:r>
            <w:r>
              <w:rPr>
                <w:rFonts w:hint="eastAsia" w:ascii="宋体" w:hAnsi="宋体" w:eastAsia="宋体" w:cs="宋体"/>
                <w:color w:val="auto"/>
                <w:sz w:val="22"/>
                <w:highlight w:val="none"/>
                <w:lang w:val="en-US" w:eastAsia="zh-CN" w:bidi="zh-CN"/>
              </w:rPr>
              <w:t xml:space="preserve">诊断桌进行逐项评分，最高得4分。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外观款式（1.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 分）：样品外观无划痕、无变形、无掉漆、无开裂或无镀层脱落；整体造型、尺寸比例与送样图纸一致，误差不超过（公差：±5mm）；边角处理圆滑无尖锐毛刺，符合医用安全规范，符合门诊诊室标准化、规范化形象。全部满足要求得 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材质要求（1.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 分）：样品材质类型、厚度与招标文件要求一致，金属部件无锈蚀，板材无开裂、鼓包、分层；表面涂层或饰面无脱落、色差，理化性能符合国标要求。全部满足要求得 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功能配置（1.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分）：样品全部功能部件（滑轨、合页、门锁等）齐全且可正常使用；适配门诊日常诊疗使用需求，医用专用功能（如分类收纳、防腐蚀、易清洁）符合使用场景要求；部件连接牢固无松动、脱落风险。全部满足要求得 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工艺细节（1.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 分）：样品焊接、封边、拼接处平整光滑无明显缝隙；五金件安装位置精准，开关、推拉顺畅无卡顿；整体工艺精细，耐高频使用、高频清洁，长期使用不变形、不老化；标识、铭牌齐全清晰且与产品参数一致。全部满足要求得 1.</w:t>
            </w:r>
            <w:r>
              <w:rPr>
                <w:rFonts w:hint="eastAsia" w:ascii="宋体" w:hAnsi="宋体" w:eastAsia="宋体" w:cs="宋体"/>
                <w:color w:val="auto"/>
                <w:sz w:val="22"/>
                <w:highlight w:val="none"/>
                <w:lang w:val="en-US" w:bidi="zh-CN"/>
              </w:rPr>
              <w:t xml:space="preserve">0</w:t>
            </w:r>
            <w:r>
              <w:rPr>
                <w:rFonts w:hint="eastAsia" w:ascii="宋体" w:hAnsi="宋体" w:eastAsia="宋体" w:cs="宋体"/>
                <w:color w:val="auto"/>
                <w:sz w:val="22"/>
                <w:highlight w:val="none"/>
                <w:lang w:bidi="zh-CN"/>
              </w:rPr>
              <w:t xml:space="preserve"> 分，任一条不满足不得分。</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特殊情形说明：</w:t>
            </w:r>
            <w:r/>
          </w:p>
          <w:p>
            <w:pPr>
              <w:ind w:firstLine="68"/>
              <w:jc w:val="left"/>
              <w:keepLines w:val="0"/>
              <w:keepNext w:val="0"/>
              <w:pageBreakBefore w:val="0"/>
              <w:spacing w:line="320" w:lineRule="exact"/>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val="en-US" w:eastAsia="zh-CN" w:bidi="zh-CN"/>
              </w:rPr>
              <w:t xml:space="preserve">若样品存在重大缺陷（如结构断裂、核心功能失效），该类样品直接计 0 分，不再分项评分。</w:t>
            </w:r>
            <w:r/>
          </w:p>
          <w:p>
            <w:pPr>
              <w:ind w:firstLine="68"/>
              <w:jc w:val="left"/>
              <w:keepLines w:val="0"/>
              <w:keepNext w:val="0"/>
              <w:pageBreakBefore w:val="0"/>
              <w:spacing w:line="320" w:lineRule="exac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keepLines w:val="0"/>
              <w:keepNext w:val="0"/>
              <w:pageBreakBefore w:val="0"/>
              <w:spacing w:line="320" w:lineRule="exact"/>
              <w:rPr>
                <w:rFonts w:hint="eastAsia" w:ascii="宋体" w:hAnsi="宋体" w:eastAsia="宋体" w:cs="宋体"/>
                <w:color w:val="auto"/>
                <w:sz w:val="22"/>
                <w:szCs w:val="22"/>
                <w:highlight w:val="none"/>
                <w:lang w:val="zh-CN" w:bidi="zh-CN"/>
              </w:rPr>
            </w:pPr>
            <w:r>
              <w:rPr>
                <w:rFonts w:hint="eastAsia" w:ascii="宋体" w:hAnsi="宋体" w:eastAsia="宋体" w:cs="宋体"/>
                <w:b/>
                <w:bCs/>
                <w:color w:val="auto"/>
                <w:sz w:val="22"/>
                <w:highlight w:val="none"/>
                <w:lang w:bidi="zh-CN"/>
              </w:rPr>
              <w:t xml:space="preserve">注：</w:t>
            </w:r>
            <w:r>
              <w:rPr>
                <w:rFonts w:hint="eastAsia" w:ascii="宋体" w:hAnsi="宋体" w:eastAsia="宋体" w:cs="宋体"/>
                <w:b/>
                <w:bCs/>
                <w:color w:val="auto"/>
                <w:sz w:val="22"/>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2"/>
                <w:highlight w:val="none"/>
                <w:lang w:val="en-US" w:bidi="zh-CN"/>
              </w:rPr>
              <w:t xml:space="preserve">无效投标</w:t>
            </w:r>
            <w:r>
              <w:rPr>
                <w:rFonts w:hint="eastAsia" w:ascii="宋体" w:hAnsi="宋体" w:eastAsia="宋体" w:cs="宋体"/>
                <w:b/>
                <w:bCs/>
                <w:color w:val="auto"/>
                <w:sz w:val="22"/>
                <w:highlight w:val="none"/>
                <w:lang w:val="zh-CN" w:bidi="zh-CN"/>
              </w:rPr>
              <w:t xml:space="preserve">处理。以上样品不接受3D打印件。</w:t>
            </w:r>
            <w:r/>
          </w:p>
        </w:tc>
        <w:tc>
          <w:tcPr>
            <w:tcW w:w="853" w:type="dxa"/>
            <w:vAlign w:val="center"/>
            <w:textDirection w:val="lrTb"/>
            <w:noWrap w:val="false"/>
          </w:tcPr>
          <w:p>
            <w:pPr>
              <w:ind w:firstLine="68"/>
              <w:jc w:val="center"/>
              <w:rPr>
                <w:rFonts w:hint="eastAsia" w:ascii="宋体" w:hAnsi="宋体" w:cs="宋体"/>
                <w:color w:val="auto"/>
                <w:sz w:val="22"/>
                <w:highlight w:val="none"/>
                <w:lang w:val="en-US" w:bidi="zh-CN"/>
              </w:rPr>
            </w:pPr>
            <w:r>
              <w:rPr>
                <w:rFonts w:hint="eastAsia" w:ascii="宋体" w:hAnsi="宋体" w:eastAsia="宋体" w:cs="宋体"/>
                <w:color w:val="auto"/>
                <w:sz w:val="22"/>
                <w:highlight w:val="none"/>
                <w:lang w:val="en-US" w:bidi="zh-CN"/>
              </w:rPr>
              <w:t xml:space="preserve">4</w:t>
            </w:r>
            <w:r>
              <w:rPr>
                <w:rFonts w:hint="eastAsia" w:ascii="宋体" w:hAnsi="宋体" w:eastAsia="宋体" w:cs="宋体"/>
                <w:color w:val="auto"/>
                <w:sz w:val="22"/>
                <w:highlight w:val="none"/>
                <w:lang w:val="zh-CN" w:bidi="zh-CN"/>
              </w:rPr>
              <w:t xml:space="preserve">.0</w:t>
            </w:r>
            <w:r/>
          </w:p>
        </w:tc>
      </w:tr>
      <w:tr>
        <w:trPr>
          <w:jc w:val="center"/>
          <w:trHeight w:val="90"/>
        </w:trPr>
        <w:tc>
          <w:tcPr>
            <w:gridSpan w:val="3"/>
            <w:tcW w:w="9067" w:type="dxa"/>
            <w:vAlign w:val="center"/>
            <w:textDirection w:val="lrTb"/>
            <w:noWrap w:val="false"/>
          </w:tcPr>
          <w:p>
            <w:pPr>
              <w:pStyle w:val="695"/>
              <w:rPr>
                <w:rFonts w:hint="eastAsia" w:ascii="宋体" w:hAnsi="宋体" w:eastAsia="宋体" w:cs="宋体"/>
                <w:color w:val="auto"/>
                <w:highlight w:val="none"/>
              </w:rPr>
            </w:pPr>
            <w:r>
              <w:rPr>
                <w:rFonts w:hint="eastAsia" w:ascii="宋体" w:hAnsi="宋体" w:eastAsia="宋体" w:cs="宋体"/>
                <w:color w:val="auto"/>
                <w:sz w:val="22"/>
                <w:highlight w:val="none"/>
                <w:lang w:val="zh-CN" w:bidi="zh-CN"/>
              </w:rPr>
              <w:t xml:space="preserve">服务要求</w:t>
            </w:r>
            <w:r/>
          </w:p>
        </w:tc>
        <w:tc>
          <w:tcPr>
            <w:tcW w:w="853" w:type="dxa"/>
            <w:vAlign w:val="center"/>
            <w:textDirection w:val="lrTb"/>
            <w:noWrap w:val="false"/>
          </w:tcPr>
          <w:p>
            <w:pPr>
              <w:ind w:firstLine="68"/>
              <w:jc w:val="center"/>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5.0</w:t>
            </w:r>
            <w:r/>
          </w:p>
        </w:tc>
      </w:tr>
      <w:tr>
        <w:trPr>
          <w:jc w:val="center"/>
          <w:trHeight w:val="90"/>
        </w:trPr>
        <w:tc>
          <w:tcPr>
            <w:tcW w:w="636"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5.1</w:t>
            </w:r>
            <w:r/>
          </w:p>
        </w:tc>
        <w:tc>
          <w:tcPr>
            <w:tcW w:w="1047" w:type="dxa"/>
            <w:vAlign w:val="center"/>
            <w:textDirection w:val="lrTb"/>
            <w:noWrap w:val="false"/>
          </w:tcPr>
          <w:p>
            <w:pPr>
              <w:ind w:firstLine="68"/>
              <w:jc w:val="left"/>
              <w:rPr>
                <w:rFonts w:hint="default" w:ascii="宋体" w:hAnsi="宋体" w:eastAsia="宋体" w:cs="宋体"/>
                <w:color w:val="auto"/>
                <w:sz w:val="22"/>
                <w:highlight w:val="none"/>
                <w:lang w:val="en-US" w:eastAsia="zh-CN" w:bidi="zh-CN"/>
              </w:rPr>
            </w:pPr>
            <w:r>
              <w:rPr>
                <w:rFonts w:hint="eastAsia" w:ascii="宋体" w:hAnsi="宋体" w:eastAsia="宋体" w:cs="宋体"/>
                <w:color w:val="auto"/>
                <w:szCs w:val="21"/>
                <w:highlight w:val="none"/>
                <w:lang w:val="en-US" w:eastAsia="zh-CN"/>
              </w:rPr>
              <w:t xml:space="preserve">质保期承诺</w:t>
            </w:r>
            <w:r/>
          </w:p>
        </w:tc>
        <w:tc>
          <w:tcPr>
            <w:tcW w:w="7384" w:type="dxa"/>
            <w:vAlign w:val="center"/>
            <w:textDirection w:val="lrTb"/>
            <w:noWrap w:val="false"/>
          </w:tcPr>
          <w:p>
            <w:pPr>
              <w:pStyle w:val="695"/>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满足招标文件免费质保期五年要求后,每增加1年得</w:t>
            </w:r>
            <w:r>
              <w:rPr>
                <w:rFonts w:hint="eastAsia" w:ascii="宋体" w:hAnsi="宋体" w:eastAsia="宋体" w:cs="宋体"/>
                <w:color w:val="auto"/>
                <w:sz w:val="22"/>
                <w:highlight w:val="none"/>
                <w:lang w:val="en-US" w:bidi="zh-CN"/>
              </w:rPr>
              <w:t xml:space="preserve">0.5</w:t>
            </w:r>
            <w:r>
              <w:rPr>
                <w:rFonts w:hint="eastAsia" w:ascii="宋体" w:hAnsi="宋体" w:eastAsia="宋体" w:cs="宋体"/>
                <w:color w:val="auto"/>
                <w:sz w:val="22"/>
                <w:highlight w:val="none"/>
                <w:lang w:val="zh-CN" w:bidi="zh-CN"/>
              </w:rPr>
              <w:t xml:space="preserve">分，最高得 </w:t>
            </w:r>
            <w:r>
              <w:rPr>
                <w:rFonts w:hint="eastAsia" w:ascii="宋体" w:hAnsi="宋体" w:eastAsia="宋体" w:cs="宋体"/>
                <w:color w:val="auto"/>
                <w:sz w:val="22"/>
                <w:highlight w:val="none"/>
                <w:lang w:val="en-US" w:bidi="zh-CN"/>
              </w:rPr>
              <w:t xml:space="preserve">1</w:t>
            </w:r>
            <w:r>
              <w:rPr>
                <w:rFonts w:hint="eastAsia" w:ascii="宋体" w:hAnsi="宋体" w:eastAsia="宋体" w:cs="宋体"/>
                <w:color w:val="auto"/>
                <w:sz w:val="22"/>
                <w:highlight w:val="none"/>
                <w:lang w:val="zh-CN" w:bidi="zh-CN"/>
              </w:rPr>
              <w:t xml:space="preserve">分。</w:t>
            </w:r>
            <w:r/>
          </w:p>
          <w:p>
            <w:pPr>
              <w:pStyle w:val="695"/>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tc>
        <w:tc>
          <w:tcPr>
            <w:tcW w:w="853" w:type="dxa"/>
            <w:vAlign w:val="center"/>
            <w:textDirection w:val="lrTb"/>
            <w:noWrap w:val="false"/>
          </w:tcPr>
          <w:p>
            <w:pPr>
              <w:ind w:firstLine="68"/>
              <w:jc w:val="center"/>
              <w:rPr>
                <w:rFonts w:hint="eastAsia" w:ascii="宋体" w:hAnsi="宋体" w:eastAsia="宋体" w:cs="宋体"/>
                <w:color w:val="auto"/>
                <w:sz w:val="22"/>
                <w:highlight w:val="none"/>
                <w:lang w:bidi="zh-CN"/>
              </w:rPr>
            </w:pPr>
            <w:r>
              <w:rPr>
                <w:rFonts w:hint="eastAsia" w:ascii="宋体" w:hAnsi="宋体" w:cs="宋体"/>
                <w:color w:val="auto"/>
                <w:sz w:val="22"/>
                <w:highlight w:val="none"/>
                <w:lang w:val="en-US" w:bidi="zh-CN"/>
              </w:rPr>
              <w:t xml:space="preserve">1</w:t>
            </w:r>
            <w:r>
              <w:rPr>
                <w:rFonts w:hint="eastAsia" w:ascii="宋体" w:hAnsi="宋体" w:eastAsia="宋体" w:cs="宋体"/>
                <w:color w:val="auto"/>
                <w:sz w:val="22"/>
                <w:highlight w:val="none"/>
                <w:lang w:bidi="zh-CN"/>
              </w:rPr>
              <w:t xml:space="preserve">.0</w:t>
            </w:r>
            <w:r/>
          </w:p>
        </w:tc>
      </w:tr>
      <w:tr>
        <w:trPr>
          <w:jc w:val="center"/>
          <w:trHeight w:val="748"/>
        </w:trPr>
        <w:tc>
          <w:tcPr>
            <w:tcW w:w="636"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5.2</w:t>
            </w:r>
            <w:r/>
          </w:p>
        </w:tc>
        <w:tc>
          <w:tcPr>
            <w:tcW w:w="1047"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项目实施方案</w:t>
            </w:r>
            <w:r/>
          </w:p>
        </w:tc>
        <w:tc>
          <w:tcPr>
            <w:tcW w:w="7384" w:type="dxa"/>
            <w:vAlign w:val="center"/>
            <w:textDirection w:val="lrTb"/>
            <w:noWrap w:val="false"/>
          </w:tcPr>
          <w:p>
            <w:pPr>
              <w:numPr>
                <w:ilvl w:val="0"/>
                <w:numId w:val="0"/>
              </w:numPr>
              <w:jc w:val="left"/>
              <w:rPr>
                <w:rFonts w:hint="default" w:ascii="宋体" w:hAnsi="宋体" w:cs="宋体"/>
                <w:color w:val="auto"/>
                <w:sz w:val="22"/>
                <w:highlight w:val="none"/>
                <w:lang w:val="en-US" w:eastAsia="zh-CN" w:bidi="zh-CN"/>
              </w:rPr>
            </w:pPr>
            <w:r>
              <w:rPr>
                <w:rFonts w:hint="eastAsia" w:ascii="宋体" w:hAnsi="宋体" w:cs="宋体"/>
                <w:color w:val="auto"/>
                <w:sz w:val="22"/>
                <w:highlight w:val="none"/>
                <w:lang w:val="en-US" w:bidi="zh-CN"/>
              </w:rPr>
              <w:t xml:space="preserve">根据供应商提供的服务质量管理方案，考察其是否具有</w:t>
            </w:r>
            <w:r>
              <w:rPr>
                <w:rFonts w:hint="eastAsia" w:ascii="宋体" w:hAnsi="宋体" w:eastAsia="宋体" w:cs="宋体"/>
                <w:color w:val="auto"/>
                <w:sz w:val="22"/>
                <w:highlight w:val="none"/>
                <w:lang w:val="zh-CN" w:bidi="zh-CN"/>
              </w:rPr>
              <w:t xml:space="preserve">①项目进度安排表</w:t>
            </w:r>
            <w:r>
              <w:rPr>
                <w:rFonts w:hint="eastAsia" w:ascii="宋体" w:hAnsi="宋体" w:eastAsia="宋体" w:cs="宋体"/>
                <w:color w:val="auto"/>
                <w:sz w:val="22"/>
                <w:highlight w:val="none"/>
                <w:lang w:val="en-US" w:bidi="zh-CN"/>
              </w:rPr>
              <w:t xml:space="preserve">及人员</w:t>
            </w:r>
            <w:r>
              <w:rPr>
                <w:rFonts w:hint="eastAsia" w:ascii="宋体" w:hAnsi="宋体" w:eastAsia="宋体" w:cs="宋体"/>
                <w:color w:val="auto"/>
                <w:sz w:val="22"/>
                <w:highlight w:val="none"/>
                <w:lang w:val="zh-CN" w:bidi="zh-CN"/>
              </w:rPr>
              <w:t xml:space="preserve">投入</w:t>
            </w:r>
            <w:r>
              <w:rPr>
                <w:rFonts w:hint="eastAsia" w:ascii="宋体" w:hAnsi="宋体" w:eastAsia="宋体" w:cs="宋体"/>
                <w:color w:val="auto"/>
                <w:sz w:val="22"/>
                <w:highlight w:val="none"/>
                <w:lang w:val="en-US" w:bidi="zh-CN"/>
              </w:rPr>
              <w:t xml:space="preserve">配置</w:t>
            </w:r>
            <w:r>
              <w:rPr>
                <w:rFonts w:hint="eastAsia" w:ascii="宋体" w:hAnsi="宋体" w:eastAsia="宋体" w:cs="宋体"/>
                <w:color w:val="auto"/>
                <w:sz w:val="22"/>
                <w:highlight w:val="none"/>
                <w:lang w:val="zh-CN" w:bidi="zh-CN"/>
              </w:rPr>
              <w:t xml:space="preserve">②产品生产过程质量控制措施③</w:t>
            </w:r>
            <w:r>
              <w:rPr>
                <w:rFonts w:hint="eastAsia" w:ascii="宋体" w:hAnsi="宋体" w:eastAsia="宋体" w:cs="宋体"/>
                <w:color w:val="auto"/>
                <w:sz w:val="22"/>
                <w:highlight w:val="none"/>
                <w:lang w:val="en-US" w:bidi="zh-CN"/>
              </w:rPr>
              <w:t xml:space="preserve">整体供货组织措施</w:t>
            </w:r>
            <w:r>
              <w:rPr>
                <w:rFonts w:hint="eastAsia" w:ascii="宋体" w:hAnsi="宋体" w:eastAsia="宋体" w:cs="宋体"/>
                <w:color w:val="auto"/>
                <w:sz w:val="22"/>
                <w:highlight w:val="none"/>
                <w:lang w:val="zh-CN" w:bidi="zh-CN"/>
              </w:rPr>
              <w:t xml:space="preserve">④</w:t>
            </w:r>
            <w:r>
              <w:rPr>
                <w:rFonts w:hint="eastAsia" w:ascii="宋体" w:hAnsi="宋体" w:eastAsia="宋体" w:cs="宋体"/>
                <w:color w:val="auto"/>
                <w:sz w:val="22"/>
                <w:highlight w:val="none"/>
                <w:lang w:val="en-US" w:bidi="zh-CN"/>
              </w:rPr>
              <w:t xml:space="preserve">产品包装保障及</w:t>
            </w:r>
            <w:r>
              <w:rPr>
                <w:rFonts w:hint="eastAsia" w:ascii="宋体" w:hAnsi="宋体" w:eastAsia="宋体" w:cs="宋体"/>
                <w:color w:val="auto"/>
                <w:sz w:val="22"/>
                <w:highlight w:val="none"/>
                <w:lang w:val="zh-CN" w:bidi="zh-CN"/>
              </w:rPr>
              <w:t xml:space="preserve">运输安排⑤应急措施⑥安全文明安装及环境保护措施⑦项目验收方案⑧投标产品加工工序。每有一项内容且符合采购需求的得</w:t>
            </w:r>
            <w:r>
              <w:rPr>
                <w:rFonts w:hint="eastAsia" w:ascii="宋体" w:hAnsi="宋体" w:cs="宋体"/>
                <w:color w:val="auto"/>
                <w:sz w:val="22"/>
                <w:highlight w:val="none"/>
                <w:lang w:val="en-US" w:bidi="zh-CN"/>
              </w:rPr>
              <w:t xml:space="preserve">0.25</w:t>
            </w:r>
            <w:r>
              <w:rPr>
                <w:rFonts w:hint="eastAsia" w:ascii="宋体" w:hAnsi="宋体" w:eastAsia="宋体" w:cs="宋体"/>
                <w:color w:val="auto"/>
                <w:sz w:val="22"/>
                <w:highlight w:val="none"/>
                <w:lang w:val="zh-CN" w:bidi="zh-CN"/>
              </w:rPr>
              <w:t xml:space="preserve">分，</w:t>
            </w:r>
            <w:r>
              <w:rPr>
                <w:rFonts w:hint="eastAsia" w:ascii="宋体" w:hAnsi="宋体" w:eastAsia="宋体" w:cs="宋体"/>
                <w:color w:val="auto"/>
                <w:sz w:val="22"/>
                <w:highlight w:val="none"/>
                <w:lang w:bidi="zh-CN"/>
              </w:rPr>
              <w:t xml:space="preserve">本项最高得</w:t>
            </w:r>
            <w:r>
              <w:rPr>
                <w:rFonts w:hint="eastAsia" w:ascii="宋体" w:hAnsi="宋体" w:cs="宋体"/>
                <w:color w:val="auto"/>
                <w:sz w:val="22"/>
                <w:highlight w:val="none"/>
                <w:lang w:val="en-US" w:bidi="zh-CN"/>
              </w:rPr>
              <w:t xml:space="preserve">2</w:t>
            </w:r>
            <w:r>
              <w:rPr>
                <w:rFonts w:hint="eastAsia" w:ascii="宋体" w:hAnsi="宋体" w:eastAsia="宋体" w:cs="宋体"/>
                <w:color w:val="auto"/>
                <w:sz w:val="22"/>
                <w:highlight w:val="none"/>
                <w:lang w:bidi="zh-CN"/>
              </w:rPr>
              <w:t xml:space="preserve">分</w:t>
            </w:r>
            <w:r>
              <w:rPr>
                <w:rFonts w:hint="eastAsia" w:ascii="宋体" w:hAnsi="宋体" w:eastAsia="宋体" w:cs="宋体"/>
                <w:color w:val="auto"/>
                <w:sz w:val="22"/>
                <w:highlight w:val="none"/>
                <w:lang w:val="zh-CN" w:bidi="zh-CN"/>
              </w:rPr>
              <w:t xml:space="preserve">；不提供方案或不符合项目需求的，不得分。</w:t>
            </w:r>
            <w:r/>
          </w:p>
        </w:tc>
        <w:tc>
          <w:tcPr>
            <w:tcW w:w="853" w:type="dxa"/>
            <w:vAlign w:val="center"/>
            <w:textDirection w:val="lrTb"/>
            <w:noWrap w:val="false"/>
          </w:tcPr>
          <w:p>
            <w:pPr>
              <w:ind w:firstLine="68"/>
              <w:jc w:val="center"/>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ind w:firstLine="68"/>
              <w:jc w:val="center"/>
              <w:rPr>
                <w:rFonts w:hint="default" w:ascii="宋体" w:hAnsi="宋体" w:eastAsia="宋体" w:cs="宋体"/>
                <w:color w:val="auto"/>
                <w:sz w:val="22"/>
                <w:highlight w:val="none"/>
                <w:lang w:val="en-US" w:bidi="zh-CN"/>
              </w:rPr>
            </w:pPr>
            <w:r>
              <w:rPr>
                <w:rFonts w:hint="eastAsia" w:ascii="宋体" w:hAnsi="宋体" w:cs="宋体"/>
                <w:color w:val="auto"/>
                <w:sz w:val="22"/>
                <w:highlight w:val="none"/>
                <w:lang w:val="en-US" w:bidi="zh-CN"/>
              </w:rPr>
              <w:t xml:space="preserve">2.0</w:t>
            </w:r>
            <w:r/>
          </w:p>
        </w:tc>
      </w:tr>
      <w:tr>
        <w:trPr>
          <w:jc w:val="center"/>
          <w:trHeight w:val="1035"/>
        </w:trPr>
        <w:tc>
          <w:tcPr>
            <w:tcW w:w="636" w:type="dxa"/>
            <w:vAlign w:val="center"/>
            <w:textDirection w:val="lrTb"/>
            <w:noWrap w:val="false"/>
          </w:tcPr>
          <w:p>
            <w:pPr>
              <w:ind w:firstLine="68"/>
              <w:jc w:val="center"/>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5.3</w:t>
            </w:r>
            <w:r/>
          </w:p>
        </w:tc>
        <w:tc>
          <w:tcPr>
            <w:tcW w:w="1047"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服务方案评价</w:t>
            </w:r>
            <w:r/>
          </w:p>
        </w:tc>
        <w:tc>
          <w:tcPr>
            <w:tcW w:w="7384" w:type="dxa"/>
            <w:vAlign w:val="center"/>
            <w:textDirection w:val="lrTb"/>
            <w:noWrap w:val="false"/>
          </w:tcPr>
          <w:p>
            <w:pPr>
              <w:numPr>
                <w:ilvl w:val="0"/>
                <w:numId w:val="0"/>
              </w:numPr>
              <w:jc w:val="left"/>
              <w:widowControl w:val="off"/>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根据供应商对以下服务要求的逐条响应，每承诺满足一条要求且响应准确清晰的得</w:t>
            </w:r>
            <w:r>
              <w:rPr>
                <w:rFonts w:hint="eastAsia" w:ascii="宋体" w:hAnsi="宋体" w:eastAsia="宋体" w:cs="宋体"/>
                <w:color w:val="auto"/>
                <w:sz w:val="22"/>
                <w:szCs w:val="22"/>
                <w:highlight w:val="none"/>
                <w:lang w:val="en-US" w:eastAsia="zh-CN"/>
              </w:rPr>
              <w:t xml:space="preserve">0.4</w:t>
            </w:r>
            <w:r>
              <w:rPr>
                <w:rFonts w:hint="eastAsia" w:ascii="宋体" w:hAnsi="宋体" w:eastAsia="宋体" w:cs="宋体"/>
                <w:color w:val="auto"/>
                <w:sz w:val="22"/>
                <w:szCs w:val="22"/>
                <w:highlight w:val="none"/>
              </w:rPr>
              <w:t xml:space="preserve">分，最高得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highlight w:val="none"/>
                <w:lang w:val="zh-CN" w:bidi="zh-CN"/>
              </w:rPr>
              <w:t xml:space="preserve">；不提供方案或不符合项目需求的，不得分。</w:t>
            </w:r>
            <w:r/>
          </w:p>
          <w:p>
            <w:pPr>
              <w:rPr>
                <w:rFonts w:hint="eastAsia" w:ascii="宋体" w:hAnsi="宋体" w:eastAsia="宋体" w:cs="宋体"/>
                <w:color w:val="auto"/>
                <w:sz w:val="22"/>
                <w:highlight w:val="none"/>
                <w:lang w:val="zh-CN" w:bidi="zh-CN"/>
              </w:rPr>
            </w:pPr>
            <w:r>
              <w:rPr>
                <w:rFonts w:hint="eastAsia" w:ascii="宋体" w:hAnsi="宋体" w:eastAsia="宋体" w:cs="宋体"/>
                <w:color w:val="auto"/>
                <w:sz w:val="22"/>
                <w:szCs w:val="22"/>
                <w:highlight w:val="none"/>
              </w:rPr>
              <w:t xml:space="preserve">服务要求：</w:t>
            </w:r>
            <w:r/>
          </w:p>
          <w:p>
            <w:pPr>
              <w:ind w:firstLine="68"/>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①投标人需提供完备的产品质量保证</w:t>
            </w:r>
            <w:r/>
          </w:p>
          <w:p>
            <w:pPr>
              <w:ind w:firstLine="68"/>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②投标人需提供具有丰富经验和技术能力的售后服务人员</w:t>
            </w:r>
            <w:r/>
          </w:p>
          <w:p>
            <w:pPr>
              <w:ind w:firstLine="68"/>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③投标人需明确现场服务措施、故障解决预案、应急服务响应时间上限</w:t>
            </w:r>
            <w:r/>
          </w:p>
          <w:p>
            <w:pPr>
              <w:ind w:firstLine="68"/>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④投标人需建立完善的售后服务回访制度</w:t>
            </w:r>
            <w:r/>
          </w:p>
          <w:p>
            <w:pPr>
              <w:ind w:firstLine="68"/>
              <w:jc w:val="lef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⑤投标人需提供完善的项目培训方案及备品备件计划方案</w:t>
            </w:r>
            <w:r/>
          </w:p>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r>
            <w:r/>
          </w:p>
        </w:tc>
        <w:tc>
          <w:tcPr>
            <w:tcW w:w="853" w:type="dxa"/>
            <w:vAlign w:val="center"/>
            <w:textDirection w:val="lrTb"/>
            <w:noWrap w:val="false"/>
          </w:tcPr>
          <w:p>
            <w:pPr>
              <w:ind w:firstLine="68"/>
              <w:jc w:val="center"/>
              <w:rPr>
                <w:rFonts w:hint="default" w:ascii="宋体" w:hAnsi="宋体" w:eastAsia="宋体" w:cs="宋体"/>
                <w:color w:val="auto"/>
                <w:sz w:val="22"/>
                <w:highlight w:val="none"/>
                <w:lang w:val="en-US" w:bidi="zh-CN"/>
              </w:rPr>
            </w:pPr>
            <w:r>
              <w:rPr>
                <w:rFonts w:hint="eastAsia" w:ascii="宋体" w:hAnsi="宋体" w:cs="宋体"/>
                <w:color w:val="auto"/>
                <w:sz w:val="22"/>
                <w:highlight w:val="none"/>
                <w:lang w:val="en-US" w:bidi="zh-CN"/>
              </w:rPr>
              <w:t xml:space="preserve">2.0</w:t>
            </w:r>
            <w:r/>
          </w:p>
        </w:tc>
      </w:tr>
    </w:tbl>
    <w:p>
      <w:pPr>
        <w:jc w:val="left"/>
        <w:spacing w:line="360" w:lineRule="auto"/>
        <w:widowControl/>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（二） 商务评估</w:t>
      </w:r>
      <w:r/>
    </w:p>
    <w:tbl>
      <w:tblPr>
        <w:tblStyle w:val="689"/>
        <w:tblW w:w="98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1"/>
        <w:gridCol w:w="954"/>
        <w:gridCol w:w="7433"/>
        <w:gridCol w:w="800"/>
      </w:tblGrid>
      <w:tr>
        <w:trPr>
          <w:jc w:val="center"/>
          <w:trHeight w:val="866"/>
        </w:trPr>
        <w:tc>
          <w:tcPr>
            <w:tcW w:w="661"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序号</w:t>
            </w:r>
            <w:r/>
          </w:p>
        </w:tc>
        <w:tc>
          <w:tcPr>
            <w:tcW w:w="954"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评审因素</w:t>
            </w:r>
            <w:r/>
          </w:p>
        </w:tc>
        <w:tc>
          <w:tcPr>
            <w:tcW w:w="7433"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评审细则</w:t>
            </w:r>
            <w:r/>
          </w:p>
        </w:tc>
        <w:tc>
          <w:tcPr>
            <w:tcW w:w="800"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分值</w:t>
            </w:r>
            <w:r/>
          </w:p>
        </w:tc>
      </w:tr>
      <w:tr>
        <w:trPr>
          <w:jc w:val="center"/>
          <w:trHeight w:val="351"/>
        </w:trPr>
        <w:tc>
          <w:tcPr>
            <w:gridSpan w:val="3"/>
            <w:tcW w:w="9048"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履约能力</w:t>
            </w:r>
            <w:r/>
          </w:p>
        </w:tc>
        <w:tc>
          <w:tcPr>
            <w:tcW w:w="800"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1</w:t>
            </w:r>
            <w:r>
              <w:rPr>
                <w:rFonts w:hint="eastAsia" w:ascii="宋体" w:hAnsi="宋体" w:cs="宋体"/>
                <w:color w:val="auto"/>
                <w:sz w:val="22"/>
                <w:highlight w:val="none"/>
                <w:lang w:val="en-US" w:bidi="zh-CN"/>
              </w:rPr>
              <w:t xml:space="preserve">2</w:t>
            </w:r>
            <w:r>
              <w:rPr>
                <w:rFonts w:hint="eastAsia" w:ascii="宋体" w:hAnsi="宋体" w:eastAsia="宋体" w:cs="宋体"/>
                <w:color w:val="auto"/>
                <w:sz w:val="22"/>
                <w:highlight w:val="none"/>
                <w:lang w:val="zh-CN" w:bidi="zh-CN"/>
              </w:rPr>
              <w:t xml:space="preserve">.0</w:t>
            </w:r>
            <w:r/>
          </w:p>
        </w:tc>
      </w:tr>
      <w:tr>
        <w:trPr>
          <w:jc w:val="center"/>
          <w:trHeight w:val="1288"/>
        </w:trPr>
        <w:tc>
          <w:tcPr>
            <w:tcW w:w="661" w:type="dxa"/>
            <w:vAlign w:val="center"/>
            <w:textDirection w:val="lrTb"/>
            <w:noWrap w:val="false"/>
          </w:tcPr>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w:t>
            </w:r>
            <w:r/>
          </w:p>
        </w:tc>
        <w:tc>
          <w:tcPr>
            <w:tcW w:w="954" w:type="dxa"/>
            <w:vAlign w:val="center"/>
            <w:textDirection w:val="lrTb"/>
            <w:noWrap w:val="false"/>
          </w:tcPr>
          <w:p>
            <w:pPr>
              <w:ind w:firstLine="68"/>
              <w:jc w:val="left"/>
              <w:rPr>
                <w:rFonts w:hint="eastAsia"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同类业绩</w:t>
            </w:r>
            <w:r/>
          </w:p>
        </w:tc>
        <w:tc>
          <w:tcPr>
            <w:tcW w:w="7433" w:type="dxa"/>
            <w:vAlign w:val="center"/>
            <w:textDirection w:val="lrTb"/>
            <w:noWrap w:val="false"/>
          </w:tcPr>
          <w:p>
            <w:pPr>
              <w:pStyle w:val="1103"/>
              <w:ind w:left="143"/>
              <w:spacing w:before="131" w:line="220" w:lineRule="auto"/>
              <w:rPr>
                <w:rFonts w:ascii="Times New Roman" w:hAnsi="Times New Roman" w:eastAsia="宋体"/>
                <w:color w:val="auto"/>
                <w:spacing w:val="-1"/>
                <w:sz w:val="20"/>
                <w:highlight w:val="none"/>
              </w:rPr>
            </w:pPr>
            <w:r>
              <w:rPr>
                <w:rFonts w:ascii="Times New Roman" w:hAnsi="Times New Roman" w:eastAsia="宋体"/>
                <w:color w:val="auto"/>
                <w:spacing w:val="-5"/>
                <w:highlight w:val="none"/>
              </w:rPr>
              <w:t xml:space="preserve">自20</w:t>
            </w:r>
            <w:r>
              <w:rPr>
                <w:rFonts w:hint="eastAsia" w:ascii="Times New Roman" w:hAnsi="Times New Roman" w:eastAsia="宋体"/>
                <w:color w:val="auto"/>
                <w:spacing w:val="-5"/>
                <w:highlight w:val="none"/>
              </w:rPr>
              <w:t xml:space="preserve">2</w:t>
            </w:r>
            <w:r>
              <w:rPr>
                <w:rFonts w:hint="eastAsia" w:ascii="Times New Roman" w:hAnsi="Times New Roman" w:eastAsia="宋体"/>
                <w:color w:val="auto"/>
                <w:spacing w:val="-5"/>
                <w:highlight w:val="none"/>
                <w:lang w:val="en-US" w:eastAsia="zh-CN"/>
              </w:rPr>
              <w:t xml:space="preserve">3</w:t>
            </w:r>
            <w:r>
              <w:rPr>
                <w:rFonts w:ascii="Times New Roman" w:hAnsi="Times New Roman" w:eastAsia="宋体"/>
                <w:color w:val="auto"/>
                <w:spacing w:val="-5"/>
                <w:highlight w:val="none"/>
              </w:rPr>
              <w:t xml:space="preserve">年1月1 日起算，投标人实施过的类似</w:t>
            </w:r>
            <w:r>
              <w:rPr>
                <w:rFonts w:ascii="Times New Roman" w:hAnsi="Times New Roman" w:eastAsia="宋体"/>
                <w:color w:val="auto"/>
                <w:spacing w:val="-6"/>
                <w:highlight w:val="none"/>
              </w:rPr>
              <w:t xml:space="preserve">项目</w:t>
            </w:r>
            <w:r>
              <w:rPr>
                <w:rFonts w:hint="eastAsia" w:ascii="Times New Roman" w:hAnsi="Times New Roman" w:eastAsia="宋体"/>
                <w:color w:val="auto"/>
                <w:spacing w:val="-6"/>
                <w:highlight w:val="none"/>
                <w:lang w:eastAsia="zh-CN"/>
              </w:rPr>
              <w:t xml:space="preserve">的，每</w:t>
            </w:r>
            <w:r>
              <w:rPr>
                <w:rFonts w:ascii="Times New Roman" w:hAnsi="Times New Roman" w:eastAsia="宋体"/>
                <w:color w:val="auto"/>
                <w:spacing w:val="-6"/>
                <w:highlight w:val="none"/>
              </w:rPr>
              <w:t xml:space="preserve">有一例得</w:t>
            </w:r>
            <w:r>
              <w:rPr>
                <w:rFonts w:hint="eastAsia" w:ascii="Times New Roman" w:hAnsi="Times New Roman" w:eastAsia="宋体"/>
                <w:color w:val="auto"/>
                <w:spacing w:val="-6"/>
                <w:highlight w:val="none"/>
                <w:lang w:val="en-US" w:eastAsia="zh-CN"/>
              </w:rPr>
              <w:t xml:space="preserve">0.5</w:t>
            </w:r>
            <w:r>
              <w:rPr>
                <w:rFonts w:ascii="Times New Roman" w:hAnsi="Times New Roman" w:eastAsia="宋体"/>
                <w:color w:val="auto"/>
                <w:spacing w:val="-6"/>
                <w:highlight w:val="none"/>
              </w:rPr>
              <w:t xml:space="preserve">分，最高得</w:t>
            </w:r>
            <w:r>
              <w:rPr>
                <w:rFonts w:hint="eastAsia" w:ascii="Times New Roman" w:hAnsi="Times New Roman" w:eastAsia="宋体"/>
                <w:color w:val="auto"/>
                <w:spacing w:val="-6"/>
                <w:highlight w:val="none"/>
                <w:lang w:val="en-US" w:eastAsia="zh-CN"/>
              </w:rPr>
              <w:t xml:space="preserve">1</w:t>
            </w:r>
            <w:r>
              <w:rPr>
                <w:rFonts w:ascii="Times New Roman" w:hAnsi="Times New Roman" w:eastAsia="宋体"/>
                <w:color w:val="auto"/>
                <w:spacing w:val="-1"/>
                <w:highlight w:val="none"/>
              </w:rPr>
              <w:t xml:space="preserve">分</w:t>
            </w:r>
            <w:r/>
          </w:p>
          <w:p>
            <w:pPr>
              <w:ind w:firstLine="68"/>
              <w:jc w:val="left"/>
              <w:rPr>
                <w:rFonts w:hint="eastAsia" w:ascii="宋体" w:hAnsi="宋体" w:eastAsia="宋体" w:cs="宋体"/>
                <w:color w:val="auto"/>
                <w:sz w:val="22"/>
                <w:highlight w:val="none"/>
                <w:lang w:val="zh-CN" w:bidi="zh-CN"/>
              </w:rPr>
            </w:pPr>
            <w:r>
              <w:rPr>
                <w:rFonts w:hint="eastAsia" w:ascii="Times New Roman" w:hAnsi="Times New Roman" w:eastAsia="宋体"/>
                <w:color w:val="auto"/>
                <w:spacing w:val="-1"/>
                <w:highlight w:val="none"/>
              </w:rPr>
              <w:t xml:space="preserve">（注：</w:t>
            </w:r>
            <w:r>
              <w:rPr>
                <w:rFonts w:ascii="Times New Roman" w:hAnsi="Times New Roman" w:eastAsia="宋体"/>
                <w:color w:val="auto"/>
                <w:spacing w:val="-1"/>
                <w:highlight w:val="none"/>
              </w:rPr>
              <w:t xml:space="preserve">须提供合同</w:t>
            </w:r>
            <w:r>
              <w:rPr>
                <w:rFonts w:hint="eastAsia" w:ascii="Times New Roman" w:hAnsi="Times New Roman" w:eastAsia="宋体"/>
                <w:color w:val="auto"/>
                <w:spacing w:val="-1"/>
                <w:highlight w:val="none"/>
              </w:rPr>
              <w:t xml:space="preserve">复印件或扫描件加盖投标人公章，不提供不得分）</w:t>
            </w:r>
            <w:r/>
          </w:p>
        </w:tc>
        <w:tc>
          <w:tcPr>
            <w:tcW w:w="800" w:type="dxa"/>
            <w:vAlign w:val="center"/>
            <w:textDirection w:val="lrTb"/>
            <w:noWrap w:val="false"/>
          </w:tcPr>
          <w:p>
            <w:pPr>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en-US" w:bidi="zh-CN"/>
              </w:rPr>
              <w:t xml:space="preserve">1</w:t>
            </w:r>
            <w:r>
              <w:rPr>
                <w:rFonts w:hint="eastAsia" w:ascii="宋体" w:hAnsi="宋体" w:eastAsia="宋体" w:cs="宋体"/>
                <w:color w:val="auto"/>
                <w:sz w:val="22"/>
                <w:highlight w:val="none"/>
                <w:lang w:val="zh-CN" w:bidi="zh-CN"/>
              </w:rPr>
              <w:t xml:space="preserve">.0</w:t>
            </w:r>
            <w:r/>
          </w:p>
        </w:tc>
      </w:tr>
      <w:tr>
        <w:trPr>
          <w:jc w:val="center"/>
          <w:trHeight w:val="768"/>
        </w:trPr>
        <w:tc>
          <w:tcPr>
            <w:tcW w:w="661"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2</w:t>
            </w:r>
            <w:r/>
          </w:p>
        </w:tc>
        <w:tc>
          <w:tcPr>
            <w:tcW w:w="954" w:type="dxa"/>
            <w:vAlign w:val="center"/>
            <w:textDirection w:val="lrTb"/>
            <w:noWrap w:val="false"/>
          </w:tcPr>
          <w:p>
            <w:pPr>
              <w:jc w:val="left"/>
              <w:widowControl/>
              <w:rPr>
                <w:rFonts w:hint="eastAsia" w:ascii="宋体" w:hAnsi="宋体" w:eastAsia="宋体" w:cs="宋体"/>
                <w:color w:val="auto"/>
                <w:sz w:val="22"/>
                <w:highlight w:val="none"/>
                <w:lang w:bidi="zh-CN"/>
              </w:rPr>
            </w:pPr>
            <w:r>
              <w:rPr>
                <w:rFonts w:hint="eastAsia" w:ascii="宋体" w:hAnsi="宋体" w:eastAsia="宋体" w:cs="宋体"/>
                <w:color w:val="auto"/>
                <w:sz w:val="22"/>
                <w:highlight w:val="none"/>
                <w:lang w:bidi="zh-CN"/>
              </w:rPr>
              <w:t xml:space="preserve">体系认证</w:t>
            </w:r>
            <w:r/>
          </w:p>
        </w:tc>
        <w:tc>
          <w:tcPr>
            <w:tcW w:w="7433" w:type="dxa"/>
            <w:vAlign w:val="center"/>
            <w:textDirection w:val="lrTb"/>
            <w:noWrap w:val="false"/>
          </w:tcPr>
          <w:p>
            <w:pPr>
              <w:numPr>
                <w:ilvl w:val="0"/>
                <w:numId w:val="0"/>
              </w:numPr>
              <w:jc w:val="left"/>
              <w:widowControl w:val="off"/>
              <w:tabs>
                <w:tab w:val="left" w:pos="312" w:leader="none"/>
              </w:tabs>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（1）投标人或所投产品制造商具备有效期内的质量管理体系认证证书，认证范围包含：①家具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③家具</w:t>
            </w:r>
            <w:r>
              <w:rPr>
                <w:rFonts w:hint="eastAsia" w:ascii="宋体" w:hAnsi="宋体" w:eastAsia="宋体" w:cs="宋体"/>
                <w:color w:val="auto"/>
                <w:sz w:val="22"/>
                <w:highlight w:val="none"/>
                <w:lang w:val="en-US" w:bidi="zh-CN"/>
              </w:rPr>
              <w:t xml:space="preserve">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（2）投标人或所投产品制造商具备有效期内的环境管理体系认证证书，认证范围包含：①</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w:t>
            </w:r>
            <w:r>
              <w:rPr>
                <w:rFonts w:hint="eastAsia" w:ascii="宋体" w:hAnsi="宋体" w:eastAsia="宋体" w:cs="宋体"/>
                <w:color w:val="auto"/>
                <w:sz w:val="22"/>
                <w:highlight w:val="none"/>
                <w:lang w:val="en-US" w:bidi="zh-CN"/>
              </w:rPr>
              <w:t xml:space="preserve">家具的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（3）投标人或所投产品制造商具备有效期内的</w:t>
            </w:r>
            <w:r>
              <w:rPr>
                <w:rFonts w:hint="eastAsia" w:ascii="宋体" w:hAnsi="宋体" w:eastAsia="宋体" w:cs="宋体"/>
                <w:color w:val="auto"/>
                <w:sz w:val="22"/>
                <w:highlight w:val="none"/>
                <w:lang w:bidi="zh-CN"/>
              </w:rPr>
              <w:t xml:space="preserve">职业健康安全</w:t>
            </w:r>
            <w:r>
              <w:rPr>
                <w:rFonts w:hint="eastAsia" w:ascii="宋体" w:hAnsi="宋体" w:cs="宋体"/>
                <w:color w:val="auto"/>
                <w:sz w:val="22"/>
                <w:highlight w:val="none"/>
                <w:lang w:val="en-US" w:bidi="zh-CN"/>
              </w:rPr>
              <w:t xml:space="preserve">管理体系认证证书，认证范围包含：①</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w:t>
            </w:r>
            <w:r>
              <w:rPr>
                <w:rFonts w:hint="eastAsia" w:ascii="宋体" w:hAnsi="宋体" w:eastAsia="宋体" w:cs="宋体"/>
                <w:color w:val="auto"/>
                <w:sz w:val="22"/>
                <w:highlight w:val="none"/>
                <w:lang w:val="en-US" w:bidi="zh-CN"/>
              </w:rPr>
              <w:t xml:space="preserve">家具的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（4）</w:t>
            </w:r>
            <w:r>
              <w:rPr>
                <w:rFonts w:hint="eastAsia" w:ascii="宋体" w:hAnsi="宋体" w:eastAsia="宋体" w:cs="宋体"/>
                <w:color w:val="auto"/>
                <w:sz w:val="22"/>
                <w:highlight w:val="none"/>
                <w:lang w:val="en-US" w:eastAsia="zh-CN" w:bidi="zh-CN"/>
              </w:rPr>
              <w:t xml:space="preserve">投标人或所投产品制造商具有有效的家具有害物质限量产品认证证书，认证产品名称（材质与本次招标产品一致）包含医用治疗柜、医用处置柜、医用配餐柜、医用水盆柜、医用吊柜、中药柜、诊断桌、候诊椅的，有一个得0.25分，最高得2分。</w:t>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（5）</w:t>
            </w:r>
            <w:r>
              <w:rPr>
                <w:rFonts w:hint="eastAsia" w:ascii="宋体" w:hAnsi="宋体" w:eastAsia="宋体" w:cs="宋体"/>
                <w:color w:val="auto"/>
                <w:sz w:val="22"/>
                <w:highlight w:val="none"/>
                <w:lang w:val="en-US" w:eastAsia="zh-CN" w:bidi="zh-CN"/>
              </w:rPr>
              <w:t xml:space="preserve">投标人或所投产品制造商具有有效的产品阻燃等级认证证书，认证产品名称（材质与本次招标产品一致）包含医用治疗柜、医用处置柜、医用配餐柜、医用水盆柜、医用吊柜、中药柜、诊断桌、候诊椅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，有一个得0.25分，最高得2分。</w:t>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jc w:val="left"/>
              <w:widowControl/>
              <w:rPr>
                <w:rFonts w:hint="default"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（6）投标人或所投产品制造商具有有效的产品安全认证证书，认证产品名称（材质与本次招标产品一致）包含医用治疗柜、医用处置柜、医用配餐柜、医用水盆柜、医用吊柜、中药柜、诊断桌、候诊椅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，有一个得0.25分，最高得2分。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jc w:val="left"/>
              <w:widowControl w:val="off"/>
              <w:tabs>
                <w:tab w:val="left" w:pos="312" w:leader="none"/>
              </w:tabs>
              <w:rPr>
                <w:rFonts w:hint="default" w:ascii="宋体" w:hAnsi="宋体" w:cs="宋体"/>
                <w:color w:val="auto"/>
                <w:sz w:val="22"/>
                <w:highlight w:val="none"/>
                <w:lang w:val="en-US" w:eastAsia="zh-CN" w:bidi="zh-CN"/>
              </w:rPr>
            </w:pPr>
            <w:r>
              <w:rPr>
                <w:rFonts w:hint="eastAsia" w:ascii="宋体" w:hAnsi="宋体" w:cs="宋体"/>
                <w:color w:val="auto"/>
                <w:sz w:val="22"/>
                <w:highlight w:val="none"/>
                <w:lang w:val="en-US" w:bidi="zh-CN"/>
              </w:rPr>
              <w:t xml:space="preserve">注:须提供以上有效期内证书复印件或扫描件，并提供全国认证认可信息公共服务平台证书查询截图。以上证明材料应加盖投标人公章，未按要求提供不得分。</w:t>
            </w:r>
            <w:r/>
          </w:p>
        </w:tc>
        <w:tc>
          <w:tcPr>
            <w:tcW w:w="800" w:type="dxa"/>
            <w:vAlign w:val="center"/>
            <w:textDirection w:val="lrTb"/>
            <w:noWrap w:val="false"/>
          </w:tcPr>
          <w:p>
            <w:pPr>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center"/>
              <w:rPr>
                <w:rFonts w:hint="eastAsia" w:ascii="宋体" w:hAnsi="宋体" w:eastAsia="宋体" w:cs="宋体"/>
                <w:color w:val="auto"/>
                <w:sz w:val="22"/>
                <w:highlight w:val="none"/>
                <w:lang w:val="zh-CN" w:bidi="zh-CN"/>
              </w:rPr>
            </w:pPr>
            <w:r>
              <w:rPr>
                <w:rFonts w:hint="eastAsia" w:ascii="宋体" w:hAnsi="宋体" w:cs="宋体"/>
                <w:color w:val="auto"/>
                <w:sz w:val="22"/>
                <w:highlight w:val="none"/>
                <w:lang w:val="en-US" w:bidi="zh-CN"/>
              </w:rPr>
              <w:t xml:space="preserve">9</w:t>
            </w:r>
            <w:r>
              <w:rPr>
                <w:rFonts w:hint="eastAsia" w:ascii="宋体" w:hAnsi="宋体" w:eastAsia="宋体" w:cs="宋体"/>
                <w:color w:val="auto"/>
                <w:sz w:val="22"/>
                <w:highlight w:val="none"/>
                <w:lang w:val="zh-CN" w:bidi="zh-CN"/>
              </w:rPr>
              <w:t xml:space="preserve">.0</w:t>
            </w:r>
            <w:r/>
          </w:p>
        </w:tc>
      </w:tr>
      <w:tr>
        <w:trPr>
          <w:jc w:val="center"/>
          <w:trHeight w:val="493"/>
        </w:trPr>
        <w:tc>
          <w:tcPr>
            <w:tcW w:w="661"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3</w:t>
            </w:r>
            <w:r/>
          </w:p>
        </w:tc>
        <w:tc>
          <w:tcPr>
            <w:tcW w:w="954" w:type="dxa"/>
            <w:vAlign w:val="center"/>
            <w:textDirection w:val="lrTb"/>
            <w:noWrap w:val="false"/>
          </w:tcPr>
          <w:p>
            <w:pPr>
              <w:ind w:left="65"/>
              <w:jc w:val="left"/>
              <w:keepNext/>
              <w:tabs>
                <w:tab w:val="left" w:pos="432" w:leader="none"/>
              </w:tabs>
              <w:rPr>
                <w:rFonts w:hint="eastAsia" w:ascii="宋体" w:hAnsi="宋体" w:eastAsia="宋体" w:cs="宋体"/>
                <w:color w:val="auto"/>
                <w:sz w:val="24"/>
                <w:szCs w:val="32"/>
                <w:highlight w:val="none"/>
                <w:lang w:bidi="zh-CN"/>
              </w:rPr>
              <w:outlineLvl w:val="0"/>
            </w:pPr>
            <w:r>
              <w:rPr>
                <w:rFonts w:hint="eastAsia" w:ascii="宋体" w:hAnsi="宋体" w:eastAsia="宋体" w:cs="宋体"/>
                <w:color w:val="auto"/>
                <w:sz w:val="22"/>
                <w:highlight w:val="none"/>
                <w:lang w:bidi="zh-CN"/>
              </w:rPr>
              <w:t xml:space="preserve">环保证书</w:t>
            </w:r>
            <w:r/>
          </w:p>
        </w:tc>
        <w:tc>
          <w:tcPr>
            <w:tcW w:w="7433" w:type="dxa"/>
            <w:vAlign w:val="center"/>
            <w:textDirection w:val="lrTb"/>
            <w:noWrap w:val="false"/>
          </w:tcPr>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投标人或制造商具备有效期内的环境标志产品认证证书，认证产品名称（材质与本次招标产品一致）包含医用治疗柜、医用处置柜、医用配餐柜、医用水盆柜、医用吊柜、中药柜、诊断桌、候诊椅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，有一个得0.25分，最高得2分。</w:t>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jc w:val="left"/>
              <w:keepNext/>
              <w:tabs>
                <w:tab w:val="left" w:pos="432" w:leader="none"/>
              </w:tabs>
              <w:rPr>
                <w:rFonts w:hint="eastAsia" w:ascii="宋体" w:hAnsi="宋体" w:eastAsia="宋体" w:cs="宋体"/>
                <w:color w:val="auto"/>
                <w:sz w:val="24"/>
                <w:szCs w:val="32"/>
                <w:highlight w:val="none"/>
                <w:lang w:bidi="zh-CN"/>
              </w:rPr>
              <w:outlineLvl w:val="0"/>
            </w:pPr>
            <w:r>
              <w:rPr>
                <w:rFonts w:hint="eastAsia" w:ascii="宋体" w:hAnsi="宋体" w:cs="宋体"/>
                <w:color w:val="auto"/>
                <w:sz w:val="22"/>
                <w:highlight w:val="none"/>
                <w:lang w:val="en-US" w:bidi="zh-CN"/>
              </w:rPr>
              <w:t xml:space="preserve">注:须提供以上有效期内证书复印件或扫描件，并提供全国认证认可信息公共服务平台证书查询截图。以上证明材料应加盖投标人公章，未按要求提供不得分。</w:t>
            </w:r>
            <w:r/>
          </w:p>
        </w:tc>
        <w:tc>
          <w:tcPr>
            <w:tcW w:w="800" w:type="dxa"/>
            <w:vAlign w:val="center"/>
            <w:textDirection w:val="lrTb"/>
            <w:noWrap w:val="false"/>
          </w:tcPr>
          <w:p>
            <w:pPr>
              <w:ind w:firstLine="68"/>
              <w:jc w:val="center"/>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r>
            <w:r/>
          </w:p>
          <w:p>
            <w:pPr>
              <w:ind w:firstLine="68"/>
              <w:jc w:val="center"/>
              <w:rPr>
                <w:rFonts w:hint="eastAsia" w:ascii="宋体" w:hAnsi="宋体" w:eastAsia="宋体" w:cs="宋体"/>
                <w:color w:val="auto"/>
                <w:sz w:val="22"/>
                <w:highlight w:val="none"/>
                <w:lang w:val="zh-CN" w:bidi="zh-CN"/>
              </w:rPr>
            </w:pPr>
            <w:r>
              <w:rPr>
                <w:rFonts w:hint="eastAsia" w:ascii="宋体" w:hAnsi="宋体" w:cs="宋体"/>
                <w:color w:val="auto"/>
                <w:sz w:val="22"/>
                <w:highlight w:val="none"/>
                <w:lang w:val="en-US" w:bidi="zh-CN"/>
              </w:rPr>
              <w:t xml:space="preserve">2</w:t>
            </w:r>
            <w:r>
              <w:rPr>
                <w:rFonts w:hint="eastAsia" w:ascii="宋体" w:hAnsi="宋体" w:eastAsia="宋体" w:cs="宋体"/>
                <w:color w:val="auto"/>
                <w:sz w:val="22"/>
                <w:highlight w:val="none"/>
                <w:lang w:val="zh-CN" w:bidi="zh-CN"/>
              </w:rPr>
              <w:t xml:space="preserve">.0</w:t>
            </w:r>
            <w:r/>
          </w:p>
        </w:tc>
      </w:tr>
    </w:tbl>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jc w:val="left"/>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（三）价格评估</w:t>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tbl>
      <w:tblPr>
        <w:tblStyle w:val="689"/>
        <w:tblpPr w:horzAnchor="page" w:tblpX="1345" w:vertAnchor="text" w:tblpY="373" w:leftFromText="180" w:topFromText="0" w:rightFromText="180" w:bottomFromText="0"/>
        <w:tblW w:w="93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571"/>
        <w:gridCol w:w="7631"/>
        <w:gridCol w:w="636"/>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740"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综合评分法中的价格分采用低价优先法计算，即满足招标文件要求且投标价格最低的投标报价为评标基准价，其价格分为满分 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 分。其他投标人的价格分统一按照下列公式计算：投标报价得分= (评标基准价／投标报价)×3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。(四舍五入后保留2位小数)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r/>
          </w:p>
        </w:tc>
      </w:tr>
    </w:tbl>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p>
    <w:p>
      <w:pPr>
        <w:numPr>
          <w:ilvl w:val="0"/>
          <w:numId w:val="0"/>
        </w:numPr>
        <w:jc w:val="left"/>
        <w:widowControl/>
        <w:rPr>
          <w:rFonts w:hint="eastAsia" w:ascii="宋体" w:hAnsi="宋体" w:eastAsia="宋体" w:cs="楷体"/>
          <w:b/>
          <w:color w:val="auto"/>
          <w:sz w:val="24"/>
          <w:szCs w:val="24"/>
          <w:highlight w:val="none"/>
          <w:lang w:eastAsia="zh-CN"/>
        </w:rPr>
      </w:pPr>
      <w:r>
        <w:rPr>
          <w:rFonts w:hint="eastAsia" w:ascii="宋体" w:hAnsi="宋体" w:eastAsia="宋体" w:cs="楷体"/>
          <w:b/>
          <w:color w:val="auto"/>
          <w:sz w:val="24"/>
          <w:szCs w:val="24"/>
          <w:highlight w:val="none"/>
          <w:lang w:eastAsia="zh-CN"/>
        </w:rPr>
        <w:t xml:space="preserve">采购包2：</w:t>
      </w:r>
      <w:r/>
    </w:p>
    <w:p>
      <w:pPr>
        <w:jc w:val="left"/>
        <w:widowControl/>
        <w:rPr>
          <w:rFonts w:hint="eastAsia" w:ascii="宋体" w:hAnsi="宋体" w:eastAsia="宋体" w:cs="楷体"/>
          <w:b/>
          <w:color w:val="auto"/>
          <w:sz w:val="30"/>
          <w:szCs w:val="30"/>
          <w:highlight w:val="none"/>
        </w:rPr>
      </w:pPr>
      <w:r>
        <w:rPr>
          <w:rFonts w:hint="eastAsia" w:ascii="宋体" w:hAnsi="宋体" w:eastAsia="宋体" w:cs="楷体"/>
          <w:b/>
          <w:color w:val="auto"/>
          <w:sz w:val="30"/>
          <w:szCs w:val="30"/>
          <w:highlight w:val="none"/>
        </w:rPr>
      </w:r>
      <w:r/>
    </w:p>
    <w:tbl>
      <w:tblPr>
        <w:tblStyle w:val="689"/>
        <w:tblW w:w="496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2791"/>
        <w:gridCol w:w="2669"/>
        <w:gridCol w:w="205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70"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9"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74"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070"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91"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lang w:val="en-US" w:eastAsia="zh-CN"/>
              </w:rPr>
              <w:t xml:space="preserve">53</w:t>
            </w:r>
            <w:r>
              <w:rPr>
                <w:rFonts w:hint="eastAsia" w:ascii="宋体" w:hAnsi="宋体" w:eastAsia="宋体" w:cs="楷体"/>
                <w:color w:val="auto"/>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69" w:type="dxa"/>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lang w:val="en-US" w:eastAsia="zh-CN"/>
              </w:rPr>
              <w:t xml:space="preserve">12</w:t>
            </w:r>
            <w:r>
              <w:rPr>
                <w:rFonts w:hint="eastAsia" w:ascii="宋体" w:hAnsi="宋体" w:eastAsia="宋体" w:cs="楷体"/>
                <w:color w:val="auto"/>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74" w:type="pct"/>
            <w:vAlign w:val="center"/>
            <w:textDirection w:val="lrTb"/>
            <w:noWrap/>
          </w:tcPr>
          <w:p>
            <w:pPr>
              <w:jc w:val="center"/>
              <w:widowControl/>
              <w:rPr>
                <w:rFonts w:ascii="宋体" w:hAnsi="宋体" w:eastAsia="宋体" w:cs="楷体"/>
                <w:color w:val="auto"/>
                <w:szCs w:val="24"/>
                <w:highlight w:val="none"/>
              </w:rPr>
            </w:pPr>
            <w:r>
              <w:rPr>
                <w:rFonts w:hint="eastAsia" w:ascii="宋体" w:hAnsi="宋体" w:eastAsia="宋体" w:cs="楷体"/>
                <w:color w:val="auto"/>
                <w:szCs w:val="24"/>
                <w:highlight w:val="none"/>
              </w:rPr>
              <w:t xml:space="preserve">3</w:t>
            </w:r>
            <w:r>
              <w:rPr>
                <w:rFonts w:hint="eastAsia" w:ascii="宋体" w:hAnsi="宋体" w:eastAsia="宋体" w:cs="楷体"/>
                <w:color w:val="auto"/>
                <w:szCs w:val="24"/>
                <w:highlight w:val="none"/>
                <w:lang w:val="en-US" w:eastAsia="zh-CN"/>
              </w:rPr>
              <w:t xml:space="preserve">5</w:t>
            </w:r>
            <w:r>
              <w:rPr>
                <w:rFonts w:hint="eastAsia" w:ascii="宋体" w:hAnsi="宋体" w:eastAsia="宋体" w:cs="楷体"/>
                <w:color w:val="auto"/>
                <w:szCs w:val="24"/>
                <w:highlight w:val="none"/>
              </w:rPr>
              <w:t xml:space="preserve">.0</w:t>
            </w:r>
            <w:r/>
          </w:p>
        </w:tc>
      </w:tr>
    </w:tbl>
    <w:p>
      <w:pPr>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（一）技术评估</w:t>
      </w:r>
      <w:r/>
    </w:p>
    <w:tbl>
      <w:tblPr>
        <w:tblStyle w:val="689"/>
        <w:tblW w:w="99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6"/>
        <w:gridCol w:w="869"/>
        <w:gridCol w:w="7638"/>
        <w:gridCol w:w="777"/>
      </w:tblGrid>
      <w:tr>
        <w:trPr>
          <w:jc w:val="center"/>
          <w:trHeight w:val="748"/>
        </w:trPr>
        <w:tc>
          <w:tcPr>
            <w:tcW w:w="636"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序号</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评审因素</w:t>
            </w:r>
            <w:r/>
          </w:p>
        </w:tc>
        <w:tc>
          <w:tcPr>
            <w:tcW w:w="7638"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评审细则</w:t>
            </w:r>
            <w:r/>
          </w:p>
        </w:tc>
        <w:tc>
          <w:tcPr>
            <w:tcW w:w="777"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r>
            <w:r/>
          </w:p>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分值</w:t>
            </w:r>
            <w:r/>
          </w:p>
        </w:tc>
      </w:tr>
      <w:tr>
        <w:trPr>
          <w:jc w:val="center"/>
          <w:trHeight w:val="748"/>
        </w:trPr>
        <w:tc>
          <w:tcPr>
            <w:gridSpan w:val="3"/>
            <w:tcW w:w="9143"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工艺及成品评价</w:t>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bidi="zh-CN"/>
              </w:rPr>
              <w:t xml:space="preserve">18</w:t>
            </w:r>
            <w:r>
              <w:rPr>
                <w:rFonts w:hint="eastAsia" w:ascii="宋体" w:hAnsi="宋体" w:eastAsia="宋体" w:cs="宋体"/>
                <w:color w:val="auto"/>
                <w:sz w:val="21"/>
                <w:szCs w:val="21"/>
                <w:highlight w:val="none"/>
                <w:lang w:val="zh-CN" w:bidi="zh-CN"/>
              </w:rPr>
              <w:t xml:space="preserve">.0</w:t>
            </w:r>
            <w:r/>
          </w:p>
        </w:tc>
      </w:tr>
      <w:tr>
        <w:trPr>
          <w:jc w:val="center"/>
          <w:trHeight w:val="748"/>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 xml:space="preserve">1.</w:t>
            </w:r>
            <w:r>
              <w:rPr>
                <w:rFonts w:hint="eastAsia" w:ascii="宋体" w:hAnsi="宋体" w:eastAsia="宋体" w:cs="宋体"/>
                <w:color w:val="auto"/>
                <w:sz w:val="21"/>
                <w:szCs w:val="21"/>
                <w:highlight w:val="none"/>
                <w:lang w:val="en-US" w:bidi="zh-CN"/>
              </w:rPr>
              <w:t xml:space="preserve">1</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cs="宋体"/>
                <w:b w:val="0"/>
                <w:bCs w:val="0"/>
                <w:color w:val="auto"/>
                <w:sz w:val="22"/>
                <w:highlight w:val="none"/>
                <w:lang w:val="zh-CN" w:bidi="zh-CN"/>
              </w:rPr>
              <w:t xml:space="preserve">投标产品工艺方案评价</w:t>
            </w:r>
            <w:r/>
          </w:p>
        </w:tc>
        <w:tc>
          <w:tcPr>
            <w:tcW w:w="7638"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产品的符合性：投标人</w:t>
            </w:r>
            <w:r>
              <w:rPr>
                <w:rFonts w:hint="eastAsia" w:ascii="宋体" w:hAnsi="宋体" w:eastAsia="宋体" w:cs="宋体"/>
                <w:color w:val="auto"/>
                <w:sz w:val="22"/>
                <w:highlight w:val="none"/>
                <w:lang w:bidi="zh-CN"/>
              </w:rPr>
              <w:t xml:space="preserve">提供产品清单</w:t>
            </w:r>
            <w:r>
              <w:rPr>
                <w:rFonts w:hint="eastAsia" w:ascii="宋体" w:hAnsi="宋体" w:cs="宋体"/>
                <w:color w:val="auto"/>
                <w:sz w:val="22"/>
                <w:highlight w:val="none"/>
                <w:lang w:val="en-US" w:bidi="zh-CN"/>
              </w:rPr>
              <w:t xml:space="preserve">中</w:t>
            </w:r>
            <w:r>
              <w:rPr>
                <w:rFonts w:hint="eastAsia" w:ascii="宋体" w:hAnsi="宋体" w:eastAsia="宋体" w:cs="宋体"/>
                <w:color w:val="auto"/>
                <w:sz w:val="22"/>
                <w:highlight w:val="none"/>
                <w:lang w:bidi="zh-CN"/>
              </w:rPr>
              <w:t xml:space="preserve">标</w:t>
            </w:r>
            <w:bookmarkStart w:id="88" w:name="OLE_LINK14"/>
            <w:r>
              <w:rPr>
                <w:rFonts w:hint="eastAsia" w:ascii="宋体" w:hAnsi="宋体" w:cs="宋体"/>
                <w:color w:val="auto"/>
                <w:sz w:val="22"/>
                <w:highlight w:val="none"/>
                <w:lang w:bidi="zh-CN"/>
              </w:rPr>
              <w:t xml:space="preserve">“</w:t>
            </w:r>
            <w:r>
              <w:rPr>
                <w:rFonts w:hint="eastAsia" w:ascii="宋体" w:hAnsi="宋体" w:eastAsia="宋体" w:cs="宋体"/>
                <w:color w:val="auto"/>
                <w:sz w:val="22"/>
                <w:highlight w:val="none"/>
                <w:lang w:bidi="zh-CN"/>
              </w:rPr>
              <w:t xml:space="preserve">○</w:t>
            </w:r>
            <w:bookmarkEnd w:id="88"/>
            <w:r>
              <w:rPr>
                <w:rFonts w:hint="eastAsia" w:ascii="宋体" w:hAnsi="宋体" w:cs="宋体"/>
                <w:color w:val="auto"/>
                <w:sz w:val="22"/>
                <w:highlight w:val="none"/>
                <w:lang w:bidi="zh-CN"/>
              </w:rPr>
              <w:t xml:space="preserve">”</w:t>
            </w:r>
            <w:r>
              <w:rPr>
                <w:rFonts w:hint="eastAsia" w:ascii="宋体" w:hAnsi="宋体" w:eastAsia="宋体" w:cs="宋体"/>
                <w:color w:val="auto"/>
                <w:sz w:val="22"/>
                <w:highlight w:val="none"/>
                <w:lang w:bidi="zh-CN"/>
              </w:rPr>
              <w:t xml:space="preserve">的</w:t>
            </w:r>
            <w:r>
              <w:rPr>
                <w:rFonts w:hint="eastAsia" w:ascii="宋体" w:hAnsi="宋体" w:cs="宋体"/>
                <w:color w:val="auto"/>
                <w:sz w:val="22"/>
                <w:highlight w:val="none"/>
                <w:lang w:val="en-US" w:bidi="zh-CN"/>
              </w:rPr>
              <w:t xml:space="preserve">20</w:t>
            </w:r>
            <w:r>
              <w:rPr>
                <w:rFonts w:hint="eastAsia" w:ascii="宋体" w:hAnsi="宋体" w:eastAsia="宋体" w:cs="宋体"/>
                <w:color w:val="auto"/>
                <w:sz w:val="22"/>
                <w:highlight w:val="none"/>
                <w:lang w:bidi="zh-CN"/>
              </w:rPr>
              <w:t xml:space="preserve">项产品</w:t>
            </w:r>
            <w:r>
              <w:rPr>
                <w:rFonts w:hint="eastAsia" w:ascii="宋体" w:hAnsi="宋体" w:eastAsia="宋体" w:cs="宋体"/>
                <w:color w:val="auto"/>
                <w:sz w:val="22"/>
                <w:highlight w:val="none"/>
                <w:lang w:val="zh-CN" w:bidi="zh-CN"/>
              </w:rPr>
              <w:t xml:space="preserve">的三视图、部件分解图、用料说明、彩图或实物图，由评委评分：</w:t>
            </w:r>
            <w:r/>
          </w:p>
          <w:p>
            <w:pPr>
              <w:numPr>
                <w:ilvl w:val="0"/>
                <w:numId w:val="9"/>
              </w:numPr>
              <w:ind w:firstLine="68"/>
              <w:jc w:val="both"/>
              <w:rPr>
                <w:rFonts w:hint="eastAsia" w:ascii="宋体" w:hAnsi="宋体" w:cs="宋体"/>
                <w:color w:val="auto"/>
                <w:sz w:val="22"/>
                <w:highlight w:val="none"/>
                <w:lang w:val="zh-CN" w:bidi="zh-CN"/>
              </w:rPr>
            </w:pPr>
            <w:r>
              <w:rPr>
                <w:rFonts w:hint="eastAsia" w:ascii="宋体" w:hAnsi="宋体" w:eastAsia="宋体" w:cs="宋体"/>
                <w:color w:val="auto"/>
                <w:sz w:val="22"/>
                <w:highlight w:val="none"/>
                <w:lang w:val="zh-CN" w:bidi="zh-CN"/>
              </w:rPr>
              <w:t xml:space="preserve">三视图：主视图、俯视图、左视图齐全；</w:t>
            </w:r>
            <w:r/>
          </w:p>
          <w:p>
            <w:pPr>
              <w:ind w:firstLine="68"/>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（2）产品部件分解图：标注主要产品部件；</w:t>
            </w:r>
            <w:r/>
          </w:p>
          <w:p>
            <w:pPr>
              <w:ind w:firstLine="68"/>
              <w:jc w:val="both"/>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（3）用料说明：将产品所用主要材料标识</w:t>
            </w:r>
            <w:r>
              <w:rPr>
                <w:rFonts w:hint="eastAsia" w:ascii="宋体" w:hAnsi="宋体" w:eastAsia="宋体" w:cs="宋体"/>
                <w:color w:val="auto"/>
                <w:sz w:val="22"/>
                <w:highlight w:val="none"/>
                <w:lang w:val="en-US" w:bidi="zh-CN"/>
              </w:rPr>
              <w:t xml:space="preserve">准确</w:t>
            </w:r>
            <w:r>
              <w:rPr>
                <w:rFonts w:hint="eastAsia" w:ascii="宋体" w:hAnsi="宋体" w:eastAsia="宋体" w:cs="宋体"/>
                <w:color w:val="auto"/>
                <w:sz w:val="22"/>
                <w:highlight w:val="none"/>
                <w:lang w:val="zh-CN" w:bidi="zh-CN"/>
              </w:rPr>
              <w:t xml:space="preserve">；</w:t>
            </w:r>
            <w:r/>
          </w:p>
          <w:p>
            <w:pPr>
              <w:ind w:firstLine="68"/>
              <w:jc w:val="both"/>
              <w:rPr>
                <w:rFonts w:hint="default" w:ascii="宋体" w:hAnsi="宋体" w:cs="宋体"/>
                <w:color w:val="auto"/>
                <w:sz w:val="22"/>
                <w:highlight w:val="none"/>
                <w:lang w:val="en-US" w:bidi="zh-CN"/>
              </w:rPr>
            </w:pPr>
            <w:r>
              <w:rPr>
                <w:rFonts w:hint="eastAsia" w:ascii="宋体" w:hAnsi="宋体" w:cs="宋体"/>
                <w:color w:val="auto"/>
                <w:sz w:val="22"/>
                <w:highlight w:val="none"/>
                <w:lang w:val="zh-CN" w:bidi="zh-CN"/>
              </w:rPr>
              <w:t xml:space="preserve">（</w:t>
            </w:r>
            <w:r>
              <w:rPr>
                <w:rFonts w:hint="eastAsia" w:ascii="宋体" w:hAnsi="宋体" w:cs="宋体"/>
                <w:color w:val="auto"/>
                <w:sz w:val="22"/>
                <w:highlight w:val="none"/>
                <w:lang w:val="en-US" w:bidi="zh-CN"/>
              </w:rPr>
              <w:t xml:space="preserve">4</w:t>
            </w:r>
            <w:r>
              <w:rPr>
                <w:rFonts w:hint="eastAsia" w:ascii="宋体" w:hAnsi="宋体" w:cs="宋体"/>
                <w:color w:val="auto"/>
                <w:sz w:val="22"/>
                <w:highlight w:val="none"/>
                <w:lang w:val="zh-CN" w:bidi="zh-CN"/>
              </w:rPr>
              <w:t xml:space="preserve">）</w:t>
            </w:r>
            <w:r>
              <w:rPr>
                <w:rFonts w:hint="eastAsia" w:ascii="宋体" w:hAnsi="宋体" w:cs="宋体"/>
                <w:color w:val="auto"/>
                <w:sz w:val="22"/>
                <w:highlight w:val="none"/>
                <w:lang w:val="en-US" w:bidi="zh-CN"/>
              </w:rPr>
              <w:t xml:space="preserve">图片：可以是效果图或实物照片，但必须符合招标文件要求。</w:t>
            </w:r>
            <w:r/>
          </w:p>
          <w:p>
            <w:pPr>
              <w:ind w:firstLine="68"/>
              <w:jc w:val="left"/>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2"/>
                <w:highlight w:val="none"/>
                <w:lang w:val="zh-CN" w:bidi="zh-CN"/>
              </w:rPr>
              <w:t xml:space="preserve">投标人提供的产品资料符合以上</w:t>
            </w:r>
            <w:r>
              <w:rPr>
                <w:rFonts w:hint="eastAsia" w:ascii="宋体" w:hAnsi="宋体" w:cs="宋体"/>
                <w:color w:val="auto"/>
                <w:sz w:val="22"/>
                <w:highlight w:val="none"/>
                <w:lang w:val="en-US" w:bidi="zh-CN"/>
              </w:rPr>
              <w:t xml:space="preserve">四</w:t>
            </w:r>
            <w:r>
              <w:rPr>
                <w:rFonts w:hint="eastAsia" w:ascii="宋体" w:hAnsi="宋体" w:eastAsia="宋体" w:cs="宋体"/>
                <w:color w:val="auto"/>
                <w:sz w:val="22"/>
                <w:highlight w:val="none"/>
                <w:lang w:val="zh-CN" w:bidi="zh-CN"/>
              </w:rPr>
              <w:t xml:space="preserve">项要求，</w:t>
            </w:r>
            <w:r>
              <w:rPr>
                <w:rFonts w:hint="eastAsia" w:ascii="宋体" w:hAnsi="宋体" w:cs="宋体"/>
                <w:color w:val="auto"/>
                <w:sz w:val="22"/>
                <w:highlight w:val="none"/>
                <w:lang w:val="en-US" w:bidi="zh-CN"/>
              </w:rPr>
              <w:t xml:space="preserve">每个产品</w:t>
            </w:r>
            <w:r>
              <w:rPr>
                <w:rFonts w:hint="eastAsia" w:ascii="宋体" w:hAnsi="宋体" w:eastAsia="宋体" w:cs="宋体"/>
                <w:color w:val="auto"/>
                <w:sz w:val="22"/>
                <w:highlight w:val="none"/>
                <w:lang w:val="zh-CN" w:bidi="zh-CN"/>
              </w:rPr>
              <w:t xml:space="preserve">得</w:t>
            </w:r>
            <w:r>
              <w:rPr>
                <w:rFonts w:hint="eastAsia" w:ascii="宋体" w:hAnsi="宋体" w:eastAsia="宋体" w:cs="宋体"/>
                <w:color w:val="auto"/>
                <w:sz w:val="22"/>
                <w:highlight w:val="none"/>
                <w:lang w:val="en-US" w:bidi="zh-CN"/>
              </w:rPr>
              <w:t xml:space="preserve">0.2</w:t>
            </w:r>
            <w:r>
              <w:rPr>
                <w:rFonts w:hint="eastAsia" w:ascii="宋体" w:hAnsi="宋体" w:eastAsia="宋体" w:cs="宋体"/>
                <w:color w:val="auto"/>
                <w:sz w:val="22"/>
                <w:highlight w:val="none"/>
                <w:lang w:val="zh-CN" w:bidi="zh-CN"/>
              </w:rPr>
              <w:t xml:space="preserve">分，缺项不得分。</w:t>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.0</w:t>
            </w:r>
            <w:r/>
          </w:p>
        </w:tc>
      </w:tr>
      <w:tr>
        <w:trPr>
          <w:jc w:val="center"/>
          <w:trHeight w:val="563"/>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 xml:space="preserve">1.</w:t>
            </w:r>
            <w:r>
              <w:rPr>
                <w:rFonts w:hint="eastAsia" w:ascii="宋体" w:hAnsi="宋体" w:eastAsia="宋体" w:cs="宋体"/>
                <w:color w:val="auto"/>
                <w:sz w:val="21"/>
                <w:szCs w:val="21"/>
                <w:highlight w:val="none"/>
                <w:lang w:val="en-US" w:bidi="zh-CN"/>
              </w:rPr>
              <w:t xml:space="preserve">2</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成品检测评价</w:t>
            </w:r>
            <w:r/>
          </w:p>
        </w:tc>
        <w:tc>
          <w:tcPr>
            <w:tcW w:w="7638" w:type="dxa"/>
            <w:vAlign w:val="center"/>
            <w:textDirection w:val="lrTb"/>
            <w:noWrap w:val="false"/>
          </w:tcPr>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bookmarkStart w:id="89" w:name="_Hlk178439243"/>
            <w:r>
              <w:rPr>
                <w:rFonts w:hint="default" w:ascii="宋体" w:hAnsi="宋体" w:eastAsia="宋体" w:cs="宋体"/>
                <w:b/>
                <w:color w:val="auto"/>
                <w:sz w:val="21"/>
                <w:szCs w:val="21"/>
                <w:highlight w:val="none"/>
                <w:lang w:val="zh-CN" w:eastAsia="zh-CN" w:bidi="zh-CN"/>
              </w:rPr>
              <w:t xml:space="preserve">(1)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钢制文件柜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w:t>
            </w:r>
            <w:r>
              <w:rPr>
                <w:rFonts w:hint="eastAsia" w:ascii="宋体" w:hAnsi="宋体" w:eastAsia="宋体" w:cs="宋体"/>
                <w:b/>
                <w:color w:val="auto"/>
                <w:sz w:val="21"/>
                <w:szCs w:val="21"/>
                <w:highlight w:val="none"/>
                <w:lang w:val="zh-CN" w:bidi="zh-CN"/>
              </w:rPr>
              <w:t xml:space="preserve">（或检测）报告，报告中需包含：</w:t>
            </w:r>
            <w:r/>
          </w:p>
          <w:p>
            <w:pPr>
              <w:numPr>
                <w:ilvl w:val="0"/>
                <w:numId w:val="0"/>
              </w:numPr>
              <w:rPr>
                <w:rFonts w:hint="eastAsia" w:eastAsia="宋体" w:cs="Times New Roman"/>
                <w:b w:val="0"/>
                <w:bCs w:val="0"/>
                <w:color w:val="auto"/>
                <w:sz w:val="21"/>
                <w:szCs w:val="21"/>
                <w:highlight w:val="none"/>
                <w:lang w:val="en-US" w:eastAsia="zh-CN"/>
              </w:rPr>
            </w:pPr>
            <w:r>
              <w:rPr>
                <w:rFonts w:hint="eastAsia" w:eastAsia="宋体" w:cs="Times New Roman"/>
                <w:b w:val="0"/>
                <w:bCs w:val="0"/>
                <w:color w:val="auto"/>
                <w:sz w:val="21"/>
                <w:szCs w:val="21"/>
                <w:highlight w:val="none"/>
                <w:lang w:val="en-US" w:eastAsia="zh-CN"/>
              </w:rPr>
              <w:t xml:space="preserve">①依据符合</w:t>
            </w:r>
            <w:r>
              <w:rPr>
                <w:rFonts w:hint="default" w:eastAsia="宋体" w:cs="Times New Roman"/>
                <w:b w:val="0"/>
                <w:bCs w:val="0"/>
                <w:color w:val="auto"/>
                <w:sz w:val="21"/>
                <w:szCs w:val="21"/>
                <w:highlight w:val="none"/>
                <w:lang w:val="en-US" w:eastAsia="zh-CN"/>
              </w:rPr>
              <w:t xml:space="preserve">QB/T 1097-2010《钢制文件柜》</w:t>
            </w:r>
            <w:r>
              <w:rPr>
                <w:rFonts w:hint="eastAsia" w:eastAsia="宋体" w:cs="Times New Roman"/>
                <w:b w:val="0"/>
                <w:bCs w:val="0"/>
                <w:color w:val="auto"/>
                <w:sz w:val="21"/>
                <w:szCs w:val="21"/>
                <w:highlight w:val="none"/>
                <w:lang w:val="en-US" w:eastAsia="zh-CN"/>
              </w:rPr>
              <w:t xml:space="preserve">标准，力学性能柜架类强度和耐久性结构强度试验-跌落试验。</w:t>
            </w:r>
            <w:r/>
          </w:p>
          <w:p>
            <w:pPr>
              <w:numPr>
                <w:ilvl w:val="0"/>
                <w:numId w:val="0"/>
              </w:numPr>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②依据符合</w:t>
            </w:r>
            <w:r>
              <w:rPr>
                <w:rFonts w:hint="default"/>
                <w:b w:val="0"/>
                <w:bCs w:val="0"/>
                <w:color w:val="auto"/>
                <w:sz w:val="21"/>
                <w:szCs w:val="21"/>
                <w:highlight w:val="none"/>
                <w:lang w:val="en-US" w:eastAsia="zh-CN"/>
              </w:rPr>
              <w:t xml:space="preserve">GB/T3325-2024《金属家具通用技术条件》</w:t>
            </w:r>
            <w:r>
              <w:rPr>
                <w:rFonts w:hint="eastAsia"/>
                <w:b w:val="0"/>
                <w:bCs w:val="0"/>
                <w:color w:val="auto"/>
                <w:sz w:val="21"/>
                <w:szCs w:val="21"/>
                <w:highlight w:val="none"/>
                <w:lang w:val="en-US" w:eastAsia="zh-CN"/>
              </w:rPr>
              <w:t xml:space="preserve">标准，理化性能要求：通过硬度、附着力检测；</w:t>
            </w:r>
            <w:r/>
          </w:p>
          <w:p>
            <w:pPr>
              <w:numPr>
                <w:ilvl w:val="0"/>
                <w:numId w:val="0"/>
              </w:numPr>
              <w:rPr>
                <w:rFonts w:hint="eastAsia" w:ascii="宋体" w:hAnsi="宋体" w:eastAsia="宋体" w:cs="宋体"/>
                <w:b/>
                <w:bCs w:val="0"/>
                <w:color w:val="auto"/>
                <w:sz w:val="21"/>
                <w:szCs w:val="21"/>
                <w:highlight w:val="none"/>
                <w:lang w:val="en-US" w:eastAsia="zh-CN" w:bidi="ar-SA"/>
              </w:rPr>
            </w:pPr>
            <w:r>
              <w:rPr>
                <w:rFonts w:hint="eastAsia"/>
                <w:b w:val="0"/>
                <w:bCs w:val="0"/>
                <w:color w:val="auto"/>
                <w:sz w:val="21"/>
                <w:szCs w:val="21"/>
                <w:highlight w:val="none"/>
                <w:lang w:val="en-US" w:eastAsia="zh-CN"/>
              </w:rPr>
              <w:t xml:space="preserve">③依据符合</w:t>
            </w:r>
            <w:r>
              <w:rPr>
                <w:rFonts w:hint="default"/>
                <w:b w:val="0"/>
                <w:bCs w:val="0"/>
                <w:color w:val="auto"/>
                <w:sz w:val="21"/>
                <w:szCs w:val="21"/>
                <w:highlight w:val="none"/>
                <w:lang w:val="en-US" w:eastAsia="zh-CN"/>
              </w:rPr>
              <w:t xml:space="preserve">GB/T 35607-2024《绿色产品评价家具》</w:t>
            </w:r>
            <w:r>
              <w:rPr>
                <w:rFonts w:hint="eastAsia"/>
                <w:b w:val="0"/>
                <w:bCs w:val="0"/>
                <w:color w:val="auto"/>
                <w:sz w:val="21"/>
                <w:szCs w:val="21"/>
                <w:highlight w:val="none"/>
                <w:lang w:val="en-US" w:eastAsia="zh-CN"/>
              </w:rPr>
              <w:t xml:space="preserve">标</w:t>
            </w:r>
            <w:r>
              <w:rPr>
                <w:rFonts w:hint="eastAsia" w:ascii="宋体" w:hAnsi="宋体" w:eastAsia="宋体" w:cs="Arial"/>
                <w:b w:val="0"/>
                <w:bCs w:val="0"/>
                <w:color w:val="auto"/>
                <w:sz w:val="21"/>
                <w:szCs w:val="21"/>
                <w:highlight w:val="none"/>
                <w:lang w:val="en-US" w:eastAsia="zh-CN"/>
              </w:rPr>
              <w:t xml:space="preserve">准，</w:t>
            </w:r>
            <w:r>
              <w:rPr>
                <w:rFonts w:hint="eastAsia" w:ascii="宋体" w:hAnsi="宋体" w:eastAsia="宋体" w:cs="宋体"/>
                <w:b w:val="0"/>
                <w:bCs/>
                <w:color w:val="auto"/>
                <w:sz w:val="21"/>
                <w:szCs w:val="21"/>
                <w:highlight w:val="none"/>
                <w:lang w:val="en-US" w:eastAsia="zh-CN" w:bidi="ar-SA"/>
              </w:rPr>
              <w:t xml:space="preserve">甲醛释放量≤0.035mg/m³、苯≤0.025mg/m³、甲苯≤0.05mg/m³、二甲苯≤0.05mg/m³、总挥发性有机化合物TVOC≤0.05mg/m³</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更衣柜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①</w:t>
            </w:r>
            <w:r>
              <w:rPr>
                <w:rFonts w:hint="eastAsia"/>
                <w:b w:val="0"/>
                <w:bCs w:val="0"/>
                <w:color w:val="auto"/>
                <w:sz w:val="21"/>
                <w:szCs w:val="21"/>
                <w:highlight w:val="none"/>
                <w:lang w:val="en-US" w:eastAsia="zh-CN"/>
              </w:rPr>
              <w:t xml:space="preserve">依据符合</w:t>
            </w:r>
            <w:r>
              <w:rPr>
                <w:rFonts w:hint="default"/>
                <w:b w:val="0"/>
                <w:bCs w:val="0"/>
                <w:color w:val="auto"/>
                <w:sz w:val="21"/>
                <w:szCs w:val="21"/>
                <w:highlight w:val="none"/>
                <w:lang w:val="en-US" w:eastAsia="zh-CN"/>
              </w:rPr>
              <w:t xml:space="preserve">GB/T 35607-2024《绿色产品评价家具》</w:t>
            </w:r>
            <w:r>
              <w:rPr>
                <w:rFonts w:hint="eastAsia"/>
                <w:b w:val="0"/>
                <w:bCs w:val="0"/>
                <w:color w:val="auto"/>
                <w:sz w:val="21"/>
                <w:szCs w:val="21"/>
                <w:highlight w:val="none"/>
                <w:lang w:val="en-US" w:eastAsia="zh-CN"/>
              </w:rPr>
              <w:t xml:space="preserve">标</w:t>
            </w:r>
            <w:r>
              <w:rPr>
                <w:rFonts w:hint="eastAsia" w:ascii="宋体" w:hAnsi="宋体" w:eastAsia="宋体" w:cs="Arial"/>
                <w:b w:val="0"/>
                <w:bCs w:val="0"/>
                <w:color w:val="auto"/>
                <w:sz w:val="21"/>
                <w:szCs w:val="21"/>
                <w:highlight w:val="none"/>
                <w:lang w:val="en-US" w:eastAsia="zh-CN"/>
              </w:rPr>
              <w:t xml:space="preserve">准，</w:t>
            </w:r>
            <w:r>
              <w:rPr>
                <w:rFonts w:hint="eastAsia" w:ascii="宋体" w:hAnsi="宋体" w:eastAsia="宋体" w:cs="宋体"/>
                <w:b w:val="0"/>
                <w:bCs w:val="0"/>
                <w:color w:val="auto"/>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③依据符合GB/T 2423.51-2020《环境试验 第2部分：试验方法 试验Ke：流动混合气体腐蚀试验》标准，通过检测进行流动混合气体腐蚀试验(Cl₂浓度10x10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vol/vol、H₂S浓度10x10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vol/vol、NO₂浓度200x10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vol/vol、SO₂浓度200x10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vol/vol)：≥96h流动混合气体腐蚀试验后，样品表面未出现腐蚀现象。</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④依据符合QB/T 4371-2012《家具抗菌性能的评价》标准，技术要求：抗菌性能：</w:t>
            </w:r>
            <w:r>
              <w:rPr>
                <w:rFonts w:hint="eastAsia" w:ascii="宋体" w:hAnsi="宋体" w:eastAsia="宋体" w:cs="宋体"/>
                <w:color w:val="auto"/>
                <w:sz w:val="21"/>
                <w:szCs w:val="21"/>
                <w:highlight w:val="none"/>
                <w:lang w:val="en-US" w:eastAsia="zh-CN" w:bidi="ar-SA"/>
              </w:rPr>
              <w:t xml:space="preserve">通过抗细菌性能检测至少包含大肠埃希氏菌（大肠杆菌）、肺炎克雷伯氏菌等任意5种菌类，抗菌率或抑菌率均≥99%；</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(3)</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鞋柜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①依据符合GB/T 35607-2024《绿色产品评价家具》标准，甲醛释放量≤0.035mg/m³、苯≤0.025mg/m³、甲苯≤0.05mg/m³、二甲苯≤0.05mg/m³、总挥发性有机化合物TVOC≤0.05mg/m³；</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③依据符合GB/T 2423.51-2020《环境试验 第2部分：试验方法 试验Ke：流动混合气体腐蚀试验》标准，通过检测进行流动混合气体腐蚀试验(Cl₂浓度10x10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vol/vol、H₂S浓度10x10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vol/vol、NO₂浓度200x10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vol/vol、SO₂浓度200x10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vol/vol)：≥96h流动混合气体腐蚀试验后，样品表面未出现腐蚀现象。</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④依据符合QB/T 4371-2012《家具抗菌性能的评价》标准，技术要求：抗菌性能：</w:t>
            </w:r>
            <w:r>
              <w:rPr>
                <w:rFonts w:hint="eastAsia" w:ascii="宋体" w:hAnsi="宋体" w:eastAsia="宋体" w:cs="宋体"/>
                <w:color w:val="auto"/>
                <w:sz w:val="21"/>
                <w:szCs w:val="21"/>
                <w:highlight w:val="none"/>
                <w:lang w:val="en-US" w:eastAsia="zh-CN" w:bidi="ar-SA"/>
              </w:rPr>
              <w:t xml:space="preserve">通过抗细菌性能检测至少包含大肠埃希氏菌（大肠杆菌）、肺炎克雷伯氏菌等任意5种菌类，抗菌率或抑菌率均≥99%；</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(4)</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储物柜</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①</w:t>
            </w:r>
            <w:r>
              <w:rPr>
                <w:rFonts w:hint="eastAsia"/>
                <w:b w:val="0"/>
                <w:bCs w:val="0"/>
                <w:color w:val="auto"/>
                <w:sz w:val="21"/>
                <w:szCs w:val="21"/>
                <w:highlight w:val="none"/>
                <w:lang w:val="en-US" w:eastAsia="zh-CN"/>
              </w:rPr>
              <w:t xml:space="preserve">依据符合</w:t>
            </w:r>
            <w:r>
              <w:rPr>
                <w:rFonts w:hint="default"/>
                <w:b w:val="0"/>
                <w:bCs w:val="0"/>
                <w:color w:val="auto"/>
                <w:sz w:val="21"/>
                <w:szCs w:val="21"/>
                <w:highlight w:val="none"/>
                <w:lang w:val="en-US" w:eastAsia="zh-CN"/>
              </w:rPr>
              <w:t xml:space="preserve">GB/T 35607-2024《绿色产品评价家具》</w:t>
            </w:r>
            <w:r>
              <w:rPr>
                <w:rFonts w:hint="eastAsia"/>
                <w:b w:val="0"/>
                <w:bCs w:val="0"/>
                <w:color w:val="auto"/>
                <w:sz w:val="21"/>
                <w:szCs w:val="21"/>
                <w:highlight w:val="none"/>
                <w:lang w:val="en-US" w:eastAsia="zh-CN"/>
              </w:rPr>
              <w:t xml:space="preserve">标</w:t>
            </w:r>
            <w:r>
              <w:rPr>
                <w:rFonts w:hint="eastAsia" w:ascii="宋体" w:hAnsi="宋体" w:eastAsia="宋体" w:cs="Arial"/>
                <w:b w:val="0"/>
                <w:bCs w:val="0"/>
                <w:color w:val="auto"/>
                <w:sz w:val="21"/>
                <w:szCs w:val="21"/>
                <w:highlight w:val="none"/>
                <w:lang w:val="en-US" w:eastAsia="zh-CN"/>
              </w:rPr>
              <w:t xml:space="preserve">准，</w:t>
            </w:r>
            <w:r>
              <w:rPr>
                <w:rFonts w:hint="eastAsia" w:ascii="宋体" w:hAnsi="宋体" w:eastAsia="宋体" w:cs="宋体"/>
                <w:b w:val="0"/>
                <w:bCs w:val="0"/>
                <w:color w:val="auto"/>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②依据符合GB/T 3325-2024《金属家具通用技术条件》标准，通过表面理化性能（金属喷漆（塑）涂层：硬度≥2H、冲击强度）检测；安全性能检测；力学性能（柜类强度和耐久性、柜架类稳定性检测；）</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③依据符合GB/T 2423.51-2020《环境试验 第2部分：试验方法 试验Ke：流动混合气体腐蚀试验》标准，通过检测进行流动混合气体腐蚀试验(Cl₂浓度10x10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vol/vol、H₂S浓度10x10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vol/vol、NO₂浓度200x10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vol/vol、SO₂浓度200x10</w:t>
            </w:r>
            <w:r>
              <w:rPr>
                <w:rFonts w:hint="eastAsia" w:ascii="宋体" w:hAnsi="宋体" w:eastAsia="宋体" w:cs="宋体"/>
                <w:b w:val="0"/>
                <w:bCs w:val="0"/>
                <w:color w:val="auto"/>
                <w:sz w:val="21"/>
                <w:szCs w:val="21"/>
                <w:highlight w:val="none"/>
                <w:vertAlign w:val="superscript"/>
                <w:lang w:val="en-US" w:eastAsia="zh-CN" w:bidi="ar-SA"/>
              </w:rPr>
              <w:t xml:space="preserve">-9</w:t>
            </w:r>
            <w:r>
              <w:rPr>
                <w:rFonts w:hint="eastAsia" w:ascii="宋体" w:hAnsi="宋体" w:eastAsia="宋体" w:cs="宋体"/>
                <w:b w:val="0"/>
                <w:bCs w:val="0"/>
                <w:color w:val="auto"/>
                <w:sz w:val="21"/>
                <w:szCs w:val="21"/>
                <w:highlight w:val="none"/>
                <w:lang w:val="en-US" w:eastAsia="zh-CN" w:bidi="ar-SA"/>
              </w:rPr>
              <w:t xml:space="preserve">vol/vol)：≥96h流动混合气体腐蚀试验后，样品表面未出现腐蚀现象。</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④依据符合QB/T 4371-2012《家具抗菌性能的评价》标准，技术要求：抗菌性能：</w:t>
            </w:r>
            <w:r>
              <w:rPr>
                <w:rFonts w:hint="eastAsia" w:ascii="宋体" w:hAnsi="宋体" w:eastAsia="宋体" w:cs="宋体"/>
                <w:color w:val="auto"/>
                <w:sz w:val="21"/>
                <w:szCs w:val="21"/>
                <w:highlight w:val="none"/>
                <w:lang w:val="en-US" w:eastAsia="zh-CN" w:bidi="ar-SA"/>
              </w:rPr>
              <w:t xml:space="preserve">通过抗细菌性能检测至少包含大肠埃希氏菌（大肠杆菌）、肺炎克雷伯氏菌等任意5种菌类，抗菌率或抑菌率均≥99%；</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rPr>
                <w:rFonts w:hint="eastAsia" w:ascii="宋体" w:hAnsi="宋体" w:eastAsia="宋体" w:cs="宋体"/>
                <w:b/>
                <w:bCs w:val="0"/>
                <w:color w:val="auto"/>
                <w:sz w:val="21"/>
                <w:szCs w:val="21"/>
                <w:highlight w:val="none"/>
                <w:lang w:val="en-US" w:bidi="zh-CN"/>
              </w:rPr>
            </w:pPr>
            <w:r>
              <w:rPr>
                <w:rFonts w:hint="eastAsia"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(5)</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换鞋凳</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eastAsia="zh-CN"/>
              </w:rPr>
            </w:pPr>
            <w:r>
              <w:rPr>
                <w:rFonts w:hint="eastAsia"/>
                <w:color w:val="auto"/>
                <w:highlight w:val="none"/>
                <w:lang w:val="en-US" w:eastAsia="zh-CN"/>
              </w:rPr>
              <w:t xml:space="preserve">①</w:t>
            </w:r>
            <w:r>
              <w:rPr>
                <w:rFonts w:hint="eastAsia" w:ascii="宋体" w:hAnsi="宋体" w:eastAsia="宋体" w:cs="宋体"/>
                <w:b w:val="0"/>
                <w:bCs w:val="0"/>
                <w:color w:val="auto"/>
                <w:sz w:val="21"/>
                <w:szCs w:val="21"/>
                <w:highlight w:val="none"/>
                <w:lang w:val="en-US" w:eastAsia="zh-CN" w:bidi="ar-SA"/>
              </w:rPr>
              <w:t xml:space="preserve">依据符合</w:t>
            </w:r>
            <w:r>
              <w:rPr>
                <w:rFonts w:hint="eastAsia"/>
                <w:color w:val="auto"/>
                <w:highlight w:val="none"/>
                <w:lang w:val="en-US" w:eastAsia="zh-CN"/>
              </w:rPr>
              <w:t xml:space="preserve">QB/T3827-1999《轻工产品金属镀层和化学处理层的耐腐蚀试验方法乙酸盐雾试验(ASS)法》；QB/T3832-1999《轻工产品金属镀层腐蚀试验结果的评价》标准；经过≥200小时乙酸盐雾试验后，镀（涂）层本身的耐腐蚀等级≥9级，镀（涂）层对基体的保护等级≥9级。</w:t>
            </w:r>
            <w:r/>
          </w:p>
          <w:p>
            <w:pPr>
              <w:numPr>
                <w:ilvl w:val="0"/>
                <w:numId w:val="0"/>
              </w:numPr>
              <w:rPr>
                <w:rFonts w:hint="eastAsia" w:ascii="宋体" w:hAnsi="宋体" w:eastAsia="宋体" w:cs="宋体"/>
                <w:b w:val="0"/>
                <w:bCs w:val="0"/>
                <w:color w:val="auto"/>
                <w:sz w:val="21"/>
                <w:szCs w:val="21"/>
                <w:highlight w:val="none"/>
                <w:lang w:val="en-US" w:eastAsia="zh-CN" w:bidi="ar-SA"/>
              </w:rPr>
            </w:pPr>
            <w:r>
              <w:rPr>
                <w:rFonts w:hint="eastAsia"/>
                <w:b w:val="0"/>
                <w:bCs w:val="0"/>
                <w:color w:val="auto"/>
                <w:highlight w:val="none"/>
                <w:lang w:val="en-US" w:eastAsia="zh-CN"/>
              </w:rPr>
              <w:t xml:space="preserve">②</w:t>
            </w:r>
            <w:r>
              <w:rPr>
                <w:rFonts w:hint="eastAsia"/>
                <w:b w:val="0"/>
                <w:bCs w:val="0"/>
                <w:color w:val="auto"/>
                <w:sz w:val="21"/>
                <w:szCs w:val="21"/>
                <w:highlight w:val="none"/>
                <w:lang w:val="en-US" w:eastAsia="zh-CN"/>
              </w:rPr>
              <w:t xml:space="preserve">依据符合</w:t>
            </w:r>
            <w:r>
              <w:rPr>
                <w:rFonts w:hint="default"/>
                <w:b w:val="0"/>
                <w:bCs w:val="0"/>
                <w:color w:val="auto"/>
                <w:sz w:val="21"/>
                <w:szCs w:val="21"/>
                <w:highlight w:val="none"/>
                <w:lang w:val="en-US" w:eastAsia="zh-CN"/>
              </w:rPr>
              <w:t xml:space="preserve">GB/T 35607-2024《绿色产品评价家具》</w:t>
            </w:r>
            <w:r>
              <w:rPr>
                <w:rFonts w:hint="eastAsia"/>
                <w:b w:val="0"/>
                <w:bCs w:val="0"/>
                <w:color w:val="auto"/>
                <w:sz w:val="21"/>
                <w:szCs w:val="21"/>
                <w:highlight w:val="none"/>
                <w:lang w:val="en-US" w:eastAsia="zh-CN"/>
              </w:rPr>
              <w:t xml:space="preserve">标</w:t>
            </w:r>
            <w:r>
              <w:rPr>
                <w:rFonts w:hint="eastAsia" w:ascii="宋体" w:hAnsi="宋体" w:eastAsia="宋体" w:cs="Arial"/>
                <w:b w:val="0"/>
                <w:bCs w:val="0"/>
                <w:color w:val="auto"/>
                <w:sz w:val="21"/>
                <w:szCs w:val="21"/>
                <w:highlight w:val="none"/>
                <w:lang w:val="en-US" w:eastAsia="zh-CN"/>
              </w:rPr>
              <w:t xml:space="preserve">准，</w:t>
            </w:r>
            <w:r>
              <w:rPr>
                <w:rFonts w:hint="eastAsia" w:ascii="宋体" w:hAnsi="宋体" w:eastAsia="宋体" w:cs="宋体"/>
                <w:b w:val="0"/>
                <w:bCs w:val="0"/>
                <w:color w:val="auto"/>
                <w:sz w:val="21"/>
                <w:szCs w:val="21"/>
                <w:highlight w:val="none"/>
                <w:lang w:val="en-US" w:eastAsia="zh-CN" w:bidi="ar-SA"/>
              </w:rPr>
              <w:t xml:space="preserve">甲醛释放量≤0.035mg/m³、苯≤0.025mg/m³、甲苯≤0.05mg/m³、二甲苯≤0.05mg/m³、总挥发性有机化合物TVOC≤0.05mg/m³</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rPr>
                <w:rFonts w:hint="eastAsia"/>
                <w:color w:val="auto"/>
                <w:highlight w:val="none"/>
                <w:lang w:val="en-US" w:eastAsia="zh-CN"/>
              </w:rPr>
            </w:pPr>
            <w:r>
              <w:rPr>
                <w:rFonts w:hint="eastAsia"/>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(6)</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医用货架</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①依据符合GB/T35607-2024《绿色产品评价 家具》标准，</w:t>
            </w:r>
            <w:r>
              <w:rPr>
                <w:rFonts w:hint="eastAsia" w:ascii="宋体" w:hAnsi="宋体" w:eastAsia="宋体" w:cs="宋体"/>
                <w:b w:val="0"/>
                <w:bCs/>
                <w:color w:val="auto"/>
                <w:sz w:val="21"/>
                <w:szCs w:val="21"/>
                <w:highlight w:val="none"/>
                <w:lang w:val="en-US" w:eastAsia="zh-CN" w:bidi="ar-SA"/>
              </w:rPr>
              <w:t xml:space="preserve">甲醛释放量≤0.035mg/m³、苯≤0.025mg/m³、甲苯≤0.05mg/m³、二甲苯≤0.05mg/m³、总挥发性有机化合物TVOC≤0.05mg/m³；</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②依据符合GB/T 3325-2024《金属家具通用技术条件》标准，理化性能耐盐浴100h划道两侧3mm外，应无鼓泡、锈蚀、剥落和起皱等现象。</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③依据符合GB/T11345-2023《焊缝无损检测超声检测技术、检测等级和评定》标准，通过焊缝无损等级检测，未发现缺陷。</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④QB/T 3832-1999《轻工产品金属镀层腐蚀试验结果的评价》、QB/T 3827-1999《轻工产品金属镀层和化学处理层的耐腐蚀试验方法乙酸盐雾试验(ASS)法》标准；乙酸盐雾试验≥200h;镀（涂）层对基体的保护等级≥9级；镀（涂）层本身耐腐蚀等级≥9级；</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(7)</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会议桌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b w:val="0"/>
                <w:bCs w:val="0"/>
                <w:color w:val="auto"/>
                <w:highlight w:val="none"/>
                <w:lang w:val="en-US" w:eastAsia="zh-CN"/>
              </w:rPr>
            </w:pPr>
            <w:r>
              <w:rPr>
                <w:rFonts w:hint="eastAsia"/>
                <w:color w:val="auto"/>
                <w:highlight w:val="none"/>
                <w:lang w:val="en-US" w:eastAsia="zh-CN"/>
              </w:rPr>
              <w:t xml:space="preserve">①依据符合GB/T35607-2024《绿色产品评价 家具》标准</w:t>
            </w:r>
            <w:r>
              <w:rPr>
                <w:rFonts w:hint="eastAsia"/>
                <w:b w:val="0"/>
                <w:bCs w:val="0"/>
                <w:color w:val="auto"/>
                <w:highlight w:val="none"/>
                <w:lang w:val="en-US" w:eastAsia="zh-CN"/>
              </w:rPr>
              <w:t xml:space="preserve">；产品有害物质：</w:t>
            </w:r>
            <w:r>
              <w:rPr>
                <w:rFonts w:hint="eastAsia" w:ascii="宋体" w:hAnsi="宋体" w:eastAsia="宋体" w:cs="宋体"/>
                <w:b w:val="0"/>
                <w:bCs w:val="0"/>
                <w:color w:val="auto"/>
                <w:sz w:val="21"/>
                <w:szCs w:val="21"/>
                <w:highlight w:val="none"/>
                <w:lang w:val="en-US" w:eastAsia="zh-CN" w:bidi="ar-SA"/>
              </w:rPr>
              <w:t xml:space="preserve">甲醛释放量≤0.035mg/m³、苯≤0.025mg/m³、甲苯≤0.05mg/m³、二甲苯≤0.05mg/m³、总挥发性有机化合物TVOC≤0.05mg/m³；</w:t>
            </w:r>
            <w:r/>
          </w:p>
          <w:p>
            <w:pPr>
              <w:rPr>
                <w:rFonts w:hint="eastAsia"/>
                <w:b w:val="0"/>
                <w:bCs w:val="0"/>
                <w:color w:val="auto"/>
                <w:highlight w:val="none"/>
                <w:lang w:val="en-US" w:eastAsia="zh-CN"/>
              </w:rPr>
            </w:pPr>
            <w:r>
              <w:rPr>
                <w:rFonts w:hint="eastAsia"/>
                <w:b w:val="0"/>
                <w:bCs w:val="0"/>
                <w:color w:val="auto"/>
                <w:highlight w:val="none"/>
                <w:lang w:val="en-US" w:eastAsia="zh-CN"/>
              </w:rPr>
              <w:t xml:space="preserve">②依据符合QB/T 3827-1999《轻工产品金属镀层和化学处理层的耐腐蚀试验方法乙酸盐雾试验(ASS)法》、QB/T 3832-1999《轻工产品金属镀层腐蚀试验结果的评价》标准；乙酸盐雾≥200h，镀（涂）层对基本的保护等级≥9级；镀（涂）层本身耐腐蚀≥9级。</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en-US" w:bidi="zh-CN"/>
              </w:rPr>
            </w:pPr>
            <w:r>
              <w:rPr>
                <w:rFonts w:hint="default"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(8)</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屏风工作位</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rPr>
            </w:pPr>
            <w:r>
              <w:rPr>
                <w:rFonts w:hint="eastAsia"/>
                <w:color w:val="auto"/>
                <w:highlight w:val="none"/>
                <w:lang w:val="zh-CN"/>
              </w:rPr>
              <w:t xml:space="preserve">①依据</w:t>
            </w:r>
            <w:r>
              <w:rPr>
                <w:rFonts w:hint="eastAsia" w:ascii="宋体" w:hAnsi="宋体" w:cs="宋体"/>
                <w:b w:val="0"/>
                <w:bCs/>
                <w:color w:val="auto"/>
                <w:sz w:val="21"/>
                <w:szCs w:val="21"/>
                <w:highlight w:val="none"/>
                <w:lang w:val="en-US" w:bidi="zh-CN"/>
              </w:rPr>
              <w:t xml:space="preserve">符合</w:t>
            </w:r>
            <w:r>
              <w:rPr>
                <w:rFonts w:hint="eastAsia"/>
                <w:color w:val="auto"/>
                <w:highlight w:val="none"/>
                <w:lang w:val="zh-CN"/>
              </w:rPr>
              <w:t xml:space="preserve">GB/T3325-2024《金属家具通用技术条件》标准；符合以下检测项目：耐冷热循环：无裂缝、开裂、起皱、鼓泡现象；耐干热不低于5级；耐湿热不低于5级；耐污染性能不低于5级；耐污染性不低于5级（5级最好）；通过</w:t>
            </w:r>
            <w:r>
              <w:rPr>
                <w:rFonts w:hint="eastAsia"/>
                <w:color w:val="auto"/>
                <w:highlight w:val="none"/>
                <w:lang w:val="en-US" w:eastAsia="zh-CN"/>
              </w:rPr>
              <w:t xml:space="preserve">结构安全检测</w:t>
            </w:r>
            <w:r>
              <w:rPr>
                <w:rFonts w:hint="eastAsia"/>
                <w:color w:val="auto"/>
                <w:highlight w:val="none"/>
                <w:lang w:val="zh-CN"/>
              </w:rPr>
              <w:t xml:space="preserve">；</w:t>
            </w:r>
            <w:r>
              <w:rPr>
                <w:rFonts w:hint="eastAsia"/>
                <w:color w:val="auto"/>
                <w:highlight w:val="none"/>
                <w:lang w:val="en-US" w:eastAsia="zh-CN"/>
              </w:rPr>
              <w:t xml:space="preserve">力学性能</w:t>
            </w:r>
            <w:r>
              <w:rPr>
                <w:rFonts w:hint="eastAsia"/>
                <w:color w:val="auto"/>
                <w:highlight w:val="none"/>
                <w:lang w:val="zh-CN"/>
              </w:rPr>
              <w:t xml:space="preserve">：</w:t>
            </w:r>
            <w:r>
              <w:rPr>
                <w:rFonts w:hint="eastAsia"/>
                <w:color w:val="auto"/>
                <w:highlight w:val="none"/>
                <w:lang w:val="en-US" w:eastAsia="zh-CN"/>
              </w:rPr>
              <w:t xml:space="preserve">水平耐久性及结构强度试验-水平耐久性试验（加载</w:t>
            </w:r>
            <w:r>
              <w:rPr>
                <w:rFonts w:hint="eastAsia"/>
                <w:color w:val="auto"/>
                <w:highlight w:val="none"/>
                <w:lang w:val="zh-CN"/>
              </w:rPr>
              <w:t xml:space="preserve">力150N，循环加载15000次符合要求</w:t>
            </w:r>
            <w:r>
              <w:rPr>
                <w:rFonts w:hint="eastAsia"/>
                <w:color w:val="auto"/>
                <w:highlight w:val="none"/>
                <w:lang w:val="en-US"/>
              </w:rPr>
              <w:t xml:space="preserve">;</w:t>
            </w:r>
            <w:r>
              <w:rPr>
                <w:rFonts w:hint="eastAsia"/>
                <w:color w:val="auto"/>
                <w:highlight w:val="none"/>
                <w:lang w:val="en-US" w:eastAsia="zh-CN"/>
              </w:rPr>
              <w:t xml:space="preserve">）</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1"/>
                <w:szCs w:val="21"/>
                <w:highlight w:val="none"/>
                <w:lang w:val="en-US" w:bidi="zh-CN"/>
              </w:rPr>
            </w:pPr>
            <w:r>
              <w:rPr>
                <w:rFonts w:hint="eastAsia"/>
                <w:color w:val="auto"/>
                <w:highlight w:val="none"/>
                <w:lang w:val="zh-CN"/>
              </w:rPr>
              <w:t xml:space="preserve">②</w:t>
            </w:r>
            <w:r>
              <w:rPr>
                <w:rFonts w:hint="eastAsia" w:ascii="宋体" w:hAnsi="宋体" w:cs="宋体"/>
                <w:b w:val="0"/>
                <w:bCs/>
                <w:color w:val="auto"/>
                <w:sz w:val="21"/>
                <w:szCs w:val="21"/>
                <w:highlight w:val="none"/>
                <w:lang w:val="en-US" w:bidi="zh-CN"/>
              </w:rPr>
              <w:t xml:space="preserve">依据符合</w:t>
            </w:r>
            <w:r>
              <w:rPr>
                <w:rFonts w:hint="default" w:ascii="宋体" w:hAnsi="宋体" w:eastAsia="宋体" w:cs="宋体"/>
                <w:b w:val="0"/>
                <w:bCs/>
                <w:color w:val="auto"/>
                <w:sz w:val="21"/>
                <w:szCs w:val="21"/>
                <w:highlight w:val="none"/>
                <w:lang w:val="en-US" w:bidi="zh-CN"/>
              </w:rPr>
              <w:t xml:space="preserve">GB/T 35607-2024《绿色产品评价家具》</w:t>
            </w:r>
            <w:r>
              <w:rPr>
                <w:rFonts w:hint="eastAsia" w:ascii="宋体" w:hAnsi="宋体" w:cs="宋体"/>
                <w:b w:val="0"/>
                <w:bCs/>
                <w:color w:val="auto"/>
                <w:sz w:val="21"/>
                <w:szCs w:val="21"/>
                <w:highlight w:val="none"/>
                <w:lang w:val="en-US" w:bidi="zh-CN"/>
              </w:rPr>
              <w:t xml:space="preserve">标准，</w:t>
            </w:r>
            <w:r>
              <w:rPr>
                <w:rFonts w:hint="eastAsia" w:ascii="宋体" w:hAnsi="宋体" w:cs="宋体"/>
                <w:b w:val="0"/>
                <w:bCs w:val="0"/>
                <w:color w:val="auto"/>
                <w:sz w:val="21"/>
                <w:szCs w:val="21"/>
                <w:highlight w:val="none"/>
                <w:lang w:val="en-US" w:bidi="zh-CN"/>
              </w:rPr>
              <w:t xml:space="preserve">甲醛释放量</w:t>
            </w:r>
            <w:r>
              <w:rPr>
                <w:rFonts w:hint="eastAsia" w:ascii="宋体" w:hAnsi="宋体" w:eastAsia="宋体" w:cs="宋体"/>
                <w:b w:val="0"/>
                <w:bCs w:val="0"/>
                <w:color w:val="auto"/>
                <w:sz w:val="21"/>
                <w:szCs w:val="21"/>
                <w:highlight w:val="none"/>
                <w:lang w:val="en-US" w:eastAsia="zh-CN" w:bidi="ar-SA"/>
              </w:rPr>
              <w:t xml:space="preserve">≤0.035mg/m³</w:t>
            </w:r>
            <w:r>
              <w:rPr>
                <w:rFonts w:hint="eastAsia" w:ascii="宋体" w:hAnsi="宋体" w:cs="宋体"/>
                <w:b w:val="0"/>
                <w:bCs w:val="0"/>
                <w:color w:val="auto"/>
                <w:sz w:val="21"/>
                <w:szCs w:val="21"/>
                <w:highlight w:val="none"/>
                <w:lang w:val="en-US" w:bidi="zh-CN"/>
              </w:rPr>
              <w:t xml:space="preserve">；</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0" w:firstLine="422"/>
              <w:keepLines w:val="0"/>
              <w:keepNext w:val="0"/>
              <w:pageBreakBefore w:val="0"/>
              <w:spacing w:line="360" w:lineRule="auto"/>
              <w:widowControl w:val="off"/>
              <w:rPr>
                <w:rFonts w:hint="default" w:ascii="宋体" w:hAnsi="宋体" w:eastAsia="宋体" w:cs="宋体"/>
                <w:b/>
                <w:bCs w:val="0"/>
                <w:color w:val="auto"/>
                <w:sz w:val="21"/>
                <w:szCs w:val="21"/>
                <w:highlight w:val="none"/>
                <w:lang w:val="en-US" w:bidi="zh-CN"/>
              </w:rPr>
            </w:pPr>
            <w:r>
              <w:rPr>
                <w:rFonts w:hint="default" w:ascii="宋体" w:hAnsi="宋体" w:eastAsia="宋体" w:cs="宋体"/>
                <w:b/>
                <w:bCs w:val="0"/>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(9)</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办公桌</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ind w:left="0" w:firstLine="0"/>
              <w:jc w:val="left"/>
              <w:keepLines w:val="0"/>
              <w:keepNext w:val="0"/>
              <w:pageBreakBefore w:val="0"/>
              <w:widowControl w:val="off"/>
              <w:rPr>
                <w:rFonts w:hint="eastAsia" w:eastAsia="宋体" w:cs="Times New Roman"/>
                <w:b w:val="0"/>
                <w:bCs w:val="0"/>
                <w:color w:val="auto"/>
                <w:highlight w:val="none"/>
                <w:lang w:val="zh-CN" w:eastAsia="zh-CN"/>
              </w:rPr>
            </w:pPr>
            <w:r>
              <w:rPr>
                <w:rFonts w:hint="eastAsia"/>
                <w:b w:val="0"/>
                <w:bCs w:val="0"/>
                <w:color w:val="auto"/>
                <w:sz w:val="21"/>
                <w:szCs w:val="21"/>
                <w:highlight w:val="none"/>
                <w:lang w:val="zh-CN" w:eastAsia="zh-CN"/>
              </w:rPr>
              <w:t xml:space="preserve">①</w:t>
            </w:r>
            <w:r>
              <w:rPr>
                <w:rFonts w:hint="eastAsia" w:ascii="宋体" w:hAnsi="宋体" w:eastAsia="宋体" w:cs="宋体"/>
                <w:b w:val="0"/>
                <w:bCs w:val="0"/>
                <w:color w:val="auto"/>
                <w:sz w:val="21"/>
                <w:szCs w:val="21"/>
                <w:highlight w:val="none"/>
                <w:lang w:val="en-US" w:eastAsia="zh-CN" w:bidi="ar-SA"/>
              </w:rPr>
              <w:t xml:space="preserve">依据符合</w:t>
            </w:r>
            <w:r>
              <w:rPr>
                <w:rFonts w:hint="eastAsia"/>
                <w:b w:val="0"/>
                <w:bCs w:val="0"/>
                <w:color w:val="auto"/>
                <w:sz w:val="21"/>
                <w:szCs w:val="21"/>
                <w:highlight w:val="none"/>
                <w:lang w:val="zh-CN" w:eastAsia="zh-CN"/>
              </w:rPr>
              <w:t xml:space="preserve">GB/T 35607-2024《绿色产品评价 家具》标准；符合以下要求：（1）</w:t>
            </w:r>
            <w:r>
              <w:rPr>
                <w:rFonts w:hint="eastAsia" w:ascii="宋体" w:hAnsi="宋体" w:eastAsia="宋体" w:cs="宋体"/>
                <w:b w:val="0"/>
                <w:bCs w:val="0"/>
                <w:color w:val="auto"/>
                <w:sz w:val="21"/>
                <w:szCs w:val="21"/>
                <w:highlight w:val="none"/>
                <w:lang w:val="en-US" w:eastAsia="zh-CN" w:bidi="ar-SA"/>
              </w:rPr>
              <w:t xml:space="preserve">甲醛释放量≤0.035mg/m³、苯≤0.025mg/m³、甲苯≤0.05mg/m³、二甲苯≤0.05mg/m³、总挥发性有机化合物TVOC≤0.05mg/m³；</w:t>
            </w:r>
            <w:r>
              <w:rPr>
                <w:rFonts w:hint="eastAsia" w:eastAsia="宋体" w:cs="Times New Roman"/>
                <w:b w:val="0"/>
                <w:bCs w:val="0"/>
                <w:color w:val="auto"/>
                <w:highlight w:val="none"/>
                <w:lang w:val="zh-CN" w:eastAsia="zh-CN"/>
              </w:rPr>
              <w:t xml:space="preserve">（2）家具中可迁移有害元素限量：锑≤</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mg/kg；砷≤</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mg/kg；钡≤</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mg/kg；镉≤</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mg/kg；铬≤</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mg/kg；铅≤</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mg/kg；汞≤</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mg/kg；硒≤</w:t>
            </w:r>
            <w:r>
              <w:rPr>
                <w:rFonts w:hint="eastAsia" w:eastAsia="宋体" w:cs="Times New Roman"/>
                <w:b w:val="0"/>
                <w:bCs w:val="0"/>
                <w:color w:val="auto"/>
                <w:highlight w:val="none"/>
                <w:lang w:val="en-US" w:eastAsia="zh-CN"/>
              </w:rPr>
              <w:t xml:space="preserve">20</w:t>
            </w:r>
            <w:r>
              <w:rPr>
                <w:rFonts w:hint="eastAsia" w:eastAsia="宋体" w:cs="Times New Roman"/>
                <w:b w:val="0"/>
                <w:bCs w:val="0"/>
                <w:color w:val="auto"/>
                <w:highlight w:val="none"/>
                <w:lang w:val="zh-CN" w:eastAsia="zh-CN"/>
              </w:rPr>
              <w:t xml:space="preserve">mg/kg；</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0" w:firstLine="0"/>
              <w:jc w:val="left"/>
              <w:keepLines w:val="0"/>
              <w:keepNext w:val="0"/>
              <w:pageBreakBefore w:val="0"/>
              <w:widowControl w:val="off"/>
              <w:rPr>
                <w:rFonts w:hint="eastAsia" w:eastAsia="宋体" w:cs="Times New Roman"/>
                <w:color w:val="auto"/>
                <w:highlight w:val="none"/>
                <w:lang w:val="zh-CN" w:eastAsia="zh-CN"/>
              </w:rPr>
            </w:pPr>
            <w:r>
              <w:rPr>
                <w:rFonts w:hint="eastAsia" w:eastAsia="宋体" w:cs="Times New Roman"/>
                <w:color w:val="auto"/>
                <w:highlight w:val="none"/>
                <w:lang w:val="zh-CN" w:eastAsia="zh-CN"/>
              </w:rPr>
            </w:r>
            <w:r/>
          </w:p>
          <w:p>
            <w:pPr>
              <w:numPr>
                <w:ilvl w:val="0"/>
                <w:numId w:val="0"/>
              </w:numPr>
              <w:ind w:left="425" w:hanging="425"/>
              <w:jc w:val="left"/>
              <w:keepLines w:val="0"/>
              <w:keepNext w:val="0"/>
              <w:pageBreakBefore w:val="0"/>
              <w:spacing w:line="360" w:lineRule="auto"/>
              <w:rPr>
                <w:rFonts w:hint="eastAsia"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t xml:space="preserve">(10)</w:t>
            </w:r>
            <w:r>
              <w:rPr>
                <w:rFonts w:hint="eastAsia" w:ascii="宋体" w:hAnsi="宋体" w:eastAsia="宋体" w:cs="宋体"/>
                <w:b/>
                <w:color w:val="auto"/>
                <w:sz w:val="21"/>
                <w:szCs w:val="21"/>
                <w:highlight w:val="none"/>
                <w:lang w:val="en-US" w:eastAsia="zh-CN" w:bidi="zh-CN"/>
              </w:rPr>
              <w:t xml:space="preserve">提供</w:t>
            </w:r>
            <w:r>
              <w:rPr>
                <w:rFonts w:hint="eastAsia" w:ascii="宋体" w:hAnsi="宋体" w:eastAsia="宋体" w:cs="宋体"/>
                <w:b/>
                <w:color w:val="auto"/>
                <w:sz w:val="21"/>
                <w:szCs w:val="21"/>
                <w:highlight w:val="none"/>
                <w:lang w:val="zh-CN" w:eastAsia="zh-CN" w:bidi="zh-CN"/>
              </w:rPr>
              <w:t xml:space="preserve">礼堂椅</w:t>
            </w:r>
            <w:r>
              <w:rPr>
                <w:rFonts w:hint="eastAsia" w:ascii="宋体" w:hAnsi="宋体" w:eastAsia="宋体" w:cs="宋体"/>
                <w:b/>
                <w:color w:val="auto"/>
                <w:sz w:val="21"/>
                <w:szCs w:val="21"/>
                <w:highlight w:val="none"/>
                <w:lang w:val="en-US" w:eastAsia="zh-CN" w:bidi="zh-CN"/>
              </w:rPr>
              <w:t xml:space="preserve">的</w:t>
            </w:r>
            <w:r>
              <w:rPr>
                <w:rFonts w:hint="eastAsia" w:ascii="宋体" w:hAnsi="宋体" w:eastAsia="宋体" w:cs="宋体"/>
                <w:b/>
                <w:color w:val="auto"/>
                <w:sz w:val="21"/>
                <w:szCs w:val="21"/>
                <w:highlight w:val="none"/>
                <w:lang w:val="zh-CN" w:eastAsia="zh-CN" w:bidi="zh-CN"/>
              </w:rPr>
              <w:t xml:space="preserve">检验（或检测）报告，报告中需包含：</w:t>
            </w:r>
            <w:r/>
          </w:p>
          <w:p>
            <w:pPr>
              <w:pStyle w:val="682"/>
              <w:ind w:right="0"/>
              <w:keepLines w:val="0"/>
              <w:keepNext w:val="0"/>
              <w:spacing w:before="0" w:beforeAutospacing="0" w:after="0" w:afterAutospacing="0" w:line="17" w:lineRule="atLeast"/>
              <w:shd w:val="clear" w:color="auto" w:fill="ffffff"/>
              <w:widowControl/>
              <w:rPr>
                <w:rFonts w:hint="eastAsia" w:ascii="Calibri" w:hAnsi="Calibri" w:eastAsia="宋体" w:cs="Times New Roman"/>
                <w:b w:val="0"/>
                <w:bCs w:val="0"/>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Times New Roman"/>
                <w:b w:val="0"/>
                <w:bCs w:val="0"/>
                <w:color w:val="auto"/>
                <w:sz w:val="21"/>
                <w:szCs w:val="21"/>
                <w:highlight w:val="none"/>
                <w:lang w:val="zh-CN" w:eastAsia="zh-CN" w:bidi="ar-SA"/>
              </w:rPr>
              <w:t xml:space="preserve">①</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QB/T 2602-2013《</w:t>
            </w:r>
            <w:r>
              <w:rPr>
                <w:rFonts w:hint="default" w:ascii="Calibri" w:hAnsi="Calibri" w:eastAsia="宋体" w:cs="Times New Roman"/>
                <w:b w:val="0"/>
                <w:bCs w:val="0"/>
                <w:color w:val="auto"/>
                <w:sz w:val="21"/>
                <w:szCs w:val="21"/>
                <w:highlight w:val="none"/>
                <w:lang w:val="en-US" w:eastAsia="zh-CN" w:bidi="ar-SA"/>
              </w:rPr>
              <w:t xml:space="preserve">影剧院公共座椅</w:t>
            </w:r>
            <w:r>
              <w:rPr>
                <w:rFonts w:hint="eastAsia" w:ascii="Calibri" w:hAnsi="Calibri" w:eastAsia="宋体" w:cs="Times New Roman"/>
                <w:b w:val="0"/>
                <w:bCs w:val="0"/>
                <w:color w:val="auto"/>
                <w:sz w:val="21"/>
                <w:szCs w:val="21"/>
                <w:highlight w:val="none"/>
                <w:lang w:val="zh-CN" w:eastAsia="zh-CN" w:bidi="ar-SA"/>
              </w:rPr>
              <w:t xml:space="preserve">》：理化性能-木制件涂层：</w:t>
            </w:r>
            <w:r>
              <w:rPr>
                <w:rFonts w:hint="eastAsia" w:ascii="Calibri" w:hAnsi="Calibri" w:eastAsia="宋体" w:cs="Times New Roman"/>
                <w:b w:val="0"/>
                <w:bCs w:val="0"/>
                <w:color w:val="auto"/>
                <w:sz w:val="21"/>
                <w:szCs w:val="21"/>
                <w:highlight w:val="none"/>
                <w:lang w:val="en-US" w:eastAsia="zh-CN" w:bidi="ar-SA"/>
              </w:rPr>
              <w:t xml:space="preserve">通过耐磨检测、抗冲击检测、</w:t>
            </w:r>
            <w:r>
              <w:rPr>
                <w:rFonts w:hint="eastAsia" w:ascii="Calibri" w:hAnsi="Calibri" w:eastAsia="宋体" w:cs="Times New Roman"/>
                <w:b w:val="0"/>
                <w:bCs w:val="0"/>
                <w:color w:val="auto"/>
                <w:sz w:val="21"/>
                <w:szCs w:val="21"/>
                <w:highlight w:val="none"/>
                <w:lang w:val="zh-CN" w:eastAsia="zh-CN" w:bidi="ar-SA"/>
              </w:rPr>
              <w:t xml:space="preserve">力学性能-座面冲击试验（冲击高度300mm，10次）；椅背冲击试验（冲击高度620mm，10次）；扶手冲击试验（冲击高度620mm，角度68°，10次）；写字板垂直向下静载荷试验（300N，10次）；写字板耐久性试验（150N，2.5万次）；</w:t>
            </w:r>
            <w:r/>
          </w:p>
          <w:p>
            <w:pPr>
              <w:numPr>
                <w:ilvl w:val="0"/>
                <w:numId w:val="0"/>
              </w:numPr>
              <w:rPr>
                <w:rFonts w:hint="eastAsia" w:ascii="Calibri" w:hAnsi="Calibri" w:eastAsia="宋体" w:cs="Times New Roman"/>
                <w:b w:val="0"/>
                <w:bCs w:val="0"/>
                <w:color w:val="auto"/>
                <w:sz w:val="21"/>
                <w:szCs w:val="21"/>
                <w:highlight w:val="none"/>
                <w:lang w:val="zh-CN" w:eastAsia="zh-CN" w:bidi="ar-SA"/>
              </w:rPr>
            </w:pPr>
            <w:r>
              <w:rPr>
                <w:rFonts w:hint="eastAsia" w:ascii="Calibri" w:hAnsi="Calibri" w:eastAsia="宋体" w:cs="Times New Roman"/>
                <w:b w:val="0"/>
                <w:bCs w:val="0"/>
                <w:color w:val="auto"/>
                <w:sz w:val="21"/>
                <w:szCs w:val="21"/>
                <w:highlight w:val="none"/>
                <w:lang w:val="zh-CN" w:eastAsia="zh-CN" w:bidi="ar-SA"/>
              </w:rPr>
              <w:t xml:space="preserve">②</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GB/T 5455-2014《纺织品 燃烧性能 垂直方向损毁长度、阴燃和续燃时间的测定》：阻燃1级（织物）：氧指数≥33.0，损毁长度≤100mm，续燃时间≤3s,阴燃时间≤5s，燃烧滴落物未引起脱脂棉燃烧或阴燃；</w:t>
            </w:r>
            <w:r/>
          </w:p>
          <w:p>
            <w:pPr>
              <w:numPr>
                <w:ilvl w:val="0"/>
                <w:numId w:val="0"/>
              </w:numPr>
              <w:rPr>
                <w:rFonts w:hint="eastAsia" w:ascii="Calibri" w:hAnsi="Calibri" w:eastAsia="宋体" w:cs="Times New Roman"/>
                <w:b w:val="0"/>
                <w:bCs w:val="0"/>
                <w:color w:val="auto"/>
                <w:sz w:val="21"/>
                <w:szCs w:val="21"/>
                <w:highlight w:val="none"/>
                <w:lang w:val="zh-CN" w:eastAsia="zh-CN" w:bidi="ar-SA"/>
              </w:rPr>
            </w:pPr>
            <w:r>
              <w:rPr>
                <w:rFonts w:hint="eastAsia" w:ascii="Calibri" w:hAnsi="Calibri" w:eastAsia="宋体" w:cs="Times New Roman"/>
                <w:b w:val="0"/>
                <w:bCs w:val="0"/>
                <w:color w:val="auto"/>
                <w:sz w:val="21"/>
                <w:szCs w:val="21"/>
                <w:highlight w:val="none"/>
                <w:lang w:val="zh-CN" w:eastAsia="zh-CN" w:bidi="ar-SA"/>
              </w:rPr>
              <w:t xml:space="preserve">③</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ascii="Calibri" w:hAnsi="Calibri" w:eastAsia="宋体" w:cs="Times New Roman"/>
                <w:b w:val="0"/>
                <w:bCs w:val="0"/>
                <w:color w:val="auto"/>
                <w:sz w:val="21"/>
                <w:szCs w:val="21"/>
                <w:highlight w:val="none"/>
                <w:lang w:val="zh-CN" w:eastAsia="zh-CN" w:bidi="ar-SA"/>
              </w:rPr>
              <w:t xml:space="preserve">GB/T 3923.1-2013《纺织品 织物拉伸性能 第1部分：断裂强力和断裂伸长率的测定（条样法）》：断裂强力：经向≥300N，纬向≥150N；</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(11)</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值班床</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numPr>
                <w:ilvl w:val="0"/>
                <w:numId w:val="0"/>
              </w:numPr>
              <w:jc w:val="both"/>
              <w:widowControl w:val="off"/>
              <w:rPr>
                <w:rFonts w:hint="eastAsia" w:ascii="Calibri" w:hAnsi="Calibri" w:eastAsia="宋体" w:cs="Times New Roman"/>
                <w:b w:val="0"/>
                <w:bCs w:val="0"/>
                <w:color w:val="auto"/>
                <w:sz w:val="21"/>
                <w:szCs w:val="21"/>
                <w:highlight w:val="none"/>
                <w:lang w:val="en-US" w:eastAsia="zh-CN" w:bidi="ar-SA"/>
              </w:rPr>
            </w:pPr>
            <w:r>
              <w:rPr>
                <w:rFonts w:hint="eastAsia" w:ascii="Calibri" w:hAnsi="Calibri" w:eastAsia="宋体" w:cs="Times New Roman"/>
                <w:b w:val="0"/>
                <w:bCs w:val="0"/>
                <w:color w:val="auto"/>
                <w:sz w:val="21"/>
                <w:szCs w:val="21"/>
                <w:highlight w:val="none"/>
                <w:lang w:val="en-US" w:eastAsia="zh-CN" w:bidi="ar-SA"/>
              </w:rPr>
              <w:t xml:space="preserve">①依据符合GB/T35607-2024《绿色产品评价家具》标准，甲醛释放量≤0.05mg/m³；苯≤0.03mg/m³、甲苯≤0.08mg/m³、二甲苯≤0.10mg/m³、TVOC≤0.25mg/m³；</w:t>
            </w:r>
            <w:r/>
          </w:p>
          <w:p>
            <w:pPr>
              <w:numPr>
                <w:ilvl w:val="0"/>
                <w:numId w:val="0"/>
              </w:numPr>
              <w:jc w:val="both"/>
              <w:widowControl w:val="off"/>
              <w:rPr>
                <w:rFonts w:hint="default" w:ascii="Calibri" w:hAnsi="Calibri" w:eastAsia="宋体" w:cs="Times New Roman"/>
                <w:b w:val="0"/>
                <w:bCs w:val="0"/>
                <w:color w:val="auto"/>
                <w:sz w:val="21"/>
                <w:szCs w:val="21"/>
                <w:highlight w:val="none"/>
                <w:lang w:val="en-US" w:eastAsia="zh-CN" w:bidi="ar-SA"/>
              </w:rPr>
            </w:pPr>
            <w:r>
              <w:rPr>
                <w:rFonts w:hint="eastAsia" w:ascii="Calibri" w:hAnsi="Calibri" w:eastAsia="宋体" w:cs="Times New Roman"/>
                <w:b w:val="0"/>
                <w:bCs w:val="0"/>
                <w:color w:val="auto"/>
                <w:sz w:val="21"/>
                <w:szCs w:val="21"/>
                <w:highlight w:val="none"/>
                <w:lang w:val="zh-CN" w:eastAsia="zh-CN" w:bidi="ar-SA"/>
              </w:rPr>
              <w:t xml:space="preserve">②</w:t>
            </w:r>
            <w:r>
              <w:rPr>
                <w:rFonts w:hint="eastAsia" w:ascii="Calibri" w:hAnsi="Calibri" w:eastAsia="宋体" w:cs="Times New Roman"/>
                <w:b w:val="0"/>
                <w:bCs w:val="0"/>
                <w:color w:val="auto"/>
                <w:sz w:val="21"/>
                <w:szCs w:val="21"/>
                <w:highlight w:val="none"/>
                <w:lang w:val="en-US" w:eastAsia="zh-CN" w:bidi="ar-SA"/>
              </w:rPr>
              <w:t xml:space="preserve">依据符合GB/T 10125-2021《人造气氛腐蚀试验 盐雾试验》、QB/T 3832-1999《轻工产品金属镀层腐蚀试验结果的评价》、GB/T6461-2002《金属基体上金属和其他无机覆盖层经腐蚀试验后的试样和试件的评级》标准，耐腐蚀试验。乙酸盐雾试验≥18h,保护评级、外观评级均≥9级；涂（镀）层本身的耐腐蚀等级、对基体的保护等级≥9级；</w:t>
            </w:r>
            <w:r/>
          </w:p>
          <w:p>
            <w:pPr>
              <w:numPr>
                <w:ilvl w:val="0"/>
                <w:numId w:val="0"/>
              </w:numPr>
              <w:ind w:left="425" w:hanging="425"/>
              <w:keepLines w:val="0"/>
              <w:keepNext w:val="0"/>
              <w:pageBreakBefore w:val="0"/>
              <w:spacing w:line="360" w:lineRule="auto"/>
              <w:rPr>
                <w:rFonts w:hint="default" w:ascii="Calibri" w:hAnsi="Calibri" w:eastAsia="宋体" w:cs="Times New Roman"/>
                <w:b w:val="0"/>
                <w:bCs w:val="0"/>
                <w:color w:val="auto"/>
                <w:sz w:val="21"/>
                <w:szCs w:val="21"/>
                <w:highlight w:val="none"/>
                <w:lang w:val="en-US" w:eastAsia="zh-CN" w:bidi="ar-SA"/>
              </w:rPr>
            </w:pPr>
            <w:r>
              <w:rPr>
                <w:rFonts w:hint="eastAsia"/>
                <w:color w:val="auto"/>
                <w:highlight w:val="none"/>
                <w:lang w:val="zh-CN" w:eastAsia="zh-CN"/>
              </w:rPr>
              <w:t xml:space="preserve">③</w:t>
            </w:r>
            <w:r>
              <w:rPr>
                <w:rFonts w:hint="eastAsia" w:ascii="Calibri" w:hAnsi="Calibri" w:eastAsia="宋体" w:cs="Times New Roman"/>
                <w:b w:val="0"/>
                <w:bCs w:val="0"/>
                <w:color w:val="auto"/>
                <w:sz w:val="21"/>
                <w:szCs w:val="21"/>
                <w:highlight w:val="none"/>
                <w:lang w:val="en-US" w:eastAsia="zh-CN" w:bidi="ar-SA"/>
              </w:rPr>
              <w:t xml:space="preserve">依据符合</w:t>
            </w:r>
            <w:r>
              <w:rPr>
                <w:rFonts w:hint="eastAsia"/>
                <w:color w:val="auto"/>
                <w:highlight w:val="none"/>
                <w:lang w:val="zh-CN" w:eastAsia="zh-CN"/>
              </w:rPr>
              <w:t xml:space="preserve">WS/T 650-2019《抗菌和抑菌效果评价方法》</w:t>
            </w:r>
            <w:r>
              <w:rPr>
                <w:rFonts w:hint="eastAsia" w:ascii="Calibri" w:hAnsi="Calibri" w:eastAsia="宋体" w:cs="Times New Roman"/>
                <w:b w:val="0"/>
                <w:bCs w:val="0"/>
                <w:color w:val="auto"/>
                <w:sz w:val="21"/>
                <w:szCs w:val="21"/>
                <w:highlight w:val="none"/>
                <w:lang w:val="en-US" w:eastAsia="zh-CN" w:bidi="ar-SA"/>
              </w:rPr>
              <w:t xml:space="preserve">标准，</w:t>
            </w:r>
            <w:r>
              <w:rPr>
                <w:rFonts w:hint="eastAsia" w:cs="Times New Roman"/>
                <w:b w:val="0"/>
                <w:bCs w:val="0"/>
                <w:color w:val="auto"/>
                <w:sz w:val="21"/>
                <w:szCs w:val="21"/>
                <w:highlight w:val="none"/>
                <w:lang w:val="en-US" w:eastAsia="zh-CN" w:bidi="ar-SA"/>
              </w:rPr>
              <w:t xml:space="preserve">通过抗菌效果（抗菌性能）检测；</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ind w:left="425" w:hanging="425"/>
              <w:keepLines w:val="0"/>
              <w:keepNext w:val="0"/>
              <w:pageBreakBefore w:val="0"/>
              <w:spacing w:line="360" w:lineRule="auto"/>
              <w:rPr>
                <w:rFonts w:hint="default"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zh-CN" w:eastAsia="zh-CN" w:bidi="zh-CN"/>
              </w:rPr>
              <w:t xml:space="preserve">(12)</w:t>
            </w:r>
            <w:r>
              <w:rPr>
                <w:rFonts w:hint="eastAsia" w:ascii="宋体" w:hAnsi="宋体" w:eastAsia="宋体" w:cs="宋体"/>
                <w:b/>
                <w:color w:val="auto"/>
                <w:sz w:val="21"/>
                <w:szCs w:val="21"/>
                <w:highlight w:val="none"/>
                <w:lang w:val="en-US" w:bidi="zh-CN"/>
              </w:rPr>
              <w:t xml:space="preserve">提供</w:t>
            </w:r>
            <w:r>
              <w:rPr>
                <w:rFonts w:hint="eastAsia" w:ascii="宋体" w:hAnsi="宋体" w:eastAsia="宋体" w:cs="宋体"/>
                <w:b/>
                <w:color w:val="auto"/>
                <w:sz w:val="21"/>
                <w:szCs w:val="21"/>
                <w:highlight w:val="none"/>
                <w:lang w:val="zh-CN" w:bidi="zh-CN"/>
              </w:rPr>
              <w:t xml:space="preserve">办公椅</w:t>
            </w:r>
            <w:r>
              <w:rPr>
                <w:rFonts w:hint="eastAsia" w:ascii="宋体" w:hAnsi="宋体" w:eastAsia="宋体" w:cs="宋体"/>
                <w:b/>
                <w:color w:val="auto"/>
                <w:sz w:val="21"/>
                <w:szCs w:val="21"/>
                <w:highlight w:val="none"/>
                <w:lang w:val="en-US" w:bidi="zh-CN"/>
              </w:rPr>
              <w:t xml:space="preserve">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default"/>
                <w:color w:val="auto"/>
                <w:highlight w:val="none"/>
                <w:lang w:val="en-US" w:eastAsia="zh-CN"/>
              </w:rPr>
            </w:pPr>
            <w:r>
              <w:rPr>
                <w:rFonts w:hint="eastAsia"/>
                <w:color w:val="auto"/>
                <w:highlight w:val="none"/>
                <w:lang w:val="zh-CN" w:eastAsia="zh-CN"/>
              </w:rPr>
              <w:t xml:space="preserve">①检测依据符合GB/T3325-2024《金属家具通用技术条件》</w:t>
            </w:r>
            <w:r>
              <w:rPr>
                <w:rFonts w:hint="eastAsia"/>
                <w:color w:val="auto"/>
                <w:highlight w:val="none"/>
                <w:lang w:val="en-US" w:eastAsia="zh-CN"/>
              </w:rPr>
              <w:t xml:space="preserve">标准，通过基本结构安全检测；通过</w:t>
            </w:r>
            <w:r>
              <w:rPr>
                <w:rFonts w:hint="eastAsia"/>
                <w:color w:val="auto"/>
                <w:highlight w:val="none"/>
                <w:lang w:val="zh-CN" w:eastAsia="zh-CN"/>
              </w:rPr>
              <w:t xml:space="preserve">软、硬包件外观构件</w:t>
            </w:r>
            <w:r>
              <w:rPr>
                <w:rFonts w:hint="eastAsia"/>
                <w:color w:val="auto"/>
                <w:highlight w:val="none"/>
                <w:lang w:val="en-US" w:eastAsia="zh-CN"/>
              </w:rPr>
              <w:t xml:space="preserve">检测；</w:t>
            </w:r>
            <w:r/>
          </w:p>
          <w:p>
            <w:pPr>
              <w:rPr>
                <w:rFonts w:hint="eastAsia"/>
                <w:color w:val="auto"/>
                <w:highlight w:val="none"/>
                <w:lang w:val="zh-CN"/>
              </w:rPr>
            </w:pPr>
            <w:r>
              <w:rPr>
                <w:rFonts w:hint="eastAsia"/>
                <w:color w:val="auto"/>
                <w:highlight w:val="none"/>
                <w:lang w:val="zh-CN" w:eastAsia="zh-CN"/>
              </w:rPr>
              <w:t xml:space="preserve">②检测依据符合QB/T2280-2016《办公家具 办公椅》</w:t>
            </w:r>
            <w:r>
              <w:rPr>
                <w:rFonts w:hint="eastAsia"/>
                <w:color w:val="auto"/>
                <w:highlight w:val="none"/>
                <w:lang w:val="en-US" w:eastAsia="zh-CN"/>
              </w:rPr>
              <w:t xml:space="preserve">标准，</w:t>
            </w:r>
            <w:r>
              <w:rPr>
                <w:rFonts w:hint="eastAsia"/>
                <w:color w:val="auto"/>
                <w:highlight w:val="none"/>
                <w:lang w:val="zh-CN" w:eastAsia="zh-CN"/>
              </w:rPr>
              <w:t xml:space="preserve">理化性能软质聚氨酯泡沫塑料回弹性≥55%；75%压缩永久变形≤5</w:t>
            </w:r>
            <w:r>
              <w:rPr>
                <w:rFonts w:hint="eastAsia"/>
                <w:color w:val="auto"/>
                <w:highlight w:val="none"/>
                <w:lang w:val="en-US" w:eastAsia="zh-CN"/>
              </w:rPr>
              <w:t xml:space="preserve">%</w:t>
            </w:r>
            <w:r>
              <w:rPr>
                <w:rFonts w:hint="eastAsia"/>
                <w:color w:val="auto"/>
                <w:highlight w:val="none"/>
                <w:lang w:val="zh-CN" w:eastAsia="zh-CN"/>
              </w:rPr>
              <w:t xml:space="preserve">；干摩擦色牢度≥3级；椅座椅背耐久性≥10万次；公共场所用办公椅的阻燃性应满GB17927.2的要求；</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rPr>
                <w:rFonts w:hint="eastAsia"/>
                <w:b/>
                <w:bCs/>
                <w:color w:val="auto"/>
                <w:highlight w:val="none"/>
                <w:lang w:val="en-US" w:eastAsia="zh-CN"/>
              </w:rPr>
            </w:pPr>
            <w:r>
              <w:rPr>
                <w:rFonts w:hint="eastAsia"/>
                <w:b/>
                <w:bCs/>
                <w:color w:val="auto"/>
                <w:highlight w:val="none"/>
                <w:lang w:val="en-US" w:eastAsia="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eastAsia="zh-CN" w:bidi="zh-CN"/>
              </w:rPr>
            </w:pPr>
            <w:r>
              <w:rPr>
                <w:rFonts w:hint="default" w:ascii="宋体" w:hAnsi="宋体" w:eastAsia="宋体" w:cs="宋体"/>
                <w:b/>
                <w:color w:val="auto"/>
                <w:sz w:val="21"/>
                <w:szCs w:val="21"/>
                <w:highlight w:val="none"/>
                <w:lang w:val="zh-CN" w:eastAsia="zh-CN" w:bidi="zh-CN"/>
              </w:rPr>
              <w:t xml:space="preserve">(13)</w:t>
            </w:r>
            <w:r>
              <w:rPr>
                <w:rFonts w:hint="eastAsia" w:ascii="宋体" w:hAnsi="宋体" w:eastAsia="宋体" w:cs="宋体"/>
                <w:b/>
                <w:color w:val="auto"/>
                <w:sz w:val="21"/>
                <w:szCs w:val="21"/>
                <w:highlight w:val="none"/>
                <w:lang w:val="en-US" w:eastAsia="zh-CN" w:bidi="zh-CN"/>
              </w:rPr>
              <w:t xml:space="preserve">提供</w:t>
            </w:r>
            <w:r>
              <w:rPr>
                <w:rFonts w:hint="eastAsia" w:ascii="宋体" w:hAnsi="宋体" w:eastAsia="宋体" w:cs="宋体"/>
                <w:b/>
                <w:color w:val="auto"/>
                <w:sz w:val="21"/>
                <w:szCs w:val="21"/>
                <w:highlight w:val="none"/>
                <w:lang w:val="zh-CN" w:eastAsia="zh-CN" w:bidi="zh-CN"/>
              </w:rPr>
              <w:t xml:space="preserve">会议椅</w:t>
            </w:r>
            <w:r>
              <w:rPr>
                <w:rFonts w:hint="eastAsia" w:ascii="宋体" w:hAnsi="宋体" w:eastAsia="宋体" w:cs="宋体"/>
                <w:b/>
                <w:color w:val="auto"/>
                <w:sz w:val="21"/>
                <w:szCs w:val="21"/>
                <w:highlight w:val="none"/>
                <w:lang w:val="en-US" w:eastAsia="zh-CN" w:bidi="zh-CN"/>
              </w:rPr>
              <w:t xml:space="preserve">的</w:t>
            </w:r>
            <w:r>
              <w:rPr>
                <w:rFonts w:hint="eastAsia" w:ascii="宋体" w:hAnsi="宋体" w:eastAsia="宋体" w:cs="宋体"/>
                <w:b/>
                <w:color w:val="auto"/>
                <w:sz w:val="21"/>
                <w:szCs w:val="21"/>
                <w:highlight w:val="none"/>
                <w:lang w:val="zh-CN" w:eastAsia="zh-CN" w:bidi="zh-CN"/>
              </w:rPr>
              <w:t xml:space="preserve">检验（或检测）报告，报告中需包含：</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①</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38611-2020《办公家具 办公工作椅 稳定性、强度和耐久性测试方法》</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座面前沿倾翻测试、向前倾翻测试、扶手椅侧向倾翻测试均无倾翻；座面前沿静载荷测试、座面靠背联合静载荷测试、扶手向下静载荷测试-中间、扶手向下静载荷测试-前沿、扶手侧向静载荷测试、扶手耐久性测试（≥6万次）、旋转测试（≥1</w:t>
            </w:r>
            <w:r>
              <w:rPr>
                <w:rFonts w:hint="eastAsia" w:eastAsia="宋体" w:cs="Times New Roman"/>
                <w:b w:val="0"/>
                <w:bCs w:val="0"/>
                <w:color w:val="auto"/>
                <w:sz w:val="21"/>
                <w:szCs w:val="21"/>
                <w:highlight w:val="none"/>
                <w:lang w:val="en-US" w:eastAsia="zh-CN"/>
              </w:rPr>
              <w:t xml:space="preserve">0</w:t>
            </w:r>
            <w:r>
              <w:rPr>
                <w:rFonts w:hint="eastAsia" w:eastAsia="宋体" w:cs="Times New Roman"/>
                <w:b w:val="0"/>
                <w:bCs w:val="0"/>
                <w:color w:val="auto"/>
                <w:sz w:val="21"/>
                <w:szCs w:val="21"/>
                <w:highlight w:val="none"/>
                <w:lang w:val="zh-CN" w:eastAsia="zh-CN"/>
              </w:rPr>
              <w:t xml:space="preserve">万次）、脚轮和底座耐久性测试（≥10万次）；</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②</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35607-2024《绿色产品评价 家具》</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w:t>
            </w:r>
            <w:r>
              <w:rPr>
                <w:rFonts w:hint="eastAsia" w:ascii="Calibri" w:hAnsi="Calibri" w:eastAsia="宋体" w:cs="Times New Roman"/>
                <w:b w:val="0"/>
                <w:bCs w:val="0"/>
                <w:color w:val="auto"/>
                <w:sz w:val="21"/>
                <w:szCs w:val="21"/>
                <w:highlight w:val="none"/>
                <w:lang w:val="en-US" w:eastAsia="zh-CN" w:bidi="ar-SA"/>
              </w:rPr>
              <w:t xml:space="preserve">甲醛释放量≤0.05mg/m³；苯≤0.03mg/m³、甲苯≤0.08mg/m³、二甲苯≤0.10mg/m³、TVOC≤0.25mg/m³；</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③</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QB/T 2280-2016《办公家具 办公椅》</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；理化性能-软质聚氨酯泡沫塑料：密度：座面≥25kg/m³；回弹性≥35%、75%压缩永久变形≤10%</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zh-CN" w:eastAsia="zh-CN"/>
              </w:rPr>
            </w:pPr>
            <w:r>
              <w:rPr>
                <w:rFonts w:hint="eastAsia" w:ascii="Calibri" w:hAnsi="Calibri" w:eastAsia="宋体" w:cs="Times New Roman"/>
                <w:b w:val="0"/>
                <w:bCs w:val="0"/>
                <w:color w:val="auto"/>
                <w:sz w:val="21"/>
                <w:szCs w:val="21"/>
                <w:highlight w:val="none"/>
                <w:lang w:val="zh-CN" w:eastAsia="zh-CN" w:bidi="ar-SA"/>
              </w:rPr>
              <w:t xml:space="preserve">④</w:t>
            </w:r>
            <w:r>
              <w:rPr>
                <w:rFonts w:hint="eastAsia" w:eastAsia="宋体" w:cs="Times New Roman"/>
                <w:b w:val="0"/>
                <w:bCs w:val="0"/>
                <w:color w:val="auto"/>
                <w:sz w:val="21"/>
                <w:szCs w:val="21"/>
                <w:highlight w:val="none"/>
                <w:lang w:val="en-US" w:eastAsia="zh-CN"/>
              </w:rPr>
              <w:t xml:space="preserve">依据符合</w:t>
            </w:r>
            <w:r>
              <w:rPr>
                <w:rFonts w:hint="eastAsia" w:eastAsia="宋体" w:cs="Times New Roman"/>
                <w:b w:val="0"/>
                <w:bCs w:val="0"/>
                <w:color w:val="auto"/>
                <w:sz w:val="21"/>
                <w:szCs w:val="21"/>
                <w:highlight w:val="none"/>
                <w:lang w:val="zh-CN" w:eastAsia="zh-CN"/>
              </w:rPr>
              <w:t xml:space="preserve">GB/T 3325-2024《金属家具通用技术条件》</w:t>
            </w:r>
            <w:r>
              <w:rPr>
                <w:rFonts w:hint="eastAsia" w:eastAsia="宋体" w:cs="Times New Roman"/>
                <w:b w:val="0"/>
                <w:bCs w:val="0"/>
                <w:color w:val="auto"/>
                <w:sz w:val="21"/>
                <w:szCs w:val="21"/>
                <w:highlight w:val="none"/>
                <w:lang w:val="en-US" w:eastAsia="zh-CN"/>
              </w:rPr>
              <w:t xml:space="preserve">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通过检测：</w:t>
            </w:r>
            <w:r>
              <w:rPr>
                <w:rFonts w:hint="eastAsia" w:eastAsia="宋体" w:cs="Times New Roman"/>
                <w:b w:val="0"/>
                <w:bCs w:val="0"/>
                <w:color w:val="auto"/>
                <w:sz w:val="21"/>
                <w:szCs w:val="21"/>
                <w:highlight w:val="none"/>
                <w:lang w:val="zh-CN" w:eastAsia="zh-CN"/>
              </w:rPr>
              <w:t xml:space="preserve">产品外观性能-塑料件；软包件-软面包覆表面；金属件-电镀件；喷漆(塑)涂层；金属电镀层-抗盐雾：无锈点；金属喷漆(塑)涂层-硬度；</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en-US" w:eastAsia="zh-CN"/>
              </w:rPr>
            </w:pPr>
            <w:r>
              <w:rPr>
                <w:rFonts w:hint="eastAsia" w:ascii="Calibri" w:hAnsi="Calibri" w:eastAsia="宋体" w:cs="Times New Roman"/>
                <w:b w:val="0"/>
                <w:bCs w:val="0"/>
                <w:color w:val="auto"/>
                <w:sz w:val="21"/>
                <w:szCs w:val="21"/>
                <w:highlight w:val="none"/>
                <w:lang w:val="en-US" w:eastAsia="zh-CN" w:bidi="ar-SA"/>
              </w:rPr>
              <w:t xml:space="preserve">⑤</w:t>
            </w:r>
            <w:r>
              <w:rPr>
                <w:rFonts w:hint="eastAsia" w:eastAsia="宋体" w:cs="Times New Roman"/>
                <w:b w:val="0"/>
                <w:bCs w:val="0"/>
                <w:color w:val="auto"/>
                <w:sz w:val="21"/>
                <w:szCs w:val="21"/>
                <w:highlight w:val="none"/>
                <w:lang w:val="en-US" w:eastAsia="zh-CN"/>
              </w:rPr>
              <w:t xml:space="preserve">依据符合GB/T 19466.6-2009《塑料 差示扫描量热法（DSC）第6部分：氧化诱导时间（等温OIT）和氧化诱导温度（动态OIT）的测定》标准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氧化诱导时间（200℃）≥140min；</w:t>
            </w:r>
            <w:r/>
          </w:p>
          <w:p>
            <w:pPr>
              <w:numPr>
                <w:ilvl w:val="0"/>
                <w:numId w:val="0"/>
              </w:numPr>
              <w:keepLines w:val="0"/>
              <w:keepNext w:val="0"/>
              <w:pageBreakBefore w:val="0"/>
              <w:widowControl w:val="off"/>
              <w:rPr>
                <w:rFonts w:hint="eastAsia" w:eastAsia="宋体" w:cs="Times New Roman"/>
                <w:b w:val="0"/>
                <w:bCs w:val="0"/>
                <w:color w:val="auto"/>
                <w:sz w:val="21"/>
                <w:szCs w:val="21"/>
                <w:highlight w:val="none"/>
                <w:lang w:val="en-US" w:eastAsia="zh-CN"/>
              </w:rPr>
            </w:pPr>
            <w:r>
              <w:rPr>
                <w:rFonts w:hint="eastAsia" w:ascii="Calibri" w:hAnsi="Calibri" w:eastAsia="宋体" w:cs="Times New Roman"/>
                <w:b w:val="0"/>
                <w:bCs w:val="0"/>
                <w:color w:val="auto"/>
                <w:sz w:val="21"/>
                <w:szCs w:val="21"/>
                <w:highlight w:val="none"/>
                <w:lang w:val="en-US" w:eastAsia="zh-CN" w:bidi="ar-SA"/>
              </w:rPr>
              <w:t xml:space="preserve">⑥</w:t>
            </w:r>
            <w:r>
              <w:rPr>
                <w:rFonts w:hint="eastAsia" w:eastAsia="宋体" w:cs="Times New Roman"/>
                <w:b w:val="0"/>
                <w:bCs w:val="0"/>
                <w:color w:val="auto"/>
                <w:sz w:val="21"/>
                <w:szCs w:val="21"/>
                <w:highlight w:val="none"/>
                <w:lang w:val="en-US" w:eastAsia="zh-CN"/>
              </w:rPr>
              <w:t xml:space="preserve">依据符合GB/T 8426-1998《纺织品 色牢度试验 耐光色牢度:日光》标准</w:t>
            </w:r>
            <w:r>
              <w:rPr>
                <w:rFonts w:hint="eastAsia" w:eastAsia="宋体" w:cs="Times New Roman"/>
                <w:b w:val="0"/>
                <w:bCs w:val="0"/>
                <w:color w:val="auto"/>
                <w:sz w:val="21"/>
                <w:szCs w:val="21"/>
                <w:highlight w:val="none"/>
                <w:lang w:val="zh-CN" w:eastAsia="zh-CN"/>
              </w:rPr>
              <w:t xml:space="preserve">；</w:t>
            </w:r>
            <w:r>
              <w:rPr>
                <w:rFonts w:hint="eastAsia" w:eastAsia="宋体" w:cs="Times New Roman"/>
                <w:b w:val="0"/>
                <w:bCs w:val="0"/>
                <w:color w:val="auto"/>
                <w:sz w:val="21"/>
                <w:szCs w:val="21"/>
                <w:highlight w:val="none"/>
                <w:lang w:val="en-US" w:eastAsia="zh-CN"/>
              </w:rPr>
              <w:t xml:space="preserve">耐日光色牢度≥3级；</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numPr>
                <w:ilvl w:val="0"/>
                <w:numId w:val="0"/>
              </w:numPr>
              <w:jc w:val="both"/>
              <w:widowControl w:val="off"/>
              <w:rPr>
                <w:rFonts w:hint="eastAsia" w:ascii="宋体" w:hAnsi="宋体" w:eastAsia="宋体" w:cs="宋体"/>
                <w:b/>
                <w:color w:val="auto"/>
                <w:sz w:val="21"/>
                <w:szCs w:val="21"/>
                <w:highlight w:val="none"/>
                <w:lang w:val="en-US" w:bidi="zh-CN"/>
              </w:rPr>
            </w:pPr>
            <w:r>
              <w:rPr>
                <w:rFonts w:hint="eastAsia" w:ascii="宋体" w:hAnsi="宋体" w:eastAsia="宋体" w:cs="宋体"/>
                <w:b/>
                <w:color w:val="auto"/>
                <w:sz w:val="21"/>
                <w:szCs w:val="21"/>
                <w:highlight w:val="none"/>
                <w:lang w:val="en-US" w:bidi="zh-CN"/>
              </w:rPr>
            </w:r>
            <w:r/>
          </w:p>
          <w:p>
            <w:pPr>
              <w:numPr>
                <w:ilvl w:val="0"/>
                <w:numId w:val="0"/>
              </w:numPr>
              <w:ind w:left="425" w:hanging="425"/>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default" w:ascii="宋体" w:hAnsi="宋体" w:eastAsia="宋体" w:cs="宋体"/>
                <w:b/>
                <w:color w:val="auto"/>
                <w:sz w:val="21"/>
                <w:szCs w:val="21"/>
                <w:highlight w:val="none"/>
                <w:lang w:val="en-US" w:eastAsia="zh-CN" w:bidi="zh-CN"/>
              </w:rPr>
              <w:t xml:space="preserve">(1</w:t>
            </w:r>
            <w:r>
              <w:rPr>
                <w:rFonts w:hint="eastAsia" w:ascii="宋体" w:hAnsi="宋体" w:eastAsia="宋体" w:cs="宋体"/>
                <w:b/>
                <w:color w:val="auto"/>
                <w:sz w:val="21"/>
                <w:szCs w:val="21"/>
                <w:highlight w:val="none"/>
                <w:lang w:val="en-US" w:eastAsia="zh-CN" w:bidi="zh-CN"/>
              </w:rPr>
              <w:t xml:space="preserve">4</w:t>
            </w:r>
            <w:r>
              <w:rPr>
                <w:rFonts w:hint="default" w:ascii="宋体" w:hAnsi="宋体" w:eastAsia="宋体" w:cs="宋体"/>
                <w:b/>
                <w:color w:val="auto"/>
                <w:sz w:val="21"/>
                <w:szCs w:val="21"/>
                <w:highlight w:val="none"/>
                <w:lang w:val="en-US" w:eastAsia="zh-CN" w:bidi="zh-CN"/>
              </w:rPr>
              <w:t xml:space="preserve">)</w:t>
            </w:r>
            <w:r>
              <w:rPr>
                <w:rFonts w:hint="eastAsia" w:ascii="宋体" w:hAnsi="宋体" w:eastAsia="宋体" w:cs="宋体"/>
                <w:b/>
                <w:color w:val="auto"/>
                <w:sz w:val="21"/>
                <w:szCs w:val="21"/>
                <w:highlight w:val="none"/>
                <w:lang w:val="en-US" w:bidi="zh-CN"/>
              </w:rPr>
              <w:t xml:space="preserve">提供沙发的</w:t>
            </w:r>
            <w:r>
              <w:rPr>
                <w:rFonts w:hint="eastAsia" w:ascii="宋体" w:hAnsi="宋体" w:eastAsia="宋体" w:cs="宋体"/>
                <w:b/>
                <w:color w:val="auto"/>
                <w:sz w:val="21"/>
                <w:szCs w:val="21"/>
                <w:highlight w:val="none"/>
                <w:lang w:val="zh-CN" w:bidi="zh-CN"/>
              </w:rPr>
              <w:t xml:space="preserve">检验（或检测）报告，报告中需包含：</w:t>
            </w:r>
            <w:r/>
          </w:p>
          <w:p>
            <w:pPr>
              <w:rPr>
                <w:rFonts w:hint="eastAsia"/>
                <w:color w:val="auto"/>
                <w:highlight w:val="none"/>
                <w:lang w:val="en-US"/>
              </w:rPr>
            </w:pPr>
            <w:r>
              <w:rPr>
                <w:rFonts w:hint="eastAsia"/>
                <w:color w:val="auto"/>
                <w:highlight w:val="none"/>
                <w:lang w:val="en-US" w:eastAsia="zh-CN"/>
              </w:rPr>
              <w:t xml:space="preserve">①</w:t>
            </w:r>
            <w:r>
              <w:rPr>
                <w:rFonts w:hint="eastAsia"/>
                <w:color w:val="auto"/>
                <w:highlight w:val="none"/>
                <w:lang w:val="zh-CN" w:eastAsia="zh-CN"/>
              </w:rPr>
              <w:t xml:space="preserve">依据符合</w:t>
            </w:r>
            <w:r>
              <w:rPr>
                <w:rFonts w:hint="eastAsia"/>
                <w:color w:val="auto"/>
                <w:highlight w:val="none"/>
                <w:lang w:val="zh-CN"/>
              </w:rPr>
              <w:t xml:space="preserve">QB/T 1952.1-2023《软体家具沙发》；</w:t>
            </w:r>
            <w:r>
              <w:rPr>
                <w:rFonts w:hint="eastAsia"/>
                <w:color w:val="auto"/>
                <w:highlight w:val="none"/>
                <w:lang w:val="en-US"/>
              </w:rPr>
              <w:t xml:space="preserve">摩擦声</w:t>
            </w:r>
            <w:r>
              <w:rPr>
                <w:rFonts w:hint="eastAsia"/>
                <w:color w:val="auto"/>
                <w:highlight w:val="none"/>
                <w:lang w:val="en-US" w:eastAsia="zh-CN"/>
              </w:rPr>
              <w:t xml:space="preserve">：</w:t>
            </w:r>
            <w:r>
              <w:rPr>
                <w:rFonts w:hint="eastAsia"/>
                <w:color w:val="auto"/>
                <w:highlight w:val="none"/>
                <w:lang w:val="en-US"/>
              </w:rPr>
              <w:t xml:space="preserve">徒手压座面和背面，应无异常的金属件摩擦或撞击等响声；抗引燃特性-阴燃的香烟未观察到试样表面或内部出现任何续燃、阴燃现象，评定该试样为阻燃I级，通过香烟抗引燃特性试验</w:t>
            </w:r>
            <w:r/>
          </w:p>
          <w:p>
            <w:pPr>
              <w:rPr>
                <w:rFonts w:hint="eastAsia"/>
                <w:color w:val="auto"/>
                <w:highlight w:val="none"/>
                <w:lang w:val="en-US" w:eastAsia="zh-CN"/>
              </w:rPr>
            </w:pPr>
            <w:r>
              <w:rPr>
                <w:rFonts w:hint="eastAsia"/>
                <w:color w:val="auto"/>
                <w:highlight w:val="none"/>
                <w:lang w:val="en-US" w:eastAsia="zh-CN"/>
              </w:rPr>
              <w:t xml:space="preserve">②</w:t>
            </w:r>
            <w:r>
              <w:rPr>
                <w:rFonts w:hint="eastAsia"/>
                <w:color w:val="auto"/>
                <w:highlight w:val="none"/>
                <w:lang w:val="zh-CN" w:eastAsia="zh-CN"/>
              </w:rPr>
              <w:t xml:space="preserve">依据符合</w:t>
            </w:r>
            <w:r>
              <w:rPr>
                <w:rFonts w:hint="eastAsia"/>
                <w:color w:val="auto"/>
                <w:highlight w:val="none"/>
                <w:lang w:val="zh-CN"/>
              </w:rPr>
              <w:t xml:space="preserve">GB/T 35607-2024《绿色产品评价家具》；</w:t>
            </w:r>
            <w:r>
              <w:rPr>
                <w:rFonts w:hint="eastAsia"/>
                <w:color w:val="auto"/>
                <w:highlight w:val="none"/>
                <w:lang w:val="en-US" w:eastAsia="zh-CN"/>
              </w:rPr>
              <w:t xml:space="preserve">苯≤0.03mg/m³、甲苯≤0.08mg/m³、二甲苯≤0.10mg/m³、TVOC≤0.25mg/m³；</w:t>
            </w:r>
            <w:r/>
          </w:p>
          <w:p>
            <w:pPr>
              <w:keepLines w:val="0"/>
              <w:keepNext w:val="0"/>
              <w:pageBreakBefore w:val="0"/>
              <w:spacing w:line="32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以上全部满足并检测合格得</w:t>
            </w:r>
            <w:r>
              <w:rPr>
                <w:rFonts w:hint="eastAsia" w:ascii="宋体" w:hAnsi="宋体" w:eastAsia="宋体" w:cs="宋体"/>
                <w:b/>
                <w:bCs/>
                <w:color w:val="auto"/>
                <w:sz w:val="21"/>
                <w:szCs w:val="21"/>
                <w:highlight w:val="none"/>
                <w:lang w:val="en-US" w:bidi="zh-CN"/>
              </w:rPr>
              <w:t xml:space="preserve">1</w:t>
            </w:r>
            <w:r>
              <w:rPr>
                <w:rFonts w:hint="eastAsia" w:ascii="宋体" w:hAnsi="宋体" w:eastAsia="宋体" w:cs="宋体"/>
                <w:b/>
                <w:bCs/>
                <w:color w:val="auto"/>
                <w:sz w:val="21"/>
                <w:szCs w:val="21"/>
                <w:highlight w:val="none"/>
                <w:lang w:val="zh-CN" w:bidi="zh-CN"/>
              </w:rPr>
              <w:t xml:space="preserve">分，缺项不得分。 </w:t>
            </w:r>
            <w:r/>
          </w:p>
          <w:p>
            <w:pPr>
              <w:pStyle w:val="693"/>
              <w:keepLines w:val="0"/>
              <w:keepNext w:val="0"/>
              <w:pageBreakBefore w:val="0"/>
              <w:spacing w:line="320" w:lineRule="exact"/>
              <w:rPr>
                <w:color w:val="auto"/>
                <w:sz w:val="21"/>
                <w:szCs w:val="21"/>
                <w:highlight w:val="none"/>
              </w:rPr>
            </w:pPr>
            <w:r>
              <w:rPr>
                <w:color w:val="auto"/>
                <w:sz w:val="21"/>
                <w:szCs w:val="21"/>
                <w:highlight w:val="none"/>
              </w:rPr>
            </w:r>
            <w:r/>
          </w:p>
          <w:p>
            <w:pPr>
              <w:ind w:firstLine="68"/>
              <w:jc w:val="left"/>
              <w:keepLines w:val="0"/>
              <w:keepNext w:val="0"/>
              <w:pageBreakBefore w:val="0"/>
              <w:spacing w:line="320" w:lineRule="exac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注</w:t>
            </w:r>
            <w:r>
              <w:rPr>
                <w:rFonts w:ascii="Segoe UI" w:hAnsi="Segoe UI" w:eastAsia="Segoe UI" w:cs="Segoe UI"/>
                <w:i w:val="0"/>
                <w:iCs w:val="0"/>
                <w:caps w:val="0"/>
                <w:color w:val="auto"/>
                <w:spacing w:val="0"/>
                <w:sz w:val="21"/>
                <w:szCs w:val="21"/>
                <w:highlight w:val="none"/>
                <w:shd w:val="clear" w:color="auto" w:fill="fafafa"/>
              </w:rPr>
              <w:t xml:space="preserve">（适用于全部</w:t>
            </w:r>
            <w:r>
              <w:rPr>
                <w:rFonts w:hint="eastAsia" w:ascii="Segoe UI" w:hAnsi="Segoe UI" w:eastAsia="宋体" w:cs="Segoe UI"/>
                <w:i w:val="0"/>
                <w:iCs w:val="0"/>
                <w:caps w:val="0"/>
                <w:color w:val="auto"/>
                <w:spacing w:val="0"/>
                <w:sz w:val="21"/>
                <w:szCs w:val="21"/>
                <w:highlight w:val="none"/>
                <w:shd w:val="clear" w:color="auto" w:fill="fafafa"/>
                <w:lang w:eastAsia="zh-CN"/>
              </w:rPr>
              <w:t xml:space="preserve">成品</w:t>
            </w:r>
            <w:r>
              <w:rPr>
                <w:rFonts w:ascii="Segoe UI" w:hAnsi="Segoe UI" w:eastAsia="Segoe UI" w:cs="Segoe UI"/>
                <w:i w:val="0"/>
                <w:iCs w:val="0"/>
                <w:caps w:val="0"/>
                <w:color w:val="auto"/>
                <w:spacing w:val="0"/>
                <w:sz w:val="21"/>
                <w:szCs w:val="21"/>
                <w:highlight w:val="none"/>
                <w:shd w:val="clear" w:color="auto" w:fill="fafafa"/>
              </w:rPr>
              <w:t xml:space="preserve">检测）</w:t>
            </w:r>
            <w:r>
              <w:rPr>
                <w:rFonts w:ascii="宋体" w:hAnsi="宋体" w:eastAsia="宋体" w:cs="宋体"/>
                <w:color w:val="auto"/>
                <w:sz w:val="21"/>
                <w:szCs w:val="21"/>
                <w:highlight w:val="none"/>
                <w:lang w:val="zh-CN" w:bidi="zh-CN"/>
              </w:rPr>
              <w:t xml:space="preserve">：</w:t>
            </w:r>
            <w:bookmarkEnd w:id="89"/>
            <w:r/>
            <w:r/>
          </w:p>
          <w:p>
            <w:pPr>
              <w:ind w:firstLine="68"/>
              <w:jc w:val="left"/>
              <w:keepLines w:val="0"/>
              <w:keepNext w:val="0"/>
              <w:pageBreakBefore w:val="0"/>
              <w:spacing w:line="320" w:lineRule="exac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①送检人须是投标单位或所投产品生厂商；</w:t>
            </w:r>
            <w:r/>
          </w:p>
          <w:p>
            <w:pPr>
              <w:ind w:firstLine="68"/>
              <w:jc w:val="left"/>
              <w:keepLines w:val="0"/>
              <w:keepNext w:val="0"/>
              <w:pageBreakBefore w:val="0"/>
              <w:spacing w:line="320" w:lineRule="exac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②检测报告须提供日期为 202</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年 1月1 日后，并带有CMA 标志。供应商须对以上检测项目在报告中进行明显标注，如不标注，对评审产生的影响供应商自行承担。</w:t>
            </w:r>
            <w:r/>
          </w:p>
          <w:p>
            <w:pPr>
              <w:ind w:firstLine="68"/>
              <w:jc w:val="left"/>
              <w:keepLines w:val="0"/>
              <w:keepNext w:val="0"/>
              <w:pageBreakBefore w:val="0"/>
              <w:spacing w:line="320" w:lineRule="exact"/>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③</w:t>
            </w:r>
            <w:r>
              <w:rPr>
                <w:rFonts w:hint="eastAsia" w:ascii="宋体" w:hAnsi="宋体" w:eastAsia="宋体" w:cs="宋体"/>
                <w:color w:val="auto"/>
                <w:sz w:val="21"/>
                <w:szCs w:val="21"/>
                <w:highlight w:val="none"/>
                <w:lang w:bidi="zh-CN"/>
              </w:rPr>
              <w:t xml:space="preserve">检验报告材料必须清晰且完整含封面</w:t>
            </w:r>
            <w:r>
              <w:rPr>
                <w:rFonts w:hint="eastAsia" w:ascii="宋体" w:hAnsi="宋体" w:eastAsia="宋体" w:cs="宋体"/>
                <w:color w:val="auto"/>
                <w:sz w:val="21"/>
                <w:szCs w:val="21"/>
                <w:highlight w:val="none"/>
                <w:lang w:val="en-US" w:bidi="zh-CN"/>
              </w:rPr>
              <w:t xml:space="preserve">等信息</w:t>
            </w:r>
            <w:r>
              <w:rPr>
                <w:rFonts w:hint="eastAsia" w:ascii="宋体" w:hAnsi="宋体" w:eastAsia="宋体" w:cs="宋体"/>
                <w:color w:val="auto"/>
                <w:sz w:val="21"/>
                <w:szCs w:val="21"/>
                <w:highlight w:val="none"/>
                <w:lang w:bidi="zh-CN"/>
              </w:rPr>
              <w:t xml:space="preserve">，仅复印局部内容的检测报告视为无效。</w:t>
            </w:r>
            <w:r>
              <w:rPr>
                <w:rFonts w:hint="eastAsia" w:ascii="宋体" w:hAnsi="宋体" w:eastAsia="宋体" w:cs="宋体"/>
                <w:color w:val="auto"/>
                <w:sz w:val="21"/>
                <w:szCs w:val="21"/>
                <w:highlight w:val="none"/>
                <w:lang w:val="zh-CN" w:bidi="zh-CN"/>
              </w:rPr>
              <w:t xml:space="preserve">以上检测报告在标书中提供扫描件并加盖公章；</w:t>
            </w:r>
            <w:r>
              <w:rPr>
                <w:rFonts w:hint="eastAsia" w:ascii="宋体" w:hAnsi="宋体" w:eastAsia="宋体" w:cs="宋体"/>
                <w:color w:val="auto"/>
                <w:sz w:val="21"/>
                <w:szCs w:val="21"/>
                <w:highlight w:val="none"/>
                <w:lang w:bidi="zh-CN"/>
              </w:rPr>
              <w:t xml:space="preserve">检测报告在</w:t>
            </w:r>
            <w:r>
              <w:rPr>
                <w:rFonts w:hint="eastAsia" w:ascii="宋体" w:hAnsi="宋体" w:eastAsia="宋体" w:cs="宋体"/>
                <w:color w:val="auto"/>
                <w:sz w:val="21"/>
                <w:szCs w:val="21"/>
                <w:highlight w:val="none"/>
                <w:lang w:val="zh-CN" w:bidi="zh-CN"/>
              </w:rPr>
              <w:t xml:space="preserve">全国认证认可信息公共服务平台官网（http://cx.cnca.cn/)查询截图（</w:t>
            </w:r>
            <w:r>
              <w:rPr>
                <w:rFonts w:hint="eastAsia" w:ascii="宋体" w:hAnsi="宋体" w:eastAsia="宋体" w:cs="宋体"/>
                <w:color w:val="auto"/>
                <w:sz w:val="21"/>
                <w:szCs w:val="21"/>
                <w:highlight w:val="none"/>
                <w:lang w:val="en-US" w:bidi="zh-CN"/>
              </w:rPr>
              <w:t xml:space="preserve">如遇到网页升级,提供检测机构官网截图）</w:t>
            </w:r>
            <w:r>
              <w:rPr>
                <w:rFonts w:hint="eastAsia" w:ascii="宋体" w:hAnsi="宋体" w:eastAsia="宋体" w:cs="宋体"/>
                <w:color w:val="auto"/>
                <w:sz w:val="21"/>
                <w:szCs w:val="21"/>
                <w:highlight w:val="none"/>
                <w:lang w:val="zh-CN" w:bidi="zh-CN"/>
              </w:rPr>
              <w:t xml:space="preserve">加盖</w:t>
            </w:r>
            <w:r>
              <w:rPr>
                <w:rFonts w:hint="eastAsia" w:ascii="宋体" w:hAnsi="宋体" w:eastAsia="宋体" w:cs="宋体"/>
                <w:color w:val="auto"/>
                <w:sz w:val="21"/>
                <w:szCs w:val="21"/>
                <w:highlight w:val="none"/>
                <w:lang w:val="en-US" w:bidi="zh-CN"/>
              </w:rPr>
              <w:t xml:space="preserve">电子</w:t>
            </w:r>
            <w:r>
              <w:rPr>
                <w:rFonts w:hint="eastAsia" w:ascii="宋体" w:hAnsi="宋体" w:eastAsia="宋体" w:cs="宋体"/>
                <w:color w:val="auto"/>
                <w:sz w:val="21"/>
                <w:szCs w:val="21"/>
                <w:highlight w:val="none"/>
                <w:lang w:val="zh-CN" w:bidi="zh-CN"/>
              </w:rPr>
              <w:t xml:space="preserve">公章，</w:t>
            </w:r>
            <w:r>
              <w:rPr>
                <w:rFonts w:hint="eastAsia" w:ascii="宋体" w:hAnsi="宋体" w:eastAsia="宋体" w:cs="宋体"/>
                <w:color w:val="auto"/>
                <w:sz w:val="21"/>
                <w:szCs w:val="21"/>
                <w:highlight w:val="none"/>
                <w:lang w:val="en-US" w:bidi="zh-CN"/>
              </w:rPr>
              <w:t xml:space="preserve">制造商授权的投标人需加盖制造商公章方可有效。原件中标后备查。</w:t>
            </w:r>
            <w:r/>
          </w:p>
          <w:p>
            <w:pPr>
              <w:ind w:firstLine="68"/>
              <w:jc w:val="left"/>
              <w:keepLines w:val="0"/>
              <w:keepNext w:val="0"/>
              <w:pageBreakBefore w:val="0"/>
              <w:spacing w:line="320" w:lineRule="exact"/>
              <w:rPr>
                <w:rFonts w:ascii="Times New Roman" w:hAnsi="Times New Roman" w:eastAsia="宋体" w:cs="Times New Roman"/>
                <w:bCs/>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④检测报告中必须包含所列的所有检测项目，否则不得分。</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14.0</w:t>
            </w:r>
            <w:r/>
          </w:p>
        </w:tc>
      </w:tr>
      <w:tr>
        <w:trPr>
          <w:jc w:val="center"/>
          <w:trHeight w:val="109"/>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ascii="宋体" w:hAnsi="宋体" w:eastAsia="宋体" w:cs="宋体"/>
                <w:color w:val="auto"/>
                <w:sz w:val="21"/>
                <w:szCs w:val="21"/>
                <w:highlight w:val="none"/>
                <w:lang w:bidi="zh-CN"/>
              </w:rPr>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r>
            <w:r/>
          </w:p>
        </w:tc>
        <w:tc>
          <w:tcPr>
            <w:tcW w:w="7638"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r>
            <w:r/>
          </w:p>
        </w:tc>
      </w:tr>
      <w:tr>
        <w:trPr>
          <w:jc w:val="center"/>
          <w:trHeight w:val="168"/>
        </w:trPr>
        <w:tc>
          <w:tcPr>
            <w:gridSpan w:val="3"/>
            <w:tcW w:w="9143" w:type="dxa"/>
            <w:vAlign w:val="center"/>
            <w:textDirection w:val="lrTb"/>
            <w:noWrap w:val="false"/>
          </w:tcPr>
          <w:p>
            <w:pPr>
              <w:ind w:firstLine="68"/>
              <w:jc w:val="left"/>
              <w:rPr>
                <w:rFonts w:hint="eastAsia" w:ascii="宋体" w:hAnsi="宋体" w:eastAsia="宋体" w:cs="宋体"/>
                <w:color w:val="auto"/>
                <w:sz w:val="21"/>
                <w:szCs w:val="21"/>
                <w:highlight w:val="none"/>
                <w:lang w:val="en-US" w:bidi="zh-CN"/>
              </w:rPr>
            </w:pPr>
            <w:r>
              <w:rPr>
                <w:rFonts w:ascii="宋体" w:hAnsi="宋体" w:eastAsia="宋体" w:cs="宋体"/>
                <w:color w:val="auto"/>
                <w:sz w:val="21"/>
                <w:szCs w:val="21"/>
                <w:highlight w:val="none"/>
                <w:lang w:val="zh-CN" w:bidi="zh-CN"/>
              </w:rPr>
              <w:t xml:space="preserve">原材料检测评价</w:t>
            </w:r>
            <w:r/>
          </w:p>
        </w:tc>
        <w:tc>
          <w:tcPr>
            <w:tcW w:w="777" w:type="dxa"/>
            <w:vAlign w:val="center"/>
            <w:textDirection w:val="lrTb"/>
            <w:noWrap w:val="false"/>
          </w:tcPr>
          <w:p>
            <w:pPr>
              <w:ind w:firstLine="68"/>
              <w:jc w:val="left"/>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11.0</w:t>
            </w:r>
            <w:r/>
          </w:p>
        </w:tc>
      </w:tr>
      <w:tr>
        <w:trPr>
          <w:jc w:val="center"/>
          <w:trHeight w:val="1282"/>
        </w:trPr>
        <w:tc>
          <w:tcPr>
            <w:tcW w:w="636" w:type="dxa"/>
            <w:vAlign w:val="center"/>
            <w:textDirection w:val="lrTb"/>
            <w:noWrap w:val="false"/>
          </w:tcPr>
          <w:p>
            <w:pPr>
              <w:numPr>
                <w:ilvl w:val="0"/>
                <w:numId w:val="0"/>
              </w:numPr>
              <w:ind w:left="425" w:hanging="425"/>
              <w:jc w:val="center"/>
              <w:rPr>
                <w:rFonts w:hint="default"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2.1</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电解钢板</w:t>
            </w:r>
            <w:r/>
          </w:p>
        </w:tc>
        <w:tc>
          <w:tcPr>
            <w:tcW w:w="763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auto"/>
                <w:highlight w:val="none"/>
                <w:lang w:val="en-US" w:eastAsia="zh-CN"/>
              </w:rPr>
              <w:t xml:space="preserve">①依据符合</w:t>
            </w:r>
            <w:r>
              <w:rPr>
                <w:rFonts w:hint="eastAsia" w:ascii="宋体" w:hAnsi="宋体" w:eastAsia="宋体" w:cs="宋体"/>
                <w:color w:val="auto"/>
                <w:highlight w:val="none"/>
              </w:rPr>
              <w:t xml:space="preserve">GB/T232-2024《金属材料 弯曲试验方法》</w:t>
            </w:r>
            <w:r>
              <w:rPr>
                <w:rFonts w:hint="eastAsia" w:ascii="宋体" w:hAnsi="宋体" w:cs="宋体"/>
                <w:color w:val="auto"/>
                <w:highlight w:val="none"/>
                <w:lang w:val="en-US" w:eastAsia="zh-CN"/>
              </w:rPr>
              <w:t xml:space="preserve">标准</w:t>
            </w:r>
            <w:r>
              <w:rPr>
                <w:rFonts w:hint="eastAsia" w:ascii="宋体" w:hAnsi="宋体" w:eastAsia="宋体" w:cs="宋体"/>
                <w:color w:val="auto"/>
                <w:highlight w:val="none"/>
              </w:rPr>
              <w:t xml:space="preserve">：通过弯曲试验后试样弯曲外表面无可见裂纹。</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rPr>
              <w:t xml:space="preserve">喷粉涂层按GB/T 4893.1-2021《家具表面漆膜理化性能试验 第1部分：耐冷液测定法》进行耐冷液测试</w:t>
            </w:r>
            <w:r>
              <w:rPr>
                <w:rFonts w:hint="eastAsia" w:ascii="宋体" w:hAnsi="宋体" w:cs="宋体"/>
                <w:color w:val="auto"/>
                <w:highlight w:val="none"/>
                <w:lang w:val="en-US" w:eastAsia="zh-CN"/>
              </w:rPr>
              <w:t xml:space="preserve">合格</w:t>
            </w:r>
            <w:r>
              <w:rPr>
                <w:rFonts w:hint="eastAsia" w:ascii="宋体" w:hAnsi="宋体" w:eastAsia="宋体" w:cs="宋体"/>
                <w:color w:val="auto"/>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③依据符合</w:t>
            </w:r>
            <w:r>
              <w:rPr>
                <w:rFonts w:hint="eastAsia" w:ascii="宋体" w:hAnsi="宋体" w:eastAsia="宋体" w:cs="宋体"/>
                <w:color w:val="auto"/>
                <w:highlight w:val="none"/>
              </w:rPr>
              <w:t xml:space="preserve">GB/T13448-2019《彩色涂层钢板及钢带试验方法》要求：反向冲击试样3次反向冲击均无脱落或开裂；耐酸碱试验结果：试样无失光、无变色、无起泡/脱落现象；</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④依据符合GB/T228.1-2021《金属材料 拉伸试验 第1部分:室温试验方法》的要求：抗拉强度≥400MPa、</w:t>
            </w:r>
            <w:r>
              <w:rPr>
                <w:rFonts w:hint="eastAsia" w:ascii="宋体" w:hAnsi="宋体" w:eastAsia="宋体" w:cs="宋体"/>
                <w:b w:val="0"/>
                <w:bCs w:val="0"/>
                <w:color w:val="auto"/>
                <w:highlight w:val="none"/>
                <w:lang w:val="en-US" w:eastAsia="zh-CN"/>
              </w:rPr>
              <w:t xml:space="preserve">规定塑性延伸强度≥200MPa;断后伸长率≥50%；</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⑤依据符合GB/T 2423.18-2021《环境试验 第 2 部分：试验方法 试验 Kb：盐雾，交变（氯化钠溶液）》的要求，交变盐雾试验≥72h：试验后样品无锈蚀、鼓泡；</w:t>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全部符合得</w:t>
            </w:r>
            <w:r>
              <w:rPr>
                <w:rFonts w:ascii="宋体" w:hAnsi="宋体" w:eastAsia="宋体" w:cs="宋体"/>
                <w:b/>
                <w:bCs/>
                <w:color w:val="auto"/>
                <w:sz w:val="21"/>
                <w:szCs w:val="21"/>
                <w:highlight w:val="none"/>
                <w:lang w:val="zh-CN" w:bidi="zh-CN"/>
              </w:rPr>
              <w:t xml:space="preserve"> 1 </w:t>
            </w:r>
            <w:r>
              <w:rPr>
                <w:rFonts w:hint="eastAsia" w:ascii="宋体" w:hAnsi="宋体" w:eastAsia="宋体" w:cs="宋体"/>
                <w:b/>
                <w:bCs/>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2.2</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304不锈钢</w:t>
            </w:r>
            <w:r/>
          </w:p>
        </w:tc>
        <w:tc>
          <w:tcPr>
            <w:tcW w:w="7638" w:type="dxa"/>
            <w:vAlign w:val="center"/>
            <w:textDirection w:val="lrTb"/>
            <w:noWrap w:val="false"/>
          </w:tcPr>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b w:val="0"/>
                <w:bCs w:val="0"/>
                <w:color w:val="auto"/>
                <w:sz w:val="21"/>
                <w:szCs w:val="22"/>
                <w:highlight w:val="none"/>
                <w:lang w:val="en-US" w:eastAsia="zh-CN" w:bidi="ar-SA"/>
              </w:rPr>
              <w:t xml:space="preserve">①</w:t>
            </w:r>
            <w:r>
              <w:rPr>
                <w:rFonts w:hint="eastAsia" w:ascii="宋体" w:hAnsi="宋体" w:eastAsia="宋体" w:cs="宋体"/>
                <w:b w:val="0"/>
                <w:bCs w:val="0"/>
                <w:color w:val="auto"/>
                <w:highlight w:val="none"/>
                <w:lang w:val="en-US" w:eastAsia="zh-CN"/>
              </w:rPr>
              <w:t xml:space="preserve">依据符合GB/T11170-2008《不锈钢多元素含量的测定火花放电原子发射光谱法（常规法）》标准，化学成分C（碳）≤0.05%、Si（硅）≤0.35%、Mn（锰）≤0.10%、P（磷）≤0.040%、S（硫）≤0.020%、Cr（铬）≤18.50%、Ni（镍）≤8.50%；</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lang w:val="en-US" w:eastAsia="zh-CN"/>
              </w:rPr>
              <w:t xml:space="preserve">依据符合QB/T4371-2012《家具抗菌性能的评价》标准，通过抗细菌性能检测至少包含大肠埃希氏菌（大肠杆菌）、肺炎克雷伯氏菌等任意5种菌类，抗细菌率或抑菌率均≥99%；</w:t>
            </w:r>
            <w:r/>
          </w:p>
          <w:p>
            <w:p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依据符合GB/T 228.1-2021《金属材料 拉伸试验 第1部分：室温试验方法》标准；规定塑性延伸强度≥205MPa;抗拉强度≥515MPa;断后伸长率≥40%；</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jc w:val="left"/>
              <w:keepLines w:val="0"/>
              <w:keepNext w:val="0"/>
              <w:pageBreakBefore w:val="0"/>
              <w:spacing w:line="320" w:lineRule="exact"/>
              <w:shd w:val="clear" w:color="auto" w:fill="auto"/>
              <w:widowControl/>
              <w:rPr>
                <w:rFonts w:hint="eastAsia"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全部符合得</w:t>
            </w:r>
            <w:r>
              <w:rPr>
                <w:rFonts w:ascii="宋体" w:hAnsi="宋体" w:eastAsia="宋体" w:cs="宋体"/>
                <w:b/>
                <w:bCs/>
                <w:color w:val="auto"/>
                <w:sz w:val="21"/>
                <w:szCs w:val="21"/>
                <w:highlight w:val="none"/>
                <w:lang w:val="zh-CN" w:bidi="zh-CN"/>
              </w:rPr>
              <w:t xml:space="preserve"> 1 </w:t>
            </w:r>
            <w:r>
              <w:rPr>
                <w:rFonts w:hint="eastAsia" w:ascii="宋体" w:hAnsi="宋体" w:eastAsia="宋体" w:cs="宋体"/>
                <w:b/>
                <w:bCs/>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659"/>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2.3</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粉末</w:t>
            </w:r>
            <w:r/>
          </w:p>
        </w:tc>
        <w:tc>
          <w:tcPr>
            <w:tcW w:w="7638" w:type="dxa"/>
            <w:vAlign w:val="center"/>
            <w:textDirection w:val="lrTb"/>
            <w:noWrap w:val="false"/>
          </w:tcPr>
          <w:p>
            <w:pPr>
              <w:ind w:firstLine="68"/>
              <w:jc w:val="left"/>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auto"/>
                <w:sz w:val="21"/>
                <w:szCs w:val="21"/>
                <w:highlight w:val="none"/>
                <w:lang w:val="en-US" w:eastAsia="zh-CN"/>
              </w:rPr>
              <w:t xml:space="preserve">①依据符合HG/T 2006-2022《热固性和热塑性粉末涂料》标准；铅笔硬度（内聚破坏中擦伤）≥3H；弯曲试验≤2，涂层无开裂或未从底材上剥落；耐湿性（室内用）≥120h无异常，耐沸水性（≥48h）无异常；耐酸性[3%（质量分数）盐酸溶液]≥120h无异常；耐碱性[5%（质量分数）氢氧化钠溶液]室内用≥120h无异常；通过耐人工气候老化性≥120h检测，无粉化、起泡、开裂、剥落等异常现象，杯突试验≥4mm；干附着力≤1级、沸水附着力≤1级、湿附着力≤1级；</w:t>
            </w:r>
            <w:r/>
          </w:p>
          <w:p>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②依据符合GB/T 35602-2017《绿色产品评价 涂料》标准；重金属元素含量：铅（Pb）≤15mg/kg；镉（Cd）≤15mg/kg；六价铬（Cr</w:t>
            </w:r>
            <w:r>
              <w:rPr>
                <w:rFonts w:hint="eastAsia" w:ascii="宋体" w:hAnsi="宋体" w:eastAsia="宋体" w:cs="宋体"/>
                <w:b w:val="0"/>
                <w:bCs w:val="0"/>
                <w:color w:val="auto"/>
                <w:sz w:val="21"/>
                <w:szCs w:val="21"/>
                <w:highlight w:val="none"/>
                <w:vertAlign w:val="superscript"/>
                <w:lang w:val="en-US" w:eastAsia="zh-CN"/>
              </w:rPr>
              <w:t xml:space="preserve">6+</w:t>
            </w:r>
            <w:r>
              <w:rPr>
                <w:rFonts w:hint="eastAsia" w:ascii="宋体" w:hAnsi="宋体" w:eastAsia="宋体" w:cs="宋体"/>
                <w:b w:val="0"/>
                <w:bCs w:val="0"/>
                <w:color w:val="auto"/>
                <w:sz w:val="21"/>
                <w:szCs w:val="21"/>
                <w:highlight w:val="none"/>
                <w:lang w:val="en-US" w:eastAsia="zh-CN"/>
              </w:rPr>
              <w:t xml:space="preserve">）≤15mg/kg；汞（Hg）≤15mg/kg；砷（As）≤15mg/kg；钡（Ba）≤15mg/kg；硒（Se）≤15mg/kg；锑（Sb）≤15mg/kg；钴（Co）≤15mg/kg；</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2.4</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default" w:ascii="宋体" w:hAnsi="宋体" w:eastAsia="宋体" w:cs="宋体"/>
                <w:b/>
                <w:bCs/>
                <w:color w:val="auto"/>
                <w:sz w:val="21"/>
                <w:szCs w:val="21"/>
                <w:highlight w:val="none"/>
                <w:lang w:val="en-US" w:bidi="zh-CN"/>
              </w:rPr>
              <w:t xml:space="preserve">缓冲门铰（铰链）</w:t>
            </w:r>
            <w:r/>
          </w:p>
        </w:tc>
        <w:tc>
          <w:tcPr>
            <w:tcW w:w="7638"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auto"/>
                <w:highlight w:val="none"/>
                <w:lang w:val="en-US" w:eastAsia="zh-CN"/>
              </w:rPr>
              <w:t xml:space="preserve">①依据符合QB/T2189-2013《家具五金杯状暗链》标准，通过功能垂直静载荷检测、水平静载荷检测、下沉量不应大于2.0mm;</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②依据符合QB/T 3832-1999《轻工产品金属镀层腐蚀试验结果的评价》、QB/T 3827-1999《轻工产品金属镀层和化学处理层的耐腐蚀试验方法乙酸盐雾试验(ASS)法》、GB/T6461-2002《金属基体上金属和其他无机覆盖层经腐蚀试验后的试样和试件的评级》标准；乙酸盐雾试验≥100h;镀（涂）层对基体的保护等级≥9级；镀（涂）层本身耐腐蚀等级≥9级；外观评级≥9级；保护等级≥9级；</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2.5</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锁具</w:t>
            </w:r>
            <w:r/>
          </w:p>
        </w:tc>
        <w:tc>
          <w:tcPr>
            <w:tcW w:w="7638" w:type="dxa"/>
            <w:vAlign w:val="center"/>
            <w:textDirection w:val="lrTb"/>
            <w:noWrap w:val="false"/>
          </w:tcPr>
          <w:p>
            <w:pPr>
              <w:rPr>
                <w:rFonts w:hint="eastAsia"/>
                <w:color w:val="auto"/>
                <w:highlight w:val="none"/>
                <w:lang w:val="en-US" w:eastAsia="zh-CN"/>
              </w:rPr>
            </w:pPr>
            <w:r>
              <w:rPr>
                <w:rFonts w:ascii="Times New Roman" w:hAnsi="Times New Roman" w:eastAsia="宋体" w:cs="Times New Roman"/>
                <w:b w:val="0"/>
                <w:bCs w:val="0"/>
                <w:color w:val="auto"/>
                <w:sz w:val="21"/>
                <w:szCs w:val="21"/>
                <w:highlight w:val="none"/>
              </w:rPr>
              <w:t xml:space="preserve">检测项</w:t>
            </w:r>
            <w:r>
              <w:rPr>
                <w:rFonts w:hint="eastAsia" w:ascii="Times New Roman" w:hAnsi="Times New Roman" w:eastAsia="宋体" w:cs="Times New Roman"/>
                <w:b w:val="0"/>
                <w:bCs w:val="0"/>
                <w:color w:val="auto"/>
                <w:sz w:val="21"/>
                <w:szCs w:val="21"/>
                <w:highlight w:val="none"/>
              </w:rPr>
              <w:t xml:space="preserve">目</w:t>
            </w:r>
            <w:r>
              <w:rPr>
                <w:rFonts w:ascii="Times New Roman" w:hAnsi="Times New Roman" w:eastAsia="宋体" w:cs="Times New Roman"/>
                <w:b w:val="0"/>
                <w:bCs w:val="0"/>
                <w:color w:val="auto"/>
                <w:sz w:val="21"/>
                <w:szCs w:val="21"/>
                <w:highlight w:val="none"/>
              </w:rPr>
              <w:t xml:space="preserve">包含：</w:t>
            </w:r>
            <w:r>
              <w:rPr>
                <w:rFonts w:hint="eastAsia"/>
                <w:color w:val="auto"/>
                <w:highlight w:val="none"/>
                <w:lang w:val="en-US" w:eastAsia="zh-CN"/>
              </w:rPr>
              <w:t xml:space="preserve">①依据符合GB/T3325-2024《金属家具通用技术条件》标准，外观性能喷漆（塑）涂层应无漏喷、锈蚀、脱色、掉色等。冲击强度冲击高度400mm，应无剥落、裂纹、皱纹。耐盐浴：划道两侧 3mm 外，应无鼓泡、锈蚀、剥落和起皱等现象；</w:t>
            </w:r>
            <w:r/>
          </w:p>
          <w:p>
            <w:pPr>
              <w:rPr>
                <w:rFonts w:hint="eastAsia"/>
                <w:color w:val="auto"/>
                <w:highlight w:val="none"/>
                <w:lang w:val="en-US" w:eastAsia="zh-CN"/>
              </w:rPr>
            </w:pPr>
            <w:r>
              <w:rPr>
                <w:rFonts w:hint="eastAsia"/>
                <w:color w:val="auto"/>
                <w:highlight w:val="none"/>
                <w:lang w:val="en-US" w:eastAsia="zh-CN"/>
              </w:rPr>
              <w:t xml:space="preserve">②依据符合QB/T1621-2015《家具锁》标准，保密度弹子锁、叶片锁钥匙不同牙花数≥500种，弹子锁、叶片锁互开率检测合格；外观质量-电镀件耐腐蚀：电镀件外露表面经≥12h的中性盐雾试验后，应达到外观评级R</w:t>
            </w:r>
            <w:r>
              <w:rPr>
                <w:rFonts w:hint="eastAsia"/>
                <w:color w:val="auto"/>
                <w:highlight w:val="none"/>
                <w:vertAlign w:val="subscript"/>
                <w:lang w:val="en-US" w:eastAsia="zh-CN"/>
              </w:rPr>
              <w:t xml:space="preserve">A</w:t>
            </w:r>
            <w:r>
              <w:rPr>
                <w:rFonts w:hint="eastAsia"/>
                <w:color w:val="auto"/>
                <w:highlight w:val="none"/>
                <w:lang w:val="en-US" w:eastAsia="zh-CN"/>
              </w:rPr>
              <w:t xml:space="preserve">6级；</w:t>
            </w:r>
            <w:r/>
          </w:p>
          <w:p>
            <w:pPr>
              <w:rPr>
                <w:rFonts w:hint="eastAsia"/>
                <w:color w:val="auto"/>
                <w:highlight w:val="none"/>
                <w:lang w:val="en-US" w:eastAsia="zh-CN"/>
              </w:rPr>
            </w:pPr>
            <w:r>
              <w:rPr>
                <w:rFonts w:hint="eastAsia"/>
                <w:color w:val="auto"/>
                <w:highlight w:val="none"/>
                <w:lang w:val="en-US" w:eastAsia="zh-CN"/>
              </w:rPr>
              <w:t xml:space="preserve">③依据符合GB/T2423.30-2013《环境试验第2部分：试验方法试验XA和导则：在清洗剂中浸渍》标准，通过浸渍（浸渍温度：23±5°C，浸渍液：异丙醇，浸渍时间：5min)试验，外观无明显变化。</w:t>
            </w:r>
            <w:r/>
          </w:p>
          <w:p>
            <w:pPr>
              <w:rPr>
                <w:rFonts w:hint="eastAsia"/>
                <w:color w:val="auto"/>
                <w:sz w:val="21"/>
                <w:szCs w:val="21"/>
                <w:highlight w:val="none"/>
                <w:lang w:val="en-US" w:eastAsia="zh-CN"/>
              </w:rPr>
            </w:pPr>
            <w:r>
              <w:rPr>
                <w:rFonts w:hint="eastAsia"/>
                <w:color w:val="auto"/>
                <w:sz w:val="21"/>
                <w:szCs w:val="21"/>
                <w:highlight w:val="none"/>
                <w:lang w:val="en-US" w:eastAsia="zh-CN"/>
              </w:rPr>
            </w:r>
            <w:r/>
          </w:p>
          <w:p>
            <w:pPr>
              <w:rPr>
                <w:rFonts w:hint="eastAsia"/>
                <w:color w:val="auto"/>
                <w:sz w:val="21"/>
                <w:szCs w:val="21"/>
                <w:highlight w:val="none"/>
                <w:lang w:val="zh-CN" w:eastAsia="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2.6</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导轨（路轨）</w:t>
            </w:r>
            <w:r/>
          </w:p>
        </w:tc>
        <w:tc>
          <w:tcPr>
            <w:tcW w:w="7638"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auto"/>
                <w:highlight w:val="none"/>
                <w:lang w:val="en-US" w:eastAsia="zh-CN"/>
              </w:rPr>
              <w:t xml:space="preserve">①依据符合QB/T 2454-2013《家具五金 抽屉导轨》标准;通过功能垂直向下静载荷、水平侧向静载荷、下沉量不超过2%；</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②依据符合QB/T 3832-1999《轻工产品金属镀层腐蚀试验结果的评价》、QB/T 3827-1999《轻工产品金属镀层和化学处理层的耐腐蚀试验方法乙酸盐雾试验(ASS)法》、GB/T6461-2002《金属基体上金属和其他无机覆盖层经腐蚀试验后的试样和试件的评级》标准；乙酸盐雾试验≥100h;镀（涂）层对基体的保护等级≥9级；镀（涂）层本身耐腐蚀等级≥9级；外观评级≥9级；保护等级≥9级；</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2.7</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default" w:ascii="宋体" w:hAnsi="宋体" w:eastAsia="宋体" w:cs="宋体"/>
                <w:b/>
                <w:bCs/>
                <w:color w:val="auto"/>
                <w:sz w:val="21"/>
                <w:szCs w:val="21"/>
                <w:highlight w:val="none"/>
                <w:lang w:val="en-US" w:bidi="zh-CN"/>
              </w:rPr>
              <w:t xml:space="preserve">刨花板</w:t>
            </w:r>
            <w:r/>
          </w:p>
        </w:tc>
        <w:tc>
          <w:tcPr>
            <w:tcW w:w="7638" w:type="dxa"/>
            <w:vAlign w:val="center"/>
            <w:textDirection w:val="lrTb"/>
            <w:noWrap w:val="false"/>
          </w:tcPr>
          <w:p>
            <w:p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b w:val="0"/>
                <w:bCs w:val="0"/>
                <w:color w:val="auto"/>
                <w:sz w:val="21"/>
                <w:szCs w:val="21"/>
                <w:highlight w:val="none"/>
                <w:lang w:val="en-US" w:eastAsia="zh-CN" w:bidi="ar-SA"/>
              </w:rPr>
              <w:t xml:space="preserve">①依据符合GB/T 4897-2015《刨花板》标准；含水率3-13%；静曲强度≥15MPa；弹性模量≥2000MPa；甲醛释放量≤0.015mg/m³；</w:t>
            </w:r>
            <w:r/>
          </w:p>
          <w:p>
            <w:p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②依据符合QB/T4371-2012《家具抗菌性能的评价》标准；通过抗细菌性能检测至少包含大肠埃希氏菌（大肠杆菌）等任意5种菌类，抗细菌率或抑菌率均≥99%；</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766"/>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2.8</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default" w:ascii="宋体" w:hAnsi="宋体" w:eastAsia="宋体" w:cs="宋体"/>
                <w:b/>
                <w:bCs/>
                <w:color w:val="auto"/>
                <w:sz w:val="21"/>
                <w:szCs w:val="21"/>
                <w:highlight w:val="none"/>
                <w:lang w:val="en-US" w:bidi="zh-CN"/>
              </w:rPr>
              <w:t xml:space="preserve">冷轧钢板</w:t>
            </w:r>
            <w:r/>
          </w:p>
        </w:tc>
        <w:tc>
          <w:tcPr>
            <w:tcW w:w="7638" w:type="dxa"/>
            <w:vAlign w:val="center"/>
            <w:textDirection w:val="lrTb"/>
            <w:noWrap w:val="false"/>
          </w:tcPr>
          <w:p>
            <w:pPr>
              <w:rPr>
                <w:rFonts w:hint="eastAsia" w:ascii="宋体" w:hAnsi="宋体" w:eastAsia="宋体" w:cs="宋体"/>
                <w:b w:val="0"/>
                <w:bCs w:val="0"/>
                <w:color w:val="auto"/>
                <w:highlight w:val="none"/>
                <w:lang w:val="en-US" w:eastAsia="zh-CN"/>
              </w:rPr>
            </w:pPr>
            <w:r>
              <w:rPr>
                <w:rFonts w:ascii="Times New Roman" w:hAnsi="Times New Roman" w:eastAsia="宋体" w:cs="Times New Roman"/>
                <w:b w:val="0"/>
                <w:bCs w:val="0"/>
                <w:color w:val="auto"/>
                <w:sz w:val="21"/>
                <w:szCs w:val="21"/>
                <w:highlight w:val="none"/>
              </w:rPr>
              <w:t xml:space="preserve">检测项</w:t>
            </w:r>
            <w:r>
              <w:rPr>
                <w:rFonts w:hint="eastAsia" w:ascii="Times New Roman" w:hAnsi="Times New Roman" w:eastAsia="宋体" w:cs="Times New Roman"/>
                <w:b w:val="0"/>
                <w:bCs w:val="0"/>
                <w:color w:val="auto"/>
                <w:sz w:val="21"/>
                <w:szCs w:val="21"/>
                <w:highlight w:val="none"/>
              </w:rPr>
              <w:t xml:space="preserve">目</w:t>
            </w:r>
            <w:r>
              <w:rPr>
                <w:rFonts w:ascii="Times New Roman" w:hAnsi="Times New Roman" w:eastAsia="宋体" w:cs="Times New Roman"/>
                <w:b w:val="0"/>
                <w:bCs w:val="0"/>
                <w:color w:val="auto"/>
                <w:sz w:val="21"/>
                <w:szCs w:val="21"/>
                <w:highlight w:val="none"/>
              </w:rPr>
              <w:t xml:space="preserve">包含：</w:t>
            </w:r>
            <w:r>
              <w:rPr>
                <w:rFonts w:hint="eastAsia" w:ascii="宋体" w:hAnsi="宋体" w:eastAsia="宋体" w:cs="宋体"/>
                <w:b w:val="0"/>
                <w:bCs w:val="0"/>
                <w:color w:val="auto"/>
                <w:highlight w:val="none"/>
                <w:lang w:val="en-US" w:eastAsia="zh-CN"/>
              </w:rPr>
              <w:t xml:space="preserve">①依据符合GB/T 228.1-2021《金属材料 拉伸试验第1部分:室温试验方法》标准，通过力学性能：抗拉强度≥400MPa、规定塑性延伸强度≥250MPa;断后伸长率≥26%。</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②依据符合GB/T 5464-2010《建筑材料不燃性试验方法》标准，通过燃烧性能检测。</w:t>
            </w:r>
            <w:r/>
          </w:p>
          <w:p>
            <w:pP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③依据符合GB/T 3325-2024《金属家具通用技术条件》标准；通过外观性能金属件检测合格；</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2.9</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海绵</w:t>
            </w:r>
            <w:r/>
          </w:p>
        </w:tc>
        <w:tc>
          <w:tcPr>
            <w:tcW w:w="7638" w:type="dxa"/>
            <w:vAlign w:val="center"/>
            <w:textDirection w:val="lrTb"/>
            <w:noWrap w:val="false"/>
          </w:tcPr>
          <w:p>
            <w:pPr>
              <w:numPr>
                <w:ilvl w:val="0"/>
                <w:numId w:val="0"/>
              </w:numPr>
              <w:rPr>
                <w:rFonts w:hint="eastAsia" w:ascii="宋体" w:hAnsi="宋体" w:eastAsia="宋体" w:cs="宋体"/>
                <w:color w:val="auto"/>
                <w:highlight w:val="none"/>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color w:val="auto"/>
                <w:sz w:val="21"/>
                <w:szCs w:val="22"/>
                <w:highlight w:val="none"/>
                <w:lang w:val="en-US" w:eastAsia="zh-CN" w:bidi="ar-SA"/>
              </w:rPr>
              <w:t xml:space="preserve">①</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6344-2008</w:t>
            </w:r>
            <w:r>
              <w:rPr>
                <w:rFonts w:hint="eastAsia" w:ascii="宋体" w:hAnsi="宋体" w:eastAsia="宋体" w:cs="宋体"/>
                <w:color w:val="auto"/>
                <w:highlight w:val="none"/>
                <w:lang w:eastAsia="zh-CN"/>
              </w:rPr>
              <w:t xml:space="preserve">《软质泡沫聚合材料 拉伸强度和断裂伸长率的测定》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拉伸强度≥100kPa；断裂伸长率≥125%；撕裂强度≥5N/cm；干热老化后拉伸强度≥110kPa；湿热老化后拉伸强度≥120kPa；</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②</w:t>
            </w:r>
            <w:r>
              <w:rPr>
                <w:rFonts w:hint="eastAsia" w:ascii="宋体" w:hAnsi="宋体" w:eastAsia="宋体" w:cs="宋体"/>
                <w:color w:val="auto"/>
                <w:highlight w:val="none"/>
              </w:rPr>
              <w:t xml:space="preserve">依据</w:t>
            </w:r>
            <w:r>
              <w:rPr>
                <w:rFonts w:hint="eastAsia" w:ascii="宋体" w:hAnsi="宋体" w:eastAsia="宋体" w:cs="宋体"/>
                <w:color w:val="auto"/>
                <w:highlight w:val="none"/>
                <w:lang w:val="en-US" w:eastAsia="zh-CN"/>
              </w:rPr>
              <w:t xml:space="preserve">符合</w:t>
            </w:r>
            <w:r>
              <w:rPr>
                <w:rFonts w:hint="eastAsia" w:ascii="宋体" w:hAnsi="宋体" w:eastAsia="宋体" w:cs="宋体"/>
                <w:color w:val="auto"/>
                <w:highlight w:val="none"/>
              </w:rPr>
              <w:t xml:space="preserve">GB/T 6343-2009</w:t>
            </w:r>
            <w:r>
              <w:rPr>
                <w:rFonts w:hint="eastAsia" w:ascii="宋体" w:hAnsi="宋体" w:eastAsia="宋体" w:cs="宋体"/>
                <w:color w:val="auto"/>
                <w:highlight w:val="none"/>
                <w:lang w:eastAsia="zh-CN"/>
              </w:rPr>
              <w:t xml:space="preserve">《泡沫塑料及橡胶 表观密度的测定》</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表观密度≥50kg/</w:t>
            </w:r>
            <w:r>
              <w:rPr>
                <w:rFonts w:hint="eastAsia" w:ascii="宋体" w:hAnsi="宋体" w:eastAsia="宋体" w:cs="宋体"/>
                <w:color w:val="auto"/>
                <w:highlight w:val="none"/>
                <w:lang w:val="en-US" w:eastAsia="zh-CN"/>
              </w:rPr>
              <w:t xml:space="preserve">m³</w:t>
            </w:r>
            <w:r>
              <w:rPr>
                <w:rFonts w:hint="eastAsia" w:ascii="宋体" w:hAnsi="宋体" w:eastAsia="宋体" w:cs="宋体"/>
                <w:color w:val="auto"/>
                <w:highlight w:val="none"/>
              </w:rPr>
              <w:t xml:space="preserve">；</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③</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QB/T2819-2006《软质泡沫材料长期疲劳性能的测定》</w:t>
            </w:r>
            <w:r>
              <w:rPr>
                <w:rFonts w:hint="eastAsia" w:ascii="宋体" w:hAnsi="宋体" w:eastAsia="宋体" w:cs="宋体"/>
                <w:color w:val="auto"/>
                <w:highlight w:val="none"/>
                <w:lang w:val="en-US" w:eastAsia="zh-CN"/>
              </w:rPr>
              <w:t xml:space="preserve">标准，通过恒定负荷反复压陷疲劳后的40%压陷硬度损失值(P)/%v类12≤P&lt;22；</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④</w:t>
            </w:r>
            <w:r>
              <w:rPr>
                <w:rFonts w:hint="eastAsia" w:ascii="宋体" w:hAnsi="宋体" w:eastAsia="宋体" w:cs="宋体"/>
                <w:color w:val="auto"/>
                <w:highlight w:val="none"/>
                <w:lang w:val="en-US" w:eastAsia="zh-CN"/>
              </w:rPr>
              <w:t xml:space="preserve">依据符合</w:t>
            </w:r>
            <w:r>
              <w:rPr>
                <w:rFonts w:hint="eastAsia" w:ascii="宋体" w:hAnsi="宋体" w:eastAsia="宋体" w:cs="宋体"/>
                <w:color w:val="auto"/>
                <w:highlight w:val="none"/>
              </w:rPr>
              <w:t xml:space="preserve">GB/T 10807-2006</w:t>
            </w:r>
            <w:r>
              <w:rPr>
                <w:rFonts w:hint="eastAsia" w:ascii="宋体" w:hAnsi="宋体" w:eastAsia="宋体" w:cs="宋体"/>
                <w:color w:val="auto"/>
                <w:highlight w:val="none"/>
                <w:lang w:eastAsia="zh-CN"/>
              </w:rPr>
              <w:t xml:space="preserve">《软质泡沫聚合材料 硬度的测定（压陷法）》</w:t>
            </w:r>
            <w:r>
              <w:rPr>
                <w:rFonts w:hint="eastAsia" w:ascii="宋体" w:hAnsi="宋体" w:eastAsia="宋体" w:cs="宋体"/>
                <w:color w:val="auto"/>
                <w:highlight w:val="none"/>
                <w:lang w:val="en-US" w:eastAsia="zh-CN"/>
              </w:rPr>
              <w:t xml:space="preserve">标准，40%压陷硬度偏差110≤IFD&lt;145；65%/25%压陷比≥1.8；75%压缩永久变形/%V类≤6</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⑤</w:t>
            </w:r>
            <w:r>
              <w:rPr>
                <w:rFonts w:hint="eastAsia" w:ascii="宋体" w:hAnsi="宋体" w:eastAsia="宋体" w:cs="宋体"/>
                <w:color w:val="auto"/>
                <w:highlight w:val="none"/>
                <w:lang w:val="en-US" w:eastAsia="zh-CN"/>
              </w:rPr>
              <w:t xml:space="preserve">依据符合GB/T6670-2008《软质泡沫聚合材料落球法回弹性能》标准，回弹率≥45%；</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68"/>
              <w:jc w:val="left"/>
              <w:keepLines w:val="0"/>
              <w:keepNext w:val="0"/>
              <w:pageBreakBefore w:val="0"/>
              <w:spacing w:line="32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2.10</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网布</w:t>
            </w:r>
            <w:r/>
          </w:p>
        </w:tc>
        <w:tc>
          <w:tcPr>
            <w:tcW w:w="7638" w:type="dxa"/>
            <w:vAlign w:val="center"/>
            <w:textDirection w:val="lrTb"/>
            <w:noWrap w:val="false"/>
          </w:tcPr>
          <w:p>
            <w:pPr>
              <w:numPr>
                <w:ilvl w:val="0"/>
                <w:numId w:val="0"/>
              </w:numPr>
              <w:ind w:left="0" w:firstLine="0"/>
              <w:keepLines w:val="0"/>
              <w:keepNext w:val="0"/>
              <w:pageBreakBefore w:val="0"/>
              <w:spacing w:line="360" w:lineRule="auto"/>
              <w:widowControl w:val="off"/>
              <w:rPr>
                <w:rFonts w:hint="default" w:ascii="Times New Roman" w:hAnsi="Times New Roman" w:eastAsia="宋体" w:cs="Times New Roman"/>
                <w:b w:val="0"/>
                <w:bCs w:val="0"/>
                <w:color w:val="auto"/>
                <w:sz w:val="21"/>
                <w:szCs w:val="21"/>
                <w:highlight w:val="none"/>
                <w:lang w:val="en-US" w:eastAsia="zh-CN"/>
              </w:rPr>
            </w:pPr>
            <w:r>
              <w:rPr>
                <w:rFonts w:ascii="Times New Roman" w:hAnsi="Times New Roman" w:eastAsia="宋体" w:cs="Times New Roman"/>
                <w:b w:val="0"/>
                <w:bCs w:val="0"/>
                <w:color w:val="auto"/>
                <w:sz w:val="21"/>
                <w:szCs w:val="21"/>
                <w:highlight w:val="none"/>
              </w:rPr>
              <w:t xml:space="preserve">检测项</w:t>
            </w:r>
            <w:r>
              <w:rPr>
                <w:rFonts w:hint="eastAsia" w:ascii="Times New Roman" w:hAnsi="Times New Roman" w:eastAsia="宋体" w:cs="Times New Roman"/>
                <w:b w:val="0"/>
                <w:bCs w:val="0"/>
                <w:color w:val="auto"/>
                <w:sz w:val="21"/>
                <w:szCs w:val="21"/>
                <w:highlight w:val="none"/>
              </w:rPr>
              <w:t xml:space="preserve">目</w:t>
            </w:r>
            <w:r>
              <w:rPr>
                <w:rFonts w:ascii="Times New Roman" w:hAnsi="Times New Roman" w:eastAsia="宋体" w:cs="Times New Roman"/>
                <w:b w:val="0"/>
                <w:bCs w:val="0"/>
                <w:color w:val="auto"/>
                <w:sz w:val="21"/>
                <w:szCs w:val="21"/>
                <w:highlight w:val="none"/>
              </w:rPr>
              <w:t xml:space="preserve">包含：</w:t>
            </w:r>
            <w:r>
              <w:rPr>
                <w:rFonts w:hint="eastAsia" w:ascii="Times New Roman" w:hAnsi="Times New Roman" w:eastAsia="宋体" w:cs="Times New Roman"/>
                <w:b w:val="0"/>
                <w:bCs w:val="0"/>
                <w:color w:val="auto"/>
                <w:sz w:val="21"/>
                <w:szCs w:val="21"/>
                <w:highlight w:val="none"/>
                <w:lang w:val="zh-CN" w:eastAsia="zh-CN"/>
              </w:rPr>
              <w:t xml:space="preserve">①</w:t>
            </w:r>
            <w:r>
              <w:rPr>
                <w:rFonts w:hint="eastAsia" w:ascii="Times New Roman" w:hAnsi="Times New Roman" w:eastAsia="宋体" w:cs="Times New Roman"/>
                <w:b w:val="0"/>
                <w:bCs w:val="0"/>
                <w:color w:val="auto"/>
                <w:sz w:val="21"/>
                <w:szCs w:val="21"/>
                <w:highlight w:val="none"/>
                <w:lang w:val="en-US" w:eastAsia="zh-CN"/>
              </w:rPr>
              <w:t xml:space="preserve">依据符合</w:t>
            </w:r>
            <w:r>
              <w:rPr>
                <w:rFonts w:hint="eastAsia" w:ascii="Times New Roman" w:hAnsi="Times New Roman" w:eastAsia="宋体" w:cs="Times New Roman"/>
                <w:b w:val="0"/>
                <w:bCs w:val="0"/>
                <w:color w:val="auto"/>
                <w:sz w:val="21"/>
                <w:szCs w:val="21"/>
                <w:highlight w:val="none"/>
                <w:lang w:val="zh-CN" w:eastAsia="zh-CN"/>
              </w:rPr>
              <w:t xml:space="preserve">GB/T 18885-2020《生态纺织品技术要求》</w:t>
            </w:r>
            <w:r>
              <w:rPr>
                <w:rFonts w:hint="eastAsia" w:ascii="Times New Roman" w:hAnsi="Times New Roman" w:eastAsia="宋体" w:cs="Times New Roman"/>
                <w:b w:val="0"/>
                <w:bCs w:val="0"/>
                <w:color w:val="auto"/>
                <w:sz w:val="21"/>
                <w:szCs w:val="21"/>
                <w:highlight w:val="none"/>
                <w:lang w:val="en-US" w:eastAsia="zh-CN"/>
              </w:rPr>
              <w:t xml:space="preserve">标准，</w:t>
            </w:r>
            <w:r>
              <w:rPr>
                <w:rFonts w:hint="eastAsia" w:ascii="Times New Roman" w:hAnsi="Times New Roman" w:eastAsia="宋体" w:cs="Times New Roman"/>
                <w:b w:val="0"/>
                <w:bCs w:val="0"/>
                <w:color w:val="auto"/>
                <w:sz w:val="21"/>
                <w:szCs w:val="21"/>
                <w:highlight w:val="none"/>
                <w:lang w:val="zh-CN" w:eastAsia="zh-CN"/>
              </w:rPr>
              <w:t xml:space="preserve">甲醛含量≤20mg/kg；通过染色牢度耐水(变色、沾色)级别检测；可分解致癌芳香胺染料：通过≥20种芳香胺染料检测；</w:t>
            </w:r>
            <w:r/>
          </w:p>
          <w:p>
            <w:pPr>
              <w:numPr>
                <w:ilvl w:val="0"/>
                <w:numId w:val="0"/>
              </w:numPr>
              <w:ind w:left="0" w:firstLine="0"/>
              <w:keepLines w:val="0"/>
              <w:keepNext w:val="0"/>
              <w:pageBreakBefore w:val="0"/>
              <w:spacing w:line="360" w:lineRule="auto"/>
              <w:widowControl w:val="off"/>
              <w:rPr>
                <w:rFonts w:hint="eastAsia" w:ascii="Times New Roman" w:hAnsi="Times New Roman" w:eastAsia="宋体" w:cs="Times New Roman"/>
                <w:b w:val="0"/>
                <w:bCs w:val="0"/>
                <w:color w:val="auto"/>
                <w:sz w:val="21"/>
                <w:szCs w:val="21"/>
                <w:highlight w:val="none"/>
                <w:lang w:val="zh-CN" w:eastAsia="zh-CN"/>
              </w:rPr>
            </w:pPr>
            <w:r>
              <w:rPr>
                <w:rFonts w:hint="eastAsia" w:ascii="Times New Roman" w:hAnsi="Times New Roman" w:eastAsia="宋体" w:cs="Times New Roman"/>
                <w:b w:val="0"/>
                <w:bCs w:val="0"/>
                <w:color w:val="auto"/>
                <w:sz w:val="21"/>
                <w:szCs w:val="21"/>
                <w:highlight w:val="none"/>
                <w:lang w:val="en-US" w:eastAsia="zh-CN"/>
              </w:rPr>
              <w:t xml:space="preserve">②依据符合</w:t>
            </w:r>
            <w:r>
              <w:rPr>
                <w:rFonts w:hint="eastAsia" w:ascii="Times New Roman" w:hAnsi="Times New Roman" w:eastAsia="宋体" w:cs="Times New Roman"/>
                <w:b w:val="0"/>
                <w:bCs w:val="0"/>
                <w:color w:val="auto"/>
                <w:sz w:val="21"/>
                <w:szCs w:val="21"/>
                <w:highlight w:val="none"/>
                <w:lang w:val="zh-CN" w:eastAsia="zh-CN"/>
              </w:rPr>
              <w:t xml:space="preserve">QB/T4371-2012《家具抗菌性能的评价》</w:t>
            </w:r>
            <w:r>
              <w:rPr>
                <w:rFonts w:hint="eastAsia" w:ascii="Times New Roman" w:hAnsi="Times New Roman" w:eastAsia="宋体" w:cs="Times New Roman"/>
                <w:b w:val="0"/>
                <w:bCs w:val="0"/>
                <w:color w:val="auto"/>
                <w:sz w:val="21"/>
                <w:szCs w:val="21"/>
                <w:highlight w:val="none"/>
                <w:lang w:val="en-US" w:eastAsia="zh-CN"/>
              </w:rPr>
              <w:t xml:space="preserve">标准，</w:t>
            </w:r>
            <w:r>
              <w:rPr>
                <w:rFonts w:hint="eastAsia" w:ascii="Times New Roman" w:hAnsi="Times New Roman" w:eastAsia="宋体" w:cs="Times New Roman"/>
                <w:b w:val="0"/>
                <w:bCs w:val="0"/>
                <w:color w:val="auto"/>
                <w:sz w:val="21"/>
                <w:szCs w:val="21"/>
                <w:highlight w:val="none"/>
                <w:lang w:val="zh-CN" w:eastAsia="zh-CN"/>
              </w:rPr>
              <w:t xml:space="preserve">通过抗菌性能检测；</w:t>
            </w:r>
            <w:r/>
          </w:p>
          <w:p>
            <w:pPr>
              <w:numPr>
                <w:ilvl w:val="0"/>
                <w:numId w:val="0"/>
              </w:numPr>
              <w:ind w:left="0" w:firstLine="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eastAsia="zh-CN"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1282"/>
        </w:trPr>
        <w:tc>
          <w:tcPr>
            <w:tcW w:w="636"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2.11</w:t>
            </w:r>
            <w:r/>
          </w:p>
        </w:tc>
        <w:tc>
          <w:tcPr>
            <w:tcW w:w="869" w:type="dxa"/>
            <w:vAlign w:val="center"/>
            <w:textDirection w:val="lrTb"/>
            <w:noWrap w:val="false"/>
          </w:tcPr>
          <w:p>
            <w:pPr>
              <w:ind w:firstLine="68"/>
              <w:jc w:val="left"/>
              <w:keepLines w:val="0"/>
              <w:keepNext w:val="0"/>
              <w:pageBreakBefore w:val="0"/>
              <w:spacing w:line="320" w:lineRule="exact"/>
              <w:rPr>
                <w:rFonts w:ascii="宋体" w:hAnsi="宋体" w:eastAsia="宋体" w:cs="宋体"/>
                <w:b w:val="0"/>
                <w:bCs w:val="0"/>
                <w:color w:val="auto"/>
                <w:sz w:val="21"/>
                <w:szCs w:val="21"/>
                <w:highlight w:val="none"/>
                <w:lang w:val="zh-CN" w:bidi="zh-CN"/>
              </w:rPr>
            </w:pPr>
            <w:r>
              <w:rPr>
                <w:rFonts w:hint="eastAsia" w:ascii="宋体" w:hAnsi="宋体" w:eastAsia="宋体" w:cs="宋体"/>
                <w:b/>
                <w:bCs/>
                <w:color w:val="auto"/>
                <w:sz w:val="21"/>
                <w:szCs w:val="21"/>
                <w:highlight w:val="none"/>
                <w:lang w:val="en-US" w:bidi="zh-CN"/>
              </w:rPr>
              <w:t xml:space="preserve">钢管</w:t>
            </w:r>
            <w:r/>
          </w:p>
        </w:tc>
        <w:tc>
          <w:tcPr>
            <w:tcW w:w="7638"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检测项目包含：</w:t>
            </w:r>
            <w:r>
              <w:rPr>
                <w:rFonts w:hint="eastAsia" w:ascii="宋体" w:hAnsi="宋体" w:eastAsia="宋体" w:cs="宋体"/>
                <w:b w:val="0"/>
                <w:bCs w:val="0"/>
                <w:color w:val="auto"/>
                <w:sz w:val="21"/>
                <w:szCs w:val="22"/>
                <w:highlight w:val="none"/>
                <w:lang w:val="en-US" w:eastAsia="zh-CN" w:bidi="ar-SA"/>
              </w:rPr>
              <w:t xml:space="preserve">①</w:t>
            </w:r>
            <w:r>
              <w:rPr>
                <w:rFonts w:hint="eastAsia" w:ascii="宋体" w:hAnsi="宋体" w:eastAsia="宋体" w:cs="宋体"/>
                <w:color w:val="auto"/>
                <w:sz w:val="21"/>
                <w:szCs w:val="21"/>
                <w:highlight w:val="none"/>
                <w:lang w:val="en-US" w:eastAsia="zh-CN"/>
              </w:rPr>
              <w:t xml:space="preserve">依据符合QB/T 3832-1999《轻工产品金属镀层腐蚀试验结果的评价》、QB/T 3827-1999《轻工产品金属镀层和化学处理层的耐腐蚀试验方法乙酸盐雾试验(ASS)法》标准，乙酸盐雾试验≥100h;镀（涂）层对基体的保护等级≥9级；镀（涂）层本身耐腐蚀等级≥9级；</w:t>
            </w:r>
            <w:r/>
          </w:p>
          <w:p>
            <w:pPr>
              <w:rPr>
                <w:rFonts w:hint="default"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bidi="zh-CN"/>
              </w:rPr>
              <w:t xml:space="preserve">②依据符合GB/T 228.1-2021《金属材料 拉伸试验 第1部分:室温试验方法》标准；抗拉强度320-450MPa;断后伸长率</w:t>
            </w:r>
            <w:r>
              <w:rPr>
                <w:rFonts w:hint="eastAsia" w:ascii="宋体" w:hAnsi="宋体" w:eastAsia="宋体" w:cs="宋体"/>
                <w:color w:val="auto"/>
                <w:sz w:val="21"/>
                <w:szCs w:val="21"/>
                <w:highlight w:val="none"/>
                <w:lang w:val="en-US" w:eastAsia="zh-CN"/>
              </w:rPr>
              <w:t xml:space="preserve">≥27%；屈服强度≥215</w:t>
            </w:r>
            <w:r>
              <w:rPr>
                <w:rFonts w:hint="eastAsia" w:ascii="宋体" w:hAnsi="宋体" w:eastAsia="宋体" w:cs="宋体"/>
                <w:b w:val="0"/>
                <w:bCs/>
                <w:color w:val="auto"/>
                <w:sz w:val="21"/>
                <w:szCs w:val="21"/>
                <w:highlight w:val="none"/>
                <w:lang w:val="en-US" w:eastAsia="zh-CN" w:bidi="zh-CN"/>
              </w:rPr>
              <w:t xml:space="preserve">MPa;</w:t>
            </w:r>
            <w:r/>
          </w:p>
          <w:p>
            <w:pPr>
              <w:pStyle w:val="696"/>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ind w:firstLine="68"/>
              <w:jc w:val="left"/>
              <w:keepLines w:val="0"/>
              <w:keepNext w:val="0"/>
              <w:pageBreakBefore w:val="0"/>
              <w:spacing w:line="320" w:lineRule="exact"/>
              <w:rPr>
                <w:rFonts w:hint="default" w:ascii="宋体" w:hAnsi="宋体" w:eastAsia="宋体" w:cs="宋体"/>
                <w:b w:val="0"/>
                <w:bCs w:val="0"/>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全部符合得</w:t>
            </w:r>
            <w:r>
              <w:rPr>
                <w:rFonts w:ascii="宋体" w:hAnsi="宋体" w:eastAsia="宋体" w:cs="宋体"/>
                <w:color w:val="auto"/>
                <w:sz w:val="21"/>
                <w:szCs w:val="21"/>
                <w:highlight w:val="none"/>
                <w:lang w:val="zh-CN" w:bidi="zh-CN"/>
              </w:rPr>
              <w:t xml:space="preserve"> 1 </w:t>
            </w:r>
            <w:r>
              <w:rPr>
                <w:rFonts w:hint="eastAsia" w:ascii="宋体" w:hAnsi="宋体" w:eastAsia="宋体" w:cs="宋体"/>
                <w:color w:val="auto"/>
                <w:sz w:val="21"/>
                <w:szCs w:val="21"/>
                <w:highlight w:val="none"/>
                <w:lang w:val="zh-CN" w:bidi="zh-CN"/>
              </w:rPr>
              <w:t xml:space="preserve">分，缺项不得分。</w:t>
            </w:r>
            <w:r/>
          </w:p>
        </w:tc>
        <w:tc>
          <w:tcPr>
            <w:tcW w:w="777" w:type="dxa"/>
            <w:vAlign w:val="center"/>
            <w:textDirection w:val="lrTb"/>
            <w:noWrap w:val="false"/>
          </w:tcPr>
          <w:p>
            <w:pPr>
              <w:numPr>
                <w:ilvl w:val="0"/>
                <w:numId w:val="0"/>
              </w:numPr>
              <w:ind w:left="425" w:hanging="425"/>
              <w:jc w:val="center"/>
              <w:rPr>
                <w:rFonts w:hint="eastAsia" w:ascii="宋体" w:hAnsi="宋体" w:eastAsia="宋体" w:cs="宋体"/>
                <w:color w:val="auto"/>
                <w:sz w:val="21"/>
                <w:szCs w:val="21"/>
                <w:highlight w:val="none"/>
                <w:lang w:val="en-US" w:bidi="zh-CN"/>
              </w:rPr>
            </w:pPr>
            <w:r>
              <w:rPr>
                <w:rFonts w:hint="default" w:ascii="宋体" w:hAnsi="宋体" w:eastAsia="宋体" w:cs="宋体"/>
                <w:color w:val="auto"/>
                <w:sz w:val="21"/>
                <w:szCs w:val="21"/>
                <w:highlight w:val="none"/>
                <w:lang w:val="en-US" w:eastAsia="zh-CN" w:bidi="zh-CN"/>
              </w:rPr>
              <w:t xml:space="preserve">1.0</w:t>
            </w:r>
            <w:r/>
          </w:p>
        </w:tc>
      </w:tr>
      <w:tr>
        <w:trPr>
          <w:jc w:val="center"/>
          <w:trHeight w:val="2307"/>
        </w:trPr>
        <w:tc>
          <w:tcPr>
            <w:gridSpan w:val="4"/>
            <w:tcW w:w="9920"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注（</w:t>
            </w:r>
            <w:r>
              <w:rPr>
                <w:rFonts w:ascii="Segoe UI" w:hAnsi="Segoe UI" w:eastAsia="Segoe UI" w:cs="Segoe UI"/>
                <w:i w:val="0"/>
                <w:iCs w:val="0"/>
                <w:caps w:val="0"/>
                <w:color w:val="auto"/>
                <w:spacing w:val="0"/>
                <w:sz w:val="21"/>
                <w:szCs w:val="21"/>
                <w:highlight w:val="none"/>
                <w:shd w:val="clear" w:color="auto" w:fill="fafafa"/>
              </w:rPr>
              <w:t xml:space="preserve">适用于全部原材料检测</w:t>
            </w:r>
            <w:r>
              <w:rPr>
                <w:rFonts w:hint="eastAsia" w:ascii="宋体" w:hAnsi="宋体" w:eastAsia="宋体" w:cs="宋体"/>
                <w:color w:val="auto"/>
                <w:sz w:val="21"/>
                <w:szCs w:val="21"/>
                <w:highlight w:val="none"/>
                <w:lang w:val="zh-CN" w:bidi="zh-CN"/>
              </w:rPr>
              <w:t xml:space="preserve">）</w:t>
            </w:r>
            <w:r>
              <w:rPr>
                <w:rFonts w:ascii="宋体" w:hAnsi="宋体" w:eastAsia="宋体" w:cs="宋体"/>
                <w:color w:val="auto"/>
                <w:sz w:val="21"/>
                <w:szCs w:val="21"/>
                <w:highlight w:val="none"/>
                <w:lang w:val="zh-CN" w:bidi="zh-CN"/>
              </w:rPr>
              <w:t xml:space="preserve">：</w:t>
            </w:r>
            <w:r/>
          </w:p>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①送检人须是投标单位或所投产品生厂商；</w:t>
            </w:r>
            <w:r/>
          </w:p>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②检测报告须提供日期为 202</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年 1月1 日后，并带有CMA 标志。供应商须对以上检测项目在报告中进行明显标注，如不标注，对评审产生的影响供应商自行承担。</w:t>
            </w:r>
            <w:r/>
          </w:p>
          <w:p>
            <w:pPr>
              <w:ind w:firstLine="68"/>
              <w:jc w:val="left"/>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③</w:t>
            </w:r>
            <w:r>
              <w:rPr>
                <w:rFonts w:hint="eastAsia" w:ascii="宋体" w:hAnsi="宋体" w:eastAsia="宋体" w:cs="宋体"/>
                <w:color w:val="auto"/>
                <w:sz w:val="21"/>
                <w:szCs w:val="21"/>
                <w:highlight w:val="none"/>
                <w:lang w:bidi="zh-CN"/>
              </w:rPr>
              <w:t xml:space="preserve">检验报告材料必须清晰且完整含封面</w:t>
            </w:r>
            <w:r>
              <w:rPr>
                <w:rFonts w:hint="eastAsia" w:ascii="宋体" w:hAnsi="宋体" w:eastAsia="宋体" w:cs="宋体"/>
                <w:color w:val="auto"/>
                <w:sz w:val="21"/>
                <w:szCs w:val="21"/>
                <w:highlight w:val="none"/>
                <w:lang w:val="en-US" w:bidi="zh-CN"/>
              </w:rPr>
              <w:t xml:space="preserve">等信息</w:t>
            </w:r>
            <w:r>
              <w:rPr>
                <w:rFonts w:hint="eastAsia" w:ascii="宋体" w:hAnsi="宋体" w:eastAsia="宋体" w:cs="宋体"/>
                <w:color w:val="auto"/>
                <w:sz w:val="21"/>
                <w:szCs w:val="21"/>
                <w:highlight w:val="none"/>
                <w:lang w:bidi="zh-CN"/>
              </w:rPr>
              <w:t xml:space="preserve">，仅复印局部内容的检测报告视为无效。</w:t>
            </w:r>
            <w:r>
              <w:rPr>
                <w:rFonts w:hint="eastAsia" w:ascii="宋体" w:hAnsi="宋体" w:eastAsia="宋体" w:cs="宋体"/>
                <w:color w:val="auto"/>
                <w:sz w:val="21"/>
                <w:szCs w:val="21"/>
                <w:highlight w:val="none"/>
                <w:lang w:val="zh-CN" w:bidi="zh-CN"/>
              </w:rPr>
              <w:t xml:space="preserve">以上检测报告在标书中提供扫描件并加盖公章；</w:t>
            </w:r>
            <w:r>
              <w:rPr>
                <w:rFonts w:hint="eastAsia" w:ascii="宋体" w:hAnsi="宋体" w:eastAsia="宋体" w:cs="宋体"/>
                <w:color w:val="auto"/>
                <w:sz w:val="21"/>
                <w:szCs w:val="21"/>
                <w:highlight w:val="none"/>
                <w:lang w:bidi="zh-CN"/>
              </w:rPr>
              <w:t xml:space="preserve">检测报告在</w:t>
            </w:r>
            <w:r>
              <w:rPr>
                <w:rFonts w:hint="eastAsia" w:ascii="宋体" w:hAnsi="宋体" w:eastAsia="宋体" w:cs="宋体"/>
                <w:color w:val="auto"/>
                <w:sz w:val="21"/>
                <w:szCs w:val="21"/>
                <w:highlight w:val="none"/>
                <w:lang w:val="zh-CN" w:bidi="zh-CN"/>
              </w:rPr>
              <w:t xml:space="preserve">全国认证认可信息公共服务平台官网（http://cx.cnca.cn/)查询截图（</w:t>
            </w:r>
            <w:r>
              <w:rPr>
                <w:rFonts w:hint="eastAsia" w:ascii="宋体" w:hAnsi="宋体" w:eastAsia="宋体" w:cs="宋体"/>
                <w:color w:val="auto"/>
                <w:sz w:val="21"/>
                <w:szCs w:val="21"/>
                <w:highlight w:val="none"/>
                <w:lang w:val="en-US" w:bidi="zh-CN"/>
              </w:rPr>
              <w:t xml:space="preserve">如遇到网页升级,提供检测机构官网截图）</w:t>
            </w:r>
            <w:r>
              <w:rPr>
                <w:rFonts w:hint="eastAsia" w:ascii="宋体" w:hAnsi="宋体" w:eastAsia="宋体" w:cs="宋体"/>
                <w:color w:val="auto"/>
                <w:sz w:val="21"/>
                <w:szCs w:val="21"/>
                <w:highlight w:val="none"/>
                <w:lang w:val="zh-CN" w:bidi="zh-CN"/>
              </w:rPr>
              <w:t xml:space="preserve">加盖</w:t>
            </w:r>
            <w:r>
              <w:rPr>
                <w:rFonts w:hint="eastAsia" w:ascii="宋体" w:hAnsi="宋体" w:eastAsia="宋体" w:cs="宋体"/>
                <w:color w:val="auto"/>
                <w:sz w:val="21"/>
                <w:szCs w:val="21"/>
                <w:highlight w:val="none"/>
                <w:lang w:val="en-US" w:bidi="zh-CN"/>
              </w:rPr>
              <w:t xml:space="preserve">电子</w:t>
            </w:r>
            <w:r>
              <w:rPr>
                <w:rFonts w:hint="eastAsia" w:ascii="宋体" w:hAnsi="宋体" w:eastAsia="宋体" w:cs="宋体"/>
                <w:color w:val="auto"/>
                <w:sz w:val="21"/>
                <w:szCs w:val="21"/>
                <w:highlight w:val="none"/>
                <w:lang w:val="zh-CN" w:bidi="zh-CN"/>
              </w:rPr>
              <w:t xml:space="preserve">公章，</w:t>
            </w:r>
            <w:r>
              <w:rPr>
                <w:rFonts w:hint="eastAsia" w:ascii="宋体" w:hAnsi="宋体" w:eastAsia="宋体" w:cs="宋体"/>
                <w:color w:val="auto"/>
                <w:sz w:val="21"/>
                <w:szCs w:val="21"/>
                <w:highlight w:val="none"/>
                <w:lang w:val="en-US" w:bidi="zh-CN"/>
              </w:rPr>
              <w:t xml:space="preserve">制造商授权的投标人需加盖制造商公章方可有效。</w:t>
            </w:r>
            <w:r/>
          </w:p>
          <w:p>
            <w:pPr>
              <w:ind w:firstLine="68"/>
              <w:jc w:val="lef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④检测报告中必须包含所列的所有检测项目，否则不得分。</w:t>
            </w:r>
            <w:r/>
          </w:p>
        </w:tc>
      </w:tr>
      <w:tr>
        <w:trPr>
          <w:jc w:val="center"/>
          <w:trHeight w:val="90"/>
        </w:trPr>
        <w:tc>
          <w:tcPr>
            <w:gridSpan w:val="3"/>
            <w:tcW w:w="9143" w:type="dxa"/>
            <w:vAlign w:val="center"/>
            <w:textDirection w:val="lrTb"/>
            <w:noWrap w:val="false"/>
          </w:tcPr>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生产能力</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5.0</w:t>
            </w:r>
            <w:r/>
          </w:p>
        </w:tc>
      </w:tr>
      <w:tr>
        <w:trPr>
          <w:jc w:val="center"/>
          <w:trHeight w:val="3929"/>
        </w:trPr>
        <w:tc>
          <w:tcPr>
            <w:tcW w:w="636"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bidi="zh-CN"/>
              </w:rPr>
              <w:t xml:space="preserve">3</w:t>
            </w:r>
            <w:r>
              <w:rPr>
                <w:rFonts w:hint="eastAsia" w:ascii="宋体" w:hAnsi="宋体" w:eastAsia="宋体" w:cs="宋体"/>
                <w:color w:val="auto"/>
                <w:sz w:val="21"/>
                <w:szCs w:val="21"/>
                <w:highlight w:val="none"/>
                <w:lang w:val="en-US" w:bidi="zh-CN"/>
              </w:rPr>
              <w:t xml:space="preserve">.1</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主要设备</w:t>
            </w:r>
            <w:r/>
          </w:p>
        </w:tc>
        <w:tc>
          <w:tcPr>
            <w:tcW w:w="7638" w:type="dxa"/>
            <w:vAlign w:val="center"/>
            <w:textDirection w:val="lrTb"/>
            <w:noWrap w:val="false"/>
          </w:tcPr>
          <w:p>
            <w:pPr>
              <w:numPr>
                <w:ilvl w:val="0"/>
                <w:numId w:val="0"/>
              </w:numPr>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投标人或</w:t>
            </w:r>
            <w:r>
              <w:rPr>
                <w:rFonts w:hint="eastAsia" w:ascii="宋体" w:hAnsi="宋体" w:eastAsia="宋体" w:cs="宋体"/>
                <w:color w:val="auto"/>
                <w:sz w:val="21"/>
                <w:szCs w:val="21"/>
                <w:highlight w:val="none"/>
                <w:lang w:val="zh-CN" w:bidi="zh-CN"/>
              </w:rPr>
              <w:t xml:space="preserve">核心产品生厂商主要生产设备:数控折弯机、CNC电脑数控裁板锯，数控转塔冲床、全自动上浮式底漆砂光机、数控双头切割锯床、智能多用途木工镂铣床、板材自动冲剪线、推台锯、排钻、智能木工钻铣加工中心、光纤激光焊接机、数控打磨机、喷粉生产线、数控剪板机、自动封边机、曲线封边机、压力机、冷压机、缝纫机、数控切割机。</w:t>
            </w:r>
            <w:r/>
          </w:p>
          <w:p>
            <w:pPr>
              <w:numPr>
                <w:ilvl w:val="0"/>
                <w:numId w:val="0"/>
              </w:numPr>
              <w:jc w:val="lef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以上设备种类＜3种得0分；3种≤以上设备种类＜6种得1分；6种≤以上设备种类＜9种得2分；9种≤以上设备种类＜12种得3分；以上设备种类≥12种得5分；提供设备现场照片及购置发票扫描件。</w:t>
            </w:r>
            <w:r/>
          </w:p>
          <w:p>
            <w:pPr>
              <w:numPr>
                <w:ilvl w:val="0"/>
                <w:numId w:val="0"/>
              </w:numPr>
              <w:jc w:val="lef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注：（</w:t>
            </w:r>
            <w:r>
              <w:rPr>
                <w:rFonts w:hint="eastAsia" w:ascii="宋体" w:hAnsi="宋体" w:eastAsia="宋体" w:cs="宋体"/>
                <w:color w:val="auto"/>
                <w:sz w:val="21"/>
                <w:szCs w:val="21"/>
                <w:highlight w:val="none"/>
                <w:lang w:val="en-US" w:bidi="zh-CN"/>
              </w:rPr>
              <w:t xml:space="preserve">1）</w:t>
            </w:r>
            <w:r>
              <w:rPr>
                <w:rFonts w:hint="eastAsia" w:ascii="宋体" w:hAnsi="宋体" w:eastAsia="宋体" w:cs="宋体"/>
                <w:color w:val="auto"/>
                <w:sz w:val="21"/>
                <w:szCs w:val="21"/>
                <w:highlight w:val="none"/>
                <w:lang w:val="zh-CN" w:bidi="zh-CN"/>
              </w:rPr>
              <w:t xml:space="preserve">有效证明材料：提供设备现场照片、购置发票、设备购置发票的购置人名称与产品生厂商名称一致。</w:t>
            </w:r>
            <w:r>
              <w:rPr>
                <w:rFonts w:hint="eastAsia" w:ascii="宋体" w:hAnsi="宋体" w:eastAsia="宋体" w:cs="宋体"/>
                <w:color w:val="auto"/>
                <w:sz w:val="21"/>
                <w:szCs w:val="21"/>
                <w:highlight w:val="none"/>
                <w:lang w:val="en-US" w:bidi="zh-CN"/>
              </w:rPr>
              <w:t xml:space="preserve">租赁者提供最近1年内发票及租赁合同，现场照片；</w:t>
            </w:r>
            <w:r/>
          </w:p>
          <w:p>
            <w:pPr>
              <w:numPr>
                <w:ilvl w:val="0"/>
                <w:numId w:val="0"/>
              </w:numPr>
              <w:jc w:val="left"/>
              <w:rPr>
                <w:rFonts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如设备名称不一致，应提供设备的技术资料、参数性能、现场照片以证明其所购设备与上列要求的设备具有同等功能水平，经评标委员会认可后可得分</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z w:val="21"/>
                <w:szCs w:val="21"/>
                <w:highlight w:val="none"/>
                <w:lang w:val="zh-CN" w:bidi="zh-CN"/>
              </w:rPr>
              <w:t xml:space="preserve">采购人有权对以上发票、资料、照片真实性进行核实，如发现虚假材料，将视为提供虚假材料谋取中标。</w:t>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5</w:t>
            </w:r>
            <w:r>
              <w:rPr>
                <w:rFonts w:hint="eastAsia" w:ascii="宋体" w:hAnsi="宋体" w:eastAsia="宋体" w:cs="宋体"/>
                <w:color w:val="auto"/>
                <w:sz w:val="21"/>
                <w:szCs w:val="21"/>
                <w:highlight w:val="none"/>
                <w:lang w:bidi="zh-CN"/>
              </w:rPr>
              <w:t xml:space="preserve">.0</w:t>
            </w:r>
            <w:r/>
          </w:p>
        </w:tc>
      </w:tr>
      <w:tr>
        <w:trPr>
          <w:jc w:val="center"/>
          <w:trHeight w:val="1065"/>
        </w:trPr>
        <w:tc>
          <w:tcPr>
            <w:gridSpan w:val="3"/>
            <w:tcW w:w="9143" w:type="dxa"/>
            <w:vAlign w:val="center"/>
            <w:textDirection w:val="lrTb"/>
            <w:noWrap w:val="false"/>
          </w:tcPr>
          <w:p>
            <w:pPr>
              <w:ind w:firstLine="68"/>
              <w:jc w:val="left"/>
              <w:rPr>
                <w:rFonts w:hint="eastAsia"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14.0</w:t>
            </w:r>
            <w:r/>
          </w:p>
        </w:tc>
      </w:tr>
      <w:tr>
        <w:trPr>
          <w:jc w:val="center"/>
          <w:trHeight w:val="3929"/>
        </w:trPr>
        <w:tc>
          <w:tcPr>
            <w:tcW w:w="636" w:type="dxa"/>
            <w:vAlign w:val="center"/>
            <w:textDirection w:val="lrTb"/>
            <w:noWrap w:val="false"/>
          </w:tcPr>
          <w:p>
            <w:pPr>
              <w:ind w:firstLine="68"/>
              <w:jc w:val="left"/>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4.1</w:t>
            </w:r>
            <w:r/>
          </w:p>
        </w:tc>
        <w:tc>
          <w:tcPr>
            <w:tcW w:w="869" w:type="dxa"/>
            <w:vAlign w:val="center"/>
            <w:textDirection w:val="lrTb"/>
            <w:noWrap w:val="false"/>
          </w:tcPr>
          <w:p>
            <w:pPr>
              <w:ind w:firstLine="68"/>
              <w:jc w:val="left"/>
              <w:rPr>
                <w:rFonts w:hint="default" w:ascii="宋体" w:hAnsi="宋体" w:eastAsia="宋体" w:cs="宋体"/>
                <w:color w:val="auto"/>
                <w:sz w:val="21"/>
                <w:szCs w:val="21"/>
                <w:highlight w:val="none"/>
                <w:lang w:val="en-US"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val="zh-CN" w:bidi="zh-CN"/>
              </w:rPr>
              <w:t xml:space="preserve">钢制文件柜</w:t>
            </w:r>
            <w:r>
              <w:rPr>
                <w:rFonts w:hint="eastAsia" w:ascii="宋体" w:hAnsi="宋体" w:eastAsia="宋体" w:cs="宋体"/>
                <w:color w:val="auto"/>
                <w:sz w:val="21"/>
                <w:szCs w:val="21"/>
                <w:highlight w:val="none"/>
                <w:lang w:val="zh-CN" w:bidi="zh-CN"/>
              </w:rPr>
              <w:t xml:space="preserve">）</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w:t>
            </w:r>
            <w:r>
              <w:rPr>
                <w:rFonts w:hint="eastAsia" w:ascii="宋体" w:hAnsi="宋体" w:eastAsia="宋体" w:cs="宋体"/>
                <w:color w:val="auto"/>
                <w:sz w:val="21"/>
                <w:szCs w:val="21"/>
                <w:highlight w:val="none"/>
                <w:lang w:val="zh-CN" w:bidi="zh-CN"/>
              </w:rPr>
              <w:t xml:space="preserve">量工具为：0～5m 钢卷尺（精度 1mm）、十分度游标卡尺（精度 0.1mm）。对钢制文件柜进行逐项评分，最高得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边角处理圆滑无尖锐毛刺，符合适配医院办公及档案存储环境。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分）：样品全部功能部件（滑轨、合页、门锁等）齐全且可正常使用；分类收纳符合使用场景要求；内部空间分区合理，无死角，便于清洁消杀；部件连接牢固无松动、脱落风险。全部满足要求得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工艺细节（0.</w:t>
            </w:r>
            <w:r>
              <w:rPr>
                <w:rFonts w:hint="eastAsia" w:ascii="宋体" w:hAnsi="宋体" w:eastAsia="宋体" w:cs="宋体"/>
                <w:color w:val="auto"/>
                <w:sz w:val="21"/>
                <w:szCs w:val="21"/>
                <w:highlight w:val="none"/>
                <w:lang w:val="en-US" w:eastAsia="zh-CN" w:bidi="zh-CN"/>
              </w:rPr>
              <w:t xml:space="preserve">7</w:t>
            </w:r>
            <w:r>
              <w:rPr>
                <w:rFonts w:hint="eastAsia" w:ascii="宋体" w:hAnsi="宋体" w:eastAsia="宋体" w:cs="宋体"/>
                <w:color w:val="auto"/>
                <w:sz w:val="21"/>
                <w:szCs w:val="21"/>
                <w:highlight w:val="none"/>
                <w:lang w:val="zh-CN" w:bidi="zh-CN"/>
              </w:rPr>
              <w:t xml:space="preserve"> 分）：样品焊接、拼接处平整光滑无明显缝隙；五金件安装位置精准，开关、推拉顺畅无卡顿；喷涂工艺均匀饱满，无流挂、针孔、气泡、划痕、掉粉现象；标识、铭牌齐全清晰且与产品参数一致。全部满足要求得 0.</w:t>
            </w:r>
            <w:r>
              <w:rPr>
                <w:rFonts w:hint="eastAsia" w:ascii="宋体" w:hAnsi="宋体" w:eastAsia="宋体" w:cs="宋体"/>
                <w:color w:val="auto"/>
                <w:sz w:val="21"/>
                <w:szCs w:val="21"/>
                <w:highlight w:val="none"/>
                <w:lang w:val="en-US" w:bidi="zh-CN"/>
              </w:rPr>
              <w:t xml:space="preserve">7</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p>
            <w:pPr>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3929"/>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4.2</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val="zh-CN" w:bidi="zh-CN"/>
              </w:rPr>
              <w:t xml:space="preserve">医用货架</w:t>
            </w:r>
            <w:r>
              <w:rPr>
                <w:rFonts w:hint="eastAsia" w:ascii="宋体" w:hAnsi="宋体" w:eastAsia="宋体" w:cs="宋体"/>
                <w:color w:val="auto"/>
                <w:sz w:val="21"/>
                <w:szCs w:val="21"/>
                <w:highlight w:val="none"/>
                <w:lang w:val="zh-CN" w:bidi="zh-CN"/>
              </w:rPr>
              <w:t xml:space="preserve">）</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w:t>
            </w:r>
            <w:r>
              <w:rPr>
                <w:rFonts w:hint="eastAsia" w:ascii="宋体" w:hAnsi="宋体" w:eastAsia="宋体" w:cs="宋体"/>
                <w:color w:val="auto"/>
                <w:sz w:val="21"/>
                <w:szCs w:val="21"/>
                <w:highlight w:val="none"/>
                <w:lang w:val="zh-CN" w:bidi="zh-CN"/>
              </w:rPr>
              <w:t xml:space="preserve">量工具为：0～5m 钢卷尺（精度 1mm）、十分度游标卡尺（精度 0.1mm）。对医用货架进行逐项评分，最高得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分）：样品外观无划痕、无变形、无掉漆、无开裂或无镀层脱落；整体造型、尺寸比例与送样图纸一致，误差不超过（公差：±5mm）；边角处理圆滑无尖锐毛刺，符合医用安全规范。全部满足要求得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齐全且可正常使用；分类收纳、防腐蚀、易清洁符合使用场景要求，适配不同规格药品、耗材、器械存放，便于日常清洁、消杀、通风防潮；部件连接牢固无松动、脱落风险。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工艺细节（0.</w:t>
            </w:r>
            <w:r>
              <w:rPr>
                <w:rFonts w:hint="eastAsia" w:ascii="宋体" w:hAnsi="宋体" w:eastAsia="宋体" w:cs="宋体"/>
                <w:color w:val="auto"/>
                <w:sz w:val="21"/>
                <w:szCs w:val="21"/>
                <w:highlight w:val="none"/>
                <w:lang w:val="en-US" w:eastAsia="zh-CN" w:bidi="zh-CN"/>
              </w:rPr>
              <w:t xml:space="preserve">7</w:t>
            </w:r>
            <w:r>
              <w:rPr>
                <w:rFonts w:hint="eastAsia" w:ascii="宋体" w:hAnsi="宋体" w:eastAsia="宋体" w:cs="宋体"/>
                <w:color w:val="auto"/>
                <w:sz w:val="21"/>
                <w:szCs w:val="21"/>
                <w:highlight w:val="none"/>
                <w:lang w:val="zh-CN" w:bidi="zh-CN"/>
              </w:rPr>
              <w:t xml:space="preserve"> 分）：样品焊接、拼接处平整光滑无明显缝隙，焊接工艺饱满牢固，无虚焊、脱焊、焊渣，焊点平整打磨无痕；五金件安装位置精准；标识、铭牌齐全清晰且与产品参数一致。全部满足要求得 0.</w:t>
            </w:r>
            <w:r>
              <w:rPr>
                <w:rFonts w:hint="eastAsia" w:ascii="宋体" w:hAnsi="宋体" w:eastAsia="宋体" w:cs="宋体"/>
                <w:color w:val="auto"/>
                <w:sz w:val="21"/>
                <w:szCs w:val="21"/>
                <w:highlight w:val="none"/>
                <w:lang w:val="en-US" w:bidi="zh-CN"/>
              </w:rPr>
              <w:t xml:space="preserve">7</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p>
            <w:pPr>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2143"/>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4.3</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val="zh-CN" w:bidi="zh-CN"/>
              </w:rPr>
              <w:t xml:space="preserve">办公桌</w:t>
            </w:r>
            <w:r>
              <w:rPr>
                <w:rFonts w:hint="eastAsia" w:ascii="宋体" w:hAnsi="宋体" w:eastAsia="宋体" w:cs="宋体"/>
                <w:color w:val="auto"/>
                <w:sz w:val="21"/>
                <w:szCs w:val="21"/>
                <w:highlight w:val="none"/>
                <w:lang w:val="zh-CN" w:bidi="zh-CN"/>
              </w:rPr>
              <w:t xml:space="preserve">）</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w:t>
            </w:r>
            <w:r>
              <w:rPr>
                <w:rFonts w:hint="eastAsia" w:ascii="宋体" w:hAnsi="宋体" w:eastAsia="宋体" w:cs="宋体"/>
                <w:color w:val="auto"/>
                <w:sz w:val="21"/>
                <w:szCs w:val="21"/>
                <w:highlight w:val="none"/>
                <w:lang w:val="zh-CN" w:bidi="zh-CN"/>
              </w:rPr>
              <w:t xml:space="preserve">量工具为：0～5m 钢卷尺（精度 1mm）、十分度游标卡尺（精度 0.1mm）。对办公桌进行逐项评分，最高得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桌面平整无凹凸，边角处理圆滑无尖锐毛刺，符合医用安全规范。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分）：样品全部功能部件齐全且可正常使用；医用专用功能（防腐蚀、易清洁）符合使用场景要求；分区适配医护文件、病历、办公用品存放；部件连接牢固无松动、脱落风险。全部满足要求得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工艺细节（0.</w:t>
            </w:r>
            <w:r>
              <w:rPr>
                <w:rFonts w:hint="eastAsia" w:ascii="宋体" w:hAnsi="宋体" w:eastAsia="宋体" w:cs="宋体"/>
                <w:color w:val="auto"/>
                <w:sz w:val="21"/>
                <w:szCs w:val="21"/>
                <w:highlight w:val="none"/>
                <w:lang w:val="en-US" w:eastAsia="zh-CN" w:bidi="zh-CN"/>
              </w:rPr>
              <w:t xml:space="preserve">7</w:t>
            </w:r>
            <w:r>
              <w:rPr>
                <w:rFonts w:hint="eastAsia" w:ascii="宋体" w:hAnsi="宋体" w:eastAsia="宋体" w:cs="宋体"/>
                <w:color w:val="auto"/>
                <w:sz w:val="21"/>
                <w:szCs w:val="21"/>
                <w:highlight w:val="none"/>
                <w:lang w:val="zh-CN" w:bidi="zh-CN"/>
              </w:rPr>
              <w:t xml:space="preserve"> 分）：样品焊接、封边、拼接处平整光滑无明显缝隙；五金件安装位置精准、螺丝无松动、无滑丝；桌体着地平稳，四脚受力均匀，无晃动、无倾斜；标识、铭牌齐全清晰且与产品参数一致。全部满足要求得 0.</w:t>
            </w:r>
            <w:r>
              <w:rPr>
                <w:rFonts w:hint="eastAsia" w:ascii="宋体" w:hAnsi="宋体" w:eastAsia="宋体" w:cs="宋体"/>
                <w:color w:val="auto"/>
                <w:sz w:val="21"/>
                <w:szCs w:val="21"/>
                <w:highlight w:val="none"/>
                <w:lang w:val="en-US" w:bidi="zh-CN"/>
              </w:rPr>
              <w:t xml:space="preserve">7</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3929"/>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4.4</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val="zh-CN" w:bidi="zh-CN"/>
              </w:rPr>
              <w:t xml:space="preserve">办公椅</w:t>
            </w:r>
            <w:r>
              <w:rPr>
                <w:rFonts w:hint="eastAsia" w:ascii="宋体" w:hAnsi="宋体" w:eastAsia="宋体" w:cs="宋体"/>
                <w:color w:val="auto"/>
                <w:sz w:val="21"/>
                <w:szCs w:val="21"/>
                <w:highlight w:val="none"/>
                <w:lang w:val="zh-CN" w:bidi="zh-CN"/>
              </w:rPr>
              <w:t xml:space="preserve">）</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w:t>
            </w:r>
            <w:r>
              <w:rPr>
                <w:rFonts w:hint="eastAsia" w:ascii="宋体" w:hAnsi="宋体" w:eastAsia="宋体" w:cs="宋体"/>
                <w:color w:val="auto"/>
                <w:sz w:val="21"/>
                <w:szCs w:val="21"/>
                <w:highlight w:val="none"/>
                <w:lang w:val="zh-CN" w:bidi="zh-CN"/>
              </w:rPr>
              <w:t xml:space="preserve">量工具为：0～5m 钢卷尺（精度 1mm）、十分度游标卡尺（精度 0.1mm）。对办公椅进行逐项评分，最高得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椅面、靠背平整饱满，无褶皱、无塌陷、无破损；整体造型、尺寸比例与送样图纸一致，误差不超过（公差：±5mm）；边角处理圆滑无尖锐毛刺，符合医用安全规范。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齐全且可正常使用；医用专用功能符合使用场景要求；部件连接牢固无松动、脱落风险；靠背可适度后仰，具备锁定功能，适配休息、办公双重场景；坐垫尺寸适配成人久坐，受力均匀，无局部凹陷，满足医护高频久坐使用需求。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工艺细节（0.</w:t>
            </w:r>
            <w:r>
              <w:rPr>
                <w:rFonts w:hint="eastAsia" w:ascii="宋体" w:hAnsi="宋体" w:eastAsia="宋体" w:cs="宋体"/>
                <w:color w:val="auto"/>
                <w:sz w:val="21"/>
                <w:szCs w:val="21"/>
                <w:highlight w:val="none"/>
                <w:lang w:val="en-US" w:eastAsia="zh-CN" w:bidi="zh-CN"/>
              </w:rPr>
              <w:t xml:space="preserve">7</w:t>
            </w:r>
            <w:r>
              <w:rPr>
                <w:rFonts w:hint="eastAsia" w:ascii="宋体" w:hAnsi="宋体" w:eastAsia="宋体" w:cs="宋体"/>
                <w:color w:val="auto"/>
                <w:sz w:val="21"/>
                <w:szCs w:val="21"/>
                <w:highlight w:val="none"/>
                <w:lang w:val="zh-CN" w:bidi="zh-CN"/>
              </w:rPr>
              <w:t xml:space="preserve"> 分）：样品焊接、拼接处平整光滑无明显缝隙；五金件安装位置精准，开关、推拉顺畅无卡顿，频繁移动无变形、无松动，细节无瑕疵；标识、铭牌齐全清晰且与产品参数一致。全部满足要求得 0.</w:t>
            </w:r>
            <w:r>
              <w:rPr>
                <w:rFonts w:hint="eastAsia" w:ascii="宋体" w:hAnsi="宋体" w:eastAsia="宋体" w:cs="宋体"/>
                <w:color w:val="auto"/>
                <w:sz w:val="21"/>
                <w:szCs w:val="21"/>
                <w:highlight w:val="none"/>
                <w:lang w:val="en-US" w:bidi="zh-CN"/>
              </w:rPr>
              <w:t xml:space="preserve">7</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p>
            <w:pPr>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540"/>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4.5</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val="zh-CN" w:bidi="zh-CN"/>
              </w:rPr>
              <w:t xml:space="preserve">礼堂椅</w:t>
            </w:r>
            <w:r>
              <w:rPr>
                <w:rFonts w:hint="eastAsia" w:ascii="宋体" w:hAnsi="宋体" w:eastAsia="宋体" w:cs="宋体"/>
                <w:color w:val="auto"/>
                <w:sz w:val="21"/>
                <w:szCs w:val="21"/>
                <w:highlight w:val="none"/>
                <w:lang w:val="zh-CN" w:bidi="zh-CN"/>
              </w:rPr>
              <w:t xml:space="preserve">）</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w:t>
            </w:r>
            <w:r>
              <w:rPr>
                <w:rFonts w:hint="eastAsia" w:ascii="宋体" w:hAnsi="宋体" w:eastAsia="宋体" w:cs="宋体"/>
                <w:color w:val="auto"/>
                <w:sz w:val="21"/>
                <w:szCs w:val="21"/>
                <w:highlight w:val="none"/>
                <w:lang w:val="zh-CN" w:bidi="zh-CN"/>
              </w:rPr>
              <w:t xml:space="preserve">量工具为：0～5m 钢卷尺（精度 1mm）、十分度游标卡尺（精度 0.1mm）。对礼堂椅进行逐项评分，最高得</w:t>
            </w:r>
            <w:r>
              <w:rPr>
                <w:rFonts w:hint="eastAsia" w:ascii="宋体" w:hAnsi="宋体" w:eastAsia="宋体" w:cs="宋体"/>
                <w:color w:val="auto"/>
                <w:sz w:val="21"/>
                <w:szCs w:val="21"/>
                <w:highlight w:val="none"/>
                <w:lang w:val="en-US" w:bidi="zh-CN"/>
              </w:rPr>
              <w:t xml:space="preserve">2.5分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边角处理圆滑无尖锐毛刺，符合医用安全规范；适配医院会议室、学术报告厅场景。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分）：样品材质类型、厚度与招标文件要求一致，金属部件无锈蚀，板材无开裂、鼓包、分层；表面涂层或饰面无脱落、色差，理化性能符合国标要求；符合公共医用场所安全标准。全部满足要求得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分）：样品全部功能部件齐全且可正常使用；符合医院使用场景要求；部件连接牢固无松动、脱落风险，无晃动偏移，适配集中参会使用。全部满足要求得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工艺细节（0.</w:t>
            </w:r>
            <w:r>
              <w:rPr>
                <w:rFonts w:hint="eastAsia" w:ascii="宋体" w:hAnsi="宋体" w:eastAsia="宋体" w:cs="宋体"/>
                <w:color w:val="auto"/>
                <w:sz w:val="21"/>
                <w:szCs w:val="21"/>
                <w:highlight w:val="none"/>
                <w:lang w:val="en-US" w:eastAsia="zh-CN" w:bidi="zh-CN"/>
              </w:rPr>
              <w:t xml:space="preserve">7</w:t>
            </w:r>
            <w:r>
              <w:rPr>
                <w:rFonts w:hint="eastAsia" w:ascii="宋体" w:hAnsi="宋体" w:eastAsia="宋体" w:cs="宋体"/>
                <w:color w:val="auto"/>
                <w:sz w:val="21"/>
                <w:szCs w:val="21"/>
                <w:highlight w:val="none"/>
                <w:lang w:val="zh-CN" w:bidi="zh-CN"/>
              </w:rPr>
              <w:t xml:space="preserve"> 分）：样品焊接、拼接处平整光滑无明显缝隙；五金件安装位置精准，开关、推拉顺畅无卡顿；标识、铭牌齐全清晰且与产品参数一致。全部满足要求得 0.</w:t>
            </w:r>
            <w:r>
              <w:rPr>
                <w:rFonts w:hint="eastAsia" w:ascii="宋体" w:hAnsi="宋体" w:eastAsia="宋体" w:cs="宋体"/>
                <w:color w:val="auto"/>
                <w:sz w:val="21"/>
                <w:szCs w:val="21"/>
                <w:highlight w:val="none"/>
                <w:lang w:val="en-US" w:bidi="zh-CN"/>
              </w:rPr>
              <w:t xml:space="preserve">7</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2.5</w:t>
            </w:r>
            <w:r/>
          </w:p>
        </w:tc>
      </w:tr>
      <w:tr>
        <w:trPr>
          <w:jc w:val="center"/>
          <w:trHeight w:val="3929"/>
        </w:trPr>
        <w:tc>
          <w:tcPr>
            <w:tcW w:w="636" w:type="dxa"/>
            <w:vAlign w:val="center"/>
            <w:textDirection w:val="lrTb"/>
            <w:noWrap w:val="false"/>
          </w:tcPr>
          <w:p>
            <w:pPr>
              <w:ind w:firstLine="68"/>
              <w:jc w:val="left"/>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4.6</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样品评价</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val="zh-CN" w:bidi="zh-CN"/>
              </w:rPr>
              <w:t xml:space="preserve">值班床</w:t>
            </w:r>
            <w:r>
              <w:rPr>
                <w:rFonts w:hint="eastAsia" w:ascii="宋体" w:hAnsi="宋体" w:eastAsia="宋体" w:cs="宋体"/>
                <w:color w:val="auto"/>
                <w:sz w:val="21"/>
                <w:szCs w:val="21"/>
                <w:highlight w:val="none"/>
                <w:lang w:val="zh-CN" w:bidi="zh-CN"/>
              </w:rPr>
              <w:t xml:space="preserve">）</w:t>
            </w:r>
            <w:r/>
          </w:p>
        </w:tc>
        <w:tc>
          <w:tcPr>
            <w:tcW w:w="7638" w:type="dxa"/>
            <w:vAlign w:val="center"/>
            <w:textDirection w:val="lrTb"/>
            <w:noWrap w:val="false"/>
          </w:tcPr>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根据招标文件第四项项目需求中关于出样产品技术参数和样图的要求生产样品，测</w:t>
            </w:r>
            <w:r>
              <w:rPr>
                <w:rFonts w:hint="eastAsia" w:ascii="宋体" w:hAnsi="宋体" w:eastAsia="宋体" w:cs="宋体"/>
                <w:color w:val="auto"/>
                <w:sz w:val="21"/>
                <w:szCs w:val="21"/>
                <w:highlight w:val="none"/>
                <w:lang w:val="zh-CN" w:bidi="zh-CN"/>
              </w:rPr>
              <w:t xml:space="preserve">量工具为：0～5m 钢卷尺（精度 1mm）、十分度游标卡尺（精度 0.1mm）。对值班床进行逐项评分，最高得</w:t>
            </w:r>
            <w:r>
              <w:rPr>
                <w:rFonts w:hint="eastAsia" w:ascii="宋体" w:hAnsi="宋体" w:eastAsia="宋体" w:cs="宋体"/>
                <w:color w:val="auto"/>
                <w:sz w:val="21"/>
                <w:szCs w:val="21"/>
                <w:highlight w:val="none"/>
                <w:lang w:val="en-US" w:bidi="zh-CN"/>
              </w:rPr>
              <w:t xml:space="preserve">1.5分</w:t>
            </w:r>
            <w:r>
              <w:rPr>
                <w:rFonts w:hint="eastAsia" w:ascii="宋体" w:hAnsi="宋体" w:eastAsia="宋体" w:cs="宋体"/>
                <w:color w:val="auto"/>
                <w:sz w:val="21"/>
                <w:szCs w:val="21"/>
                <w:highlight w:val="none"/>
                <w:lang w:val="zh-CN" w:bidi="zh-CN"/>
              </w:rPr>
              <w:t xml:space="preserve">。</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外观款式（0.</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 分）：样品外观无划痕、无变形、无掉漆、无开裂或无镀层脱落；整体造型、尺寸比例与送样图纸一致，误差不超过（公差：±5mm）；床板平整无凹凸，床架端正对称，适配医护临时休息场景；边角处理圆滑无尖锐毛刺，符合医用安全规范。全部满足要求得 0.</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材质要求（0.</w:t>
            </w:r>
            <w:r>
              <w:rPr>
                <w:rFonts w:hint="eastAsia" w:ascii="宋体" w:hAnsi="宋体" w:eastAsia="宋体" w:cs="宋体"/>
                <w:color w:val="auto"/>
                <w:sz w:val="21"/>
                <w:szCs w:val="21"/>
                <w:highlight w:val="none"/>
                <w:lang w:val="en-US" w:eastAsia="zh-CN" w:bidi="zh-CN"/>
              </w:rPr>
              <w:t xml:space="preserve">3</w:t>
            </w:r>
            <w:r>
              <w:rPr>
                <w:rFonts w:hint="eastAsia" w:ascii="宋体" w:hAnsi="宋体" w:eastAsia="宋体" w:cs="宋体"/>
                <w:color w:val="auto"/>
                <w:sz w:val="21"/>
                <w:szCs w:val="21"/>
                <w:highlight w:val="none"/>
                <w:lang w:val="zh-CN" w:bidi="zh-CN"/>
              </w:rPr>
              <w:t xml:space="preserve">分）：样品材质类型、厚度与招标文件要求一致，金属部件无锈蚀，板材无开裂、鼓包、分层；表面涂层或饰面无脱落、色差，理化性能符合国标要求；无异味、易清洁，适配医用休息场景。全部满足要求得 0.</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功能配置（0.</w:t>
            </w:r>
            <w:r>
              <w:rPr>
                <w:rFonts w:hint="eastAsia" w:ascii="宋体" w:hAnsi="宋体" w:eastAsia="宋体" w:cs="宋体"/>
                <w:color w:val="auto"/>
                <w:sz w:val="21"/>
                <w:szCs w:val="21"/>
                <w:highlight w:val="none"/>
                <w:lang w:val="en-US" w:eastAsia="zh-CN" w:bidi="zh-CN"/>
              </w:rPr>
              <w:t xml:space="preserve">3</w:t>
            </w:r>
            <w:r>
              <w:rPr>
                <w:rFonts w:hint="eastAsia" w:ascii="宋体" w:hAnsi="宋体" w:eastAsia="宋体" w:cs="宋体"/>
                <w:color w:val="auto"/>
                <w:sz w:val="21"/>
                <w:szCs w:val="21"/>
                <w:highlight w:val="none"/>
                <w:lang w:val="zh-CN" w:bidi="zh-CN"/>
              </w:rPr>
              <w:t xml:space="preserve"> 分）：样品全部功能部件齐全且可正常使用；医用专用功能（防腐蚀、易清洁）符合使用场景要求；部件连接牢固无松动、脱落风险，床体承重性能优异。全部满足要求得 0.</w:t>
            </w:r>
            <w:r>
              <w:rPr>
                <w:rFonts w:hint="eastAsia" w:ascii="宋体" w:hAnsi="宋体" w:eastAsia="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工艺细节（0.</w:t>
            </w:r>
            <w:r>
              <w:rPr>
                <w:rFonts w:hint="eastAsia" w:ascii="宋体" w:hAnsi="宋体" w:eastAsia="宋体" w:cs="宋体"/>
                <w:color w:val="auto"/>
                <w:sz w:val="21"/>
                <w:szCs w:val="21"/>
                <w:highlight w:val="none"/>
                <w:lang w:val="en-US" w:eastAsia="zh-CN" w:bidi="zh-CN"/>
              </w:rPr>
              <w:t xml:space="preserve">6</w:t>
            </w:r>
            <w:r>
              <w:rPr>
                <w:rFonts w:hint="eastAsia" w:ascii="宋体" w:hAnsi="宋体" w:eastAsia="宋体" w:cs="宋体"/>
                <w:color w:val="auto"/>
                <w:sz w:val="21"/>
                <w:szCs w:val="21"/>
                <w:highlight w:val="none"/>
                <w:lang w:val="zh-CN" w:bidi="zh-CN"/>
              </w:rPr>
              <w:t xml:space="preserve"> 分）：样品焊接、拼接处平整光滑无明显缝隙；五金件安装位置精准，边角圆弧打磨到位，杜绝磕碰风险；标识、铭牌齐全清晰且与产品参数一致。全部满足要求得 0.</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 分，任一条不满足不得分。</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特殊情形说明：</w:t>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zh-CN"/>
              </w:rPr>
              <w:t xml:space="preserve">若样品存在重大缺陷（如结构断裂、核心功能失效），该类样品直接计 0 分，不再分项评分。</w:t>
            </w:r>
            <w:r/>
          </w:p>
          <w:p>
            <w:pPr>
              <w:ind w:firstLine="68"/>
              <w:jc w:val="lef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firstLine="0"/>
              <w:jc w:val="left"/>
              <w:keepLines w:val="0"/>
              <w:keepNext w:val="0"/>
              <w:pageBreakBefore w:val="0"/>
              <w:rPr>
                <w:rFonts w:hint="eastAsia" w:ascii="宋体" w:hAnsi="宋体" w:eastAsia="宋体" w:cs="宋体"/>
                <w:color w:val="auto"/>
                <w:sz w:val="21"/>
                <w:szCs w:val="21"/>
                <w:highlight w:val="none"/>
                <w:lang w:val="zh-CN" w:bidi="zh-CN"/>
              </w:rPr>
            </w:pPr>
            <w:r>
              <w:rPr>
                <w:rFonts w:hint="eastAsia" w:ascii="宋体" w:hAnsi="宋体" w:eastAsia="宋体" w:cs="宋体"/>
                <w:b/>
                <w:bCs/>
                <w:color w:val="auto"/>
                <w:sz w:val="21"/>
                <w:szCs w:val="21"/>
                <w:highlight w:val="none"/>
                <w:lang w:bidi="zh-CN"/>
              </w:rPr>
              <w:t xml:space="preserve">注：</w:t>
            </w:r>
            <w:r>
              <w:rPr>
                <w:rFonts w:hint="eastAsia" w:ascii="宋体" w:hAnsi="宋体" w:eastAsia="宋体" w:cs="宋体"/>
                <w:b/>
                <w:bCs/>
                <w:color w:val="auto"/>
                <w:sz w:val="21"/>
                <w:szCs w:val="21"/>
                <w:highlight w:val="none"/>
                <w:lang w:val="zh-CN" w:bidi="zh-CN"/>
              </w:rPr>
              <w:t xml:space="preserve">未在规定时间内提交样品或样品提交不齐全的或所提交样品与投标文件中所填报参数不一致的按</w:t>
            </w:r>
            <w:r>
              <w:rPr>
                <w:rFonts w:hint="eastAsia" w:ascii="宋体" w:hAnsi="宋体" w:eastAsia="宋体" w:cs="宋体"/>
                <w:b/>
                <w:bCs/>
                <w:color w:val="auto"/>
                <w:sz w:val="21"/>
                <w:szCs w:val="21"/>
                <w:highlight w:val="none"/>
                <w:lang w:val="en-US" w:bidi="zh-CN"/>
              </w:rPr>
              <w:t xml:space="preserve">无效投标</w:t>
            </w:r>
            <w:r>
              <w:rPr>
                <w:rFonts w:hint="eastAsia" w:ascii="宋体" w:hAnsi="宋体" w:eastAsia="宋体" w:cs="宋体"/>
                <w:b/>
                <w:bCs/>
                <w:color w:val="auto"/>
                <w:sz w:val="21"/>
                <w:szCs w:val="21"/>
                <w:highlight w:val="none"/>
                <w:lang w:val="zh-CN" w:bidi="zh-CN"/>
              </w:rPr>
              <w:t xml:space="preserve">处理。以上样品不接受3D打印件。</w:t>
            </w:r>
            <w:r/>
          </w:p>
        </w:tc>
        <w:tc>
          <w:tcPr>
            <w:tcW w:w="777" w:type="dxa"/>
            <w:vAlign w:val="center"/>
            <w:textDirection w:val="lrTb"/>
            <w:noWrap w:val="false"/>
          </w:tcPr>
          <w:p>
            <w:pPr>
              <w:ind w:firstLine="68"/>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1.5</w:t>
            </w:r>
            <w:r/>
          </w:p>
        </w:tc>
      </w:tr>
      <w:tr>
        <w:trPr>
          <w:jc w:val="center"/>
          <w:trHeight w:val="90"/>
        </w:trPr>
        <w:tc>
          <w:tcPr>
            <w:gridSpan w:val="3"/>
            <w:tcW w:w="9143" w:type="dxa"/>
            <w:vAlign w:val="center"/>
            <w:textDirection w:val="lrTb"/>
            <w:noWrap w:val="false"/>
          </w:tcPr>
          <w:p>
            <w:pPr>
              <w:pStyle w:val="695"/>
              <w:rPr>
                <w:rFonts w:hint="eastAsia"/>
                <w:color w:val="auto"/>
                <w:sz w:val="21"/>
                <w:szCs w:val="21"/>
                <w:highlight w:val="none"/>
              </w:rPr>
            </w:pPr>
            <w:r>
              <w:rPr>
                <w:rFonts w:ascii="宋体" w:hAnsi="宋体" w:eastAsia="宋体" w:cs="宋体"/>
                <w:color w:val="auto"/>
                <w:sz w:val="21"/>
                <w:szCs w:val="21"/>
                <w:highlight w:val="none"/>
                <w:lang w:val="zh-CN" w:bidi="zh-CN"/>
              </w:rPr>
              <w:t xml:space="preserve">服务要求</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5.0</w:t>
            </w:r>
            <w:r/>
          </w:p>
        </w:tc>
      </w:tr>
      <w:tr>
        <w:trPr>
          <w:jc w:val="center"/>
          <w:trHeight w:val="90"/>
        </w:trPr>
        <w:tc>
          <w:tcPr>
            <w:tcW w:w="636"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5.1</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hint="eastAsia" w:ascii="宋体" w:hAnsi="宋体" w:eastAsia="宋体" w:cs="宋体"/>
                <w:color w:val="auto"/>
                <w:szCs w:val="21"/>
                <w:highlight w:val="none"/>
                <w:lang w:val="en-US" w:eastAsia="zh-CN"/>
              </w:rPr>
              <w:t xml:space="preserve">质保期承诺</w:t>
            </w:r>
            <w:r/>
          </w:p>
        </w:tc>
        <w:tc>
          <w:tcPr>
            <w:tcW w:w="7638" w:type="dxa"/>
            <w:vAlign w:val="center"/>
            <w:textDirection w:val="lrTb"/>
            <w:noWrap w:val="false"/>
          </w:tcPr>
          <w:p>
            <w:pPr>
              <w:pStyle w:val="695"/>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满足招标文件免费质保期五年要求后,每增加1年得</w:t>
            </w:r>
            <w:r>
              <w:rPr>
                <w:rFonts w:hint="eastAsia" w:ascii="宋体" w:hAnsi="宋体" w:eastAsia="宋体" w:cs="宋体"/>
                <w:color w:val="auto"/>
                <w:sz w:val="21"/>
                <w:szCs w:val="21"/>
                <w:highlight w:val="none"/>
                <w:lang w:val="en-US" w:eastAsia="zh-CN" w:bidi="zh-CN"/>
              </w:rPr>
              <w:t xml:space="preserve">0.5</w:t>
            </w:r>
            <w:r>
              <w:rPr>
                <w:rFonts w:hint="eastAsia" w:ascii="宋体" w:hAnsi="宋体" w:eastAsia="宋体" w:cs="宋体"/>
                <w:color w:val="auto"/>
                <w:sz w:val="21"/>
                <w:szCs w:val="21"/>
                <w:highlight w:val="none"/>
                <w:lang w:val="zh-CN" w:eastAsia="zh-CN" w:bidi="zh-CN"/>
              </w:rPr>
              <w:t xml:space="preserve">分，最高得 </w:t>
            </w:r>
            <w:r>
              <w:rPr>
                <w:rFonts w:hint="eastAsia" w:ascii="宋体" w:hAnsi="宋体" w:eastAsia="宋体" w:cs="宋体"/>
                <w:color w:val="auto"/>
                <w:sz w:val="21"/>
                <w:szCs w:val="21"/>
                <w:highlight w:val="none"/>
                <w:lang w:val="en-US" w:eastAsia="zh-CN" w:bidi="zh-CN"/>
              </w:rPr>
              <w:t xml:space="preserve">1</w:t>
            </w:r>
            <w:r>
              <w:rPr>
                <w:rFonts w:hint="eastAsia" w:ascii="宋体" w:hAnsi="宋体" w:eastAsia="宋体" w:cs="宋体"/>
                <w:color w:val="auto"/>
                <w:sz w:val="21"/>
                <w:szCs w:val="21"/>
                <w:highlight w:val="none"/>
                <w:lang w:val="zh-CN" w:eastAsia="zh-CN" w:bidi="zh-CN"/>
              </w:rPr>
              <w:t xml:space="preserve">分。</w:t>
            </w:r>
            <w:r/>
          </w:p>
          <w:p>
            <w:pPr>
              <w:pStyle w:val="695"/>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bidi="zh-CN"/>
              </w:rPr>
            </w:pPr>
            <w:r>
              <w:rPr>
                <w:rFonts w:hint="eastAsia" w:ascii="宋体" w:hAnsi="宋体" w:cs="宋体"/>
                <w:color w:val="auto"/>
                <w:sz w:val="22"/>
                <w:highlight w:val="none"/>
                <w:lang w:val="en-US" w:bidi="zh-CN"/>
              </w:rPr>
              <w:t xml:space="preserve">1</w:t>
            </w:r>
            <w:r>
              <w:rPr>
                <w:rFonts w:hint="eastAsia" w:ascii="宋体" w:hAnsi="宋体" w:eastAsia="宋体" w:cs="宋体"/>
                <w:color w:val="auto"/>
                <w:sz w:val="22"/>
                <w:highlight w:val="none"/>
                <w:lang w:bidi="zh-CN"/>
              </w:rPr>
              <w:t xml:space="preserve">.0</w:t>
            </w:r>
            <w:r/>
          </w:p>
        </w:tc>
      </w:tr>
      <w:tr>
        <w:trPr>
          <w:jc w:val="center"/>
          <w:trHeight w:val="748"/>
        </w:trPr>
        <w:tc>
          <w:tcPr>
            <w:tcW w:w="636"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5.2</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项目实施方案</w:t>
            </w:r>
            <w:r/>
          </w:p>
        </w:tc>
        <w:tc>
          <w:tcPr>
            <w:tcW w:w="7638" w:type="dxa"/>
            <w:vAlign w:val="center"/>
            <w:textDirection w:val="lrTb"/>
            <w:noWrap w:val="false"/>
          </w:tcPr>
          <w:p>
            <w:pPr>
              <w:numPr>
                <w:ilvl w:val="0"/>
                <w:numId w:val="0"/>
              </w:numPr>
              <w:jc w:val="left"/>
              <w:rPr>
                <w:rFonts w:hint="default"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1.根据供应商提供的服务质量管理方案，考察其是否具有</w:t>
            </w:r>
            <w:r>
              <w:rPr>
                <w:rFonts w:hint="eastAsia" w:ascii="宋体" w:hAnsi="宋体" w:eastAsia="宋体" w:cs="宋体"/>
                <w:color w:val="auto"/>
                <w:sz w:val="21"/>
                <w:szCs w:val="21"/>
                <w:highlight w:val="none"/>
                <w:lang w:val="zh-CN" w:eastAsia="zh-CN" w:bidi="zh-CN"/>
              </w:rPr>
              <w:t xml:space="preserve">①项目进度安排表</w:t>
            </w:r>
            <w:r>
              <w:rPr>
                <w:rFonts w:hint="eastAsia" w:ascii="宋体" w:hAnsi="宋体" w:eastAsia="宋体" w:cs="宋体"/>
                <w:color w:val="auto"/>
                <w:sz w:val="21"/>
                <w:szCs w:val="21"/>
                <w:highlight w:val="none"/>
                <w:lang w:val="en-US" w:eastAsia="zh-CN" w:bidi="zh-CN"/>
              </w:rPr>
              <w:t xml:space="preserve">及人员</w:t>
            </w:r>
            <w:r>
              <w:rPr>
                <w:rFonts w:hint="eastAsia" w:ascii="宋体" w:hAnsi="宋体" w:eastAsia="宋体" w:cs="宋体"/>
                <w:color w:val="auto"/>
                <w:sz w:val="21"/>
                <w:szCs w:val="21"/>
                <w:highlight w:val="none"/>
                <w:lang w:val="zh-CN" w:eastAsia="zh-CN" w:bidi="zh-CN"/>
              </w:rPr>
              <w:t xml:space="preserve">投入</w:t>
            </w:r>
            <w:r>
              <w:rPr>
                <w:rFonts w:hint="eastAsia" w:ascii="宋体" w:hAnsi="宋体" w:eastAsia="宋体" w:cs="宋体"/>
                <w:color w:val="auto"/>
                <w:sz w:val="21"/>
                <w:szCs w:val="21"/>
                <w:highlight w:val="none"/>
                <w:lang w:val="en-US" w:eastAsia="zh-CN" w:bidi="zh-CN"/>
              </w:rPr>
              <w:t xml:space="preserve">配置</w:t>
            </w:r>
            <w:r>
              <w:rPr>
                <w:rFonts w:hint="eastAsia" w:ascii="宋体" w:hAnsi="宋体" w:eastAsia="宋体" w:cs="宋体"/>
                <w:color w:val="auto"/>
                <w:sz w:val="21"/>
                <w:szCs w:val="21"/>
                <w:highlight w:val="none"/>
                <w:lang w:val="zh-CN" w:eastAsia="zh-CN" w:bidi="zh-CN"/>
              </w:rPr>
              <w:t xml:space="preserve">②产品生产过程质量控制措施③</w:t>
            </w:r>
            <w:r>
              <w:rPr>
                <w:rFonts w:hint="eastAsia" w:ascii="宋体" w:hAnsi="宋体" w:eastAsia="宋体" w:cs="宋体"/>
                <w:color w:val="auto"/>
                <w:sz w:val="21"/>
                <w:szCs w:val="21"/>
                <w:highlight w:val="none"/>
                <w:lang w:val="en-US" w:eastAsia="zh-CN" w:bidi="zh-CN"/>
              </w:rPr>
              <w:t xml:space="preserve">整体供货组织措施</w:t>
            </w:r>
            <w:r>
              <w:rPr>
                <w:rFonts w:hint="eastAsia" w:ascii="宋体" w:hAnsi="宋体" w:eastAsia="宋体" w:cs="宋体"/>
                <w:color w:val="auto"/>
                <w:sz w:val="21"/>
                <w:szCs w:val="21"/>
                <w:highlight w:val="none"/>
                <w:lang w:val="zh-CN" w:eastAsia="zh-CN" w:bidi="zh-CN"/>
              </w:rPr>
              <w:t xml:space="preserve">④</w:t>
            </w:r>
            <w:r>
              <w:rPr>
                <w:rFonts w:hint="eastAsia" w:ascii="宋体" w:hAnsi="宋体" w:eastAsia="宋体" w:cs="宋体"/>
                <w:color w:val="auto"/>
                <w:sz w:val="21"/>
                <w:szCs w:val="21"/>
                <w:highlight w:val="none"/>
                <w:lang w:val="en-US" w:eastAsia="zh-CN" w:bidi="zh-CN"/>
              </w:rPr>
              <w:t xml:space="preserve">产品包装保障及</w:t>
            </w:r>
            <w:r>
              <w:rPr>
                <w:rFonts w:hint="eastAsia" w:ascii="宋体" w:hAnsi="宋体" w:eastAsia="宋体" w:cs="宋体"/>
                <w:color w:val="auto"/>
                <w:sz w:val="21"/>
                <w:szCs w:val="21"/>
                <w:highlight w:val="none"/>
                <w:lang w:val="zh-CN" w:eastAsia="zh-CN" w:bidi="zh-CN"/>
              </w:rPr>
              <w:t xml:space="preserve">运输安排⑤应急措施⑥安全文明安装及环境保护措施⑦项目验收方案⑧投标产品加工工序。每有一项内容且符合采购需求的得</w:t>
            </w:r>
            <w:r>
              <w:rPr>
                <w:rFonts w:hint="eastAsia" w:ascii="宋体" w:hAnsi="宋体" w:eastAsia="宋体" w:cs="宋体"/>
                <w:color w:val="auto"/>
                <w:sz w:val="21"/>
                <w:szCs w:val="21"/>
                <w:highlight w:val="none"/>
                <w:lang w:val="en-US" w:eastAsia="zh-CN" w:bidi="zh-CN"/>
              </w:rPr>
              <w:t xml:space="preserve">0.25</w:t>
            </w:r>
            <w:r>
              <w:rPr>
                <w:rFonts w:hint="eastAsia" w:ascii="宋体" w:hAnsi="宋体" w:eastAsia="宋体" w:cs="宋体"/>
                <w:color w:val="auto"/>
                <w:sz w:val="21"/>
                <w:szCs w:val="21"/>
                <w:highlight w:val="none"/>
                <w:lang w:val="zh-CN" w:eastAsia="zh-CN" w:bidi="zh-CN"/>
              </w:rPr>
              <w:t xml:space="preserve">分，本项最高得</w:t>
            </w:r>
            <w:r>
              <w:rPr>
                <w:rFonts w:hint="eastAsia" w:ascii="宋体" w:hAnsi="宋体" w:eastAsia="宋体" w:cs="宋体"/>
                <w:color w:val="auto"/>
                <w:sz w:val="21"/>
                <w:szCs w:val="21"/>
                <w:highlight w:val="none"/>
                <w:lang w:val="en-US" w:eastAsia="zh-CN" w:bidi="zh-CN"/>
              </w:rPr>
              <w:t xml:space="preserve">2</w:t>
            </w:r>
            <w:r>
              <w:rPr>
                <w:rFonts w:hint="eastAsia" w:ascii="宋体" w:hAnsi="宋体" w:eastAsia="宋体" w:cs="宋体"/>
                <w:color w:val="auto"/>
                <w:sz w:val="21"/>
                <w:szCs w:val="21"/>
                <w:highlight w:val="none"/>
                <w:lang w:val="zh-CN" w:eastAsia="zh-CN" w:bidi="zh-CN"/>
              </w:rPr>
              <w:t xml:space="preserve">分；不提供方案或不符合项目需求的，不得分。</w:t>
            </w:r>
            <w:r/>
          </w:p>
        </w:tc>
        <w:tc>
          <w:tcPr>
            <w:tcW w:w="777" w:type="dxa"/>
            <w:vAlign w:val="center"/>
            <w:textDirection w:val="lrTb"/>
            <w:noWrap w:val="false"/>
          </w:tcPr>
          <w:p>
            <w:pPr>
              <w:ind w:firstLine="68"/>
              <w:jc w:val="center"/>
              <w:rPr>
                <w:rFonts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bidi="zh-CN"/>
              </w:rPr>
              <w:t xml:space="preserve">.0</w:t>
            </w:r>
            <w:r/>
          </w:p>
        </w:tc>
      </w:tr>
      <w:tr>
        <w:trPr>
          <w:jc w:val="center"/>
          <w:trHeight w:val="1903"/>
        </w:trPr>
        <w:tc>
          <w:tcPr>
            <w:tcW w:w="636"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5.3</w:t>
            </w:r>
            <w:r/>
          </w:p>
        </w:tc>
        <w:tc>
          <w:tcPr>
            <w:tcW w:w="869" w:type="dxa"/>
            <w:vAlign w:val="center"/>
            <w:textDirection w:val="lrTb"/>
            <w:noWrap w:val="false"/>
          </w:tcPr>
          <w:p>
            <w:pPr>
              <w:ind w:firstLine="68"/>
              <w:jc w:val="left"/>
              <w:rPr>
                <w:rFonts w:ascii="宋体" w:hAnsi="宋体" w:eastAsia="宋体" w:cs="宋体"/>
                <w:color w:val="auto"/>
                <w:sz w:val="21"/>
                <w:szCs w:val="21"/>
                <w:highlight w:val="none"/>
                <w:lang w:val="zh-CN" w:bidi="zh-CN"/>
              </w:rPr>
            </w:pPr>
            <w:r>
              <w:rPr>
                <w:rFonts w:ascii="宋体" w:hAnsi="宋体" w:eastAsia="宋体" w:cs="宋体"/>
                <w:color w:val="auto"/>
                <w:sz w:val="21"/>
                <w:szCs w:val="21"/>
                <w:highlight w:val="none"/>
                <w:lang w:val="zh-CN" w:bidi="zh-CN"/>
              </w:rPr>
              <w:t xml:space="preserve">服务方案评价</w:t>
            </w:r>
            <w:r/>
          </w:p>
        </w:tc>
        <w:tc>
          <w:tcPr>
            <w:tcW w:w="7638" w:type="dxa"/>
            <w:vAlign w:val="center"/>
            <w:textDirection w:val="lrTb"/>
            <w:noWrap w:val="false"/>
          </w:tcPr>
          <w:p>
            <w:pPr>
              <w:numPr>
                <w:ilvl w:val="0"/>
                <w:numId w:val="0"/>
              </w:numPr>
              <w:jc w:val="left"/>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en-US" w:eastAsia="zh-CN" w:bidi="zh-CN"/>
              </w:rPr>
              <w:t xml:space="preserve">1、</w:t>
            </w:r>
            <w:r>
              <w:rPr>
                <w:rFonts w:hint="eastAsia" w:ascii="宋体" w:hAnsi="宋体" w:eastAsia="宋体" w:cs="宋体"/>
                <w:color w:val="auto"/>
                <w:sz w:val="21"/>
                <w:szCs w:val="21"/>
                <w:highlight w:val="none"/>
                <w:lang w:val="zh-CN" w:eastAsia="zh-CN" w:bidi="zh-CN"/>
              </w:rPr>
              <w:t xml:space="preserve">根据供应商对以下服务要求的逐条响应，每承诺满足一条要求且响应准确清晰的得</w:t>
            </w:r>
            <w:r>
              <w:rPr>
                <w:rFonts w:hint="eastAsia" w:ascii="宋体" w:hAnsi="宋体" w:eastAsia="宋体" w:cs="宋体"/>
                <w:color w:val="auto"/>
                <w:sz w:val="21"/>
                <w:szCs w:val="21"/>
                <w:highlight w:val="none"/>
                <w:lang w:val="en-US" w:eastAsia="zh-CN" w:bidi="zh-CN"/>
              </w:rPr>
              <w:t xml:space="preserve">0.4</w:t>
            </w:r>
            <w:r>
              <w:rPr>
                <w:rFonts w:hint="eastAsia" w:ascii="宋体" w:hAnsi="宋体" w:eastAsia="宋体" w:cs="宋体"/>
                <w:color w:val="auto"/>
                <w:sz w:val="21"/>
                <w:szCs w:val="21"/>
                <w:highlight w:val="none"/>
                <w:lang w:val="zh-CN" w:eastAsia="zh-CN" w:bidi="zh-CN"/>
              </w:rPr>
              <w:t xml:space="preserve">分，最高得</w:t>
            </w:r>
            <w:r>
              <w:rPr>
                <w:rFonts w:hint="eastAsia" w:ascii="宋体" w:hAnsi="宋体" w:eastAsia="宋体" w:cs="宋体"/>
                <w:color w:val="auto"/>
                <w:sz w:val="21"/>
                <w:szCs w:val="21"/>
                <w:highlight w:val="none"/>
                <w:lang w:val="en-US" w:eastAsia="zh-CN" w:bidi="zh-CN"/>
              </w:rPr>
              <w:t xml:space="preserve">2</w:t>
            </w:r>
            <w:r>
              <w:rPr>
                <w:rFonts w:hint="eastAsia" w:ascii="宋体" w:hAnsi="宋体" w:eastAsia="宋体" w:cs="宋体"/>
                <w:color w:val="auto"/>
                <w:sz w:val="21"/>
                <w:szCs w:val="21"/>
                <w:highlight w:val="none"/>
                <w:lang w:val="zh-CN" w:eastAsia="zh-CN" w:bidi="zh-CN"/>
              </w:rPr>
              <w:t xml:space="preserve">分；不提供方案或不符合项目需求的，不得分。</w:t>
            </w:r>
            <w:r/>
          </w:p>
          <w:p>
            <w:pPr>
              <w:numPr>
                <w:ilvl w:val="0"/>
                <w:numId w:val="0"/>
              </w:numPr>
              <w:jc w:val="left"/>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服务要求：</w:t>
            </w:r>
            <w:r/>
          </w:p>
          <w:p>
            <w:pPr>
              <w:numPr>
                <w:ilvl w:val="0"/>
                <w:numId w:val="0"/>
              </w:numPr>
              <w:jc w:val="left"/>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①投标人需提供完备的产品质量保证</w:t>
            </w:r>
            <w:r/>
          </w:p>
          <w:p>
            <w:pPr>
              <w:numPr>
                <w:ilvl w:val="0"/>
                <w:numId w:val="0"/>
              </w:numPr>
              <w:jc w:val="left"/>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②投标人需提供具有丰富经验和技术能力的售后服务人员</w:t>
            </w:r>
            <w:r/>
          </w:p>
          <w:p>
            <w:pPr>
              <w:numPr>
                <w:ilvl w:val="0"/>
                <w:numId w:val="0"/>
              </w:numPr>
              <w:jc w:val="left"/>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③投标人需明确现场服务措施、故障解决预案、应急服务响应时间上限</w:t>
            </w:r>
            <w:r/>
          </w:p>
          <w:p>
            <w:pPr>
              <w:numPr>
                <w:ilvl w:val="0"/>
                <w:numId w:val="0"/>
              </w:numPr>
              <w:jc w:val="left"/>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④投标人需建立完善的售后服务回访制度</w:t>
            </w:r>
            <w:r/>
          </w:p>
          <w:p>
            <w:pPr>
              <w:numPr>
                <w:ilvl w:val="0"/>
                <w:numId w:val="0"/>
              </w:numPr>
              <w:jc w:val="left"/>
              <w:rPr>
                <w:rFonts w:hint="default"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⑤投标人需提供完善的项目培训方案及备品备件计划方案</w:t>
            </w:r>
            <w:r/>
          </w:p>
        </w:tc>
        <w:tc>
          <w:tcPr>
            <w:tcW w:w="777" w:type="dxa"/>
            <w:vAlign w:val="center"/>
            <w:textDirection w:val="lrTb"/>
            <w:noWrap w:val="false"/>
          </w:tcPr>
          <w:p>
            <w:pPr>
              <w:ind w:firstLine="68"/>
              <w:jc w:val="center"/>
              <w:rPr>
                <w:rFonts w:hint="default"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2.0</w:t>
            </w:r>
            <w:r/>
          </w:p>
        </w:tc>
      </w:tr>
    </w:tbl>
    <w:p>
      <w:pPr>
        <w:jc w:val="left"/>
        <w:spacing w:line="360" w:lineRule="auto"/>
        <w:widowControl/>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（二） 商务评估</w:t>
      </w:r>
      <w:r/>
    </w:p>
    <w:tbl>
      <w:tblPr>
        <w:tblStyle w:val="689"/>
        <w:tblW w:w="97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1"/>
        <w:gridCol w:w="802"/>
        <w:gridCol w:w="7585"/>
        <w:gridCol w:w="800"/>
      </w:tblGrid>
      <w:tr>
        <w:trPr>
          <w:jc w:val="center"/>
          <w:trHeight w:val="866"/>
        </w:trPr>
        <w:tc>
          <w:tcPr>
            <w:tcW w:w="591"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序号</w:t>
            </w:r>
            <w:r/>
          </w:p>
        </w:tc>
        <w:tc>
          <w:tcPr>
            <w:tcW w:w="802"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评审因素</w:t>
            </w:r>
            <w:r/>
          </w:p>
        </w:tc>
        <w:tc>
          <w:tcPr>
            <w:tcW w:w="7585"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评审细则</w:t>
            </w:r>
            <w:r/>
          </w:p>
        </w:tc>
        <w:tc>
          <w:tcPr>
            <w:tcW w:w="800"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分值</w:t>
            </w:r>
            <w:r/>
          </w:p>
        </w:tc>
      </w:tr>
      <w:tr>
        <w:trPr>
          <w:jc w:val="center"/>
          <w:trHeight w:val="351"/>
        </w:trPr>
        <w:tc>
          <w:tcPr>
            <w:gridSpan w:val="3"/>
            <w:tcW w:w="8978"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履约能力</w:t>
            </w:r>
            <w:r/>
          </w:p>
        </w:tc>
        <w:tc>
          <w:tcPr>
            <w:tcW w:w="800" w:type="dxa"/>
            <w:vAlign w:val="center"/>
            <w:textDirection w:val="lrTb"/>
            <w:noWrap w:val="false"/>
          </w:tcPr>
          <w:p>
            <w:pPr>
              <w:ind w:firstLine="68"/>
              <w:jc w:val="center"/>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1</w:t>
            </w:r>
            <w:r>
              <w:rPr>
                <w:rFonts w:hint="eastAsia" w:ascii="宋体" w:hAnsi="宋体" w:eastAsia="宋体" w:cs="宋体"/>
                <w:color w:val="auto"/>
                <w:sz w:val="22"/>
                <w:highlight w:val="none"/>
                <w:lang w:val="en-US" w:bidi="zh-CN"/>
              </w:rPr>
              <w:t xml:space="preserve">2</w:t>
            </w:r>
            <w:r>
              <w:rPr>
                <w:rFonts w:ascii="宋体" w:hAnsi="宋体" w:eastAsia="宋体" w:cs="宋体"/>
                <w:color w:val="auto"/>
                <w:sz w:val="22"/>
                <w:highlight w:val="none"/>
                <w:lang w:val="zh-CN" w:bidi="zh-CN"/>
              </w:rPr>
              <w:t xml:space="preserve">.0</w:t>
            </w:r>
            <w:r/>
          </w:p>
        </w:tc>
      </w:tr>
      <w:tr>
        <w:trPr>
          <w:jc w:val="center"/>
          <w:trHeight w:val="1288"/>
        </w:trPr>
        <w:tc>
          <w:tcPr>
            <w:tcW w:w="591"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1</w:t>
            </w:r>
            <w:r/>
          </w:p>
        </w:tc>
        <w:tc>
          <w:tcPr>
            <w:tcW w:w="802" w:type="dxa"/>
            <w:vAlign w:val="center"/>
            <w:textDirection w:val="lrTb"/>
            <w:noWrap w:val="false"/>
          </w:tcPr>
          <w:p>
            <w:pPr>
              <w:ind w:firstLine="68"/>
              <w:jc w:val="left"/>
              <w:rPr>
                <w:rFonts w:hint="default" w:ascii="宋体" w:hAnsi="宋体" w:eastAsia="宋体" w:cs="宋体"/>
                <w:color w:val="auto"/>
                <w:sz w:val="22"/>
                <w:highlight w:val="none"/>
                <w:lang w:val="en-US" w:bidi="zh-CN"/>
              </w:rPr>
            </w:pPr>
            <w:r>
              <w:rPr>
                <w:rFonts w:hint="eastAsia" w:ascii="宋体" w:hAnsi="宋体" w:eastAsia="宋体" w:cs="宋体"/>
                <w:color w:val="auto"/>
                <w:sz w:val="22"/>
                <w:highlight w:val="none"/>
                <w:lang w:val="en-US" w:bidi="zh-CN"/>
              </w:rPr>
              <w:t xml:space="preserve">同类业绩</w:t>
            </w:r>
            <w:r/>
          </w:p>
        </w:tc>
        <w:tc>
          <w:tcPr>
            <w:tcW w:w="7585" w:type="dxa"/>
            <w:vAlign w:val="center"/>
            <w:textDirection w:val="lrTb"/>
            <w:noWrap w:val="false"/>
          </w:tcPr>
          <w:p>
            <w:pPr>
              <w:ind w:firstLine="68"/>
              <w:jc w:val="left"/>
              <w:rPr>
                <w:rFonts w:hint="eastAsia"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投标人自202</w:t>
            </w:r>
            <w:r>
              <w:rPr>
                <w:rFonts w:hint="eastAsia" w:ascii="宋体" w:hAnsi="宋体" w:eastAsia="宋体" w:cs="宋体"/>
                <w:color w:val="auto"/>
                <w:sz w:val="22"/>
                <w:highlight w:val="none"/>
                <w:lang w:val="en-US" w:bidi="zh-CN"/>
              </w:rPr>
              <w:t xml:space="preserve">3</w:t>
            </w:r>
            <w:r>
              <w:rPr>
                <w:rFonts w:hint="eastAsia" w:ascii="宋体" w:hAnsi="宋体" w:eastAsia="宋体" w:cs="宋体"/>
                <w:color w:val="auto"/>
                <w:sz w:val="22"/>
                <w:highlight w:val="none"/>
                <w:lang w:val="zh-CN" w:bidi="zh-CN"/>
              </w:rPr>
              <w:t xml:space="preserve">年1月1日以来实施过类似项目的</w:t>
            </w:r>
            <w:r>
              <w:rPr>
                <w:rFonts w:hint="eastAsia" w:ascii="宋体" w:hAnsi="宋体" w:eastAsia="宋体" w:cs="宋体"/>
                <w:color w:val="auto"/>
                <w:sz w:val="22"/>
                <w:highlight w:val="none"/>
                <w:lang w:val="en-US" w:bidi="zh-CN"/>
              </w:rPr>
              <w:t xml:space="preserve">同类业绩</w:t>
            </w:r>
            <w:r>
              <w:rPr>
                <w:rFonts w:hint="eastAsia" w:ascii="宋体" w:hAnsi="宋体" w:eastAsia="宋体" w:cs="宋体"/>
                <w:color w:val="auto"/>
                <w:sz w:val="22"/>
                <w:highlight w:val="none"/>
                <w:lang w:val="zh-CN" w:bidi="zh-CN"/>
              </w:rPr>
              <w:t xml:space="preserve">，每有一例得</w:t>
            </w:r>
            <w:r>
              <w:rPr>
                <w:rFonts w:hint="eastAsia" w:ascii="宋体" w:hAnsi="宋体" w:eastAsia="宋体" w:cs="宋体"/>
                <w:color w:val="auto"/>
                <w:sz w:val="22"/>
                <w:highlight w:val="none"/>
                <w:lang w:val="en-US" w:bidi="zh-CN"/>
              </w:rPr>
              <w:t xml:space="preserve">0.5</w:t>
            </w:r>
            <w:r>
              <w:rPr>
                <w:rFonts w:hint="eastAsia" w:ascii="宋体" w:hAnsi="宋体" w:eastAsia="宋体" w:cs="宋体"/>
                <w:color w:val="auto"/>
                <w:sz w:val="22"/>
                <w:highlight w:val="none"/>
                <w:lang w:val="zh-CN" w:bidi="zh-CN"/>
              </w:rPr>
              <w:t xml:space="preserve">分，本项最高得</w:t>
            </w:r>
            <w:r>
              <w:rPr>
                <w:rFonts w:hint="eastAsia" w:ascii="宋体" w:hAnsi="宋体" w:cs="宋体"/>
                <w:color w:val="auto"/>
                <w:sz w:val="22"/>
                <w:highlight w:val="none"/>
                <w:lang w:val="en-US" w:bidi="zh-CN"/>
              </w:rPr>
              <w:t xml:space="preserve">1</w:t>
            </w:r>
            <w:r>
              <w:rPr>
                <w:rFonts w:hint="eastAsia" w:ascii="宋体" w:hAnsi="宋体" w:eastAsia="宋体" w:cs="宋体"/>
                <w:color w:val="auto"/>
                <w:sz w:val="22"/>
                <w:highlight w:val="none"/>
                <w:lang w:val="zh-CN" w:bidi="zh-CN"/>
              </w:rPr>
              <w:t xml:space="preserve">分。</w:t>
            </w:r>
            <w:r/>
          </w:p>
          <w:p>
            <w:pPr>
              <w:ind w:firstLine="68"/>
              <w:jc w:val="left"/>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注:合同原件扫描件及</w:t>
            </w:r>
            <w:r>
              <w:rPr>
                <w:rFonts w:hint="eastAsia" w:ascii="宋体" w:hAnsi="宋体" w:cs="宋体"/>
                <w:color w:val="auto"/>
                <w:sz w:val="22"/>
                <w:highlight w:val="none"/>
                <w:lang w:val="en-US" w:bidi="zh-CN"/>
              </w:rPr>
              <w:t xml:space="preserve">任意一张</w:t>
            </w:r>
            <w:r>
              <w:rPr>
                <w:rFonts w:hint="eastAsia" w:ascii="宋体" w:hAnsi="宋体" w:eastAsia="宋体" w:cs="宋体"/>
                <w:color w:val="auto"/>
                <w:sz w:val="22"/>
                <w:highlight w:val="none"/>
                <w:lang w:val="zh-CN" w:bidi="zh-CN"/>
              </w:rPr>
              <w:t xml:space="preserve">发票原件扫描件，缺一不可，未提供不得分。</w:t>
            </w:r>
            <w:r/>
          </w:p>
        </w:tc>
        <w:tc>
          <w:tcPr>
            <w:tcW w:w="800"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ind w:firstLine="68"/>
              <w:jc w:val="center"/>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en-US" w:bidi="zh-CN"/>
              </w:rPr>
              <w:t xml:space="preserve">1</w:t>
            </w:r>
            <w:r>
              <w:rPr>
                <w:rFonts w:ascii="宋体" w:hAnsi="宋体" w:eastAsia="宋体" w:cs="宋体"/>
                <w:color w:val="auto"/>
                <w:sz w:val="22"/>
                <w:highlight w:val="none"/>
                <w:lang w:val="zh-CN" w:bidi="zh-CN"/>
              </w:rPr>
              <w:t xml:space="preserve">.0</w:t>
            </w:r>
            <w:r/>
          </w:p>
        </w:tc>
      </w:tr>
      <w:tr>
        <w:trPr>
          <w:jc w:val="center"/>
          <w:trHeight w:val="1288"/>
        </w:trPr>
        <w:tc>
          <w:tcPr>
            <w:tcW w:w="591"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2</w:t>
            </w:r>
            <w:r/>
          </w:p>
        </w:tc>
        <w:tc>
          <w:tcPr>
            <w:tcW w:w="802" w:type="dxa"/>
            <w:vAlign w:val="center"/>
            <w:textDirection w:val="lrTb"/>
            <w:noWrap w:val="false"/>
          </w:tcPr>
          <w:p>
            <w:pPr>
              <w:jc w:val="left"/>
              <w:widowControl/>
              <w:rPr>
                <w:rFonts w:ascii="宋体" w:hAnsi="宋体" w:eastAsia="宋体" w:cs="宋体"/>
                <w:color w:val="auto"/>
                <w:sz w:val="22"/>
                <w:highlight w:val="none"/>
                <w:lang w:bidi="zh-CN"/>
              </w:rPr>
            </w:pPr>
            <w:r>
              <w:rPr>
                <w:rFonts w:ascii="宋体" w:hAnsi="宋体" w:eastAsia="宋体" w:cs="宋体"/>
                <w:color w:val="auto"/>
                <w:sz w:val="22"/>
                <w:highlight w:val="none"/>
                <w:lang w:bidi="zh-CN"/>
              </w:rPr>
              <w:t xml:space="preserve">体系认证</w:t>
            </w:r>
            <w:r/>
          </w:p>
        </w:tc>
        <w:tc>
          <w:tcPr>
            <w:tcW w:w="7585" w:type="dxa"/>
            <w:vAlign w:val="center"/>
            <w:textDirection w:val="lrTb"/>
            <w:noWrap w:val="false"/>
          </w:tcPr>
          <w:p>
            <w:pPr>
              <w:numPr>
                <w:ilvl w:val="0"/>
                <w:numId w:val="0"/>
              </w:numPr>
              <w:jc w:val="left"/>
              <w:widowControl w:val="off"/>
              <w:tabs>
                <w:tab w:val="left" w:pos="312" w:leader="none"/>
              </w:tabs>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（1）投标人或所投产品制造商具备有效期内的质量管理体系认证证书，认证范围包含：①家具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③家具</w:t>
            </w:r>
            <w:r>
              <w:rPr>
                <w:rFonts w:hint="eastAsia" w:ascii="宋体" w:hAnsi="宋体" w:eastAsia="宋体" w:cs="宋体"/>
                <w:color w:val="auto"/>
                <w:sz w:val="22"/>
                <w:highlight w:val="none"/>
                <w:lang w:val="en-US" w:bidi="zh-CN"/>
              </w:rPr>
              <w:t xml:space="preserve">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jc w:val="left"/>
              <w:widowControl w:val="off"/>
              <w:tabs>
                <w:tab w:val="left" w:pos="312" w:leader="none"/>
              </w:tabs>
              <w:rPr>
                <w:rFonts w:hint="default"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（2）投标人或所投产品制造商具备有效期内的环境管理体系认证证书，认证范围包含：①</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w:t>
            </w:r>
            <w:r>
              <w:rPr>
                <w:rFonts w:hint="eastAsia" w:ascii="宋体" w:hAnsi="宋体" w:eastAsia="宋体" w:cs="宋体"/>
                <w:color w:val="auto"/>
                <w:sz w:val="22"/>
                <w:highlight w:val="none"/>
                <w:lang w:val="en-US" w:bidi="zh-CN"/>
              </w:rPr>
              <w:t xml:space="preserve">家具的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t xml:space="preserve">（3）投标人或所投产品制造商具备有效期内的</w:t>
            </w:r>
            <w:r>
              <w:rPr>
                <w:rFonts w:hint="eastAsia" w:ascii="宋体" w:hAnsi="宋体" w:eastAsia="宋体" w:cs="宋体"/>
                <w:color w:val="auto"/>
                <w:sz w:val="22"/>
                <w:highlight w:val="none"/>
                <w:lang w:bidi="zh-CN"/>
              </w:rPr>
              <w:t xml:space="preserve">职业健康安全</w:t>
            </w:r>
            <w:r>
              <w:rPr>
                <w:rFonts w:hint="eastAsia" w:ascii="宋体" w:hAnsi="宋体" w:cs="宋体"/>
                <w:color w:val="auto"/>
                <w:sz w:val="22"/>
                <w:highlight w:val="none"/>
                <w:lang w:val="en-US" w:bidi="zh-CN"/>
              </w:rPr>
              <w:t xml:space="preserve">管理体系认证证书，认证范围包含：①</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的设计</w:t>
            </w:r>
            <w:r>
              <w:rPr>
                <w:rFonts w:hint="eastAsia" w:ascii="宋体" w:hAnsi="宋体" w:eastAsia="宋体" w:cs="宋体"/>
                <w:color w:val="auto"/>
                <w:sz w:val="22"/>
                <w:highlight w:val="none"/>
                <w:lang w:val="en-US" w:bidi="zh-CN"/>
              </w:rPr>
              <w:t xml:space="preserve">或</w:t>
            </w:r>
            <w:r>
              <w:rPr>
                <w:rFonts w:hint="eastAsia" w:ascii="宋体" w:hAnsi="宋体" w:eastAsia="宋体" w:cs="宋体"/>
                <w:color w:val="auto"/>
                <w:sz w:val="22"/>
                <w:highlight w:val="none"/>
                <w:lang w:bidi="zh-CN"/>
              </w:rPr>
              <w:t xml:space="preserve">开发；</w:t>
            </w:r>
            <w:r>
              <w:rPr>
                <w:rFonts w:hint="eastAsia" w:ascii="宋体" w:hAnsi="宋体" w:cs="宋体"/>
                <w:color w:val="auto"/>
                <w:sz w:val="22"/>
                <w:highlight w:val="none"/>
                <w:lang w:val="en-US" w:bidi="zh-CN"/>
              </w:rPr>
              <w:t xml:space="preserve">②</w:t>
            </w:r>
            <w:r>
              <w:rPr>
                <w:rFonts w:hint="eastAsia" w:ascii="宋体" w:hAnsi="宋体" w:eastAsia="宋体" w:cs="宋体"/>
                <w:color w:val="auto"/>
                <w:sz w:val="22"/>
                <w:highlight w:val="none"/>
                <w:lang w:val="en-US" w:bidi="zh-CN"/>
              </w:rPr>
              <w:t xml:space="preserve">家具</w:t>
            </w:r>
            <w:r>
              <w:rPr>
                <w:rFonts w:hint="eastAsia" w:ascii="宋体" w:hAnsi="宋体" w:eastAsia="宋体" w:cs="宋体"/>
                <w:color w:val="auto"/>
                <w:sz w:val="22"/>
                <w:highlight w:val="none"/>
                <w:lang w:bidi="zh-CN"/>
              </w:rPr>
              <w:t xml:space="preserve">的生产</w:t>
            </w:r>
            <w:r>
              <w:rPr>
                <w:rFonts w:hint="eastAsia" w:ascii="宋体" w:hAnsi="宋体" w:eastAsia="宋体" w:cs="宋体"/>
                <w:color w:val="auto"/>
                <w:sz w:val="22"/>
                <w:highlight w:val="none"/>
                <w:lang w:val="en-US" w:bidi="zh-CN"/>
              </w:rPr>
              <w:t xml:space="preserve">；</w:t>
            </w:r>
            <w:r>
              <w:rPr>
                <w:rFonts w:hint="eastAsia" w:ascii="宋体" w:hAnsi="宋体" w:cs="宋体"/>
                <w:color w:val="auto"/>
                <w:sz w:val="22"/>
                <w:highlight w:val="none"/>
                <w:lang w:val="en-US" w:bidi="zh-CN"/>
              </w:rPr>
              <w:t xml:space="preserve">③</w:t>
            </w:r>
            <w:r>
              <w:rPr>
                <w:rFonts w:hint="eastAsia" w:ascii="宋体" w:hAnsi="宋体" w:eastAsia="宋体" w:cs="宋体"/>
                <w:color w:val="auto"/>
                <w:sz w:val="22"/>
                <w:highlight w:val="none"/>
                <w:lang w:val="en-US" w:bidi="zh-CN"/>
              </w:rPr>
              <w:t xml:space="preserve">家具的</w:t>
            </w:r>
            <w:r>
              <w:rPr>
                <w:rFonts w:hint="eastAsia" w:ascii="宋体" w:hAnsi="宋体" w:eastAsia="宋体" w:cs="宋体"/>
                <w:color w:val="auto"/>
                <w:sz w:val="22"/>
                <w:highlight w:val="none"/>
                <w:lang w:bidi="zh-CN"/>
              </w:rPr>
              <w:t xml:space="preserve">安装，</w:t>
            </w:r>
            <w:r>
              <w:rPr>
                <w:rFonts w:hint="eastAsia" w:ascii="宋体" w:hAnsi="宋体" w:eastAsia="宋体" w:cs="宋体"/>
                <w:color w:val="auto"/>
                <w:sz w:val="22"/>
                <w:highlight w:val="none"/>
                <w:lang w:val="en-US" w:bidi="zh-CN"/>
              </w:rPr>
              <w:t xml:space="preserve">④家具的</w:t>
            </w:r>
            <w:r>
              <w:rPr>
                <w:rFonts w:hint="eastAsia" w:ascii="宋体" w:hAnsi="宋体" w:eastAsia="宋体" w:cs="宋体"/>
                <w:color w:val="auto"/>
                <w:sz w:val="22"/>
                <w:highlight w:val="none"/>
                <w:lang w:bidi="zh-CN"/>
              </w:rPr>
              <w:t xml:space="preserve">销售；</w:t>
            </w:r>
            <w:r>
              <w:rPr>
                <w:rFonts w:hint="eastAsia" w:ascii="宋体" w:hAnsi="宋体" w:eastAsia="宋体" w:cs="宋体"/>
                <w:color w:val="auto"/>
                <w:sz w:val="22"/>
                <w:highlight w:val="none"/>
                <w:lang w:val="en-US" w:bidi="zh-CN"/>
              </w:rPr>
              <w:t xml:space="preserve">⑤家具的售后服务，</w:t>
            </w:r>
            <w:r>
              <w:rPr>
                <w:rFonts w:hint="eastAsia" w:ascii="宋体" w:hAnsi="宋体" w:cs="宋体"/>
                <w:color w:val="auto"/>
                <w:sz w:val="22"/>
                <w:highlight w:val="none"/>
                <w:lang w:val="en-US" w:bidi="zh-CN"/>
              </w:rPr>
              <w:t xml:space="preserve">每有一类得0.2分，最高得1分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（4）</w:t>
            </w:r>
            <w:r>
              <w:rPr>
                <w:rFonts w:hint="eastAsia" w:ascii="宋体" w:hAnsi="宋体" w:eastAsia="宋体" w:cs="宋体"/>
                <w:color w:val="auto"/>
                <w:sz w:val="22"/>
                <w:highlight w:val="none"/>
                <w:lang w:val="en-US" w:eastAsia="zh-CN" w:bidi="zh-CN"/>
              </w:rPr>
              <w:t xml:space="preserve">投标人或所投产品制造商具有有效的家具有害物质限量产品认证证书，认证产品名称（材质与本次招标产品一致）包含</w:t>
            </w:r>
            <w:r>
              <w:rPr>
                <w:rFonts w:hint="eastAsia" w:ascii="宋体" w:hAnsi="宋体" w:eastAsia="宋体" w:cs="宋体"/>
                <w:color w:val="auto"/>
                <w:sz w:val="22"/>
                <w:highlight w:val="none"/>
                <w:lang w:bidi="zh-CN"/>
              </w:rPr>
              <w:t xml:space="preserve">钢制文件柜、更衣柜、鞋柜、储物柜、</w:t>
            </w:r>
            <w:r>
              <w:rPr>
                <w:rFonts w:hint="eastAsia" w:ascii="宋体" w:hAnsi="宋体" w:eastAsia="宋体" w:cs="宋体"/>
                <w:color w:val="auto"/>
                <w:sz w:val="22"/>
                <w:highlight w:val="none"/>
                <w:lang w:val="en-US" w:bidi="zh-CN"/>
              </w:rPr>
              <w:t xml:space="preserve">货架</w:t>
            </w:r>
            <w:r>
              <w:rPr>
                <w:rFonts w:hint="eastAsia" w:ascii="宋体" w:hAnsi="宋体" w:eastAsia="宋体" w:cs="宋体"/>
                <w:color w:val="auto"/>
                <w:sz w:val="22"/>
                <w:highlight w:val="none"/>
                <w:lang w:bidi="zh-CN"/>
              </w:rPr>
              <w:t xml:space="preserve">、</w:t>
            </w:r>
            <w:r>
              <w:rPr>
                <w:rFonts w:hint="eastAsia" w:ascii="宋体" w:hAnsi="宋体" w:eastAsia="宋体" w:cs="宋体"/>
                <w:color w:val="auto"/>
                <w:sz w:val="22"/>
                <w:highlight w:val="none"/>
                <w:lang w:val="en-US" w:bidi="zh-CN"/>
              </w:rPr>
              <w:t xml:space="preserve">办公桌</w:t>
            </w:r>
            <w:r>
              <w:rPr>
                <w:rFonts w:hint="eastAsia" w:ascii="宋体" w:hAnsi="宋体" w:eastAsia="宋体" w:cs="宋体"/>
                <w:color w:val="auto"/>
                <w:sz w:val="22"/>
                <w:highlight w:val="none"/>
                <w:lang w:bidi="zh-CN"/>
              </w:rPr>
              <w:t xml:space="preserve">、礼堂椅、值班床，</w:t>
            </w:r>
            <w:r>
              <w:rPr>
                <w:rFonts w:hint="eastAsia" w:ascii="宋体" w:hAnsi="宋体" w:eastAsia="宋体" w:cs="宋体"/>
                <w:color w:val="auto"/>
                <w:sz w:val="22"/>
                <w:highlight w:val="none"/>
                <w:lang w:val="en-US" w:bidi="zh-CN"/>
              </w:rPr>
              <w:t xml:space="preserve">办公椅、会议椅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，有一个得0.2分，最高得2分。</w:t>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ind w:left="0" w:firstLine="0"/>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（5）投标人或所投产品制造商具有有效的产品阻燃等级认证证书，认证产品名称（材质与本次招标产品一致）包含</w:t>
            </w:r>
            <w:r>
              <w:rPr>
                <w:rFonts w:hint="eastAsia" w:ascii="宋体" w:hAnsi="宋体" w:eastAsia="宋体" w:cs="宋体"/>
                <w:color w:val="auto"/>
                <w:sz w:val="22"/>
                <w:highlight w:val="none"/>
                <w:lang w:bidi="zh-CN"/>
              </w:rPr>
              <w:t xml:space="preserve">钢制文件柜、更衣柜、鞋柜、储物柜、</w:t>
            </w:r>
            <w:r>
              <w:rPr>
                <w:rFonts w:hint="eastAsia" w:ascii="宋体" w:hAnsi="宋体" w:eastAsia="宋体" w:cs="宋体"/>
                <w:color w:val="auto"/>
                <w:sz w:val="22"/>
                <w:highlight w:val="none"/>
                <w:lang w:val="en-US" w:bidi="zh-CN"/>
              </w:rPr>
              <w:t xml:space="preserve">货架</w:t>
            </w:r>
            <w:r>
              <w:rPr>
                <w:rFonts w:hint="eastAsia" w:ascii="宋体" w:hAnsi="宋体" w:eastAsia="宋体" w:cs="宋体"/>
                <w:color w:val="auto"/>
                <w:sz w:val="22"/>
                <w:highlight w:val="none"/>
                <w:lang w:bidi="zh-CN"/>
              </w:rPr>
              <w:t xml:space="preserve">、</w:t>
            </w:r>
            <w:r>
              <w:rPr>
                <w:rFonts w:hint="eastAsia" w:ascii="宋体" w:hAnsi="宋体" w:eastAsia="宋体" w:cs="宋体"/>
                <w:color w:val="auto"/>
                <w:sz w:val="22"/>
                <w:highlight w:val="none"/>
                <w:lang w:val="en-US" w:bidi="zh-CN"/>
              </w:rPr>
              <w:t xml:space="preserve">办公桌</w:t>
            </w:r>
            <w:r>
              <w:rPr>
                <w:rFonts w:hint="eastAsia" w:ascii="宋体" w:hAnsi="宋体" w:eastAsia="宋体" w:cs="宋体"/>
                <w:color w:val="auto"/>
                <w:sz w:val="22"/>
                <w:highlight w:val="none"/>
                <w:lang w:bidi="zh-CN"/>
              </w:rPr>
              <w:t xml:space="preserve">、礼堂椅、值班床，</w:t>
            </w:r>
            <w:r>
              <w:rPr>
                <w:rFonts w:hint="eastAsia" w:ascii="宋体" w:hAnsi="宋体" w:eastAsia="宋体" w:cs="宋体"/>
                <w:color w:val="auto"/>
                <w:sz w:val="22"/>
                <w:highlight w:val="none"/>
                <w:lang w:val="en-US" w:bidi="zh-CN"/>
              </w:rPr>
              <w:t xml:space="preserve">办公椅、会议椅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，有一个得0.2分，最高得2分。</w:t>
            </w:r>
            <w:r/>
          </w:p>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r>
            <w:r/>
          </w:p>
          <w:p>
            <w:pPr>
              <w:numPr>
                <w:ilvl w:val="0"/>
                <w:numId w:val="0"/>
              </w:numPr>
              <w:jc w:val="left"/>
              <w:widowControl/>
              <w:rPr>
                <w:rFonts w:hint="default"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（6）投标人或所投产品制造商具有有效的产品安全认证证书，认证产品名称（材质与本次招标产品一致）包含</w:t>
            </w:r>
            <w:r>
              <w:rPr>
                <w:rFonts w:hint="eastAsia" w:ascii="宋体" w:hAnsi="宋体" w:eastAsia="宋体" w:cs="宋体"/>
                <w:color w:val="auto"/>
                <w:sz w:val="22"/>
                <w:highlight w:val="none"/>
                <w:lang w:bidi="zh-CN"/>
              </w:rPr>
              <w:t xml:space="preserve">钢制文件柜、更衣柜、鞋柜、储物柜、</w:t>
            </w:r>
            <w:r>
              <w:rPr>
                <w:rFonts w:hint="eastAsia" w:ascii="宋体" w:hAnsi="宋体" w:eastAsia="宋体" w:cs="宋体"/>
                <w:color w:val="auto"/>
                <w:sz w:val="22"/>
                <w:highlight w:val="none"/>
                <w:lang w:val="en-US" w:bidi="zh-CN"/>
              </w:rPr>
              <w:t xml:space="preserve">货架</w:t>
            </w:r>
            <w:r>
              <w:rPr>
                <w:rFonts w:hint="eastAsia" w:ascii="宋体" w:hAnsi="宋体" w:eastAsia="宋体" w:cs="宋体"/>
                <w:color w:val="auto"/>
                <w:sz w:val="22"/>
                <w:highlight w:val="none"/>
                <w:lang w:bidi="zh-CN"/>
              </w:rPr>
              <w:t xml:space="preserve">、</w:t>
            </w:r>
            <w:r>
              <w:rPr>
                <w:rFonts w:hint="eastAsia" w:ascii="宋体" w:hAnsi="宋体" w:eastAsia="宋体" w:cs="宋体"/>
                <w:color w:val="auto"/>
                <w:sz w:val="22"/>
                <w:highlight w:val="none"/>
                <w:lang w:val="en-US" w:bidi="zh-CN"/>
              </w:rPr>
              <w:t xml:space="preserve">办公桌</w:t>
            </w:r>
            <w:r>
              <w:rPr>
                <w:rFonts w:hint="eastAsia" w:ascii="宋体" w:hAnsi="宋体" w:eastAsia="宋体" w:cs="宋体"/>
                <w:color w:val="auto"/>
                <w:sz w:val="22"/>
                <w:highlight w:val="none"/>
                <w:lang w:bidi="zh-CN"/>
              </w:rPr>
              <w:t xml:space="preserve">、礼堂椅、值班床，</w:t>
            </w:r>
            <w:r>
              <w:rPr>
                <w:rFonts w:hint="eastAsia" w:ascii="宋体" w:hAnsi="宋体" w:eastAsia="宋体" w:cs="宋体"/>
                <w:color w:val="auto"/>
                <w:sz w:val="22"/>
                <w:highlight w:val="none"/>
                <w:lang w:val="en-US" w:bidi="zh-CN"/>
              </w:rPr>
              <w:t xml:space="preserve">办公椅、会议椅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，有一个得0.2分，最高得2分。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eastAsia="宋体" w:cs="宋体"/>
                <w:color w:val="auto"/>
                <w:sz w:val="22"/>
                <w:highlight w:val="none"/>
              </w:rPr>
              <w:t xml:space="preserve">注：</w:t>
            </w:r>
            <w:r>
              <w:rPr>
                <w:rFonts w:hint="eastAsia" w:ascii="宋体" w:hAnsi="宋体" w:eastAsia="宋体" w:cs="宋体"/>
                <w:color w:val="auto"/>
                <w:sz w:val="22"/>
                <w:highlight w:val="none"/>
                <w:lang w:val="zh-CN" w:bidi="zh-CN"/>
              </w:rPr>
              <w:t xml:space="preserve">投标人或产品生厂商</w:t>
            </w:r>
            <w:r>
              <w:rPr>
                <w:rFonts w:hint="eastAsia" w:ascii="宋体" w:hAnsi="宋体" w:eastAsia="宋体" w:cs="宋体"/>
                <w:color w:val="auto"/>
                <w:sz w:val="22"/>
                <w:highlight w:val="none"/>
              </w:rPr>
              <w:t xml:space="preserve">须提供认证证书</w:t>
            </w:r>
            <w:r>
              <w:rPr>
                <w:rFonts w:hint="eastAsia" w:ascii="宋体" w:hAnsi="宋体" w:eastAsia="宋体" w:cs="宋体"/>
                <w:color w:val="auto"/>
                <w:sz w:val="22"/>
                <w:highlight w:val="none"/>
                <w:lang w:val="zh-CN" w:bidi="zh-CN"/>
              </w:rPr>
              <w:t xml:space="preserve">原件扫描件</w:t>
            </w:r>
            <w:r>
              <w:rPr>
                <w:rFonts w:hint="eastAsia" w:ascii="宋体" w:hAnsi="宋体" w:eastAsia="宋体" w:cs="宋体"/>
                <w:color w:val="auto"/>
                <w:sz w:val="22"/>
                <w:highlight w:val="none"/>
              </w:rPr>
              <w:t xml:space="preserve">及在全国认证认可信息公共服务平台查询为有效截图，加盖投标人公章，未提供的不得分。</w:t>
            </w:r>
            <w:r/>
          </w:p>
          <w:p>
            <w:pPr>
              <w:numPr>
                <w:ilvl w:val="0"/>
                <w:numId w:val="0"/>
              </w:numPr>
              <w:jc w:val="left"/>
              <w:widowControl w:val="off"/>
              <w:tabs>
                <w:tab w:val="left" w:pos="312" w:leader="none"/>
              </w:tabs>
              <w:rPr>
                <w:rFonts w:hint="eastAsia" w:ascii="宋体" w:hAnsi="宋体" w:cs="宋体"/>
                <w:color w:val="auto"/>
                <w:sz w:val="22"/>
                <w:highlight w:val="none"/>
                <w:lang w:val="en-US" w:bidi="zh-CN"/>
              </w:rPr>
            </w:pPr>
            <w:r>
              <w:rPr>
                <w:rFonts w:hint="eastAsia" w:ascii="宋体" w:hAnsi="宋体" w:cs="宋体"/>
                <w:color w:val="auto"/>
                <w:sz w:val="22"/>
                <w:highlight w:val="none"/>
                <w:lang w:val="en-US" w:bidi="zh-CN"/>
              </w:rPr>
            </w:r>
            <w:r/>
          </w:p>
          <w:p>
            <w:pPr>
              <w:numPr>
                <w:ilvl w:val="0"/>
                <w:numId w:val="0"/>
              </w:numPr>
              <w:ind w:left="0" w:firstLine="0"/>
              <w:jc w:val="left"/>
              <w:widowControl/>
              <w:rPr>
                <w:rFonts w:hint="eastAsia" w:eastAsia="宋体"/>
                <w:color w:val="auto"/>
                <w:highlight w:val="none"/>
                <w:lang w:eastAsia="zh-CN"/>
              </w:rPr>
            </w:pPr>
            <w:r>
              <w:rPr>
                <w:rFonts w:hint="eastAsia" w:ascii="宋体" w:hAnsi="宋体" w:cs="宋体"/>
                <w:color w:val="auto"/>
                <w:sz w:val="22"/>
                <w:highlight w:val="none"/>
                <w:lang w:val="en-US" w:bidi="zh-CN"/>
              </w:rPr>
              <w:t xml:space="preserve">注:须提供以上有效期内证书复印件或扫描件，并提供全国认证认可信息公共服务平台证书查询截图。以上证明材料应加盖投标人公章，未按要求提供不得分。</w:t>
            </w:r>
            <w:r/>
          </w:p>
        </w:tc>
        <w:tc>
          <w:tcPr>
            <w:tcW w:w="800" w:type="dxa"/>
            <w:vAlign w:val="center"/>
            <w:textDirection w:val="lrTb"/>
            <w:noWrap w:val="false"/>
          </w:tcPr>
          <w:p>
            <w:pPr>
              <w:jc w:val="both"/>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ind w:firstLine="68"/>
              <w:jc w:val="center"/>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en-US" w:bidi="zh-CN"/>
              </w:rPr>
              <w:t xml:space="preserve">9</w:t>
            </w:r>
            <w:r>
              <w:rPr>
                <w:rFonts w:ascii="宋体" w:hAnsi="宋体" w:eastAsia="宋体" w:cs="宋体"/>
                <w:color w:val="auto"/>
                <w:sz w:val="22"/>
                <w:highlight w:val="none"/>
                <w:lang w:val="zh-CN" w:bidi="zh-CN"/>
              </w:rPr>
              <w:t xml:space="preserve">.0</w:t>
            </w:r>
            <w:r/>
          </w:p>
        </w:tc>
      </w:tr>
      <w:tr>
        <w:trPr>
          <w:jc w:val="center"/>
          <w:trHeight w:val="493"/>
        </w:trPr>
        <w:tc>
          <w:tcPr>
            <w:tcW w:w="591" w:type="dxa"/>
            <w:vAlign w:val="center"/>
            <w:textDirection w:val="lrTb"/>
            <w:noWrap w:val="false"/>
          </w:tcPr>
          <w:p>
            <w:pPr>
              <w:ind w:firstLine="68"/>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t xml:space="preserve">3</w:t>
            </w:r>
            <w:r/>
          </w:p>
        </w:tc>
        <w:tc>
          <w:tcPr>
            <w:tcW w:w="802" w:type="dxa"/>
            <w:vAlign w:val="center"/>
            <w:textDirection w:val="lrTb"/>
            <w:noWrap w:val="false"/>
          </w:tcPr>
          <w:p>
            <w:pPr>
              <w:jc w:val="left"/>
              <w:keepNext/>
              <w:tabs>
                <w:tab w:val="left" w:pos="432" w:leader="none"/>
              </w:tabs>
              <w:rPr>
                <w:rFonts w:ascii="Arial" w:hAnsi="Arial" w:eastAsia="宋体" w:cs="宋体"/>
                <w:color w:val="auto"/>
                <w:sz w:val="24"/>
                <w:szCs w:val="32"/>
                <w:highlight w:val="none"/>
                <w:lang w:bidi="zh-CN"/>
              </w:rPr>
              <w:outlineLvl w:val="0"/>
            </w:pPr>
            <w:r>
              <w:rPr>
                <w:rFonts w:hint="eastAsia" w:ascii="宋体" w:hAnsi="宋体" w:eastAsia="宋体" w:cs="宋体"/>
                <w:color w:val="auto"/>
                <w:sz w:val="22"/>
                <w:highlight w:val="none"/>
                <w:lang w:bidi="zh-CN"/>
              </w:rPr>
              <w:t xml:space="preserve">环保证书</w:t>
            </w:r>
            <w:r/>
          </w:p>
        </w:tc>
        <w:tc>
          <w:tcPr>
            <w:tcW w:w="7585" w:type="dxa"/>
            <w:vAlign w:val="center"/>
            <w:textDirection w:val="lrTb"/>
            <w:noWrap w:val="false"/>
          </w:tcPr>
          <w:p>
            <w:pPr>
              <w:numPr>
                <w:ilvl w:val="0"/>
                <w:numId w:val="0"/>
              </w:numPr>
              <w:jc w:val="left"/>
              <w:widowControl/>
              <w:rPr>
                <w:rFonts w:hint="eastAsia" w:ascii="宋体" w:hAnsi="宋体" w:eastAsia="宋体" w:cs="宋体"/>
                <w:color w:val="auto"/>
                <w:sz w:val="22"/>
                <w:highlight w:val="none"/>
                <w:lang w:val="en-US" w:eastAsia="zh-CN" w:bidi="zh-CN"/>
              </w:rPr>
            </w:pPr>
            <w:r>
              <w:rPr>
                <w:rFonts w:hint="eastAsia" w:ascii="宋体" w:hAnsi="宋体" w:eastAsia="宋体" w:cs="宋体"/>
                <w:color w:val="auto"/>
                <w:sz w:val="22"/>
                <w:highlight w:val="none"/>
                <w:lang w:val="en-US" w:eastAsia="zh-CN" w:bidi="zh-CN"/>
              </w:rPr>
              <w:t xml:space="preserve">投标人或制造商具备有效期内的环境标志产品认证证书，认证产品名称（材质与本次招标产品一致）包含</w:t>
            </w:r>
            <w:r>
              <w:rPr>
                <w:rFonts w:hint="eastAsia" w:ascii="宋体" w:hAnsi="宋体" w:eastAsia="宋体" w:cs="宋体"/>
                <w:color w:val="auto"/>
                <w:sz w:val="22"/>
                <w:highlight w:val="none"/>
                <w:lang w:bidi="zh-CN"/>
              </w:rPr>
              <w:t xml:space="preserve">钢制文件柜、更衣柜、鞋柜、储物柜、</w:t>
            </w:r>
            <w:r>
              <w:rPr>
                <w:rFonts w:hint="eastAsia" w:ascii="宋体" w:hAnsi="宋体" w:eastAsia="宋体" w:cs="宋体"/>
                <w:color w:val="auto"/>
                <w:sz w:val="22"/>
                <w:highlight w:val="none"/>
                <w:lang w:val="en-US" w:bidi="zh-CN"/>
              </w:rPr>
              <w:t xml:space="preserve">货架</w:t>
            </w:r>
            <w:r>
              <w:rPr>
                <w:rFonts w:hint="eastAsia" w:ascii="宋体" w:hAnsi="宋体" w:eastAsia="宋体" w:cs="宋体"/>
                <w:color w:val="auto"/>
                <w:sz w:val="22"/>
                <w:highlight w:val="none"/>
                <w:lang w:bidi="zh-CN"/>
              </w:rPr>
              <w:t xml:space="preserve">、</w:t>
            </w:r>
            <w:r>
              <w:rPr>
                <w:rFonts w:hint="eastAsia" w:ascii="宋体" w:hAnsi="宋体" w:eastAsia="宋体" w:cs="宋体"/>
                <w:color w:val="auto"/>
                <w:sz w:val="22"/>
                <w:highlight w:val="none"/>
                <w:lang w:val="en-US" w:bidi="zh-CN"/>
              </w:rPr>
              <w:t xml:space="preserve">办公桌</w:t>
            </w:r>
            <w:r>
              <w:rPr>
                <w:rFonts w:hint="eastAsia" w:ascii="宋体" w:hAnsi="宋体" w:eastAsia="宋体" w:cs="宋体"/>
                <w:color w:val="auto"/>
                <w:sz w:val="22"/>
                <w:highlight w:val="none"/>
                <w:lang w:bidi="zh-CN"/>
              </w:rPr>
              <w:t xml:space="preserve">、礼堂椅、值班床，</w:t>
            </w:r>
            <w:r>
              <w:rPr>
                <w:rFonts w:hint="eastAsia" w:ascii="宋体" w:hAnsi="宋体" w:eastAsia="宋体" w:cs="宋体"/>
                <w:color w:val="auto"/>
                <w:sz w:val="22"/>
                <w:highlight w:val="none"/>
                <w:lang w:val="en-US" w:bidi="zh-CN"/>
              </w:rPr>
              <w:t xml:space="preserve">办公椅、会议椅</w:t>
            </w:r>
            <w:r>
              <w:rPr>
                <w:rFonts w:hint="eastAsia" w:ascii="宋体" w:hAnsi="宋体" w:cs="宋体"/>
                <w:color w:val="auto"/>
                <w:sz w:val="22"/>
                <w:highlight w:val="none"/>
                <w:lang w:val="en-US" w:eastAsia="zh-CN" w:bidi="zh-CN"/>
              </w:rPr>
              <w:t xml:space="preserve">的</w:t>
            </w:r>
            <w:r>
              <w:rPr>
                <w:rFonts w:hint="eastAsia" w:ascii="宋体" w:hAnsi="宋体" w:eastAsia="宋体" w:cs="宋体"/>
                <w:color w:val="auto"/>
                <w:sz w:val="22"/>
                <w:highlight w:val="none"/>
                <w:lang w:val="en-US" w:eastAsia="zh-CN" w:bidi="zh-CN"/>
              </w:rPr>
              <w:t xml:space="preserve">，有一个得0.2分，最高得2分。</w:t>
            </w:r>
            <w:r/>
          </w:p>
          <w:p>
            <w:pPr>
              <w:numPr>
                <w:ilvl w:val="0"/>
                <w:numId w:val="0"/>
              </w:numPr>
              <w:jc w:val="left"/>
              <w:widowControl w:val="off"/>
              <w:tabs>
                <w:tab w:val="left" w:pos="312" w:leader="none"/>
              </w:tabs>
              <w:rPr>
                <w:rFonts w:hint="eastAsia" w:ascii="宋体" w:hAnsi="宋体" w:eastAsia="宋体" w:cs="宋体"/>
                <w:color w:val="auto"/>
                <w:sz w:val="22"/>
                <w:highlight w:val="none"/>
                <w:lang w:val="en-US" w:eastAsia="zh-CN" w:bidi="zh-CN"/>
              </w:rPr>
            </w:pPr>
            <w:r>
              <w:rPr>
                <w:rFonts w:hint="eastAsia" w:ascii="宋体" w:hAnsi="宋体" w:cs="宋体"/>
                <w:color w:val="auto"/>
                <w:sz w:val="22"/>
                <w:highlight w:val="none"/>
                <w:lang w:val="en-US" w:bidi="zh-CN"/>
              </w:rPr>
              <w:t xml:space="preserve">注:须提供以上有效期内证书复印件或扫描件，并提供全国认证认可信息公共服务平台证书查询截图。以上证明材料应加盖投标人公章，未按要求提供不得分。</w:t>
            </w:r>
            <w:r/>
          </w:p>
        </w:tc>
        <w:tc>
          <w:tcPr>
            <w:tcW w:w="800" w:type="dxa"/>
            <w:vAlign w:val="center"/>
            <w:textDirection w:val="lrTb"/>
            <w:noWrap w:val="false"/>
          </w:tcPr>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ind w:firstLine="68"/>
              <w:jc w:val="center"/>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en-US" w:bidi="zh-CN"/>
              </w:rPr>
              <w:t xml:space="preserve">2</w:t>
            </w:r>
            <w:r>
              <w:rPr>
                <w:rFonts w:hint="eastAsia" w:ascii="宋体" w:hAnsi="宋体" w:eastAsia="宋体" w:cs="宋体"/>
                <w:color w:val="auto"/>
                <w:sz w:val="22"/>
                <w:highlight w:val="none"/>
                <w:lang w:val="zh-CN" w:bidi="zh-CN"/>
              </w:rPr>
              <w:t xml:space="preserve">.</w:t>
            </w:r>
            <w:r>
              <w:rPr>
                <w:rFonts w:ascii="宋体" w:hAnsi="宋体" w:eastAsia="宋体" w:cs="宋体"/>
                <w:color w:val="auto"/>
                <w:sz w:val="22"/>
                <w:highlight w:val="none"/>
                <w:lang w:val="zh-CN" w:bidi="zh-CN"/>
              </w:rPr>
              <w:t xml:space="preserve">0</w:t>
            </w:r>
            <w:r/>
          </w:p>
        </w:tc>
      </w:tr>
    </w:tbl>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jc w:val="left"/>
        <w:rPr>
          <w:rFonts w:ascii="宋体" w:hAnsi="宋体" w:eastAsia="宋体" w:cs="宋体"/>
          <w:color w:val="auto"/>
          <w:sz w:val="22"/>
          <w:highlight w:val="none"/>
          <w:lang w:val="zh-CN" w:bidi="zh-CN"/>
        </w:rPr>
      </w:pPr>
      <w:r>
        <w:rPr>
          <w:rFonts w:ascii="宋体" w:hAnsi="宋体" w:eastAsia="宋体" w:cs="宋体"/>
          <w:color w:val="auto"/>
          <w:sz w:val="22"/>
          <w:highlight w:val="none"/>
          <w:lang w:val="zh-CN" w:bidi="zh-CN"/>
        </w:rPr>
      </w:r>
      <w:r/>
    </w:p>
    <w:p>
      <w:pPr>
        <w:jc w:val="left"/>
        <w:rPr>
          <w:rFonts w:ascii="宋体" w:hAnsi="宋体" w:eastAsia="宋体" w:cs="宋体"/>
          <w:color w:val="auto"/>
          <w:sz w:val="22"/>
          <w:highlight w:val="none"/>
          <w:lang w:val="zh-CN" w:bidi="zh-CN"/>
        </w:rPr>
      </w:pPr>
      <w:r>
        <w:rPr>
          <w:rFonts w:hint="eastAsia" w:ascii="宋体" w:hAnsi="宋体" w:eastAsia="宋体" w:cs="宋体"/>
          <w:color w:val="auto"/>
          <w:sz w:val="22"/>
          <w:highlight w:val="none"/>
          <w:lang w:val="zh-CN" w:bidi="zh-CN"/>
        </w:rPr>
        <w:t xml:space="preserve">（三）价格评估</w:t>
      </w:r>
      <w:r/>
    </w:p>
    <w:p>
      <w:pPr>
        <w:jc w:val="left"/>
        <w:rPr>
          <w:rFonts w:ascii="宋体" w:hAnsi="宋体" w:eastAsia="宋体" w:cs="宋体"/>
          <w:color w:val="auto"/>
          <w:sz w:val="22"/>
          <w:highlight w:val="none"/>
          <w:lang w:val="zh-CN" w:bidi="zh-CN"/>
        </w:rPr>
      </w:pPr>
      <w:r/>
      <w:bookmarkStart w:id="90" w:name="EB106c42a64f014223a8cdd057d1897c82"/>
      <w:r/>
      <w:r/>
    </w:p>
    <w:tbl>
      <w:tblPr>
        <w:tblStyle w:val="689"/>
        <w:tblpPr w:horzAnchor="page" w:tblpX="1345" w:vertAnchor="text" w:tblpY="373" w:leftFromText="180" w:topFromText="0" w:rightFromText="180" w:bottomFromText="0"/>
        <w:tblW w:w="93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571"/>
        <w:gridCol w:w="7631"/>
        <w:gridCol w:w="636"/>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740"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38"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71"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31" w:type="dxa"/>
            <w:vAlign w:val="center"/>
            <w:textDirection w:val="lrTb"/>
            <w:noWrap/>
          </w:tcPr>
          <w:p>
            <w:pPr>
              <w:jc w:val="left"/>
              <w:widowControl/>
              <w:rPr>
                <w:rFonts w:ascii="宋体" w:hAnsi="宋体" w:eastAsia="宋体" w:cs="宋体"/>
                <w:color w:val="auto"/>
                <w:szCs w:val="24"/>
                <w:highlight w:val="none"/>
              </w:rPr>
            </w:pPr>
            <w:r/>
            <w:bookmarkStart w:id="91" w:name="OLE_LINK23"/>
            <w:r>
              <w:rPr>
                <w:rFonts w:hint="eastAsia" w:ascii="宋体" w:hAnsi="宋体" w:eastAsia="宋体" w:cs="宋体"/>
                <w:color w:val="auto"/>
                <w:szCs w:val="24"/>
                <w:highlight w:val="none"/>
              </w:rPr>
              <w:t xml:space="preserve">综合评分法中的价格分采用低价优先法计算，即满足招标文件要求且投标价格最低的投标报价为评标基准价，其价格分为满分 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 分。其他投标人的价格分统一按照下列公式计算：投标报价得分= (评标基准价／投标报价)×3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。(四舍五入后保留2位小数)</w:t>
            </w:r>
            <w:bookmarkEnd w:id="91"/>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6" w:type="dxa"/>
            <w:vAlign w:val="center"/>
            <w:textDirection w:val="lrTb"/>
            <w:noWrap/>
          </w:tcPr>
          <w:p>
            <w:pPr>
              <w:jc w:val="center"/>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.0</w:t>
            </w:r>
            <w:bookmarkEnd w:id="90"/>
            <w:r/>
            <w:r/>
          </w:p>
        </w:tc>
      </w:tr>
    </w:tbl>
    <w:p>
      <w:pPr>
        <w:numPr>
          <w:ilvl w:val="0"/>
          <w:numId w:val="0"/>
        </w:numPr>
        <w:jc w:val="left"/>
        <w:widowControl/>
        <w:rPr>
          <w:rFonts w:hint="eastAsia" w:ascii="宋体" w:hAnsi="宋体" w:eastAsia="宋体" w:cs="楷体"/>
          <w:b/>
          <w:color w:val="auto"/>
          <w:sz w:val="24"/>
          <w:szCs w:val="24"/>
          <w:highlight w:val="none"/>
          <w:lang w:eastAsia="zh-CN"/>
        </w:rPr>
      </w:pPr>
      <w:r>
        <w:rPr>
          <w:rFonts w:hint="eastAsia" w:ascii="宋体" w:hAnsi="宋体" w:eastAsia="宋体" w:cs="楷体"/>
          <w:b/>
          <w:color w:val="auto"/>
          <w:sz w:val="24"/>
          <w:szCs w:val="24"/>
          <w:highlight w:val="none"/>
          <w:lang w:eastAsia="zh-CN"/>
        </w:rPr>
      </w:r>
      <w:r/>
    </w:p>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9.相同品牌产品的处理原则</w:t>
      </w:r>
      <w:r/>
    </w:p>
    <w:p>
      <w:pPr>
        <w:ind w:firstLine="472"/>
        <w:spacing w:line="360" w:lineRule="auto"/>
        <w:rPr>
          <w:rFonts w:ascii="宋体" w:hAnsi="宋体" w:eastAsia="宋体" w:cs="楷体"/>
          <w:color w:val="auto"/>
          <w:sz w:val="24"/>
          <w:szCs w:val="24"/>
          <w:highlight w:val="none"/>
        </w:rPr>
        <w:outlineLvl w:val="2"/>
      </w:pPr>
      <w:r>
        <w:rPr>
          <w:rFonts w:hint="eastAsia" w:ascii="宋体" w:hAnsi="宋体" w:eastAsia="宋体" w:cs="楷体"/>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楷体"/>
          <w:color w:val="auto"/>
          <w:sz w:val="24"/>
          <w:szCs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10.允许修改评标结果的情形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10.1评标结果汇总完成后，除下列情形外，任何人不得修改评标结果：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（1）分值汇总计算错误的；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（2）分项评分超出评分标准范围的；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（3）评标委员会成员对客观评审因素评分不一致的；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（4）经评标委员会认定评分畸高、畸低的。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2" w:name="_Toc98669719"/>
      <w:r/>
      <w:bookmarkEnd w:id="92"/>
      <w:r/>
      <w:bookmarkStart w:id="93" w:name="_Toc100386064"/>
      <w:r/>
      <w:bookmarkEnd w:id="93"/>
      <w:r/>
      <w:bookmarkStart w:id="94" w:name="_Toc92168030"/>
      <w:r/>
      <w:bookmarkEnd w:id="94"/>
      <w:r/>
      <w:bookmarkStart w:id="95" w:name="_Toc20732998"/>
      <w:r/>
      <w:bookmarkEnd w:id="95"/>
      <w:r/>
      <w:bookmarkStart w:id="96" w:name="_Toc98669361"/>
      <w:r/>
      <w:bookmarkEnd w:id="96"/>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11.推荐中标候选人</w:t>
      </w:r>
      <w:r/>
    </w:p>
    <w:p>
      <w:pPr>
        <w:ind w:firstLine="480"/>
        <w:spacing w:line="360" w:lineRule="auto"/>
        <w:rPr>
          <w:rFonts w:hint="eastAsia" w:ascii="Segoe UI Symbol" w:hAnsi="Segoe UI Symbol" w:eastAsia="宋体" w:cs="Segoe UI Symbol"/>
          <w:color w:val="auto"/>
          <w:sz w:val="24"/>
          <w:szCs w:val="24"/>
          <w:highlight w:val="none"/>
          <w:lang w:eastAsia="zh-CN"/>
        </w:rPr>
      </w:pPr>
      <w:r>
        <w:rPr>
          <w:rFonts w:hint="eastAsia" w:ascii="Segoe UI Symbol" w:hAnsi="Segoe UI Symbol" w:eastAsia="宋体" w:cs="Segoe UI Symbol"/>
          <w:color w:val="auto"/>
          <w:sz w:val="24"/>
          <w:szCs w:val="24"/>
          <w:highlight w:val="none"/>
          <w:lang w:eastAsia="zh-CN"/>
        </w:rPr>
        <w:t xml:space="preserve">采购包1：</w:t>
      </w:r>
      <w:r/>
    </w:p>
    <w:p>
      <w:pPr>
        <w:ind w:firstLine="480"/>
        <w:spacing w:line="360" w:lineRule="auto"/>
        <w:rPr>
          <w:rFonts w:hint="eastAsia" w:ascii="宋体" w:hAnsi="宋体" w:eastAsia="宋体" w:cs="楷体"/>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Segoe UI Symbol" w:hAnsi="Segoe UI Symbol" w:eastAsia="宋体" w:cs="Segoe UI Symbol"/>
          <w:color w:val="auto"/>
          <w:sz w:val="24"/>
          <w:szCs w:val="24"/>
          <w:highlight w:val="none"/>
          <w:lang w:eastAsia="zh-CN"/>
        </w:rPr>
      </w:pPr>
      <w:r>
        <w:rPr>
          <w:rFonts w:hint="eastAsia" w:ascii="Segoe UI Symbol" w:hAnsi="Segoe UI Symbol" w:eastAsia="宋体" w:cs="Segoe UI Symbol"/>
          <w:color w:val="auto"/>
          <w:sz w:val="24"/>
          <w:szCs w:val="24"/>
          <w:highlight w:val="none"/>
          <w:lang w:eastAsia="zh-CN"/>
        </w:rPr>
        <w:t xml:space="preserve">采购包2：</w:t>
      </w:r>
      <w:r/>
    </w:p>
    <w:p>
      <w:pPr>
        <w:ind w:firstLine="480"/>
        <w:spacing w:line="360" w:lineRule="auto"/>
        <w:rPr>
          <w:rFonts w:hint="eastAsia" w:ascii="宋体" w:hAnsi="宋体" w:eastAsia="宋体" w:cs="楷体"/>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spacing w:line="56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0"/>
          <w:szCs w:val="24"/>
          <w:highlight w:val="none"/>
        </w:rPr>
        <w:br w:type="page" w:clear="all"/>
      </w:r>
      <w:r>
        <w:rPr>
          <w:rFonts w:hint="eastAsia" w:ascii="宋体" w:hAnsi="宋体" w:eastAsia="宋体" w:cs="宋体"/>
          <w:b/>
          <w:bCs/>
          <w:color w:val="auto"/>
          <w:sz w:val="32"/>
          <w:szCs w:val="32"/>
          <w:highlight w:val="none"/>
        </w:rPr>
        <w:t xml:space="preserve">第六部分    投标文件（格式）</w:t>
      </w:r>
      <w:r/>
    </w:p>
    <w:p>
      <w:pPr>
        <w:jc w:val="center"/>
        <w:spacing w:line="360" w:lineRule="auto"/>
        <w:rPr>
          <w:rFonts w:ascii="宋体" w:hAnsi="宋体" w:eastAsia="宋体" w:cs="楷体"/>
          <w:b/>
          <w:color w:val="auto"/>
          <w:sz w:val="72"/>
          <w:szCs w:val="24"/>
          <w:highlight w:val="none"/>
        </w:rPr>
      </w:pPr>
      <w:r>
        <w:rPr>
          <w:rFonts w:ascii="宋体" w:hAnsi="宋体" w:eastAsia="宋体" w:cs="楷体"/>
          <w:b/>
          <w:color w:val="auto"/>
          <w:sz w:val="72"/>
          <w:szCs w:val="24"/>
          <w:highlight w:val="none"/>
        </w:rPr>
      </w:r>
      <w:r/>
    </w:p>
    <w:p>
      <w:pPr>
        <w:jc w:val="center"/>
        <w:spacing w:line="360" w:lineRule="auto"/>
        <w:rPr>
          <w:rFonts w:ascii="宋体" w:hAnsi="宋体" w:eastAsia="宋体" w:cs="楷体"/>
          <w:color w:val="auto"/>
          <w:sz w:val="72"/>
          <w:szCs w:val="24"/>
          <w:highlight w:val="none"/>
        </w:rPr>
      </w:pPr>
      <w:r>
        <w:rPr>
          <w:rFonts w:hint="eastAsia" w:ascii="宋体" w:hAnsi="宋体" w:eastAsia="宋体" w:cs="楷体"/>
          <w:b/>
          <w:color w:val="auto"/>
          <w:sz w:val="72"/>
          <w:szCs w:val="24"/>
          <w:highlight w:val="none"/>
        </w:rPr>
        <w:t xml:space="preserve">投   标   文   件</w:t>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ind w:firstLine="643"/>
        <w:spacing w:line="360" w:lineRule="auto"/>
        <w:rPr>
          <w:rFonts w:ascii="宋体" w:hAnsi="宋体" w:eastAsia="宋体" w:cs="楷体"/>
          <w:b/>
          <w:color w:val="auto"/>
          <w:sz w:val="32"/>
          <w:szCs w:val="24"/>
          <w:highlight w:val="none"/>
        </w:rPr>
      </w:pPr>
      <w:r>
        <w:rPr>
          <w:rFonts w:ascii="宋体" w:hAnsi="宋体" w:eastAsia="宋体" w:cs="楷体"/>
          <w:b/>
          <w:color w:val="auto"/>
          <w:sz w:val="32"/>
          <w:szCs w:val="24"/>
          <w:highlight w:val="none"/>
        </w:rPr>
      </w:r>
      <w:r/>
    </w:p>
    <w:p>
      <w:pPr>
        <w:ind w:firstLine="643"/>
        <w:spacing w:line="360" w:lineRule="auto"/>
        <w:rPr>
          <w:rFonts w:ascii="宋体" w:hAnsi="宋体" w:eastAsia="宋体" w:cs="楷体"/>
          <w:b/>
          <w:color w:val="auto"/>
          <w:sz w:val="32"/>
          <w:szCs w:val="24"/>
          <w:highlight w:val="none"/>
        </w:rPr>
      </w:pPr>
      <w:r>
        <w:rPr>
          <w:rFonts w:ascii="宋体" w:hAnsi="宋体" w:eastAsia="宋体" w:cs="楷体"/>
          <w:b/>
          <w:color w:val="auto"/>
          <w:sz w:val="32"/>
          <w:szCs w:val="24"/>
          <w:highlight w:val="none"/>
        </w:rPr>
      </w:r>
      <w:r/>
    </w:p>
    <w:p>
      <w:pPr>
        <w:jc w:val="center"/>
        <w:spacing w:line="360" w:lineRule="auto"/>
        <w:rPr>
          <w:rFonts w:ascii="宋体" w:hAnsi="宋体" w:eastAsia="宋体" w:cs="楷体"/>
          <w:b/>
          <w:color w:val="auto"/>
          <w:sz w:val="32"/>
          <w:szCs w:val="24"/>
          <w:highlight w:val="none"/>
        </w:rPr>
      </w:pPr>
      <w:r>
        <w:rPr>
          <w:rFonts w:hint="eastAsia" w:ascii="宋体" w:hAnsi="宋体" w:eastAsia="宋体" w:cs="楷体"/>
          <w:b/>
          <w:color w:val="auto"/>
          <w:sz w:val="32"/>
          <w:szCs w:val="24"/>
          <w:highlight w:val="none"/>
        </w:rPr>
        <w:t xml:space="preserve">项目编号：</w:t>
      </w:r>
      <w:r/>
    </w:p>
    <w:p>
      <w:pPr>
        <w:ind w:firstLine="560"/>
        <w:jc w:val="center"/>
        <w:spacing w:line="360" w:lineRule="auto"/>
        <w:rPr>
          <w:rFonts w:ascii="宋体" w:hAnsi="宋体" w:eastAsia="宋体" w:cs="楷体"/>
          <w:color w:val="auto"/>
          <w:sz w:val="28"/>
          <w:szCs w:val="24"/>
          <w:highlight w:val="none"/>
        </w:rPr>
      </w:pPr>
      <w:r>
        <w:rPr>
          <w:rFonts w:ascii="宋体" w:hAnsi="宋体" w:eastAsia="宋体" w:cs="楷体"/>
          <w:color w:val="auto"/>
          <w:sz w:val="28"/>
          <w:szCs w:val="24"/>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2"/>
          <w:szCs w:val="32"/>
          <w:highlight w:val="none"/>
        </w:rPr>
        <w:t xml:space="preserve">项目名称：：</w:t>
      </w:r>
      <w:r/>
    </w:p>
    <w:p>
      <w:pPr>
        <w:ind w:left="520" w:firstLine="643"/>
        <w:jc w:val="center"/>
        <w:spacing w:line="360" w:lineRule="auto"/>
        <w:rPr>
          <w:rFonts w:ascii="宋体" w:hAnsi="宋体" w:eastAsia="宋体" w:cs="楷体"/>
          <w:b/>
          <w:color w:val="auto"/>
          <w:sz w:val="32"/>
          <w:szCs w:val="16"/>
          <w:highlight w:val="none"/>
        </w:rPr>
      </w:pPr>
      <w:r>
        <w:rPr>
          <w:rFonts w:ascii="宋体" w:hAnsi="宋体" w:eastAsia="宋体" w:cs="楷体"/>
          <w:b/>
          <w:color w:val="auto"/>
          <w:sz w:val="32"/>
          <w:szCs w:val="16"/>
          <w:highlight w:val="none"/>
        </w:rPr>
      </w:r>
      <w:r/>
    </w:p>
    <w:p>
      <w:pPr>
        <w:ind w:left="520" w:firstLine="643"/>
        <w:jc w:val="center"/>
        <w:spacing w:line="360" w:lineRule="auto"/>
        <w:rPr>
          <w:rFonts w:ascii="宋体" w:hAnsi="宋体" w:eastAsia="宋体" w:cs="楷体"/>
          <w:b/>
          <w:color w:val="auto"/>
          <w:sz w:val="32"/>
          <w:szCs w:val="16"/>
          <w:highlight w:val="none"/>
        </w:rPr>
      </w:pPr>
      <w:r>
        <w:rPr>
          <w:rFonts w:ascii="宋体" w:hAnsi="宋体" w:eastAsia="宋体" w:cs="楷体"/>
          <w:b/>
          <w:color w:val="auto"/>
          <w:sz w:val="32"/>
          <w:szCs w:val="16"/>
          <w:highlight w:val="none"/>
        </w:rPr>
      </w:r>
      <w:r/>
    </w:p>
    <w:p>
      <w:pPr>
        <w:jc w:val="center"/>
        <w:spacing w:line="360" w:lineRule="auto"/>
        <w:rPr>
          <w:rFonts w:ascii="宋体" w:hAnsi="宋体" w:eastAsia="宋体" w:cs="楷体"/>
          <w:b/>
          <w:color w:val="auto"/>
          <w:sz w:val="36"/>
          <w:szCs w:val="24"/>
          <w:highlight w:val="none"/>
        </w:rPr>
      </w:pPr>
      <w:r>
        <w:rPr>
          <w:rFonts w:hint="eastAsia" w:ascii="宋体" w:hAnsi="宋体" w:eastAsia="宋体" w:cs="楷体"/>
          <w:b/>
          <w:color w:val="auto"/>
          <w:sz w:val="32"/>
          <w:szCs w:val="24"/>
          <w:highlight w:val="none"/>
        </w:rPr>
        <w:t xml:space="preserve">投 标 人（公章）：</w:t>
      </w:r>
      <w:r>
        <w:rPr>
          <w:rFonts w:hint="eastAsia" w:ascii="宋体" w:hAnsi="宋体" w:eastAsia="宋体" w:cs="楷体"/>
          <w:b/>
          <w:color w:val="auto"/>
          <w:sz w:val="24"/>
          <w:szCs w:val="24"/>
          <w:highlight w:val="none"/>
          <w:u w:val="single"/>
        </w:rPr>
        <w:t xml:space="preserve">××××</w:t>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jc w:val="center"/>
        <w:spacing w:line="360" w:lineRule="auto"/>
        <w:rPr>
          <w:rFonts w:ascii="宋体" w:hAnsi="宋体" w:eastAsia="宋体" w:cs="楷体"/>
          <w:b/>
          <w:color w:val="auto"/>
          <w:sz w:val="32"/>
          <w:szCs w:val="24"/>
          <w:highlight w:val="none"/>
        </w:rPr>
      </w:pP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年</w:t>
      </w: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月</w:t>
      </w: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日</w:t>
      </w:r>
      <w:r/>
    </w:p>
    <w:p>
      <w:pPr>
        <w:keepLines/>
        <w:keepNext/>
        <w:spacing w:before="260" w:after="260" w:line="416" w:lineRule="auto"/>
        <w:rPr>
          <w:rFonts w:ascii="Times New Roman" w:hAnsi="Times New Roman" w:eastAsia="宋体" w:cs="Times New Roman"/>
          <w:b/>
          <w:color w:val="auto"/>
          <w:sz w:val="32"/>
          <w:szCs w:val="20"/>
          <w:highlight w:val="none"/>
        </w:rPr>
        <w:outlineLvl w:val="2"/>
      </w:pPr>
      <w:r>
        <w:rPr>
          <w:rFonts w:ascii="Times New Roman" w:hAnsi="Times New Roman" w:eastAsia="宋体" w:cs="Times New Roman"/>
          <w:b/>
          <w:color w:val="auto"/>
          <w:sz w:val="32"/>
          <w:szCs w:val="20"/>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br w:type="page" w:clear="all"/>
      </w:r>
      <w:r>
        <w:rPr>
          <w:rFonts w:hint="eastAsia" w:ascii="宋体" w:hAnsi="宋体" w:eastAsia="宋体" w:cs="宋体"/>
          <w:b/>
          <w:color w:val="auto"/>
          <w:sz w:val="30"/>
          <w:szCs w:val="30"/>
          <w:highlight w:val="none"/>
        </w:rPr>
        <w:t xml:space="preserve">（一）</w:t>
      </w:r>
      <w:r>
        <w:rPr>
          <w:rFonts w:ascii="宋体" w:hAnsi="宋体" w:eastAsia="宋体" w:cs="宋体"/>
          <w:b/>
          <w:color w:val="auto"/>
          <w:sz w:val="30"/>
          <w:szCs w:val="30"/>
          <w:highlight w:val="none"/>
        </w:rPr>
        <w:t xml:space="preserve">开标一览表</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投标人全称（加盖CA电子签章）：</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招标编号：                                   分包号：</w:t>
      </w:r>
      <w:r/>
    </w:p>
    <w:tbl>
      <w:tblPr>
        <w:tblStyle w:val="689"/>
        <w:tblW w:w="9277" w:type="dxa"/>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8"/>
        <w:gridCol w:w="5119"/>
      </w:tblGrid>
      <w:tr>
        <w:trPr>
          <w:trHeight w:val="900"/>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4158"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投标货物名称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5119"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总价（小写） </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158"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投标产品名称（项目总报价）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5119" w:type="dxa"/>
            <w:vAlign w:val="center"/>
            <w:textDirection w:val="lrTb"/>
            <w:noWrap w:val="false"/>
          </w:tcPr>
          <w:p>
            <w:pPr>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元</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158"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核心产品品牌</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5119" w:type="dxa"/>
            <w:vAlign w:val="center"/>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日期：  年月日</w:t>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（二）投标函</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致：丹阳市政府采购中心</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根据贵方的</w:t>
      </w:r>
      <w:r>
        <w:rPr>
          <w:rFonts w:hint="eastAsia" w:ascii="宋体" w:hAnsi="宋体" w:eastAsia="宋体" w:cs="Times New Roman"/>
          <w:color w:val="auto"/>
          <w:sz w:val="24"/>
          <w:szCs w:val="24"/>
          <w:highlight w:val="none"/>
          <w:u w:val="single"/>
        </w:rPr>
        <w:t xml:space="preserve">根据项目自行编辑</w:t>
      </w:r>
      <w:r>
        <w:rPr>
          <w:rFonts w:hint="eastAsia" w:ascii="宋体" w:hAnsi="宋体" w:eastAsia="宋体" w:cs="Times New Roman"/>
          <w:color w:val="auto"/>
          <w:sz w:val="24"/>
          <w:szCs w:val="24"/>
          <w:highlight w:val="none"/>
        </w:rPr>
        <w:t xml:space="preserve">号招标文件，正式授权下述签字人_________________(姓名)代表我方______________（投标人的名称），全权处理本次项目投标的有关事宜。</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据此函，__________签字人兹宣布同意如下：</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1.按招标文件规定的各项要求，向招标方提供所需货物与服务。</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2.我们完全理解贵方不一定将合同授予最低报价的投标人。</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3.我们已详细审核全部招标文件及其有效补充文件，我们知道必须放弃提出含糊不清或误解问题的权利。</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4.我们同意从规定的开标日期起遵循本投标文件，并在规定的投标有效期期满之前均具有约束力。</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6.一旦我方中标,我方将根据招标文件的规定，严格履行合同的责任和义务,并保证在招标文件规定的时间完成项目，交付招标方验收、使用。</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7.与本投标有关的正式通讯地址为：</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邮编：</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投标人开户行：</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账户： </w:t>
      </w:r>
      <w:r/>
    </w:p>
    <w:p>
      <w:pPr>
        <w:ind w:firstLine="480"/>
        <w:widowControl/>
        <w:rPr>
          <w:rFonts w:ascii="宋体" w:hAnsi="宋体" w:eastAsia="宋体" w:cs="Times New Roman"/>
          <w:color w:val="auto"/>
          <w:sz w:val="24"/>
          <w:szCs w:val="24"/>
          <w:highlight w:val="none"/>
        </w:rPr>
        <w:outlineLvl w:val="2"/>
      </w:pPr>
      <w:r>
        <w:rPr>
          <w:rFonts w:hint="eastAsia" w:ascii="宋体" w:hAnsi="宋体" w:eastAsia="宋体" w:cs="宋体"/>
          <w:color w:val="auto"/>
          <w:sz w:val="24"/>
          <w:szCs w:val="24"/>
          <w:highlight w:val="none"/>
        </w:rPr>
        <w:t xml:space="preserve">日期：________年____月____日</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（三）清单及明细报价表</w:t>
      </w:r>
      <w:r/>
    </w:p>
    <w:p>
      <w:pPr>
        <w:jc w:val="center"/>
        <w:spacing w:before="240" w:after="240"/>
        <w:rPr>
          <w:rFonts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0"/>
          <w:szCs w:val="20"/>
          <w:highlight w:val="none"/>
        </w:rPr>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
        <w:gridCol w:w="1527"/>
        <w:gridCol w:w="1416"/>
        <w:gridCol w:w="836"/>
        <w:gridCol w:w="772"/>
        <w:gridCol w:w="1666"/>
        <w:gridCol w:w="1544"/>
        <w:gridCol w:w="1087"/>
      </w:tblGrid>
      <w:tr>
        <w:trPr>
          <w:trHeight w:val="594"/>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货物部分小计：     元</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w:t>
            </w:r>
            <w:r>
              <w:rPr>
                <w:rFonts w:hint="eastAsia" w:ascii="宋体" w:hAnsi="宋体" w:eastAsia="宋体" w:cs="宋体"/>
                <w:b/>
                <w:color w:val="auto"/>
                <w:sz w:val="20"/>
                <w:szCs w:val="20"/>
                <w:highlight w:val="none"/>
              </w:rPr>
              <w:t xml:space="preserve">二、服务部分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服务部分小计：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textDirection w:val="lrTb"/>
            <w:noWrap w:val="false"/>
          </w:tcPr>
          <w:p>
            <w:pP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其它相关费用</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textDirection w:val="lrTb"/>
            <w:noWrap w:val="false"/>
          </w:tcPr>
          <w:p>
            <w:pP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项目总报价</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元</w:t>
            </w:r>
            <w:r/>
          </w:p>
        </w:tc>
      </w:tr>
    </w:tbl>
    <w:p>
      <w:pPr>
        <w:spacing w:before="240" w:after="240"/>
        <w:rPr>
          <w:rFonts w:ascii="宋体" w:hAnsi="宋体" w:eastAsia="宋体" w:cs="宋体"/>
          <w:color w:val="auto"/>
          <w:sz w:val="20"/>
          <w:szCs w:val="20"/>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0"/>
          <w:szCs w:val="20"/>
          <w:highlight w:val="none"/>
        </w:rPr>
        <w:t xml:space="preserve">注：</w:t>
      </w:r>
      <w:r>
        <w:rPr>
          <w:rFonts w:ascii="宋体" w:hAnsi="宋体" w:eastAsia="宋体" w:cs="宋体"/>
          <w:color w:val="auto"/>
          <w:sz w:val="20"/>
          <w:szCs w:val="20"/>
          <w:highlight w:val="none"/>
        </w:rPr>
        <w:t xml:space="preserve">1、</w:t>
      </w:r>
      <w:r>
        <w:rPr>
          <w:rFonts w:ascii="宋体" w:hAnsi="宋体" w:eastAsia="宋体" w:cs="宋体"/>
          <w:b/>
          <w:color w:val="auto"/>
          <w:sz w:val="20"/>
          <w:szCs w:val="20"/>
          <w:highlight w:val="none"/>
          <w:u w:val="single"/>
        </w:rPr>
        <w:t xml:space="preserve">投标人应当按照招标文件采购需求及相关报价要求填写</w:t>
      </w:r>
      <w:r>
        <w:rPr>
          <w:rFonts w:ascii="宋体" w:hAnsi="宋体" w:eastAsia="宋体" w:cs="宋体"/>
          <w:color w:val="auto"/>
          <w:sz w:val="20"/>
          <w:szCs w:val="20"/>
          <w:highlight w:val="none"/>
          <w:u w:val="single"/>
        </w:rPr>
        <w:t xml:space="preserve">。</w:t>
      </w:r>
      <w:r/>
    </w:p>
    <w:p>
      <w:pPr>
        <w:ind w:left="-283" w:firstLine="480"/>
        <w:spacing w:before="240" w:after="240"/>
        <w:rPr>
          <w:rFonts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szCs w:val="20"/>
          <w:highlight w:val="none"/>
        </w:rPr>
        <w:t xml:space="preserve">2、</w:t>
      </w:r>
      <w:r>
        <w:rPr>
          <w:rFonts w:ascii="宋体" w:hAnsi="宋体" w:eastAsia="宋体" w:cs="宋体"/>
          <w:color w:val="auto"/>
          <w:sz w:val="20"/>
          <w:szCs w:val="20"/>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before="240" w:after="240"/>
        <w:rPr>
          <w:rFonts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szCs w:val="20"/>
          <w:highlight w:val="none"/>
        </w:rPr>
        <w:t xml:space="preserve">3、</w:t>
      </w:r>
      <w:r>
        <w:rPr>
          <w:rFonts w:ascii="宋体" w:hAnsi="宋体" w:eastAsia="宋体" w:cs="宋体"/>
          <w:color w:val="auto"/>
          <w:sz w:val="20"/>
          <w:szCs w:val="20"/>
          <w:highlight w:val="none"/>
          <w:u w:val="single"/>
        </w:rPr>
        <w:t xml:space="preserve">本表中项目总报价应与开标一览表中项目总报价保持一致。</w:t>
      </w:r>
      <w:r/>
    </w:p>
    <w:p>
      <w:pPr>
        <w:ind w:left="-283" w:firstLine="480"/>
        <w:spacing w:before="240" w:after="240"/>
        <w:rPr>
          <w:rFonts w:ascii="Times New Roman" w:hAnsi="Times New Roman" w:eastAsia="宋体" w:cs="Times New Roman"/>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szCs w:val="20"/>
          <w:highlight w:val="none"/>
        </w:rPr>
        <w:t xml:space="preserve">4、</w:t>
      </w:r>
      <w:r>
        <w:rPr>
          <w:rFonts w:ascii="宋体" w:hAnsi="宋体" w:eastAsia="宋体" w:cs="宋体"/>
          <w:color w:val="auto"/>
          <w:sz w:val="20"/>
          <w:szCs w:val="20"/>
          <w:highlight w:val="none"/>
          <w:u w:val="single"/>
        </w:rPr>
        <w:t xml:space="preserve">报价保留至小数点后两位，四舍五入。</w:t>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（四）法定代表人身份证明书</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rPr>
          <w:rFonts w:hint="eastAsia" w:ascii="宋体" w:hAnsi="宋体" w:eastAsia="宋体" w:cs="Times New Roman"/>
          <w:b/>
          <w:color w:val="auto"/>
          <w:sz w:val="24"/>
          <w:szCs w:val="24"/>
          <w:highlight w:val="none"/>
          <w:u w:val="single"/>
        </w:rPr>
        <w:t xml:space="preserve">×××（）姓名</w:t>
      </w:r>
      <w:r>
        <w:rPr>
          <w:rFonts w:hint="eastAsia" w:ascii="宋体" w:hAnsi="宋体" w:eastAsia="宋体" w:cs="Times New Roman"/>
          <w:color w:val="auto"/>
          <w:sz w:val="24"/>
          <w:szCs w:val="24"/>
          <w:highlight w:val="none"/>
        </w:rPr>
        <w:t xml:space="preserve">同志，性别</w:t>
      </w:r>
      <w:r>
        <w:rPr>
          <w:rFonts w:hint="eastAsia" w:ascii="宋体" w:hAnsi="宋体" w:eastAsia="宋体" w:cs="Times New Roman"/>
          <w:b/>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，居民身份证号</w:t>
      </w:r>
      <w:r>
        <w:rPr>
          <w:rFonts w:hint="eastAsia" w:ascii="宋体" w:hAnsi="宋体" w:eastAsia="宋体" w:cs="Times New Roman"/>
          <w:b/>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，在我单位任职务，系我单位主要负责人即法定代表人。</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单位地址：</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    话：</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单位全称： </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公    章： </w:t>
      </w:r>
      <w:r/>
    </w:p>
    <w:p>
      <w:pPr>
        <w:ind w:firstLine="480"/>
        <w:tabs>
          <w:tab w:val="left" w:pos="729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tabs>
          <w:tab w:val="left" w:pos="729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年     月    日</w:t>
      </w:r>
      <w:r/>
    </w:p>
    <w:p>
      <w:pPr>
        <w:ind w:firstLine="482"/>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2"/>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附：法定代表人居民身份证扫描件</w:t>
      </w:r>
      <w:r/>
    </w:p>
    <w:p>
      <w:pPr>
        <w:ind w:firstLine="480"/>
        <w:tabs>
          <w:tab w:val="left" w:pos="729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注：1.“法定代表人”直接参加投标响应活动的仅需填写本身份证明</w:t>
      </w:r>
      <w:r>
        <w:rPr>
          <w:rFonts w:hint="eastAsia" w:ascii="宋体" w:hAnsi="宋体" w:eastAsia="宋体" w:cs="Times New Roman"/>
          <w:color w:val="auto"/>
          <w:sz w:val="24"/>
          <w:szCs w:val="24"/>
          <w:highlight w:val="none"/>
        </w:rPr>
        <w:t xml:space="preserve">。</w:t>
      </w:r>
      <w:r/>
    </w:p>
    <w:p>
      <w:pPr>
        <w:numPr>
          <w:ilvl w:val="0"/>
          <w:numId w:val="10"/>
        </w:numPr>
        <w:tabs>
          <w:tab w:val="left" w:pos="7290" w:leader="none"/>
        </w:tabs>
        <w:rPr>
          <w:rFonts w:ascii="宋体" w:hAnsi="宋体" w:eastAsia="宋体" w:cs="Times New Roman"/>
          <w:b/>
          <w:color w:val="auto"/>
          <w:sz w:val="24"/>
          <w:szCs w:val="24"/>
          <w:highlight w:val="none"/>
          <w:u w:val="single"/>
        </w:rPr>
      </w:pPr>
      <w:r>
        <w:rPr>
          <w:rFonts w:hint="eastAsia" w:ascii="宋体" w:hAnsi="宋体" w:eastAsia="宋体" w:cs="Times New Roman"/>
          <w:b/>
          <w:color w:val="auto"/>
          <w:sz w:val="24"/>
          <w:szCs w:val="24"/>
          <w:highlight w:val="none"/>
          <w:u w:val="single"/>
        </w:rPr>
        <w:t xml:space="preserve">投标人</w:t>
      </w:r>
      <w:r>
        <w:rPr>
          <w:rFonts w:ascii="宋体" w:hAnsi="宋体" w:eastAsia="宋体" w:cs="Times New Roman"/>
          <w:b/>
          <w:color w:val="auto"/>
          <w:sz w:val="24"/>
          <w:szCs w:val="24"/>
          <w:highlight w:val="none"/>
          <w:u w:val="single"/>
        </w:rPr>
        <w:t xml:space="preserve">属于非法人组织的，按照法律、行政法规规定能够对外代表其从事民事活动的主要负责人，视同法定代表人。</w:t>
      </w:r>
      <w:r/>
    </w:p>
    <w:p>
      <w:pPr>
        <w:keepLines/>
        <w:keepNext/>
        <w:spacing w:line="360" w:lineRule="auto"/>
        <w:rPr>
          <w:rFonts w:ascii="Arial" w:hAnsi="Arial" w:eastAsia="宋体" w:cs="Times New Roman"/>
          <w:b/>
          <w:bCs/>
          <w:color w:val="auto"/>
          <w:sz w:val="24"/>
          <w:szCs w:val="32"/>
          <w:highlight w:val="none"/>
        </w:rPr>
        <w:outlineLvl w:val="1"/>
      </w:pPr>
      <w:r>
        <w:rPr>
          <w:rFonts w:ascii="Arial" w:hAnsi="Arial" w:eastAsia="宋体" w:cs="Times New Roman"/>
          <w:b/>
          <w:bCs/>
          <w:color w:val="auto"/>
          <w:sz w:val="24"/>
          <w:szCs w:val="32"/>
          <w:highlight w:val="none"/>
        </w:rPr>
      </w:r>
      <w:r/>
    </w:p>
    <w:p>
      <w:pPr>
        <w:ind w:firstLine="562"/>
        <w:jc w:val="center"/>
        <w:widowControl/>
        <w:rPr>
          <w:rFonts w:ascii="宋体" w:hAnsi="宋体" w:eastAsia="宋体" w:cs="宋体"/>
          <w:b/>
          <w:color w:val="auto"/>
          <w:sz w:val="28"/>
          <w:szCs w:val="28"/>
          <w:highlight w:val="none"/>
        </w:rPr>
        <w:outlineLvl w:val="1"/>
      </w:pPr>
      <w:r>
        <w:rPr>
          <w:rFonts w:ascii="宋体" w:hAnsi="宋体" w:eastAsia="宋体" w:cs="宋体"/>
          <w:b/>
          <w:color w:val="auto"/>
          <w:sz w:val="28"/>
          <w:szCs w:val="28"/>
          <w:highlight w:val="none"/>
        </w:rPr>
      </w:r>
      <w:r/>
    </w:p>
    <w:p>
      <w:pPr>
        <w:ind w:firstLine="562"/>
        <w:jc w:val="center"/>
        <w:widowControl/>
        <w:rPr>
          <w:rFonts w:ascii="宋体" w:hAnsi="宋体" w:eastAsia="宋体" w:cs="宋体"/>
          <w:b/>
          <w:color w:val="auto"/>
          <w:sz w:val="28"/>
          <w:szCs w:val="28"/>
          <w:highlight w:val="none"/>
        </w:rPr>
        <w:outlineLvl w:val="1"/>
      </w:pPr>
      <w:r>
        <w:rPr>
          <w:rFonts w:ascii="宋体" w:hAnsi="宋体" w:eastAsia="宋体" w:cs="宋体"/>
          <w:b/>
          <w:color w:val="auto"/>
          <w:sz w:val="28"/>
          <w:szCs w:val="28"/>
          <w:highlight w:val="none"/>
        </w:rPr>
      </w:r>
      <w:r/>
    </w:p>
    <w:p>
      <w:pPr>
        <w:ind w:firstLine="562"/>
        <w:jc w:val="center"/>
        <w:widowControl/>
        <w:rPr>
          <w:rFonts w:ascii="宋体" w:hAnsi="宋体" w:eastAsia="宋体" w:cs="宋体"/>
          <w:b/>
          <w:color w:val="auto"/>
          <w:sz w:val="28"/>
          <w:szCs w:val="28"/>
          <w:highlight w:val="none"/>
        </w:rPr>
        <w:outlineLvl w:val="1"/>
      </w:pPr>
      <w:r>
        <w:rPr>
          <w:rFonts w:ascii="宋体" w:hAnsi="宋体" w:eastAsia="宋体" w:cs="宋体"/>
          <w:b/>
          <w:color w:val="auto"/>
          <w:sz w:val="28"/>
          <w:szCs w:val="28"/>
          <w:highlight w:val="none"/>
        </w:rPr>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（五）法定代表人授权委托书</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本授权书声明：____________（投标人名称）授权________________（被授权人的姓名）为我方就JSZC-号项目采购活动的合法代理人，以本单位名义全权处理一切与该项目采购有关的事务。</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本授权书于______年____月____日起生效，特此声明。</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被授权人身份证号码：                              </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被授权人联系电话：（手机）                          </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授权单位名称：（加盖CA电子公章）</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单位地址：                                         </w:t>
      </w:r>
      <w:r/>
    </w:p>
    <w:p>
      <w:pPr>
        <w:ind w:firstLine="480"/>
        <w:tabs>
          <w:tab w:val="left" w:pos="36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日期：</w:t>
      </w:r>
      <w:bookmarkStart w:id="97" w:name="_格式3__银行出具的资信证明"/>
      <w:r/>
      <w:bookmarkEnd w:id="97"/>
      <w:r/>
      <w:bookmarkStart w:id="98" w:name="_Hlt26671380"/>
      <w:r/>
      <w:bookmarkEnd w:id="98"/>
      <w:r/>
      <w:bookmarkStart w:id="99" w:name="_Hlt26955070"/>
      <w:r/>
      <w:bookmarkEnd w:id="99"/>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一、资格条件</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（一）具有独立承担民事责任的能力</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（二）具有良好的商业信誉和健全的财务会计制度</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（三）有依法缴纳税收和社会保障资金的良好记录</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（四）具备履行合同所必需的设备和专业技术能力的书面声明。</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（五）参加政府采购活动前3年内在经营活动中没有重大违法记录的书面声明。</w:t>
      </w:r>
      <w:r/>
    </w:p>
    <w:p>
      <w:pPr>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声  明</w:t>
      </w:r>
      <w:r/>
    </w:p>
    <w:p>
      <w:pPr>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（六）落实政府采购政策需满足的资格要求：</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（七）资格承诺函</w:t>
      </w:r>
      <w:r/>
    </w:p>
    <w:p>
      <w:pPr>
        <w:jc w:val="center"/>
        <w:spacing w:line="360" w:lineRule="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资格承诺函</w:t>
      </w:r>
      <w:r/>
    </w:p>
    <w:p>
      <w:pPr>
        <w:ind w:firstLine="480"/>
        <w:shd w:val="clear" w:color="auto" w:fill="ffffff"/>
        <w:widowControl/>
        <w:rPr>
          <w:rFonts w:ascii="宋体" w:hAnsi="宋体" w:eastAsia="宋体" w:cs="宋体"/>
          <w:color w:val="auto"/>
          <w:sz w:val="24"/>
          <w:szCs w:val="24"/>
          <w:highlight w:val="none"/>
        </w:rPr>
      </w:pPr>
      <w:r/>
      <w:bookmarkStart w:id="100" w:name="OLE_LINK35"/>
      <w:r/>
      <w:bookmarkStart w:id="101" w:name="OLE_LINK34"/>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w:t>
      </w:r>
      <w:r>
        <w:rPr>
          <w:rFonts w:hint="eastAsia" w:ascii="宋体" w:hAnsi="宋体" w:eastAsia="宋体" w:cs="宋体"/>
          <w:color w:val="auto"/>
          <w:sz w:val="24"/>
          <w:szCs w:val="24"/>
          <w:highlight w:val="none"/>
          <w:u w:val="single"/>
        </w:rPr>
        <w:t xml:space="preserve">（采购人、采购代理机构）</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我单位参与</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_____________</w:t>
      </w:r>
      <w:r>
        <w:rPr>
          <w:rFonts w:hint="eastAsia" w:ascii="宋体" w:hAnsi="宋体" w:eastAsia="宋体" w:cs="宋体"/>
          <w:color w:val="auto"/>
          <w:sz w:val="24"/>
          <w:szCs w:val="24"/>
          <w:highlight w:val="none"/>
          <w:u w:val="single"/>
        </w:rPr>
        <w:t xml:space="preserve">（项目名称）_</w:t>
      </w:r>
      <w:r>
        <w:rPr>
          <w:rFonts w:ascii="宋体" w:hAnsi="宋体" w:eastAsia="宋体" w:cs="宋体"/>
          <w:color w:val="auto"/>
          <w:sz w:val="24"/>
          <w:szCs w:val="24"/>
          <w:highlight w:val="none"/>
          <w:u w:val="single"/>
        </w:rPr>
        <w:t xml:space="preserve">_____________</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项目的政府采购活动，现承诺如下：</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.我方具有良好的商业信誉和健全的财务会计制度。</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.我方具有履行合同所必需的设备和专业技术能力。</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.我方具有依法缴纳税收和社会保障资金的良好记录。</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w:t>
      </w:r>
      <w:r>
        <w:rPr>
          <w:rFonts w:hint="eastAsia" w:ascii="宋体" w:hAnsi="宋体" w:eastAsia="宋体" w:cs="Times New Roman"/>
          <w:color w:val="auto"/>
          <w:sz w:val="24"/>
          <w:szCs w:val="24"/>
          <w:highlight w:val="none"/>
        </w:rPr>
        <w:t xml:space="preserve">我方参加本项目采购活动前三年内，在经营活动中没有重大违法记录。</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若我单位承诺不实，自愿承担提供虚假材料谋取中标、成交的法律责任。</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投标（响应）供应商（全称并盖章）：</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供应商法定代表人或授权代表（签字或签章）：</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_</w:t>
      </w:r>
      <w:r>
        <w:rPr>
          <w:rFonts w:ascii="宋体" w:hAnsi="宋体" w:eastAsia="宋体" w:cs="宋体"/>
          <w:color w:val="auto"/>
          <w:sz w:val="24"/>
          <w:szCs w:val="24"/>
          <w:highlight w:val="none"/>
          <w:u w:val="single"/>
        </w:rPr>
        <w:t xml:space="preserve">__________</w:t>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hd w:val="clear" w:color="auto" w:fill="ffffff"/>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说明：1.供应商可自行选择是否提供本承诺函，若不提供本承诺函的，应按采购文件要求提供相应的证明材料。</w:t>
      </w:r>
      <w:r/>
    </w:p>
    <w:p>
      <w:pPr>
        <w:ind w:firstLine="480"/>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2.供应商可删减承诺事项，删减的承诺事项须按采购文件要求提供相应的证明材料。比如删去本承诺函第</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项的，则应按采购文件要求提供依法缴纳税收和社会保障资金的良好记录。</w:t>
      </w:r>
      <w:r/>
    </w:p>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numPr>
          <w:ilvl w:val="0"/>
          <w:numId w:val="0"/>
        </w:numPr>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（八）</w:t>
      </w:r>
      <w:r>
        <w:rPr>
          <w:rFonts w:hint="eastAsia" w:ascii="宋体" w:hAnsi="宋体" w:eastAsia="宋体" w:cs="Times New Roman"/>
          <w:color w:val="auto"/>
          <w:sz w:val="24"/>
          <w:szCs w:val="24"/>
          <w:highlight w:val="none"/>
        </w:rPr>
        <w:t xml:space="preserve">本项目特定资格条件：</w:t>
      </w:r>
      <w:r/>
    </w:p>
    <w:p>
      <w:pPr>
        <w:jc w:val="center"/>
        <w:widowControl/>
        <w:rPr>
          <w:rFonts w:ascii="宋体" w:hAnsi="宋体" w:eastAsia="宋体" w:cs="Times New Roman"/>
          <w:b/>
          <w:color w:val="auto"/>
          <w:spacing w:val="6"/>
          <w:sz w:val="24"/>
          <w:szCs w:val="24"/>
          <w:highlight w:val="none"/>
        </w:rPr>
        <w:outlineLvl w:val="2"/>
      </w:pPr>
      <w:r>
        <w:rPr>
          <w:rFonts w:ascii="宋体" w:hAnsi="宋体" w:eastAsia="宋体" w:cs="Times New Roman"/>
          <w:b/>
          <w:color w:val="auto"/>
          <w:spacing w:val="6"/>
          <w:sz w:val="24"/>
          <w:szCs w:val="24"/>
          <w:highlight w:val="none"/>
        </w:rPr>
        <w:t xml:space="preserve">中小企业声明函</w:t>
      </w:r>
      <w:r/>
    </w:p>
    <w:p>
      <w:pPr>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ascii="宋体" w:hAnsi="宋体" w:eastAsia="宋体" w:cs="宋体"/>
          <w:color w:val="auto"/>
          <w:spacing w:val="6"/>
          <w:sz w:val="24"/>
          <w:szCs w:val="24"/>
          <w:highlight w:val="none"/>
          <w:u w:val="single"/>
        </w:rPr>
        <w:t xml:space="preserve">（单位名称）</w:t>
      </w:r>
      <w:r>
        <w:rPr>
          <w:rFonts w:ascii="宋体" w:hAnsi="宋体" w:eastAsia="宋体" w:cs="宋体"/>
          <w:color w:val="auto"/>
          <w:spacing w:val="6"/>
          <w:sz w:val="24"/>
          <w:szCs w:val="24"/>
          <w:highlight w:val="none"/>
        </w:rPr>
        <w:t xml:space="preserve">的</w:t>
      </w:r>
      <w:r>
        <w:rPr>
          <w:rFonts w:ascii="宋体" w:hAnsi="宋体" w:eastAsia="宋体" w:cs="宋体"/>
          <w:color w:val="auto"/>
          <w:spacing w:val="6"/>
          <w:sz w:val="24"/>
          <w:szCs w:val="24"/>
          <w:highlight w:val="none"/>
          <w:u w:val="single"/>
        </w:rPr>
        <w:t xml:space="preserve">（项目名称）</w:t>
      </w:r>
      <w:r>
        <w:rPr>
          <w:rFonts w:ascii="宋体" w:hAnsi="宋体" w:eastAsia="宋体" w:cs="宋体"/>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1.</w:t>
      </w:r>
      <w:r>
        <w:rPr>
          <w:rFonts w:ascii="宋体" w:hAnsi="宋体" w:eastAsia="宋体" w:cs="宋体"/>
          <w:color w:val="auto"/>
          <w:spacing w:val="6"/>
          <w:sz w:val="24"/>
          <w:szCs w:val="24"/>
          <w:highlight w:val="none"/>
          <w:u w:val="single"/>
        </w:rPr>
        <w:t xml:space="preserve">（标的名称）</w:t>
      </w:r>
      <w:r>
        <w:rPr>
          <w:rFonts w:ascii="宋体" w:hAnsi="宋体" w:eastAsia="宋体" w:cs="宋体"/>
          <w:color w:val="auto"/>
          <w:spacing w:val="6"/>
          <w:sz w:val="24"/>
          <w:szCs w:val="24"/>
          <w:highlight w:val="none"/>
        </w:rPr>
        <w:t xml:space="preserve">，属于</w:t>
      </w:r>
      <w:r>
        <w:rPr>
          <w:rFonts w:ascii="宋体" w:hAnsi="宋体" w:eastAsia="宋体" w:cs="宋体"/>
          <w:color w:val="auto"/>
          <w:spacing w:val="6"/>
          <w:sz w:val="24"/>
          <w:szCs w:val="24"/>
          <w:highlight w:val="none"/>
          <w:u w:val="single"/>
        </w:rPr>
        <w:t xml:space="preserve">（采购文件中明确的所属行业）</w:t>
      </w:r>
      <w:r>
        <w:rPr>
          <w:rFonts w:ascii="宋体" w:hAnsi="宋体" w:eastAsia="宋体" w:cs="宋体"/>
          <w:color w:val="auto"/>
          <w:spacing w:val="6"/>
          <w:sz w:val="24"/>
          <w:szCs w:val="24"/>
          <w:highlight w:val="none"/>
        </w:rPr>
        <w:t xml:space="preserve">行业；制造商为</w:t>
      </w:r>
      <w:r>
        <w:rPr>
          <w:rFonts w:ascii="宋体" w:hAnsi="宋体" w:eastAsia="宋体" w:cs="宋体"/>
          <w:color w:val="auto"/>
          <w:spacing w:val="6"/>
          <w:sz w:val="24"/>
          <w:szCs w:val="24"/>
          <w:highlight w:val="none"/>
          <w:u w:val="single"/>
        </w:rPr>
        <w:t xml:space="preserve">（企业名称）</w:t>
      </w:r>
      <w:r>
        <w:rPr>
          <w:rFonts w:ascii="宋体" w:hAnsi="宋体" w:eastAsia="宋体" w:cs="宋体"/>
          <w:color w:val="auto"/>
          <w:spacing w:val="6"/>
          <w:sz w:val="24"/>
          <w:szCs w:val="24"/>
          <w:highlight w:val="none"/>
        </w:rPr>
        <w:t xml:space="preserve">，从业人员</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人，营业收入为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万元，资产总额为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万元，属于</w:t>
      </w:r>
      <w:r>
        <w:rPr>
          <w:rFonts w:ascii="宋体" w:hAnsi="宋体" w:eastAsia="宋体" w:cs="宋体"/>
          <w:color w:val="auto"/>
          <w:spacing w:val="6"/>
          <w:sz w:val="24"/>
          <w:szCs w:val="24"/>
          <w:highlight w:val="none"/>
          <w:u w:val="single"/>
        </w:rPr>
        <w:t xml:space="preserve">（中型企业、小型企业、微型企业）</w:t>
      </w:r>
      <w:r>
        <w:rPr>
          <w:rFonts w:ascii="宋体" w:hAnsi="宋体" w:eastAsia="宋体" w:cs="宋体"/>
          <w:color w:val="auto"/>
          <w:spacing w:val="6"/>
          <w:sz w:val="24"/>
          <w:szCs w:val="24"/>
          <w:highlight w:val="none"/>
        </w:rPr>
        <w:t xml:space="preserve">；  </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2.</w:t>
      </w:r>
      <w:r>
        <w:rPr>
          <w:rFonts w:ascii="宋体" w:hAnsi="宋体" w:eastAsia="宋体" w:cs="宋体"/>
          <w:color w:val="auto"/>
          <w:spacing w:val="6"/>
          <w:sz w:val="24"/>
          <w:szCs w:val="24"/>
          <w:highlight w:val="none"/>
          <w:u w:val="single"/>
        </w:rPr>
        <w:t xml:space="preserve"> （标的名称）</w:t>
      </w:r>
      <w:r>
        <w:rPr>
          <w:rFonts w:ascii="宋体" w:hAnsi="宋体" w:eastAsia="宋体" w:cs="宋体"/>
          <w:color w:val="auto"/>
          <w:spacing w:val="6"/>
          <w:sz w:val="24"/>
          <w:szCs w:val="24"/>
          <w:highlight w:val="none"/>
        </w:rPr>
        <w:t xml:space="preserve">，属于</w:t>
      </w:r>
      <w:r>
        <w:rPr>
          <w:rFonts w:ascii="宋体" w:hAnsi="宋体" w:eastAsia="宋体" w:cs="宋体"/>
          <w:color w:val="auto"/>
          <w:spacing w:val="6"/>
          <w:sz w:val="24"/>
          <w:szCs w:val="24"/>
          <w:highlight w:val="none"/>
          <w:u w:val="single"/>
        </w:rPr>
        <w:t xml:space="preserve">（采购文件中明确的所属行业）</w:t>
      </w:r>
      <w:r>
        <w:rPr>
          <w:rFonts w:ascii="宋体" w:hAnsi="宋体" w:eastAsia="宋体" w:cs="宋体"/>
          <w:color w:val="auto"/>
          <w:spacing w:val="6"/>
          <w:sz w:val="24"/>
          <w:szCs w:val="24"/>
          <w:highlight w:val="none"/>
        </w:rPr>
        <w:t xml:space="preserve">行业；制造商为</w:t>
      </w:r>
      <w:r>
        <w:rPr>
          <w:rFonts w:ascii="宋体" w:hAnsi="宋体" w:eastAsia="宋体" w:cs="宋体"/>
          <w:color w:val="auto"/>
          <w:spacing w:val="6"/>
          <w:sz w:val="24"/>
          <w:szCs w:val="24"/>
          <w:highlight w:val="none"/>
          <w:u w:val="single"/>
        </w:rPr>
        <w:t xml:space="preserve">（企业名称）</w:t>
      </w:r>
      <w:r>
        <w:rPr>
          <w:rFonts w:ascii="宋体" w:hAnsi="宋体" w:eastAsia="宋体" w:cs="宋体"/>
          <w:color w:val="auto"/>
          <w:spacing w:val="6"/>
          <w:sz w:val="24"/>
          <w:szCs w:val="24"/>
          <w:highlight w:val="none"/>
        </w:rPr>
        <w:t xml:space="preserve">，从业人员</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人，营业收入为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万元，资产总额为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万元，属于</w:t>
      </w:r>
      <w:r>
        <w:rPr>
          <w:rFonts w:ascii="宋体" w:hAnsi="宋体" w:eastAsia="宋体" w:cs="宋体"/>
          <w:color w:val="auto"/>
          <w:spacing w:val="6"/>
          <w:sz w:val="24"/>
          <w:szCs w:val="24"/>
          <w:highlight w:val="none"/>
          <w:u w:val="single"/>
        </w:rPr>
        <w:t xml:space="preserve">（中型企业、小型企业、微型企业）</w:t>
      </w:r>
      <w:r>
        <w:rPr>
          <w:rFonts w:ascii="宋体" w:hAnsi="宋体" w:eastAsia="宋体" w:cs="宋体"/>
          <w:color w:val="auto"/>
          <w:spacing w:val="6"/>
          <w:sz w:val="24"/>
          <w:szCs w:val="24"/>
          <w:highlight w:val="none"/>
        </w:rPr>
        <w:t xml:space="preserve">；</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  ……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本企业对上述声明内容的真实性负责。如有虚假，将依法承担相应责任。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企业名称（盖章）：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日 期：</w:t>
      </w:r>
      <w:r/>
    </w:p>
    <w:p>
      <w:pPr>
        <w:ind w:firstLine="584"/>
        <w:spacing w:before="240" w:after="240" w:line="85" w:lineRule="atLeast"/>
        <w:rPr>
          <w:rFonts w:ascii="Times New Roman" w:hAnsi="Times New Roman" w:eastAsia="宋体" w:cs="Times New Roman"/>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注：从业人员、营业收入、资产总额填报上一年度数据，无上一年度数据的新成立企业可不填报。友情提醒：供应商应按照所投报货物实际情况如实填写该声明函，在货物采购项目中，供应商提供的货物既有中小企业制造货物，也有大型企业制造货物的，不享受中小企业扶持政策，无需填写该声明函。</w:t>
      </w:r>
      <w:r/>
    </w:p>
    <w:p>
      <w:pPr>
        <w:numPr>
          <w:ilvl w:val="0"/>
          <w:numId w:val="0"/>
        </w:numPr>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numPr>
          <w:ilvl w:val="0"/>
          <w:numId w:val="0"/>
        </w:numPr>
        <w:jc w:val="left"/>
        <w:rPr>
          <w:rFonts w:ascii="Times New Roman" w:hAnsi="Times New Roman" w:eastAsia="宋体" w:cs="Times New Roman"/>
          <w:b/>
          <w:color w:val="auto"/>
          <w:sz w:val="30"/>
          <w:szCs w:val="30"/>
          <w:highlight w:val="none"/>
        </w:rPr>
      </w:pPr>
      <w:r>
        <w:rPr>
          <w:rFonts w:hint="eastAsia" w:ascii="宋体" w:hAnsi="宋体" w:eastAsia="宋体" w:cs="Times New Roman"/>
          <w:color w:val="auto"/>
          <w:sz w:val="24"/>
          <w:szCs w:val="24"/>
          <w:highlight w:val="none"/>
        </w:rPr>
        <w:br w:type="page" w:clear="all"/>
      </w:r>
      <w:bookmarkEnd w:id="100"/>
      <w:r/>
      <w:bookmarkEnd w:id="101"/>
      <w:r>
        <w:rPr>
          <w:rFonts w:hint="eastAsia" w:ascii="Times New Roman" w:hAnsi="Times New Roman" w:eastAsia="宋体" w:cs="Times New Roman"/>
          <w:b/>
          <w:color w:val="auto"/>
          <w:sz w:val="30"/>
          <w:szCs w:val="30"/>
          <w:highlight w:val="none"/>
        </w:rPr>
        <w:t xml:space="preserve">二、符合条件</w:t>
      </w:r>
      <w:r/>
    </w:p>
    <w:p>
      <w:pPr>
        <w:ind w:firstLine="37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（一）投标报价</w:t>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rPr>
          <w:rFonts w:ascii="宋体" w:hAnsi="宋体" w:eastAsia="宋体" w:cs="Times New Roman"/>
          <w:color w:val="auto"/>
          <w:sz w:val="24"/>
          <w:szCs w:val="24"/>
          <w:highlight w:val="none"/>
        </w:rPr>
      </w:pPr>
      <w:r/>
      <w:bookmarkStart w:id="102" w:name="OLE_LINK37"/>
      <w:r/>
      <w:bookmarkStart w:id="103" w:name="OLE_LINK36"/>
      <w:r>
        <w:rPr>
          <w:rFonts w:hint="eastAsia" w:ascii="宋体" w:hAnsi="宋体" w:eastAsia="宋体" w:cs="Times New Roman"/>
          <w:color w:val="auto"/>
          <w:sz w:val="24"/>
          <w:szCs w:val="24"/>
          <w:highlight w:val="none"/>
        </w:rPr>
        <w:t xml:space="preserve">（二）商务要求响应</w:t>
      </w:r>
      <w:r/>
    </w:p>
    <w:tbl>
      <w:tblPr>
        <w:tblStyle w:val="689"/>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8"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2883"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02"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符合/正偏离/负偏离</w:t>
            </w:r>
            <w:r/>
          </w:p>
        </w:tc>
        <w:tc>
          <w:tcPr>
            <w:tcW w:w="1614" w:type="dxa"/>
            <w:vAlign w:val="center"/>
            <w:textDirection w:val="lrTb"/>
            <w:noWrap w:val="false"/>
          </w:tcPr>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p>
        </w:tc>
      </w:tr>
      <w:tr>
        <w:trPr>
          <w:cantSplit/>
          <w:trHeight w:val="640"/>
        </w:trPr>
        <w:tc>
          <w:tcPr>
            <w:tcW w:w="68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688"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83"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14"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68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688"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83"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14"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68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688"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83"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14" w:type="dxa"/>
            <w:textDirection w:val="lrTb"/>
            <w:noWrap w:val="false"/>
          </w:tcPr>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注：针对采购需求部分商务部分</w:t>
      </w:r>
      <w:r>
        <w:rPr>
          <w:rFonts w:ascii="宋体" w:hAnsi="宋体" w:eastAsia="宋体" w:cs="Times New Roman"/>
          <w:color w:val="auto"/>
          <w:sz w:val="24"/>
          <w:szCs w:val="24"/>
          <w:highlight w:val="none"/>
        </w:rPr>
        <w:t xml:space="preserve">逐条响应</w:t>
      </w:r>
      <w:r>
        <w:rPr>
          <w:rFonts w:hint="eastAsia" w:ascii="宋体" w:hAnsi="宋体" w:eastAsia="宋体" w:cs="Times New Roman"/>
          <w:color w:val="auto"/>
          <w:sz w:val="24"/>
          <w:szCs w:val="24"/>
          <w:highlight w:val="none"/>
        </w:rPr>
        <w:t xml:space="preserve">。行数不够，可自行添加。</w:t>
      </w:r>
      <w:bookmarkEnd w:id="102"/>
      <w:r/>
      <w:bookmarkEnd w:id="103"/>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0"/>
        <w:jc w:val="center"/>
        <w:widowControl/>
        <w:rPr>
          <w:rFonts w:ascii="宋体" w:hAnsi="宋体" w:eastAsia="宋体" w:cs="宋体"/>
          <w:bCs/>
          <w:color w:val="auto"/>
          <w:highlight w:val="none"/>
        </w:rPr>
        <w:outlineLvl w:val="1"/>
      </w:pPr>
      <w:r>
        <w:rPr>
          <w:rFonts w:hint="eastAsia" w:ascii="宋体" w:hAnsi="宋体" w:eastAsia="宋体" w:cs="宋体"/>
          <w:bCs/>
          <w:color w:val="auto"/>
          <w:sz w:val="24"/>
          <w:szCs w:val="24"/>
          <w:highlight w:val="none"/>
        </w:rPr>
        <w:t xml:space="preserve">（三）技术要求响应</w:t>
      </w:r>
      <w:r/>
    </w:p>
    <w:p>
      <w:pPr>
        <w:pStyle w:val="713"/>
        <w:jc w:val="center"/>
        <w:spacing w:beforeAutospacing="0" w:afterAutospacing="0"/>
        <w:widowControl/>
        <w:rPr>
          <w:color w:val="auto"/>
          <w:highlight w:val="none"/>
        </w:rPr>
      </w:pPr>
      <w:r/>
      <w:bookmarkStart w:id="104" w:name="_Toc256000023"/>
      <w:r>
        <w:rPr>
          <w:rFonts w:ascii="宋体" w:hAnsi="宋体" w:eastAsia="宋体" w:cs="宋体"/>
          <w:color w:val="auto"/>
          <w:sz w:val="28"/>
          <w:szCs w:val="28"/>
          <w:highlight w:val="none"/>
        </w:rPr>
        <w:t xml:space="preserve">技术响应及偏离表</w:t>
      </w:r>
      <w:r/>
    </w:p>
    <w:tbl>
      <w:tblPr>
        <w:tblStyle w:val="689"/>
        <w:tblW w:w="0" w:type="auto"/>
        <w:tblCellSpacing w:w="0" w:type="dxa"/>
        <w:tblInd w:w="20" w:type="dxa"/>
        <w:tblLayout w:type="autofit"/>
        <w:tblCellMar>
          <w:left w:w="108" w:type="dxa"/>
          <w:top w:w="0" w:type="dxa"/>
          <w:right w:w="108" w:type="dxa"/>
          <w:bottom w:w="0" w:type="dxa"/>
        </w:tblCellMar>
        <w:tblLook w:val="04A0" w:firstRow="1" w:lastRow="0" w:firstColumn="1" w:lastColumn="0" w:noHBand="0" w:noVBand="1"/>
      </w:tblPr>
      <w:tblGrid>
        <w:gridCol w:w="757"/>
        <w:gridCol w:w="1278"/>
        <w:gridCol w:w="1879"/>
        <w:gridCol w:w="1914"/>
        <w:gridCol w:w="1302"/>
        <w:gridCol w:w="1765"/>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278"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名称及型号</w:t>
            </w:r>
            <w:r/>
          </w:p>
        </w:tc>
        <w:tc>
          <w:tcPr>
            <w:shd w:val="clear" w:color="auto" w:fill="auto"/>
            <w:tcBorders>
              <w:top w:val="single" w:color="000000" w:sz="8" w:space="0"/>
              <w:left w:val="single" w:color="000000" w:sz="8" w:space="0"/>
              <w:bottom w:val="single" w:color="000000" w:sz="8" w:space="0"/>
              <w:right w:val="single" w:color="000000" w:sz="8" w:space="0"/>
            </w:tcBorders>
            <w:tcW w:w="1879"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招标文件要求参数</w:t>
            </w:r>
            <w:r/>
          </w:p>
        </w:tc>
        <w:tc>
          <w:tcPr>
            <w:shd w:val="clear" w:color="auto" w:fill="auto"/>
            <w:tcBorders>
              <w:top w:val="single" w:color="000000" w:sz="8" w:space="0"/>
              <w:left w:val="single" w:color="000000" w:sz="8" w:space="0"/>
              <w:bottom w:val="single" w:color="000000" w:sz="8" w:space="0"/>
              <w:right w:val="single" w:color="000000" w:sz="8" w:space="0"/>
            </w:tcBorders>
            <w:tcW w:w="1914"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投标实际参数</w:t>
            </w:r>
            <w:r/>
          </w:p>
        </w:tc>
        <w:tc>
          <w:tcPr>
            <w:shd w:val="clear" w:color="auto" w:fill="auto"/>
            <w:tcBorders>
              <w:top w:val="single" w:color="000000" w:sz="8" w:space="0"/>
              <w:left w:val="single" w:color="000000" w:sz="8" w:space="0"/>
              <w:bottom w:val="single" w:color="000000" w:sz="8" w:space="0"/>
              <w:right w:val="single" w:color="000000" w:sz="8" w:space="0"/>
            </w:tcBorders>
            <w:tcW w:w="1302"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符合/正偏离/负偏离</w:t>
            </w:r>
            <w:r/>
          </w:p>
        </w:tc>
        <w:tc>
          <w:tcPr>
            <w:shd w:val="clear" w:color="auto" w:fill="auto"/>
            <w:tcBorders>
              <w:top w:val="single" w:color="000000" w:sz="8" w:space="0"/>
              <w:left w:val="single" w:color="000000" w:sz="8" w:space="0"/>
              <w:bottom w:val="single" w:color="000000" w:sz="8" w:space="0"/>
              <w:right w:val="single" w:color="000000" w:sz="8" w:space="0"/>
            </w:tcBorders>
            <w:tcW w:w="1765"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备注</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278"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914"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302"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65" w:type="dxa"/>
            <w:vAlign w:val="center"/>
            <w:textDirection w:val="lrTb"/>
            <w:noWrap w:val="false"/>
          </w:tcPr>
          <w:p>
            <w:pPr>
              <w:pStyle w:val="713"/>
              <w:jc w:val="center"/>
              <w:spacing w:before="200" w:beforeAutospacing="0" w:after="200" w:afterAutospacing="0" w:line="85" w:lineRule="atLeast"/>
              <w:widowControl/>
              <w:rPr>
                <w:color w:val="auto"/>
                <w:highlight w:val="none"/>
              </w:rPr>
            </w:pPr>
            <w:r>
              <w:rPr>
                <w:rFonts w:ascii="宋体" w:hAnsi="宋体" w:eastAsia="宋体" w:cs="宋体"/>
                <w:color w:val="auto"/>
                <w:szCs w:val="24"/>
                <w:highlight w:val="none"/>
              </w:rPr>
              <w:t xml:space="preserve"> </w:t>
            </w:r>
            <w:r/>
          </w:p>
        </w:tc>
      </w:tr>
    </w:tbl>
    <w:p>
      <w:pPr>
        <w:pStyle w:val="713"/>
        <w:jc w:val="both"/>
        <w:spacing w:before="240" w:beforeAutospacing="0" w:after="240" w:afterAutospacing="0" w:line="85" w:lineRule="atLeast"/>
        <w:widowControl/>
        <w:rPr>
          <w:color w:val="auto"/>
          <w:highlight w:val="none"/>
        </w:rPr>
      </w:pPr>
      <w:r>
        <w:rPr>
          <w:rFonts w:ascii="宋体" w:hAnsi="宋体" w:eastAsia="宋体" w:cs="宋体"/>
          <w:b/>
          <w:bCs/>
          <w:color w:val="auto"/>
          <w:szCs w:val="24"/>
          <w:highlight w:val="none"/>
        </w:rPr>
        <w:t xml:space="preserve">注：</w:t>
      </w:r>
      <w:r>
        <w:rPr>
          <w:rFonts w:ascii="宋体" w:hAnsi="宋体" w:eastAsia="宋体" w:cs="宋体"/>
          <w:color w:val="auto"/>
          <w:szCs w:val="24"/>
          <w:highlight w:val="none"/>
        </w:rPr>
        <w:t xml:space="preserve">1、“偏离”系指“正偏离”、“负偏离”或“无偏离”。</w:t>
      </w:r>
      <w:r/>
    </w:p>
    <w:p>
      <w:pPr>
        <w:pStyle w:val="713"/>
        <w:ind w:firstLine="480"/>
        <w:jc w:val="both"/>
        <w:spacing w:before="240" w:beforeAutospacing="0" w:after="240" w:afterAutospacing="0" w:line="85" w:lineRule="atLeast"/>
        <w:widowControl/>
        <w:rPr>
          <w:color w:val="auto"/>
          <w:highlight w:val="none"/>
        </w:rPr>
      </w:pPr>
      <w:r>
        <w:rPr>
          <w:rFonts w:ascii="宋体" w:hAnsi="宋体" w:eastAsia="宋体" w:cs="宋体"/>
          <w:color w:val="auto"/>
          <w:szCs w:val="24"/>
          <w:highlight w:val="none"/>
        </w:rPr>
        <w:t xml:space="preserve">2、投标人应逐一说明投标货物技术参数和偏离情况，如直接拷贝或简单复制招标文件技术要求的，技术参数响应情况评分按得零分处理。</w:t>
      </w:r>
      <w:r/>
    </w:p>
    <w:p>
      <w:pPr>
        <w:pStyle w:val="713"/>
        <w:ind w:firstLine="480"/>
        <w:jc w:val="both"/>
        <w:spacing w:before="240" w:beforeAutospacing="0" w:after="240" w:afterAutospacing="0" w:line="85" w:lineRule="atLeast"/>
        <w:widowControl/>
        <w:rPr>
          <w:color w:val="auto"/>
          <w:highlight w:val="none"/>
        </w:rPr>
      </w:pPr>
      <w:r>
        <w:rPr>
          <w:rFonts w:ascii="宋体" w:hAnsi="宋体" w:eastAsia="宋体" w:cs="宋体"/>
          <w:color w:val="auto"/>
          <w:szCs w:val="24"/>
          <w:highlight w:val="none"/>
        </w:rPr>
        <w:t xml:space="preserve">3、投标人在《技术要求响应及偏离表》中须如实表述产品技术性能，虚构产品技术参数的，将视为虚假应标，按照无效投标处理。</w:t>
      </w:r>
      <w:r/>
    </w:p>
    <w:p>
      <w:pPr>
        <w:pStyle w:val="713"/>
        <w:ind w:firstLine="480"/>
        <w:jc w:val="both"/>
        <w:spacing w:before="240" w:beforeAutospacing="0" w:after="240" w:afterAutospacing="0" w:line="85" w:lineRule="atLeast"/>
        <w:widowControl/>
        <w:rPr>
          <w:color w:val="auto"/>
          <w:highlight w:val="none"/>
        </w:rPr>
      </w:pPr>
      <w:r>
        <w:rPr>
          <w:rFonts w:ascii="宋体" w:hAnsi="宋体" w:eastAsia="宋体" w:cs="宋体"/>
          <w:color w:val="auto"/>
          <w:szCs w:val="24"/>
          <w:highlight w:val="none"/>
        </w:rPr>
        <w:t xml:space="preserve">4、行数不够可自行添加。</w:t>
      </w:r>
      <w:r/>
    </w:p>
    <w:p>
      <w:pPr>
        <w:pStyle w:val="713"/>
        <w:ind w:firstLine="480"/>
        <w:jc w:val="both"/>
        <w:spacing w:before="240" w:beforeAutospacing="0" w:after="240" w:afterAutospacing="0" w:line="85" w:lineRule="atLeast"/>
        <w:widowControl/>
        <w:rPr>
          <w:color w:val="auto"/>
          <w:highlight w:val="none"/>
        </w:rPr>
      </w:pPr>
      <w:r>
        <w:rPr>
          <w:rFonts w:ascii="宋体" w:hAnsi="宋体" w:eastAsia="宋体" w:cs="宋体"/>
          <w:color w:val="auto"/>
          <w:szCs w:val="24"/>
          <w:highlight w:val="none"/>
        </w:rPr>
        <w:t xml:space="preserve">5、相关证明材料附后。</w:t>
      </w:r>
      <w:r/>
    </w:p>
    <w:p>
      <w:pPr>
        <w:jc w:val="center"/>
        <w:widowControl/>
        <w:rPr>
          <w:rFonts w:ascii="Times New Roman" w:hAnsi="Times New Roman" w:eastAsia="宋体" w:cs="Times New Roman"/>
          <w:b/>
          <w:color w:val="auto"/>
          <w:sz w:val="30"/>
          <w:szCs w:val="30"/>
          <w:highlight w:val="none"/>
        </w:rPr>
        <w:outlineLvl w:val="2"/>
      </w:pPr>
      <w:r>
        <w:rPr>
          <w:rFonts w:ascii="Times New Roman" w:hAnsi="Times New Roman" w:eastAsia="宋体" w:cs="Times New Roman"/>
          <w:b/>
          <w:color w:val="auto"/>
          <w:sz w:val="30"/>
          <w:szCs w:val="30"/>
          <w:highlight w:val="none"/>
        </w:rPr>
      </w:r>
      <w:r/>
    </w:p>
    <w:p>
      <w:pPr>
        <w:jc w:val="center"/>
        <w:widowControl/>
        <w:rPr>
          <w:rFonts w:ascii="Times New Roman" w:hAnsi="Times New Roman" w:eastAsia="宋体" w:cs="Times New Roman"/>
          <w:b/>
          <w:color w:val="auto"/>
          <w:sz w:val="30"/>
          <w:szCs w:val="30"/>
          <w:highlight w:val="none"/>
        </w:rPr>
        <w:outlineLvl w:val="2"/>
      </w:pPr>
      <w:r>
        <w:rPr>
          <w:rFonts w:ascii="Times New Roman" w:hAnsi="Times New Roman" w:eastAsia="宋体" w:cs="Times New Roman"/>
          <w:b/>
          <w:color w:val="auto"/>
          <w:sz w:val="30"/>
          <w:szCs w:val="30"/>
          <w:highlight w:val="none"/>
        </w:rPr>
      </w:r>
      <w:bookmarkEnd w:id="104"/>
      <w:r/>
      <w:r/>
    </w:p>
    <w:p>
      <w:pPr>
        <w:jc w:val="center"/>
        <w:widowControl/>
        <w:rPr>
          <w:rFonts w:ascii="Times New Roman" w:hAnsi="Times New Roman" w:eastAsia="宋体" w:cs="Times New Roman"/>
          <w:b/>
          <w:color w:val="auto"/>
          <w:sz w:val="30"/>
          <w:szCs w:val="30"/>
          <w:highlight w:val="none"/>
        </w:rPr>
        <w:outlineLvl w:val="2"/>
      </w:pPr>
      <w:r>
        <w:rPr>
          <w:rFonts w:ascii="Times New Roman" w:hAnsi="Times New Roman" w:eastAsia="宋体" w:cs="Times New Roman"/>
          <w:b/>
          <w:color w:val="auto"/>
          <w:sz w:val="30"/>
          <w:szCs w:val="30"/>
          <w:highlight w:val="none"/>
        </w:rPr>
      </w:r>
      <w:r/>
    </w:p>
    <w:p>
      <w:pPr>
        <w:numPr>
          <w:ilvl w:val="0"/>
          <w:numId w:val="11"/>
        </w:numPr>
        <w:ind w:firstLine="602"/>
        <w:jc w:val="center"/>
        <w:spacing w:line="360" w:lineRule="auto"/>
        <w:widowControl/>
        <w:rPr>
          <w:rFonts w:ascii="Times New Roman" w:hAnsi="Times New Roman" w:eastAsia="宋体" w:cs="Times New Roman"/>
          <w:b/>
          <w:color w:val="auto"/>
          <w:sz w:val="30"/>
          <w:szCs w:val="30"/>
          <w:highlight w:val="none"/>
        </w:rPr>
        <w:outlineLvl w:val="2"/>
      </w:pPr>
      <w:r>
        <w:rPr>
          <w:rFonts w:hint="eastAsia" w:ascii="Times New Roman" w:hAnsi="Times New Roman" w:eastAsia="宋体" w:cs="Times New Roman"/>
          <w:b/>
          <w:color w:val="auto"/>
          <w:sz w:val="30"/>
          <w:szCs w:val="30"/>
          <w:highlight w:val="none"/>
        </w:rPr>
        <w:t xml:space="preserve">综合评审评分项</w:t>
      </w:r>
      <w:r/>
    </w:p>
    <w:p>
      <w:pPr>
        <w:ind w:firstLine="4174"/>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bookmarkStart w:id="105" w:name="_Toc256000089"/>
      <w:r>
        <w:rPr>
          <w:rFonts w:hint="eastAsia" w:ascii="宋体" w:hAnsi="宋体" w:eastAsia="宋体" w:cs="Times New Roman"/>
          <w:b/>
          <w:color w:val="auto"/>
          <w:spacing w:val="6"/>
          <w:sz w:val="24"/>
          <w:szCs w:val="24"/>
          <w:highlight w:val="none"/>
        </w:rPr>
        <w:t xml:space="preserve">（与</w:t>
      </w:r>
      <w:r>
        <w:rPr>
          <w:rFonts w:ascii="宋体" w:hAnsi="宋体" w:eastAsia="宋体" w:cs="Times New Roman"/>
          <w:b/>
          <w:color w:val="auto"/>
          <w:spacing w:val="6"/>
          <w:sz w:val="24"/>
          <w:szCs w:val="24"/>
          <w:highlight w:val="none"/>
        </w:rPr>
        <w:t xml:space="preserve">评审因素对应</w:t>
      </w:r>
      <w:r>
        <w:rPr>
          <w:rFonts w:hint="eastAsia" w:ascii="宋体" w:hAnsi="宋体" w:eastAsia="宋体" w:cs="Times New Roman"/>
          <w:b/>
          <w:color w:val="auto"/>
          <w:spacing w:val="6"/>
          <w:sz w:val="24"/>
          <w:szCs w:val="24"/>
          <w:highlight w:val="none"/>
        </w:rPr>
        <w:t xml:space="preserve">）</w:t>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4426"/>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color w:val="auto"/>
          <w:spacing w:val="6"/>
          <w:sz w:val="24"/>
          <w:szCs w:val="24"/>
          <w:highlight w:val="none"/>
        </w:rPr>
      </w:r>
      <w:r/>
    </w:p>
    <w:p>
      <w:pPr>
        <w:ind w:firstLine="3415"/>
        <w:jc w:val="left"/>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auto"/>
          <w:spacing w:val="6"/>
          <w:sz w:val="24"/>
          <w:szCs w:val="24"/>
          <w:highlight w:val="none"/>
        </w:rPr>
        <w:t xml:space="preserve">四</w:t>
      </w:r>
      <w:r>
        <w:rPr>
          <w:rFonts w:hint="eastAsia" w:ascii="Times New Roman" w:hAnsi="Times New Roman" w:eastAsia="宋体" w:cs="Times New Roman"/>
          <w:b/>
          <w:color w:val="auto"/>
          <w:sz w:val="30"/>
          <w:szCs w:val="30"/>
          <w:highlight w:val="none"/>
        </w:rPr>
        <w:t xml:space="preserve">、其他部分</w:t>
      </w:r>
      <w:r/>
    </w:p>
    <w:p>
      <w:pPr>
        <w:jc w:val="center"/>
        <w:widowControl/>
        <w:rPr>
          <w:rFonts w:ascii="宋体" w:hAnsi="宋体" w:eastAsia="宋体" w:cs="Times New Roman"/>
          <w:b/>
          <w:color w:val="auto"/>
          <w:spacing w:val="6"/>
          <w:sz w:val="24"/>
          <w:szCs w:val="24"/>
          <w:highlight w:val="none"/>
        </w:rPr>
        <w:outlineLvl w:val="2"/>
      </w:pPr>
      <w:r>
        <w:rPr>
          <w:rFonts w:ascii="宋体" w:hAnsi="宋体" w:eastAsia="宋体" w:cs="Times New Roman"/>
          <w:b/>
          <w:color w:val="auto"/>
          <w:spacing w:val="6"/>
          <w:sz w:val="24"/>
          <w:szCs w:val="24"/>
          <w:highlight w:val="none"/>
        </w:rPr>
      </w:r>
      <w:r/>
    </w:p>
    <w:p>
      <w:pPr>
        <w:jc w:val="center"/>
        <w:widowControl/>
        <w:rPr>
          <w:rFonts w:ascii="宋体" w:hAnsi="宋体" w:eastAsia="宋体" w:cs="Times New Roman"/>
          <w:b/>
          <w:color w:val="auto"/>
          <w:spacing w:val="6"/>
          <w:sz w:val="24"/>
          <w:szCs w:val="24"/>
          <w:highlight w:val="none"/>
        </w:rPr>
        <w:outlineLvl w:val="2"/>
      </w:pPr>
      <w:r>
        <w:rPr>
          <w:rFonts w:ascii="宋体" w:hAnsi="宋体" w:eastAsia="宋体" w:cs="Times New Roman"/>
          <w:b/>
          <w:color w:val="auto"/>
          <w:spacing w:val="6"/>
          <w:sz w:val="24"/>
          <w:szCs w:val="24"/>
          <w:highlight w:val="none"/>
        </w:rPr>
        <w:t xml:space="preserve">(一)中小企业声明函</w:t>
      </w:r>
      <w:bookmarkEnd w:id="105"/>
      <w:r/>
      <w:r/>
    </w:p>
    <w:p>
      <w:pPr>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ascii="宋体" w:hAnsi="宋体" w:eastAsia="宋体" w:cs="宋体"/>
          <w:color w:val="auto"/>
          <w:spacing w:val="6"/>
          <w:sz w:val="24"/>
          <w:szCs w:val="24"/>
          <w:highlight w:val="none"/>
          <w:u w:val="single"/>
        </w:rPr>
        <w:t xml:space="preserve">（单位名称）</w:t>
      </w:r>
      <w:r>
        <w:rPr>
          <w:rFonts w:ascii="宋体" w:hAnsi="宋体" w:eastAsia="宋体" w:cs="宋体"/>
          <w:color w:val="auto"/>
          <w:spacing w:val="6"/>
          <w:sz w:val="24"/>
          <w:szCs w:val="24"/>
          <w:highlight w:val="none"/>
        </w:rPr>
        <w:t xml:space="preserve">的</w:t>
      </w:r>
      <w:r>
        <w:rPr>
          <w:rFonts w:ascii="宋体" w:hAnsi="宋体" w:eastAsia="宋体" w:cs="宋体"/>
          <w:color w:val="auto"/>
          <w:spacing w:val="6"/>
          <w:sz w:val="24"/>
          <w:szCs w:val="24"/>
          <w:highlight w:val="none"/>
          <w:u w:val="single"/>
        </w:rPr>
        <w:t xml:space="preserve">（项目名称）</w:t>
      </w:r>
      <w:r>
        <w:rPr>
          <w:rFonts w:ascii="宋体" w:hAnsi="宋体" w:eastAsia="宋体" w:cs="宋体"/>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1.</w:t>
      </w:r>
      <w:r>
        <w:rPr>
          <w:rFonts w:ascii="宋体" w:hAnsi="宋体" w:eastAsia="宋体" w:cs="宋体"/>
          <w:color w:val="auto"/>
          <w:spacing w:val="6"/>
          <w:sz w:val="24"/>
          <w:szCs w:val="24"/>
          <w:highlight w:val="none"/>
          <w:u w:val="single"/>
        </w:rPr>
        <w:t xml:space="preserve">（标的名称）</w:t>
      </w:r>
      <w:r>
        <w:rPr>
          <w:rFonts w:ascii="宋体" w:hAnsi="宋体" w:eastAsia="宋体" w:cs="宋体"/>
          <w:color w:val="auto"/>
          <w:spacing w:val="6"/>
          <w:sz w:val="24"/>
          <w:szCs w:val="24"/>
          <w:highlight w:val="none"/>
        </w:rPr>
        <w:t xml:space="preserve">，属于</w:t>
      </w:r>
      <w:r>
        <w:rPr>
          <w:rFonts w:ascii="宋体" w:hAnsi="宋体" w:eastAsia="宋体" w:cs="宋体"/>
          <w:color w:val="auto"/>
          <w:spacing w:val="6"/>
          <w:sz w:val="24"/>
          <w:szCs w:val="24"/>
          <w:highlight w:val="none"/>
          <w:u w:val="single"/>
        </w:rPr>
        <w:t xml:space="preserve">（采购文件中明确的所属行业）</w:t>
      </w:r>
      <w:r>
        <w:rPr>
          <w:rFonts w:ascii="宋体" w:hAnsi="宋体" w:eastAsia="宋体" w:cs="宋体"/>
          <w:color w:val="auto"/>
          <w:spacing w:val="6"/>
          <w:sz w:val="24"/>
          <w:szCs w:val="24"/>
          <w:highlight w:val="none"/>
        </w:rPr>
        <w:t xml:space="preserve">行业；制造商为</w:t>
      </w:r>
      <w:r>
        <w:rPr>
          <w:rFonts w:ascii="宋体" w:hAnsi="宋体" w:eastAsia="宋体" w:cs="宋体"/>
          <w:color w:val="auto"/>
          <w:spacing w:val="6"/>
          <w:sz w:val="24"/>
          <w:szCs w:val="24"/>
          <w:highlight w:val="none"/>
          <w:u w:val="single"/>
        </w:rPr>
        <w:t xml:space="preserve">（企业名称）</w:t>
      </w:r>
      <w:r>
        <w:rPr>
          <w:rFonts w:ascii="宋体" w:hAnsi="宋体" w:eastAsia="宋体" w:cs="宋体"/>
          <w:color w:val="auto"/>
          <w:spacing w:val="6"/>
          <w:sz w:val="24"/>
          <w:szCs w:val="24"/>
          <w:highlight w:val="none"/>
        </w:rPr>
        <w:t xml:space="preserve">，从业人员</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人，营业收入为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万元，资产总额为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万元，属于</w:t>
      </w:r>
      <w:r>
        <w:rPr>
          <w:rFonts w:ascii="宋体" w:hAnsi="宋体" w:eastAsia="宋体" w:cs="宋体"/>
          <w:color w:val="auto"/>
          <w:spacing w:val="6"/>
          <w:sz w:val="24"/>
          <w:szCs w:val="24"/>
          <w:highlight w:val="none"/>
          <w:u w:val="single"/>
        </w:rPr>
        <w:t xml:space="preserve">（中型企业、小型企业、微型企业）</w:t>
      </w:r>
      <w:r>
        <w:rPr>
          <w:rFonts w:ascii="宋体" w:hAnsi="宋体" w:eastAsia="宋体" w:cs="宋体"/>
          <w:color w:val="auto"/>
          <w:spacing w:val="6"/>
          <w:sz w:val="24"/>
          <w:szCs w:val="24"/>
          <w:highlight w:val="none"/>
        </w:rPr>
        <w:t xml:space="preserve">；  </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2.</w:t>
      </w:r>
      <w:r>
        <w:rPr>
          <w:rFonts w:ascii="宋体" w:hAnsi="宋体" w:eastAsia="宋体" w:cs="宋体"/>
          <w:color w:val="auto"/>
          <w:spacing w:val="6"/>
          <w:sz w:val="24"/>
          <w:szCs w:val="24"/>
          <w:highlight w:val="none"/>
          <w:u w:val="single"/>
        </w:rPr>
        <w:t xml:space="preserve"> （标的名称）</w:t>
      </w:r>
      <w:r>
        <w:rPr>
          <w:rFonts w:ascii="宋体" w:hAnsi="宋体" w:eastAsia="宋体" w:cs="宋体"/>
          <w:color w:val="auto"/>
          <w:spacing w:val="6"/>
          <w:sz w:val="24"/>
          <w:szCs w:val="24"/>
          <w:highlight w:val="none"/>
        </w:rPr>
        <w:t xml:space="preserve">，属于</w:t>
      </w:r>
      <w:r>
        <w:rPr>
          <w:rFonts w:ascii="宋体" w:hAnsi="宋体" w:eastAsia="宋体" w:cs="宋体"/>
          <w:color w:val="auto"/>
          <w:spacing w:val="6"/>
          <w:sz w:val="24"/>
          <w:szCs w:val="24"/>
          <w:highlight w:val="none"/>
          <w:u w:val="single"/>
        </w:rPr>
        <w:t xml:space="preserve">（采购文件中明确的所属行业）</w:t>
      </w:r>
      <w:r>
        <w:rPr>
          <w:rFonts w:ascii="宋体" w:hAnsi="宋体" w:eastAsia="宋体" w:cs="宋体"/>
          <w:color w:val="auto"/>
          <w:spacing w:val="6"/>
          <w:sz w:val="24"/>
          <w:szCs w:val="24"/>
          <w:highlight w:val="none"/>
        </w:rPr>
        <w:t xml:space="preserve">行业；制造商为</w:t>
      </w:r>
      <w:r>
        <w:rPr>
          <w:rFonts w:ascii="宋体" w:hAnsi="宋体" w:eastAsia="宋体" w:cs="宋体"/>
          <w:color w:val="auto"/>
          <w:spacing w:val="6"/>
          <w:sz w:val="24"/>
          <w:szCs w:val="24"/>
          <w:highlight w:val="none"/>
          <w:u w:val="single"/>
        </w:rPr>
        <w:t xml:space="preserve">（企业名称）</w:t>
      </w:r>
      <w:r>
        <w:rPr>
          <w:rFonts w:ascii="宋体" w:hAnsi="宋体" w:eastAsia="宋体" w:cs="宋体"/>
          <w:color w:val="auto"/>
          <w:spacing w:val="6"/>
          <w:sz w:val="24"/>
          <w:szCs w:val="24"/>
          <w:highlight w:val="none"/>
        </w:rPr>
        <w:t xml:space="preserve">，从业人员</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人，营业收入为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万元，资产总额为</w:t>
      </w:r>
      <w:r>
        <w:rPr>
          <w:rFonts w:ascii="宋体" w:hAnsi="宋体" w:eastAsia="宋体" w:cs="宋体"/>
          <w:color w:val="auto"/>
          <w:spacing w:val="6"/>
          <w:sz w:val="24"/>
          <w:szCs w:val="24"/>
          <w:highlight w:val="none"/>
          <w:u w:val="single"/>
        </w:rPr>
        <w:t xml:space="preserve">  </w:t>
      </w:r>
      <w:r>
        <w:rPr>
          <w:rFonts w:ascii="宋体" w:hAnsi="宋体" w:eastAsia="宋体" w:cs="宋体"/>
          <w:color w:val="auto"/>
          <w:spacing w:val="6"/>
          <w:sz w:val="24"/>
          <w:szCs w:val="24"/>
          <w:highlight w:val="none"/>
        </w:rPr>
        <w:t xml:space="preserve">万元，属于</w:t>
      </w:r>
      <w:r>
        <w:rPr>
          <w:rFonts w:ascii="宋体" w:hAnsi="宋体" w:eastAsia="宋体" w:cs="宋体"/>
          <w:color w:val="auto"/>
          <w:spacing w:val="6"/>
          <w:sz w:val="24"/>
          <w:szCs w:val="24"/>
          <w:highlight w:val="none"/>
          <w:u w:val="single"/>
        </w:rPr>
        <w:t xml:space="preserve">（中型企业、小型企业、微型企业）</w:t>
      </w:r>
      <w:r>
        <w:rPr>
          <w:rFonts w:ascii="宋体" w:hAnsi="宋体" w:eastAsia="宋体" w:cs="宋体"/>
          <w:color w:val="auto"/>
          <w:spacing w:val="6"/>
          <w:sz w:val="24"/>
          <w:szCs w:val="24"/>
          <w:highlight w:val="none"/>
        </w:rPr>
        <w:t xml:space="preserve">；</w:t>
      </w:r>
      <w:r/>
    </w:p>
    <w:p>
      <w:pPr>
        <w:ind w:firstLine="584"/>
        <w:spacing w:before="240" w:after="240" w:line="85" w:lineRule="atLeast"/>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  ……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本企业对上述声明内容的真实性负责。如有虚假，将依法承担相应责任。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企业名称（盖章）：  </w:t>
      </w:r>
      <w:r/>
    </w:p>
    <w:p>
      <w:pPr>
        <w:ind w:firstLine="584"/>
        <w:spacing w:before="240" w:after="240" w:line="276" w:lineRule="auto"/>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日 期：</w:t>
      </w:r>
      <w:r/>
    </w:p>
    <w:p>
      <w:pPr>
        <w:ind w:firstLine="584"/>
        <w:spacing w:before="240" w:after="240" w:line="85" w:lineRule="atLeast"/>
        <w:rPr>
          <w:rFonts w:ascii="Times New Roman" w:hAnsi="Times New Roman" w:eastAsia="宋体" w:cs="Times New Roman"/>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szCs w:val="24"/>
          <w:highlight w:val="none"/>
        </w:rPr>
        <w:t xml:space="preserve">注：从业人员、营业收入、资产总额填报上一年度数据，无上一年度数据的新成立企业可不填报。友情提醒：供应商应按照所投报货物实际情况如实填写该声明函，在货物采购项目中，供应商提供的货物既有中小企业制造货物，也有大型企业制造货物的，不享受中小企业扶持政策，无需填写该声明函。</w:t>
      </w:r>
      <w:r/>
    </w:p>
    <w:p>
      <w:pPr>
        <w:ind w:firstLine="482"/>
        <w:spacing w:line="360" w:lineRule="atLeas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clear="all"/>
      </w:r>
      <w:r/>
    </w:p>
    <w:p>
      <w:pPr>
        <w:ind w:firstLine="482"/>
        <w:jc w:val="center"/>
        <w:rPr>
          <w:rFonts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黑体"/>
          <w:b/>
          <w:color w:val="auto"/>
          <w:sz w:val="24"/>
          <w:szCs w:val="24"/>
          <w:highlight w:val="none"/>
        </w:rPr>
        <w:t xml:space="preserve">（二）残疾人福利性单位声明函</w:t>
      </w:r>
      <w:r/>
    </w:p>
    <w:p>
      <w:pPr>
        <w:ind w:firstLine="48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504"/>
        <w:spacing w:line="360" w:lineRule="auto"/>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spacing w:line="360" w:lineRule="auto"/>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 xml:space="preserve">本单位对上述声明的真实性负责。如有虚假，将依法承担相应责任。</w:t>
      </w:r>
      <w:r/>
    </w:p>
    <w:p>
      <w:pPr>
        <w:ind w:firstLine="480"/>
        <w:rPr>
          <w:rFonts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p>
    <w:p>
      <w:pPr>
        <w:ind w:firstLine="504"/>
        <w:spacing w:line="360" w:lineRule="auto"/>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 xml:space="preserve">（备注：1、供应商如不提供此声明函，价格将不做相应扣除。2、成交供应商为残疾人福利单位的，此声明函将随成交结果同时公告，接受社会监督）</w:t>
      </w:r>
      <w:r/>
    </w:p>
    <w:p>
      <w:pPr>
        <w:ind w:firstLine="504"/>
        <w:spacing w:line="360" w:lineRule="auto"/>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 xml:space="preserve"> </w:t>
      </w:r>
      <w:r/>
    </w:p>
    <w:p>
      <w:pPr>
        <w:ind w:right="1560" w:firstLine="504"/>
        <w:rPr>
          <w:rFonts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Calibri"/>
          <w:color w:val="auto"/>
          <w:spacing w:val="6"/>
          <w:sz w:val="24"/>
          <w:szCs w:val="24"/>
          <w:highlight w:val="none"/>
        </w:rPr>
        <w:t xml:space="preserve">           </w:t>
      </w:r>
      <w:r>
        <w:rPr>
          <w:rFonts w:ascii="宋体" w:hAnsi="宋体" w:eastAsia="宋体" w:cs="宋体"/>
          <w:color w:val="auto"/>
          <w:sz w:val="24"/>
          <w:szCs w:val="24"/>
          <w:highlight w:val="none"/>
        </w:rPr>
        <w:t xml:space="preserve">供应商全称（加盖CA电子公章）：</w:t>
      </w:r>
      <w:r/>
    </w:p>
    <w:p>
      <w:pPr>
        <w:ind w:right="1560" w:firstLine="480"/>
        <w:rPr>
          <w:rFonts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日期：</w:t>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ind w:firstLine="482"/>
        <w:widowControl/>
        <w:rPr>
          <w:rFonts w:ascii="宋体" w:hAnsi="宋体" w:eastAsia="宋体" w:cs="宋体"/>
          <w:b/>
          <w:color w:val="auto"/>
          <w:sz w:val="24"/>
          <w:szCs w:val="24"/>
          <w:highlight w:val="none"/>
        </w:rPr>
        <w:outlineLvl w:val="1"/>
      </w:pPr>
      <w:r>
        <w:rPr>
          <w:rFonts w:ascii="宋体" w:hAnsi="宋体" w:eastAsia="宋体" w:cs="宋体"/>
          <w:b/>
          <w:color w:val="auto"/>
          <w:sz w:val="24"/>
          <w:szCs w:val="24"/>
          <w:highlight w:val="none"/>
        </w:rPr>
      </w:r>
      <w:r/>
    </w:p>
    <w:p>
      <w:pPr>
        <w:keepLines/>
        <w:keepNext/>
        <w:spacing w:before="260" w:after="260" w:line="416" w:lineRule="auto"/>
        <w:rPr>
          <w:rFonts w:ascii="Times New Roman" w:hAnsi="Times New Roman" w:eastAsia="宋体" w:cs="Times New Roman"/>
          <w:b/>
          <w:color w:val="auto"/>
          <w:sz w:val="32"/>
          <w:szCs w:val="20"/>
          <w:highlight w:val="none"/>
        </w:rPr>
        <w:outlineLvl w:val="2"/>
      </w:pPr>
      <w:r>
        <w:rPr>
          <w:rFonts w:ascii="Times New Roman" w:hAnsi="Times New Roman" w:eastAsia="宋体" w:cs="Times New Roman"/>
          <w:b/>
          <w:color w:val="auto"/>
          <w:sz w:val="32"/>
          <w:szCs w:val="20"/>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Lines/>
        <w:keepNext/>
        <w:spacing w:line="360" w:lineRule="auto"/>
        <w:rPr>
          <w:rFonts w:ascii="Arial" w:hAnsi="Arial" w:eastAsia="宋体" w:cs="Times New Roman"/>
          <w:b/>
          <w:bCs/>
          <w:color w:val="auto"/>
          <w:sz w:val="24"/>
          <w:szCs w:val="32"/>
          <w:highlight w:val="none"/>
        </w:rPr>
        <w:outlineLvl w:val="1"/>
      </w:pPr>
      <w:r>
        <w:rPr>
          <w:rFonts w:ascii="Arial" w:hAnsi="Arial" w:eastAsia="宋体" w:cs="Times New Roman"/>
          <w:b/>
          <w:bCs/>
          <w:color w:val="auto"/>
          <w:sz w:val="24"/>
          <w:szCs w:val="32"/>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2"/>
        <w:jc w:val="center"/>
        <w:rPr>
          <w:rFonts w:ascii="宋体" w:hAnsi="宋体" w:eastAsia="宋体" w:cs="黑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黑体"/>
          <w:b/>
          <w:color w:val="auto"/>
          <w:sz w:val="24"/>
          <w:szCs w:val="24"/>
          <w:highlight w:val="none"/>
        </w:rPr>
      </w:r>
      <w:r/>
    </w:p>
    <w:p>
      <w:pPr>
        <w:numPr>
          <w:ilvl w:val="0"/>
          <w:numId w:val="0"/>
        </w:numPr>
        <w:ind w:firstLine="482"/>
        <w:jc w:val="center"/>
        <w:rPr>
          <w:rFonts w:ascii="宋体" w:hAnsi="宋体" w:eastAsia="宋体" w:cs="黑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黑体"/>
          <w:b/>
          <w:color w:val="auto"/>
          <w:sz w:val="24"/>
          <w:szCs w:val="24"/>
          <w:highlight w:val="none"/>
          <w:lang w:val="en-US" w:eastAsia="zh-CN" w:bidi="ar-SA"/>
        </w:rPr>
        <w:t xml:space="preserve">(三)</w:t>
      </w:r>
      <w:r>
        <w:rPr>
          <w:rFonts w:ascii="宋体" w:hAnsi="宋体" w:eastAsia="宋体" w:cs="黑体"/>
          <w:b/>
          <w:color w:val="auto"/>
          <w:sz w:val="24"/>
          <w:szCs w:val="24"/>
          <w:highlight w:val="none"/>
        </w:rPr>
        <w:t xml:space="preserve">按招标文件要求供应商所能提供的其他文件</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right="16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eastAsia="宋体"/>
          <w:color w:val="auto"/>
          <w:highlight w:val="none"/>
          <w:lang w:eastAsia="zh-CN"/>
        </w:rPr>
      </w:pPr>
      <w:r>
        <w:rPr>
          <w:rFonts w:hint="eastAsia"/>
          <w:color w:val="auto"/>
          <w:highlight w:val="none"/>
          <w:lang w:eastAsia="zh-CN"/>
        </w:rPr>
        <w:t xml:space="preserve">附件：采购清单（采购包1）（</w:t>
      </w:r>
      <w:r>
        <w:rPr>
          <w:rFonts w:hint="eastAsia" w:eastAsia="宋体" w:cs="Times New Roman"/>
          <w:color w:val="auto"/>
          <w:highlight w:val="none"/>
          <w:lang w:val="zh-CN" w:eastAsia="zh-CN"/>
        </w:rPr>
        <w:t xml:space="preserve">标记“○”的产品</w:t>
      </w:r>
      <w:r>
        <w:rPr>
          <w:rFonts w:hint="eastAsia" w:eastAsia="宋体" w:cs="Times New Roman"/>
          <w:color w:val="auto"/>
          <w:highlight w:val="none"/>
          <w:lang w:eastAsia="zh-CN"/>
        </w:rPr>
        <w:t xml:space="preserve">参与本标段</w:t>
      </w:r>
      <w:r>
        <w:rPr>
          <w:rFonts w:hint="eastAsia" w:eastAsia="宋体" w:cs="Times New Roman"/>
          <w:color w:val="auto"/>
          <w:highlight w:val="none"/>
          <w:lang w:val="zh-CN" w:eastAsia="zh-CN"/>
        </w:rPr>
        <w:t xml:space="preserve">工艺方案评价</w:t>
      </w:r>
      <w:r>
        <w:rPr>
          <w:rFonts w:hint="eastAsia"/>
          <w:color w:val="auto"/>
          <w:highlight w:val="none"/>
          <w:lang w:eastAsia="zh-CN"/>
        </w:rPr>
        <w:t xml:space="preserve">）</w:t>
      </w:r>
      <w:r/>
    </w:p>
    <w:p>
      <w:pPr>
        <w:rPr>
          <w:color w:val="auto"/>
          <w:highlight w:val="none"/>
        </w:rPr>
      </w:pPr>
      <w:r>
        <w:rPr>
          <w:color w:val="auto"/>
          <w:highlight w:val="none"/>
        </w:rPr>
      </w:r>
      <w:r/>
    </w:p>
    <w:tbl>
      <w:tblPr>
        <w:tblStyle w:val="689"/>
        <w:tblW w:w="9920" w:type="dxa"/>
        <w:tblInd w:w="-60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04"/>
        <w:gridCol w:w="751"/>
        <w:gridCol w:w="1167"/>
        <w:gridCol w:w="1999"/>
        <w:gridCol w:w="1699"/>
        <w:gridCol w:w="2470"/>
        <w:gridCol w:w="800"/>
        <w:gridCol w:w="630"/>
      </w:tblGrid>
      <w:tr>
        <w:trPr>
          <w:trHeight w:val="680"/>
        </w:trPr>
        <w:tc>
          <w:tcPr>
            <w:gridSpan w:val="8"/>
            <w:tcBorders>
              <w:top w:val="single" w:color="000000" w:sz="4" w:space="0"/>
              <w:left w:val="single" w:color="000000" w:sz="4" w:space="0"/>
              <w:bottom w:val="single" w:color="000000" w:sz="4" w:space="0"/>
              <w:right w:val="single" w:color="000000" w:sz="4" w:space="0"/>
            </w:tcBorders>
            <w:tcW w:w="9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丹阳市中医院新院医疗家具采购清单</w:t>
            </w:r>
            <w:r/>
          </w:p>
        </w:tc>
      </w:tr>
      <w:tr>
        <w:trPr>
          <w:trHeight w:val="420"/>
        </w:trPr>
        <w:tc>
          <w:tcPr>
            <w:gridSpan w:val="5"/>
            <w:tcBorders>
              <w:top w:val="single" w:color="000000" w:sz="4" w:space="0"/>
              <w:left w:val="single" w:color="000000" w:sz="4" w:space="0"/>
              <w:bottom w:val="single" w:color="000000" w:sz="4" w:space="0"/>
              <w:right w:val="single" w:color="000000" w:sz="4" w:space="0"/>
            </w:tcBorders>
            <w:tcW w:w="602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项目名称：丹阳市中医院</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部件名称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图片参考</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规格(mm)</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描述</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医用治疗柜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医用地柜</w:t>
            </w:r>
            <w:r/>
          </w:p>
        </w:tc>
        <w:tc>
          <w:tcPr>
            <w:tcBorders>
              <w:top w:val="single" w:color="000000" w:sz="4" w:space="0"/>
              <w:left w:val="single" w:color="000000" w:sz="4" w:space="0"/>
              <w:bottom w:val="none" w:color="000000" w:sz="4" w:space="0"/>
              <w:right w:val="single" w:color="000000" w:sz="4" w:space="0"/>
            </w:tcBorders>
            <w:tcW w:w="1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876300"/>
                      <wp:effectExtent l="0" t="0" r="0" b="0"/>
                      <wp:docPr id="50" name="图片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1" descr="IMG_256"/>
                              <pic:cNvPicPr>
                                <a:picLocks noChangeAspect="1"/>
                              </pic:cNvPicPr>
                              <pic:nvPr/>
                            </pic:nvPicPr>
                            <pic:blipFill>
                              <a:blip r:embed="rId57"/>
                              <a:stretch/>
                            </pic:blipFill>
                            <pic:spPr bwMode="auto">
                              <a:xfrm>
                                <a:off x="0" y="0"/>
                                <a:ext cx="15621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23.0pt;height:69.0pt;mso-wrap-distance-left:0.0pt;mso-wrap-distance-top:0.0pt;mso-wrap-distance-right:0.0pt;mso-wrap-distance-bottom:0.0pt;" stroked="f">
                      <v:path textboxrect="0,0,0,0"/>
                      <v:imagedata r:id="rId5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L*630*837</w:t>
            </w:r>
            <w:r/>
          </w:p>
        </w:tc>
        <w:tc>
          <w:tcPr>
            <w:tcBorders>
              <w:top w:val="single" w:color="000000" w:sz="4" w:space="0"/>
              <w:left w:val="single" w:color="000000" w:sz="4" w:space="0"/>
              <w:bottom w:val="none" w:color="000000" w:sz="4" w:space="0"/>
              <w:right w:val="single" w:color="000000" w:sz="4" w:space="0"/>
            </w:tcBorders>
            <w:tcW w:w="24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1、台面：采用医用复合亚克力人造石，厚度≥12mm，主要成分为高比例高性能改性不饱和树酯，具有抑菌防、防霉、耐酸碱、耐磨、耐冲击、易清洁等特性，台面无缝拼接，符合医院环境卫生要求；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2、柜体：采用≥1.0mm厚及背架龙骨采用≥1.5mm厚一级电解钢板，具有更抗酸、更防锈、更防蚀、和涂层接触更稳固、使用年限更长等特点；上柜柜门为钢制磨砂玻璃门板；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4、踢脚线：柜体正面踢脚线采用厚度≥0.8mm 304#油膜拉丝不锈钢，四周折弯8mm厚采用塑料胶粒卡扣式安装避免使用时刮脚。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2、主要配置：地柜+背架+人造石+吊柜+针筒吊柜+分类垃圾柜+水盆柜+大输液柜+分隔板。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5、水池：304不锈钢感应水龙头、304不锈钢水盆，底部带喷涂隔音处理、亚克力挡水≥7mm厚。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2、门板及抽面带塑料标签卡槽，门板及抽屉内无裸露螺丝，抽屉内带6宫格分隔板并带一体冲压标签卡槽，门及抽面板为双层工艺；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3、地柜为上抽下掩门并带可调节层板一层，吊柜内带可调节层板一层；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4、背架中部带层板一层，层板下方带86孔位，便于后期安装插座面板；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5、垃圾柜工艺：一体成形PP垃圾盖</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390*400mm、一体成形304不锈钢投放口</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330*350*100mm、一体成形PP脚踏板、304不锈钢脚踏转动装置两根支撑杆支撑PP盖开启方式、脚踏转动装置无裸露并有预留检修口、≥0.8mm厚304#油膜拉丝不锈钢底座150mm高、门板丝网印刷垃圾分类标识；</w:t>
            </w:r>
            <w:r/>
          </w:p>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6、高危药品柜工艺；抽屉为8个，其中一列配掩门+机械密码锁内置抽屉为普通锁。                              7、大输液柜：对开掩门，内分为两列，侧面为ABS侧板，存放药盒时可以确保平放及斜放，每列配5个大中小不等的ABS药盒，锌合金铰链，开合角度≥180°，确保药盒能够顺畅取出。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225.27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推车柜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L*630*1087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人造石台面</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L*650*12/30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327.97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分隔板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227.27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医用背架</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L*45*1850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271.47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L*350*550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271.97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转角治疗柜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900*900*850/2000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分类垃圾柜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分类垃圾柜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高危药品柜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针筒吊柜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900*350*550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大输液柜○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920*650*2000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冰箱柜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亚克力挡水</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医用处置柜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医用地柜</w:t>
            </w:r>
            <w:r/>
          </w:p>
        </w:tc>
        <w:tc>
          <w:tcPr>
            <w:tcBorders>
              <w:top w:val="single" w:color="000000" w:sz="4" w:space="0"/>
              <w:left w:val="single" w:color="000000" w:sz="4" w:space="0"/>
              <w:bottom w:val="none" w:color="000000" w:sz="4" w:space="0"/>
              <w:right w:val="single" w:color="000000" w:sz="4" w:space="0"/>
            </w:tcBorders>
            <w:tcW w:w="1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876300"/>
                      <wp:effectExtent l="0" t="0" r="0" b="0"/>
                      <wp:docPr id="51" name="图片 2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22" descr="IMG_257"/>
                              <pic:cNvPicPr>
                                <a:picLocks noChangeAspect="1"/>
                              </pic:cNvPicPr>
                              <pic:nvPr/>
                            </pic:nvPicPr>
                            <pic:blipFill>
                              <a:blip r:embed="rId58"/>
                              <a:stretch/>
                            </pic:blipFill>
                            <pic:spPr bwMode="auto">
                              <a:xfrm>
                                <a:off x="0" y="0"/>
                                <a:ext cx="15621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23.0pt;height:69.0pt;mso-wrap-distance-left:0.0pt;mso-wrap-distance-top:0.0pt;mso-wrap-distance-right:0.0pt;mso-wrap-distance-bottom:0.0pt;" stroked="f">
                      <v:path textboxrect="0,0,0,0"/>
                      <v:imagedata r:id="rId5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L*630*837</w:t>
            </w:r>
            <w:r/>
          </w:p>
        </w:tc>
        <w:tc>
          <w:tcPr>
            <w:tcBorders>
              <w:top w:val="single" w:color="000000" w:sz="4" w:space="0"/>
              <w:left w:val="single" w:color="000000" w:sz="4" w:space="0"/>
              <w:bottom w:val="none" w:color="000000" w:sz="4" w:space="0"/>
              <w:right w:val="single" w:color="000000" w:sz="4" w:space="0"/>
            </w:tcBorders>
            <w:tcW w:w="24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2、柜体：采用≥1.0mm厚及背架龙骨采用≥1.5mm厚一级电解钢板，具有更抗酸、更防锈、更防蚀、和涂层接触更稳固、使用年限更长等特点；上柜柜门为钢制磨砂玻璃门板；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4、踢脚线：踢脚线柜体正面采用厚度≥0.8mm 304#油膜拉丝不锈钢，四周折弯8mm厚采用塑料胶粒卡扣式安装避免使用时刮脚。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2、主要配置：地柜+背架+人造石+吊柜+水盆柜+分类垃圾柜。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5、水池：304不锈钢感应水龙头、304不锈钢水盆，底部带喷涂隔音处理、亚克力挡水≥7mm厚。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2、门板及抽面带塑料标签卡槽，门板及抽屉内无裸露螺丝，门及抽面板为双层工艺；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3、地柜为上抽下掩门并带可调节层板一层，吊柜内带可调节层板一层；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4、背架中部带层板一层，层板下方带86孔位，便于后期安装插座面板；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5、垃圾柜工艺：一体成形PP垃圾盖尺寸</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390*400mm、一体成形304不锈钢投放口尺寸</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330*350*100mm、一体成形PP脚踏板、304不锈钢脚踏转动装置两根支撑杆支撑PP盖开启方式、脚踏转动装置无裸露并有预留检修口、≥0.8mm厚304#油膜拉丝不锈钢底座150mm高、门板丝网印刷垃圾分类标识；</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分隔板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人造石台面</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L*650*12/30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医用背架</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L*45*1850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L*350*550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分类垃圾柜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700*630*837</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50*2000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封板</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8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亚克力挡水</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医用配餐柜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配餐地柜</w:t>
            </w:r>
            <w:r/>
          </w:p>
        </w:tc>
        <w:tc>
          <w:tcPr>
            <w:tcBorders>
              <w:top w:val="single" w:color="000000" w:sz="4" w:space="0"/>
              <w:left w:val="single" w:color="000000" w:sz="4" w:space="0"/>
              <w:bottom w:val="single" w:color="000000" w:sz="4" w:space="0"/>
              <w:right w:val="single" w:color="000000" w:sz="4" w:space="0"/>
            </w:tcBorders>
            <w:tcW w:w="1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876300"/>
                      <wp:effectExtent l="0" t="0" r="0" b="0"/>
                      <wp:docPr id="52" name="图片 2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23" descr="IMG_258"/>
                              <pic:cNvPicPr>
                                <a:picLocks noChangeAspect="1"/>
                              </pic:cNvPicPr>
                              <pic:nvPr/>
                            </pic:nvPicPr>
                            <pic:blipFill>
                              <a:blip r:embed="rId59"/>
                              <a:stretch/>
                            </pic:blipFill>
                            <pic:spPr bwMode="auto">
                              <a:xfrm>
                                <a:off x="0" y="0"/>
                                <a:ext cx="15621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23.0pt;height:69.0pt;mso-wrap-distance-left:0.0pt;mso-wrap-distance-top:0.0pt;mso-wrap-distance-right:0.0pt;mso-wrap-distance-bottom:0.0pt;" stroked="f">
                      <v:path textboxrect="0,0,0,0"/>
                      <v:imagedata r:id="rId5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L*630*837</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2、柜体：采用≥1.0mm厚及背架龙骨采用≥1.5mm厚一级电解钢板，具有更抗酸、更防锈、更防蚀、和涂层接触更稳固、使用年限更长等特点；上柜柜门为钢制磨砂玻璃门板；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4、踢脚线：踢脚线柜体正面采用厚度≥0.8mm 304#油膜拉丝不锈钢，四周折弯8mm厚采用塑料胶粒卡扣式安装避免使用时刮脚。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2、主要配置：地柜+背架+人造石+吊柜+水盆柜。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5、水池：304不锈钢感应水龙头、304不锈钢水盆，底部带喷涂隔音处理、亚克力挡水≥7mm厚。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2、门板及抽面带塑料标签卡槽，门板及抽屉内无裸露螺丝，门及抽面板为双层工艺；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3、地柜为掩门并带可调节层板一层，吊柜内带可调节层板一层；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4、背架中部带层板一层，层板下方带86孔位，便于后期安装插座面板；</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75.89</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人造石台面</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L*650*12/30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97.59</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none" w:color="000000" w:sz="4" w:space="0"/>
              <w:left w:val="single" w:color="000000" w:sz="4" w:space="0"/>
              <w:bottom w:val="non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医用背架</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L*45*1850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47.8</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L*350*550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47.8</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转角地柜含台面</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900*900*850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转角配餐柜</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900*900*850/2000</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亚克力挡水</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trHeight w:val="620"/>
        </w:trPr>
        <w:tc>
          <w:tcPr>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w:t>
            </w:r>
            <w:r/>
          </w:p>
        </w:tc>
        <w:tc>
          <w:tcPr>
            <w:tcBorders>
              <w:top w:val="single" w:color="000000" w:sz="4" w:space="0"/>
              <w:left w:val="single" w:color="000000" w:sz="4" w:space="0"/>
              <w:bottom w:val="singl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700*630*837</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1060"/>
        </w:trPr>
        <w:tc>
          <w:tcPr>
            <w:tcBorders>
              <w:top w:val="single" w:color="000000" w:sz="4" w:space="0"/>
              <w:left w:val="single" w:color="000000" w:sz="4" w:space="0"/>
              <w:bottom w:val="none" w:color="000000" w:sz="4" w:space="0"/>
              <w:right w:val="single" w:color="000000" w:sz="4" w:space="0"/>
            </w:tcBorders>
            <w:tcW w:w="40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洗婴台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洗婴台</w:t>
            </w:r>
            <w:r/>
          </w:p>
        </w:tc>
        <w:tc>
          <w:tcPr>
            <w:tcBorders>
              <w:top w:val="single" w:color="000000" w:sz="4" w:space="0"/>
              <w:left w:val="single" w:color="000000" w:sz="4" w:space="0"/>
              <w:bottom w:val="none" w:color="000000" w:sz="4" w:space="0"/>
              <w:right w:val="single" w:color="000000" w:sz="4" w:space="0"/>
            </w:tcBorders>
            <w:tcW w:w="19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609600"/>
                      <wp:effectExtent l="0" t="0" r="9525" b="0"/>
                      <wp:docPr id="53" name="图片 2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24" descr="IMG_259"/>
                              <pic:cNvPicPr>
                                <a:picLocks noChangeAspect="1"/>
                              </pic:cNvPicPr>
                              <pic:nvPr/>
                            </pic:nvPicPr>
                            <pic:blipFill>
                              <a:blip r:embed="rId60"/>
                              <a:stretch/>
                            </pic:blipFill>
                            <pic:spPr bwMode="auto">
                              <a:xfrm>
                                <a:off x="0" y="0"/>
                                <a:ext cx="962025"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5.8pt;height:48.0pt;mso-wrap-distance-left:0.0pt;mso-wrap-distance-top:0.0pt;mso-wrap-distance-right:0.0pt;mso-wrap-distance-bottom:0.0pt;" stroked="f">
                      <v:path textboxrect="0,0,0,0"/>
                      <v:imagedata r:id="rId6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L*750*750</w:t>
            </w:r>
            <w:r/>
          </w:p>
        </w:tc>
        <w:tc>
          <w:tcPr>
            <w:tcBorders>
              <w:top w:val="single" w:color="000000" w:sz="4" w:space="0"/>
              <w:left w:val="single" w:color="000000" w:sz="4" w:space="0"/>
              <w:bottom w:val="none" w:color="000000" w:sz="4" w:space="0"/>
              <w:right w:val="single" w:color="000000" w:sz="4" w:space="0"/>
            </w:tcBorders>
            <w:tcW w:w="24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1、柜体：采用≥1.0mm厚一级电解钢板，具有更抗酸、更防锈、更防蚀、和涂层接触更稳固、使用年限更长等特点；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3、踢脚线：踢脚线柜体正面采用厚度≥0.8mm 304#油膜拉丝不锈钢，四周折弯8mm厚采用塑料胶粒卡扣式安装避免使用时刮脚。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4、软包：采用环保高密度高回弹海绵，耐磨医用皮革饰面，结实耐用，易清洁；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1、主体全钢结构+洗婴盆+游泳池+西皮软包+水龙头。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5、脚垫：调节脚垫。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2、门板及抽面带塑料标签卡槽，抽屉内无裸露螺丝，抽屉内带6宫格分隔板，门及抽面板为双层工艺。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1060"/>
        </w:trPr>
        <w:tc>
          <w:tcPr>
            <w:tcBorders>
              <w:top w:val="single" w:color="000000" w:sz="4" w:space="0"/>
              <w:left w:val="single" w:color="000000" w:sz="4" w:space="0"/>
              <w:bottom w:val="non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一体成型洗婴盆</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1000*790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1060"/>
        </w:trPr>
        <w:tc>
          <w:tcPr>
            <w:tcBorders>
              <w:top w:val="single" w:color="000000" w:sz="4" w:space="0"/>
              <w:left w:val="single" w:color="000000" w:sz="4" w:space="0"/>
              <w:bottom w:val="none" w:color="000000" w:sz="4" w:space="0"/>
              <w:right w:val="single" w:color="000000" w:sz="4" w:space="0"/>
            </w:tcBorders>
            <w:tcW w:w="40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软包</w:t>
            </w:r>
            <w:r/>
          </w:p>
        </w:tc>
        <w:tc>
          <w:tcPr>
            <w:tcBorders>
              <w:top w:val="single" w:color="000000" w:sz="4" w:space="0"/>
              <w:left w:val="single" w:color="000000" w:sz="4" w:space="0"/>
              <w:bottom w:val="none" w:color="000000" w:sz="4" w:space="0"/>
              <w:right w:val="single" w:color="000000" w:sz="4" w:space="0"/>
            </w:tcBorders>
            <w:tcW w:w="19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L*790*50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2460"/>
        </w:trPr>
        <w:tc>
          <w:tcPr>
            <w:tcBorders>
              <w:top w:val="single" w:color="000000" w:sz="4" w:space="0"/>
              <w:left w:val="single" w:color="000000" w:sz="4" w:space="0"/>
              <w:bottom w:val="non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医用水盆柜1</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医用水盆柜1</w:t>
            </w:r>
            <w:r/>
          </w:p>
        </w:tc>
        <w:tc>
          <w:tcPr>
            <w:tcBorders>
              <w:top w:val="single" w:color="000000" w:sz="4" w:space="0"/>
              <w:left w:val="single" w:color="000000" w:sz="4" w:space="0"/>
              <w:bottom w:val="non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85800" cy="695325"/>
                      <wp:effectExtent l="0" t="0" r="0" b="9525"/>
                      <wp:docPr id="54" name="图片 2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25" descr="IMG_260"/>
                              <pic:cNvPicPr>
                                <a:picLocks noChangeAspect="1"/>
                              </pic:cNvPicPr>
                              <pic:nvPr/>
                            </pic:nvPicPr>
                            <pic:blipFill>
                              <a:blip r:embed="rId61"/>
                              <a:stretch/>
                            </pic:blipFill>
                            <pic:spPr bwMode="auto">
                              <a:xfrm>
                                <a:off x="0" y="0"/>
                                <a:ext cx="68580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4.0pt;height:5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640*520*850</w:t>
            </w:r>
            <w:r/>
          </w:p>
        </w:tc>
        <w:tc>
          <w:tcPr>
            <w:tcBorders>
              <w:top w:val="single" w:color="000000" w:sz="4" w:space="0"/>
              <w:left w:val="single" w:color="000000" w:sz="4" w:space="0"/>
              <w:bottom w:val="none" w:color="000000" w:sz="4" w:space="0"/>
              <w:right w:val="single" w:color="000000" w:sz="4" w:space="0"/>
            </w:tcBorders>
            <w:tcW w:w="2470"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2、柜体：采用≥1.0mm厚一级电解钢板，具有更抗酸、更防锈、更防蚀、和涂层接触更稳固、使用年限更长等特点；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4、踢脚线：踢脚线柜体正面采用厚度≥0.8mm 304#油膜拉丝不锈钢，四周折弯8mm厚采用塑料胶粒卡扣式安装避免使用时刮脚。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2、主要配置：地柜+医用复合亚克力人造石台面+304不锈钢感应水龙头+304不锈钢水盆。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3、水池：感应水龙头、304不锈钢水盆底部带喷涂隔音处理、亚克力挡水≥7mm厚。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2、门板内无裸露螺丝，门板为双层工艺；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460"/>
        </w:trPr>
        <w:tc>
          <w:tcPr>
            <w:tcBorders>
              <w:top w:val="single" w:color="000000" w:sz="4" w:space="0"/>
              <w:left w:val="single" w:color="000000" w:sz="4" w:space="0"/>
              <w:bottom w:val="none" w:color="000000" w:sz="4" w:space="0"/>
              <w:right w:val="single" w:color="000000" w:sz="4" w:space="0"/>
            </w:tcBorders>
            <w:tcW w:w="404"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 xml:space="preserve">医用水盆柜2</w:t>
            </w:r>
            <w:r/>
          </w:p>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医用水盆柜2</w:t>
            </w:r>
            <w:r/>
          </w:p>
        </w:tc>
        <w:tc>
          <w:tcPr>
            <w:tcBorders>
              <w:top w:val="single" w:color="000000" w:sz="4" w:space="0"/>
              <w:left w:val="single" w:color="000000" w:sz="4" w:space="0"/>
              <w:bottom w:val="non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85800" cy="695325"/>
                      <wp:effectExtent l="0" t="0" r="0" b="9525"/>
                      <wp:docPr id="55" name="图片 2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25" descr="IMG_260"/>
                              <pic:cNvPicPr>
                                <a:picLocks noChangeAspect="1"/>
                              </pic:cNvPicPr>
                              <pic:nvPr/>
                            </pic:nvPicPr>
                            <pic:blipFill>
                              <a:blip r:embed="rId61"/>
                              <a:stretch/>
                            </pic:blipFill>
                            <pic:spPr bwMode="auto">
                              <a:xfrm>
                                <a:off x="0" y="0"/>
                                <a:ext cx="68580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54.0pt;height:5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740*520*850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460"/>
        </w:trPr>
        <w:tc>
          <w:tcPr>
            <w:tcBorders>
              <w:top w:val="single" w:color="000000" w:sz="4" w:space="0"/>
              <w:left w:val="single" w:color="000000" w:sz="4" w:space="0"/>
              <w:bottom w:val="none" w:color="000000" w:sz="4" w:space="0"/>
              <w:right w:val="single" w:color="000000" w:sz="4" w:space="0"/>
            </w:tcBorders>
            <w:tcW w:w="404" w:type="dxa"/>
            <w:vAlign w:val="center"/>
            <w:textDirection w:val="lrTb"/>
            <w:noWrap w:val="false"/>
          </w:tcPr>
          <w:p>
            <w:pPr>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医用水盆柜3</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医用水盆柜4</w:t>
            </w:r>
            <w:r/>
          </w:p>
        </w:tc>
        <w:tc>
          <w:tcPr>
            <w:tcBorders>
              <w:top w:val="single" w:color="000000" w:sz="4" w:space="0"/>
              <w:left w:val="single" w:color="000000" w:sz="4" w:space="0"/>
              <w:bottom w:val="none" w:color="000000" w:sz="4" w:space="0"/>
              <w:right w:val="single" w:color="000000" w:sz="4" w:space="0"/>
            </w:tcBorders>
            <w:tcW w:w="199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85800" cy="695325"/>
                      <wp:effectExtent l="0" t="0" r="0" b="9525"/>
                      <wp:docPr id="56" name="图片 2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25" descr="IMG_260"/>
                              <pic:cNvPicPr>
                                <a:picLocks noChangeAspect="1"/>
                              </pic:cNvPicPr>
                              <pic:nvPr/>
                            </pic:nvPicPr>
                            <pic:blipFill>
                              <a:blip r:embed="rId61"/>
                              <a:stretch/>
                            </pic:blipFill>
                            <pic:spPr bwMode="auto">
                              <a:xfrm>
                                <a:off x="0" y="0"/>
                                <a:ext cx="68580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54.0pt;height:5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540*520*850</w:t>
            </w:r>
            <w:r/>
          </w:p>
        </w:tc>
        <w:tc>
          <w:tcPr>
            <w:tcBorders>
              <w:top w:val="single" w:color="000000" w:sz="4" w:space="0"/>
              <w:left w:val="single" w:color="000000" w:sz="4" w:space="0"/>
              <w:bottom w:val="none" w:color="000000" w:sz="4" w:space="0"/>
              <w:right w:val="single" w:color="000000" w:sz="4" w:space="0"/>
            </w:tcBorders>
            <w:tcW w:w="2470" w:type="dxa"/>
            <w:vAlign w:val="center"/>
            <w:vMerge w:val="continue"/>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49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医用吊柜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9340" cy="880745"/>
                      <wp:effectExtent l="0" t="0" r="16510" b="14604"/>
                      <wp:docPr id="57" name="图片 2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26" descr="IMG_261"/>
                              <pic:cNvPicPr>
                                <a:picLocks noChangeAspect="1"/>
                              </pic:cNvPicPr>
                              <pic:nvPr/>
                            </pic:nvPicPr>
                            <pic:blipFill>
                              <a:blip r:embed="rId62"/>
                              <a:stretch/>
                            </pic:blipFill>
                            <pic:spPr bwMode="auto">
                              <a:xfrm>
                                <a:off x="0" y="0"/>
                                <a:ext cx="1069340" cy="88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84.2pt;height:69.3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L*350*550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1、柜体：采用≥1.0mm厚一级电解钢板，具有更抗酸、更防锈、更防蚀、和涂层接触更稳固、使用年限更长等特点；柜门为钢制磨砂玻璃门板；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2、门板带塑料标签卡槽，门板内无裸露螺丝，门板为双层工艺；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3、吊柜内带可调节层板一层；</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9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抽血台○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抽血台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04850" cy="752475"/>
                      <wp:effectExtent l="0" t="0" r="0" b="9525"/>
                      <wp:docPr id="58" name="图片 2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27" descr="IMG_262"/>
                              <pic:cNvPicPr>
                                <a:picLocks noChangeAspect="1"/>
                              </pic:cNvPicPr>
                              <pic:nvPr/>
                            </pic:nvPicPr>
                            <pic:blipFill>
                              <a:blip r:embed="rId63"/>
                              <a:stretch/>
                            </pic:blipFill>
                            <pic:spPr bwMode="auto">
                              <a:xfrm>
                                <a:off x="0" y="0"/>
                                <a:ext cx="704850"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5.5pt;height:59.2pt;mso-wrap-distance-left:0.0pt;mso-wrap-distance-top:0.0pt;mso-wrap-distance-right:0.0pt;mso-wrap-distance-bottom:0.0pt;" stroked="f">
                      <v:path textboxrect="0,0,0,0"/>
                      <v:imagedata r:id="rId6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L*600*750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一、【主要材料及厚度说明】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1、台面及造型：采用医用复合亚克力人造石，厚度≥12mm，主要成分为高比例高性能改性不饱和树酯，试具有抑菌防、防霉、耐酸碱、耐磨、耐冲击、易清洁等特性，台面无缝拼接，符合医院环境卫生要求；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站体：采用站体饰面≥1.0mm厚及龙骨采用≥2.0mm厚一级电解钢板，具有更抗酸、更防锈、更防蚀、和涂层接触更稳固、使用年限更长等特点，单个模块分上(站体)、下（不锈钢底座）二段，模块间用螺杆串联使得结构稳固，站体上中段可任意喷涂与装修风格相近的颜色；模块中段内部装配活动可拆卸钢挂板，内设强弱电线槽，集中走线，线路明朗不杂乱，便于安装和维护强弱电线路，台面下及可根据需求配插座孔位，方便后期安装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3、配柜：柜体材料及厚度采用≥1.0mm厚一级电解钢板具有更抗酸、更防锈、更防蚀、和涂层接触更稳固、使用年限更长等特点，柜体正面采用厚度≥0.8mm 304#油膜拉丝不锈钢踢脚线，四周折弯8mm厚采用塑料胶粒卡扣式安装避免使用时刮脚；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5、站体踢脚线：采用厚度≥0.8mm 304#油膜拉丝不锈钢底座，比柜体前端面缩进尺寸为10mm，高150mm，操作时无抵脚感，符合人体工程学原理。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6、软包：软包：采用环保高密度高回弹海绵，耐磨医用皮革饰面，结实耐用，易清洁。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二、【结构/配置】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1、主体全钢结构+医用复合亚克力人造石台面+，医用皮革软包；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2、主要配置：站体+人造石+304#不锈钢底座+副柜。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四、【工艺/其他】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1、所有工件经数控激光切割、模具冲压、数控折弯、机器打磨、抛光，整体采用激光焊接工艺，无外露焊点；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2、门板及抽面带塑料标签卡槽，抽屉内无裸露螺丝，门及抽面板为双层工艺。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296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无门药柜○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无门药柜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23875" cy="914400"/>
                      <wp:effectExtent l="0" t="0" r="9525" b="0"/>
                      <wp:docPr id="59" name="图片 2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28" descr="IMG_263"/>
                              <pic:cNvPicPr>
                                <a:picLocks noChangeAspect="1"/>
                              </pic:cNvPicPr>
                              <pic:nvPr/>
                            </pic:nvPicPr>
                            <pic:blipFill>
                              <a:blip r:embed="rId64"/>
                              <a:stretch/>
                            </pic:blipFill>
                            <pic:spPr bwMode="auto">
                              <a:xfrm>
                                <a:off x="0" y="0"/>
                                <a:ext cx="52387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1.2pt;height:72.0pt;mso-wrap-distance-left:0.0pt;mso-wrap-distance-top:0.0pt;mso-wrap-distance-right:0.0pt;mso-wrap-distance-bottom:0.0pt;" stroked="f">
                      <v:path textboxrect="0,0,0,0"/>
                      <v:imagedata r:id="rId6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900*450*2000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2、主要板材厚度：侧板、顶板、底板、层板厚度≥0.8mm；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                                                                                                                           4、抑菌粉末：表面采用抑菌防霉粉末静电喷涂处理，涂层膜厚度均匀，内外一致，抑菌、防霉、耐酸碱、耐磨、耐撞击，抗腐蚀力强；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9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单面西药操作柜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单面西药操作柜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90575" cy="1162050"/>
                      <wp:effectExtent l="0" t="0" r="9525" b="0"/>
                      <wp:docPr id="60" name="图片 2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29" descr="IMG_264"/>
                              <pic:cNvPicPr>
                                <a:picLocks noChangeAspect="1"/>
                              </pic:cNvPicPr>
                              <pic:nvPr/>
                            </pic:nvPicPr>
                            <pic:blipFill>
                              <a:blip r:embed="rId65"/>
                              <a:stretch/>
                            </pic:blipFill>
                            <pic:spPr bwMode="auto">
                              <a:xfrm>
                                <a:off x="0" y="0"/>
                                <a:ext cx="790575" cy="116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62.2pt;height:91.5pt;mso-wrap-distance-left:0.0pt;mso-wrap-distance-top:0.0pt;mso-wrap-distance-right:0.0pt;mso-wrap-distance-bottom:0.0pt;" stroked="f">
                      <v:path textboxrect="0,0,0,0"/>
                      <v:imagedata r:id="rId6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1000*525*2000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3、台面：台面采用优质理化板，厚度≥12.7mm；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4、五金配置：一字折弯斜拉手、三节导轨、标签卡槽；                                                                                     5、抑菌粉末：表面采用抑菌防霉粉末静电喷涂处理，涂层膜厚度均匀，内外一致，抑菌、防霉、耐酸碱、耐磨、耐撞击，抗腐蚀力强；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中药柜○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中药柜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38150" cy="800100"/>
                      <wp:effectExtent l="0" t="0" r="0" b="0"/>
                      <wp:docPr id="61" name="图片 3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30" descr="IMG_265"/>
                              <pic:cNvPicPr>
                                <a:picLocks noChangeAspect="1"/>
                              </pic:cNvPicPr>
                              <pic:nvPr/>
                            </pic:nvPicPr>
                            <pic:blipFill>
                              <a:blip r:embed="rId66"/>
                              <a:stretch/>
                            </pic:blipFill>
                            <pic:spPr bwMode="auto">
                              <a:xfrm>
                                <a:off x="0" y="0"/>
                                <a:ext cx="438149"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34.5pt;height:63.0pt;mso-wrap-distance-left:0.0pt;mso-wrap-distance-top:0.0pt;mso-wrap-distance-right:0.0pt;mso-wrap-distance-bottom:0.0pt;" stroked="f">
                      <v:path textboxrect="0,0,0,0"/>
                      <v:imagedata r:id="rId6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1000*450*2000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3、五金配置：一字折弯斜拉手、三节导轨、标签卡槽；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双面中药柜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（带操作台）○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双面中药柜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（带操作台）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33425" cy="1047750"/>
                      <wp:effectExtent l="0" t="0" r="9525" b="0"/>
                      <wp:docPr id="62" name="图片 3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31" descr="IMG_266"/>
                              <pic:cNvPicPr>
                                <a:picLocks noChangeAspect="1"/>
                              </pic:cNvPicPr>
                              <pic:nvPr/>
                            </pic:nvPicPr>
                            <pic:blipFill>
                              <a:blip r:embed="rId67"/>
                              <a:stretch/>
                            </pic:blipFill>
                            <pic:spPr bwMode="auto">
                              <a:xfrm>
                                <a:off x="0" y="0"/>
                                <a:ext cx="733424"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57.8pt;height:82.5pt;mso-wrap-distance-left:0.0pt;mso-wrap-distance-top:0.0pt;mso-wrap-distance-right:0.0pt;mso-wrap-distance-bottom:0.0pt;" stroked="f">
                      <v:path textboxrect="0,0,0,0"/>
                      <v:imagedata r:id="rId6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1000*1300*2000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3、台面：台面采用优质理化板，厚度≥12.7mm；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4、五金配置：一字折弯斜拉手、三节导轨、标签卡槽；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76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中药柜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（带操作台）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中药柜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（带操作台）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85775" cy="800100"/>
                      <wp:effectExtent l="0" t="0" r="9525" b="0"/>
                      <wp:docPr id="63" name="图片 3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32" descr="IMG_267"/>
                              <pic:cNvPicPr>
                                <a:picLocks noChangeAspect="1"/>
                              </pic:cNvPicPr>
                              <pic:nvPr/>
                            </pic:nvPicPr>
                            <pic:blipFill>
                              <a:blip r:embed="rId68"/>
                              <a:stretch/>
                            </pic:blipFill>
                            <pic:spPr bwMode="auto">
                              <a:xfrm>
                                <a:off x="0" y="0"/>
                                <a:ext cx="485775"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38.2pt;height:63.0pt;mso-wrap-distance-left:0.0pt;mso-wrap-distance-top:0.0pt;mso-wrap-distance-right:0.0pt;mso-wrap-distance-bottom:0.0pt;" stroked="f">
                      <v:path textboxrect="0,0,0,0"/>
                      <v:imagedata r:id="rId6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1000*500*2000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3、台面：台面采用优质理化板，厚度≥12.7mm；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4、五金配置：一字折弯斜拉手、三节导轨、标签卡槽；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5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配药台○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配药台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600075"/>
                      <wp:effectExtent l="0" t="0" r="0" b="9525"/>
                      <wp:docPr id="64" name="图片 3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33" descr="IMG_268"/>
                              <pic:cNvPicPr>
                                <a:picLocks noChangeAspect="1"/>
                              </pic:cNvPicPr>
                              <pic:nvPr/>
                            </pic:nvPicPr>
                            <pic:blipFill>
                              <a:blip r:embed="rId69"/>
                              <a:stretch/>
                            </pic:blipFill>
                            <pic:spPr bwMode="auto">
                              <a:xfrm>
                                <a:off x="0" y="0"/>
                                <a:ext cx="97155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6.5pt;height:47.2pt;mso-wrap-distance-left:0.0pt;mso-wrap-distance-top:0.0pt;mso-wrap-distance-right:0.0pt;mso-wrap-distance-bottom:0.0pt;" stroked="f">
                      <v:path textboxrect="0,0,0,0"/>
                      <v:imagedata r:id="rId69"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69215</wp:posOffset>
                      </wp:positionH>
                      <wp:positionV relativeFrom="paragraph">
                        <wp:posOffset>171450</wp:posOffset>
                      </wp:positionV>
                      <wp:extent cx="1117600" cy="0"/>
                      <wp:effectExtent l="0" t="0" r="0" b="0"/>
                      <wp:wrapNone/>
                      <wp:docPr id="65" name="图片_5"/>
                      <wp:cNvGraphicFramePr/>
                      <a:graphic xmlns:a="http://schemas.openxmlformats.org/drawingml/2006/main">
                        <a:graphicData uri="http://schemas.openxmlformats.org/drawingml/2006/picture">
                          <pic:pic xmlns:pic="http://schemas.openxmlformats.org/drawingml/2006/picture">
                            <pic:nvPicPr>
                              <pic:cNvPr id="136" name="图片_5"/>
                              <pic:cNvPicPr/>
                              <pic:nvPr/>
                            </pic:nvPicPr>
                            <pic:blipFill>
                              <a:blip r:embed="rId70"/>
                              <a:stretch/>
                            </pic:blipFill>
                            <pic:spPr bwMode="auto">
                              <a:xfrm>
                                <a:off x="0" y="0"/>
                                <a:ext cx="11176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5.5pt;mso-position-horizontal:absolute;mso-position-vertical-relative:text;margin-top:13.5pt;mso-position-vertical:absolute;width:88.0pt;height:0.0pt;mso-wrap-distance-left:9.0pt;mso-wrap-distance-top:0.0pt;mso-wrap-distance-right:9.0pt;mso-wrap-distance-bottom:0.0pt;" stroked="f">
                      <v:path textboxrect="0,0,0,0"/>
                      <v:imagedata r:id="rId7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1800*900*850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3、台面：台面采用优质理化板，厚度≥12.7mm；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4、五金配置：一字折弯斜拉手、三节导轨、标签卡槽；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5、脚架：采用直径40mm的钢脚，表面采用抑菌防霉粉末静电喷涂处理，涂层膜厚度均匀，内外一致，抑菌、防霉、耐酸碱、耐磨、耐撞击，抗腐蚀力强。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抽血台副柜○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抽血台副柜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971550"/>
                      <wp:effectExtent l="0" t="0" r="0" b="0"/>
                      <wp:docPr id="66" name="图片 3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34" descr="IMG_269"/>
                              <pic:cNvPicPr>
                                <a:picLocks noChangeAspect="1"/>
                              </pic:cNvPicPr>
                              <pic:nvPr/>
                            </pic:nvPicPr>
                            <pic:blipFill>
                              <a:blip r:embed="rId71"/>
                              <a:stretch/>
                            </pic:blipFill>
                            <pic:spPr bwMode="auto">
                              <a:xfrm>
                                <a:off x="0" y="0"/>
                                <a:ext cx="97155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6.5pt;height:76.5pt;mso-wrap-distance-left:0.0pt;mso-wrap-distance-top:0.0pt;mso-wrap-distance-right:0.0pt;mso-wrap-distance-bottom:0.0pt;" stroked="f">
                      <v:path textboxrect="0,0,0,0"/>
                      <v:imagedata r:id="rId7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1000*600*680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3、台面：采用医用复合亚克力人造石，厚度≥12mm，主要成分为高比例高性能改性不饱和树酯，试具有抑菌防、防霉、耐酸碱、耐磨、耐冲击、易清洁等特性，台面无缝拼接，符合医院环境卫生要求；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4、工艺要求：柜门均为双层结构，离地100mm为304不锈钢底座，厚度≥0.8mm；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4、功能配置：具体功能根据采购人实际需求定制；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5、五金配置：304不锈钢缓冲门铰（铰链），一字折弯斜拉手；                                                                                                  6、抑菌粉末：表面采用抑菌防霉粉末静电喷涂处理，涂层膜厚度均匀，内外一致，抑菌、防霉、耐酸碱、耐磨、耐撞击，抗腐蚀力强；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护士站配柜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（双门双抽柜）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护士站配柜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（双门双抽柜）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95350" cy="914400"/>
                      <wp:effectExtent l="0" t="0" r="0" b="0"/>
                      <wp:docPr id="67" name="图片 3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35" descr="IMG_270"/>
                              <pic:cNvPicPr>
                                <a:picLocks noChangeAspect="1"/>
                              </pic:cNvPicPr>
                              <pic:nvPr/>
                            </pic:nvPicPr>
                            <pic:blipFill>
                              <a:blip r:embed="rId72"/>
                              <a:stretch/>
                            </pic:blipFill>
                            <pic:spPr bwMode="auto">
                              <a:xfrm>
                                <a:off x="0" y="0"/>
                                <a:ext cx="89535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0.5pt;height:72.0pt;mso-wrap-distance-left:0.0pt;mso-wrap-distance-top:0.0pt;mso-wrap-distance-right:0.0pt;mso-wrap-distance-bottom:0.0pt;" stroked="f">
                      <v:path textboxrect="0,0,0,0"/>
                      <v:imagedata r:id="rId7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800*450*710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3、踢脚线：踢脚线柜体正面采用厚度≥0.8mm 304#油膜拉丝不锈钢，四周折弯8mm厚采用塑料胶粒卡扣式安装避免使用时刮脚；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4、工艺要求：门板及抽面带塑料标签卡槽，门板及抽屉内无裸露螺丝，及抽面板为双层工艺；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5、功能配置：双门双抽；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6、五金配置：304不锈钢缓冲门铰（铰链），卡扣式三节导轨，一字折弯斜拉手；                                                                    7、抑菌粉末：表面采用抑菌防霉粉末静电喷涂处理，涂层膜厚度均匀，内外一致，抑菌、防霉、耐酸碱、耐磨、耐撞击，抗腐蚀力强；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33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护士站配柜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（单门单抽柜）○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护士站配柜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（单门单抽柜）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47725" cy="1133475"/>
                      <wp:effectExtent l="0" t="0" r="9525" b="9525"/>
                      <wp:docPr id="68" name="图片 3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36" descr="IMG_271"/>
                              <pic:cNvPicPr>
                                <a:picLocks noChangeAspect="1"/>
                              </pic:cNvPicPr>
                              <pic:nvPr/>
                            </pic:nvPicPr>
                            <pic:blipFill>
                              <a:blip r:embed="rId73"/>
                              <a:stretch/>
                            </pic:blipFill>
                            <pic:spPr bwMode="auto">
                              <a:xfrm>
                                <a:off x="0" y="0"/>
                                <a:ext cx="847725" cy="1133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66.8pt;height:89.2pt;mso-wrap-distance-left:0.0pt;mso-wrap-distance-top:0.0pt;mso-wrap-distance-right:0.0pt;mso-wrap-distance-bottom:0.0pt;" stroked="f">
                      <v:path textboxrect="0,0,0,0"/>
                      <v:imagedata r:id="rId7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400*450*710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3、踢脚线：踢脚线柜体正面采用厚度≥0.8mm 304#油膜拉丝不锈钢，四周折弯8mm厚采用塑料胶粒卡扣式安装避免使用时刮脚；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4、工艺要求：门板及抽面带塑料标签卡槽，门板及抽屉内无裸露螺丝，及抽面板为双层工艺；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5、功能配置：单门单抽；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6、五金配置：304不锈钢缓冲门铰（铰链），卡扣式三节导轨，一字折弯斜拉手；                                                                       7、抑菌粉末：表面采用抑菌防霉粉末静电喷涂处理，涂层膜厚度均匀，内外一致，抑菌、防霉、耐酸碱、耐磨、耐撞击，抗腐蚀力强；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8、所有板件经数控激光切割、模具冲压、数控折弯、焊接、机器打磨而成。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19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医用诊断床○</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医用诊断床</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09625" cy="571500"/>
                      <wp:effectExtent l="0" t="0" r="9525" b="0"/>
                      <wp:docPr id="69" name="图片 3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37" descr="IMG_272"/>
                              <pic:cNvPicPr>
                                <a:picLocks noChangeAspect="1"/>
                              </pic:cNvPicPr>
                              <pic:nvPr/>
                            </pic:nvPicPr>
                            <pic:blipFill>
                              <a:blip r:embed="rId74"/>
                              <a:stretch/>
                            </pic:blipFill>
                            <pic:spPr bwMode="auto">
                              <a:xfrm>
                                <a:off x="0" y="0"/>
                                <a:ext cx="809625"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63.8pt;height:45.0pt;mso-wrap-distance-left:0.0pt;mso-wrap-distance-top:0.0pt;mso-wrap-distance-right:0.0pt;mso-wrap-distance-bottom:0.0pt;" stroked="f">
                      <v:path textboxrect="0,0,0,0"/>
                      <v:imagedata r:id="rId7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1900*620*670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2、海绵：采用环保高密度高回弹海绵，内层E0级实木多层板；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3、钢脚：50*50mm门型钢脚，底部配拉杆，厚度≥1.2mm，表面采用抑菌防霉粉末静电喷涂处理，涂层膜厚度均匀，内外一致，抑菌、防霉、耐酸碱、耐磨、耐撞击，抗腐蚀力强,配塑料脚垫；</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儿童诊断床○</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儿童诊断床</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00100" cy="647700"/>
                      <wp:effectExtent l="0" t="0" r="0" b="0"/>
                      <wp:docPr id="70" name="图片 3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38" descr="IMG_273"/>
                              <pic:cNvPicPr>
                                <a:picLocks noChangeAspect="1"/>
                              </pic:cNvPicPr>
                              <pic:nvPr/>
                            </pic:nvPicPr>
                            <pic:blipFill>
                              <a:blip r:embed="rId75"/>
                              <a:stretch/>
                            </pic:blipFill>
                            <pic:spPr bwMode="auto">
                              <a:xfrm>
                                <a:off x="0" y="0"/>
                                <a:ext cx="8001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63.0pt;height:51.0pt;mso-wrap-distance-left:0.0pt;mso-wrap-distance-top:0.0pt;mso-wrap-distance-right:0.0pt;mso-wrap-distance-bottom:0.0pt;" stroked="f">
                      <v:path textboxrect="0,0,0,0"/>
                      <v:imagedata r:id="rId7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1360*530*950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1、面料：耐磨医用皮革饰面，表面根据需求印制图案；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2、海绵：采用环保高密度高回弹海绵，内层E0级实木多层板；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3、配件：三节路轨，拉手等；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4、支撑柜：整体采用优质电解钢板，厚度≥0.8mm，表面采用抑菌防霉粉末静电喷涂处理；厚度≥0.8m</w:t>
            </w:r>
            <w:r>
              <w:rPr>
                <w:rFonts w:hint="eastAsia" w:ascii="宋体" w:hAnsi="宋体" w:eastAsia="宋体" w:cs="宋体"/>
                <w:i w:val="0"/>
                <w:iCs w:val="0"/>
                <w:color w:val="auto"/>
                <w:sz w:val="18"/>
                <w:szCs w:val="18"/>
                <w:highlight w:val="none"/>
                <w:u w:val="none"/>
                <w:lang w:val="en-US" w:eastAsia="zh-CN" w:bidi="ar"/>
              </w:rPr>
              <w:t xml:space="preserve">m304#油膜拉丝不锈钢底座；                                                                                                                                                             5、钢脚：回型钢脚，壁厚≥1.2mm厚，床底配拉杆，结构稳固，表面采用抑菌防霉粉末静电喷涂处理，涂层膜厚度均匀，内外一致，抑菌、防霉、耐酸碱、耐磨、耐撞击，抗腐蚀力强；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不锈钢器械柜</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不锈钢器械柜</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76250" cy="1009650"/>
                      <wp:effectExtent l="0" t="0" r="0" b="0"/>
                      <wp:docPr id="71" name="图片 3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39" descr="IMG_274"/>
                              <pic:cNvPicPr>
                                <a:picLocks noChangeAspect="1"/>
                              </pic:cNvPicPr>
                              <pic:nvPr/>
                            </pic:nvPicPr>
                            <pic:blipFill>
                              <a:blip r:embed="rId76"/>
                              <a:stretch/>
                            </pic:blipFill>
                            <pic:spPr bwMode="auto">
                              <a:xfrm>
                                <a:off x="0" y="0"/>
                                <a:ext cx="476250"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37.5pt;height:79.5pt;mso-wrap-distance-left:0.0pt;mso-wrap-distance-top:0.0pt;mso-wrap-distance-right:0.0pt;mso-wrap-distance-bottom:0.0pt;" stroked="f">
                      <v:path textboxrect="0,0,0,0"/>
                      <v:imagedata r:id="rId7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2、主要板材厚度：侧板、门板、顶板、底板、层板厚度≥0.8mm，加强管料</w:t>
            </w:r>
            <w:r>
              <w:rPr>
                <w:rFonts w:hint="eastAsia" w:ascii="宋体" w:hAnsi="宋体" w:eastAsia="宋体" w:cs="宋体"/>
                <w:i w:val="0"/>
                <w:iCs w:val="0"/>
                <w:color w:val="auto"/>
                <w:sz w:val="18"/>
                <w:szCs w:val="18"/>
                <w:highlight w:val="none"/>
                <w:u w:val="none"/>
                <w:lang w:val="en-US" w:eastAsia="zh-CN" w:bidi="ar"/>
              </w:rPr>
              <w:t xml:space="preserve">用厚度≥1.0mm</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3、功能配置：器械柜分三层结构，上层为对开不锈钢掩门，双面门板夹5mm玻璃，内均分三层；中层为整块活动拉板；下层为对开不锈钢掩门，双层门板，内均分二层；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4、五金配置：304不锈钢缓冲门铰（铰链）；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5、功能配置：主柜+上下对开门+中层拉板；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6、所有工件经数控激光切割、模具冲压、数控折弯、亚弧焊接、机器打磨、抛光、拉丝而成。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0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304不锈钢清洗池○</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304不锈钢清洗池</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23875" cy="723900"/>
                      <wp:effectExtent l="0" t="0" r="9525" b="0"/>
                      <wp:docPr id="72" name="图片 4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40" descr="IMG_275"/>
                              <pic:cNvPicPr>
                                <a:picLocks noChangeAspect="1"/>
                              </pic:cNvPicPr>
                              <pic:nvPr/>
                            </pic:nvPicPr>
                            <pic:blipFill>
                              <a:blip r:embed="rId77"/>
                              <a:stretch/>
                            </pic:blipFill>
                            <pic:spPr bwMode="auto">
                              <a:xfrm>
                                <a:off x="0" y="0"/>
                                <a:ext cx="5238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1.2pt;height:57.0pt;mso-wrap-distance-left:0.0pt;mso-wrap-distance-top:0.0pt;mso-wrap-distance-right:0.0pt;mso-wrap-distance-bottom:0.0pt;" stroked="f">
                      <v:path textboxrect="0,0,0,0"/>
                      <v:imagedata r:id="rId7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L*550*850+200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2、主要板材厚度：台面、水池板</w:t>
            </w:r>
            <w:r>
              <w:rPr>
                <w:rFonts w:hint="eastAsia" w:ascii="宋体" w:hAnsi="宋体" w:eastAsia="宋体" w:cs="宋体"/>
                <w:i w:val="0"/>
                <w:iCs w:val="0"/>
                <w:color w:val="auto"/>
                <w:sz w:val="18"/>
                <w:szCs w:val="18"/>
                <w:highlight w:val="none"/>
                <w:u w:val="none"/>
                <w:lang w:val="en-US" w:eastAsia="zh-CN" w:bidi="ar"/>
              </w:rPr>
              <w:t xml:space="preserve">厚度≥</w:t>
            </w:r>
            <w:r>
              <w:rPr>
                <w:rFonts w:hint="eastAsia" w:ascii="宋体" w:hAnsi="宋体" w:eastAsia="宋体" w:cs="宋体"/>
                <w:i w:val="0"/>
                <w:iCs w:val="0"/>
                <w:color w:val="auto"/>
                <w:sz w:val="18"/>
                <w:szCs w:val="18"/>
                <w:highlight w:val="none"/>
                <w:u w:val="none"/>
                <w:lang w:val="en-US" w:eastAsia="zh-CN" w:bidi="ar"/>
              </w:rPr>
              <w:t xml:space="preserve">1.0mm；侧板、门板厚度≥0.8mm；加强管料厚度≥1.0mm；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3、清洗池配1个水池；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4、柜门为双层结构，带缓冲功能；底脚为4个可调圆管脚，离地120mm高；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5、功能配置：主柜++1个水池+1个手动水龙头；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6、所有工件经数控激光切割、模具冲压、数控折弯、亚弧焊接、机器打磨、抛光、拉丝而成。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76.4</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20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304不锈钢拖把池○</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304不锈钢拖把池</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1114425"/>
                      <wp:effectExtent l="0" t="0" r="9525" b="9525"/>
                      <wp:docPr id="73" name="图片 4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41" descr="IMG_276"/>
                              <pic:cNvPicPr>
                                <a:picLocks noChangeAspect="1"/>
                              </pic:cNvPicPr>
                              <pic:nvPr/>
                            </pic:nvPicPr>
                            <pic:blipFill>
                              <a:blip r:embed="rId78"/>
                              <a:stretch/>
                            </pic:blipFill>
                            <pic:spPr bwMode="auto">
                              <a:xfrm>
                                <a:off x="0" y="0"/>
                                <a:ext cx="962025"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5.8pt;height:87.8pt;mso-wrap-distance-left:0.0pt;mso-wrap-distance-top:0.0pt;mso-wrap-distance-right:0.0pt;mso-wrap-distance-bottom:0.0pt;" stroked="f">
                      <v:path textboxrect="0,0,0,0"/>
                      <v:imagedata r:id="rId7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L*550*1800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2、主要板材厚度：水池、背板</w:t>
            </w:r>
            <w:r>
              <w:rPr>
                <w:rFonts w:hint="eastAsia" w:ascii="宋体" w:hAnsi="宋体" w:eastAsia="宋体" w:cs="宋体"/>
                <w:i w:val="0"/>
                <w:iCs w:val="0"/>
                <w:color w:val="auto"/>
                <w:sz w:val="18"/>
                <w:szCs w:val="18"/>
                <w:highlight w:val="none"/>
                <w:u w:val="none"/>
                <w:lang w:val="en-US" w:eastAsia="zh-CN" w:bidi="ar"/>
              </w:rPr>
              <w:t xml:space="preserve">厚度≥</w:t>
            </w:r>
            <w:r>
              <w:rPr>
                <w:rFonts w:hint="eastAsia" w:ascii="宋体" w:hAnsi="宋体" w:eastAsia="宋体" w:cs="宋体"/>
                <w:i w:val="0"/>
                <w:iCs w:val="0"/>
                <w:color w:val="auto"/>
                <w:sz w:val="18"/>
                <w:szCs w:val="18"/>
                <w:highlight w:val="none"/>
                <w:u w:val="none"/>
                <w:lang w:val="en-US" w:eastAsia="zh-CN" w:bidi="ar"/>
              </w:rPr>
              <w:t xml:space="preserve">1.0mm，侧板、正面封厚度≥0.8mm，加强管料≥1.0mm；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3、拖把池由挡水板、挂架、水池、及池身组成；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4、挡水板高出水槽500mm，在挡水板中间位置装有1个水龙头；拖把池正前方为不锈钢封板，底脚为4个可调圆管脚，离地120mm高；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5、功能配置：主柜+挂架+挂钩+水池+塑料调节脚+手动水龙头；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6、所有工件经数控激光切割、模具冲压、数控折弯、亚弧焊接、机器打磨、抛光、拉丝而成。</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r>
        <w:trPr>
          <w:trHeight w:val="40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专家诊断桌○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专家诊断桌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1657350"/>
                      <wp:effectExtent l="0" t="0" r="0" b="0"/>
                      <wp:docPr id="74" name="图片 4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42" descr="IMG_277"/>
                              <pic:cNvPicPr>
                                <a:picLocks noChangeAspect="1"/>
                              </pic:cNvPicPr>
                              <pic:nvPr/>
                            </pic:nvPicPr>
                            <pic:blipFill>
                              <a:blip r:embed="rId79"/>
                              <a:stretch/>
                            </pic:blipFill>
                            <pic:spPr bwMode="auto">
                              <a:xfrm>
                                <a:off x="0" y="0"/>
                                <a:ext cx="1562100" cy="1657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23.0pt;height:130.5pt;mso-wrap-distance-left:0.0pt;mso-wrap-distance-top:0.0pt;mso-wrap-distance-right:0.0pt;mso-wrap-distance-bottom:0.0pt;" stroked="f">
                      <v:path textboxrect="0,0,0,0"/>
                      <v:imagedata r:id="rId7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2000*1547*1600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2、主要板材厚度：主台面板、副柜面板厚度为25mm，侧板、背板、抽面、底板、门板厚度为16mm；                                                                                                                                                         3、屏风：采用优质铝合金框架，厚度60mm，上下木板+铝合金走线槽；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4、功能配置：台面+圆柱形钢脚1只+钢制键盘架2个+铝合金框架屏风（含看片灯一个）+铝合金线盒+钢制副柜。                                                  </w:t>
            </w:r>
            <w:r>
              <w:rPr>
                <w:rFonts w:hint="eastAsia" w:ascii="宋体" w:hAnsi="宋体" w:eastAsia="宋体" w:cs="宋体"/>
                <w:i w:val="0"/>
                <w:iCs w:val="0"/>
                <w:color w:val="auto"/>
                <w:sz w:val="18"/>
                <w:szCs w:val="18"/>
                <w:highlight w:val="none"/>
                <w:u w:val="none"/>
                <w:lang w:val="en-US" w:eastAsia="zh-CN" w:bidi="ar"/>
              </w:rPr>
              <w:t xml:space="preserve">                                                                                                                          5、五金配置：304不锈钢缓冲门铰（铰链）、三节导轨、锁具、拉手、连接件等；                                                             5、封边：采用见光面为2.0mm厚全自动封边工艺，防水、防潮、不变色；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6、副柜：副柜采用≥1.0mm厚电解钢板，副柜设置空格主机柜+上空格下单门和两抽柜，副柜顶部配25mm厚和桌面同等材质的面板。副柜底座整体采用厚度≥0.8mm的304#油膜拉丝不锈钢底座，</w:t>
            </w:r>
            <w:r>
              <w:rPr>
                <w:rFonts w:hint="eastAsia" w:ascii="宋体" w:hAnsi="宋体" w:eastAsia="宋体" w:cs="宋体"/>
                <w:i w:val="0"/>
                <w:iCs w:val="0"/>
                <w:color w:val="auto"/>
                <w:sz w:val="18"/>
                <w:szCs w:val="18"/>
                <w:highlight w:val="none"/>
                <w:u w:val="none"/>
                <w:lang w:val="en-US" w:eastAsia="zh-CN" w:bidi="ar"/>
              </w:rPr>
              <w:t xml:space="preserve">高度</w:t>
            </w:r>
            <w:r>
              <w:rPr>
                <w:rFonts w:hint="eastAsia" w:ascii="宋体" w:hAnsi="宋体" w:eastAsia="宋体" w:cs="宋体"/>
                <w:i w:val="0"/>
                <w:iCs w:val="0"/>
                <w:color w:val="auto"/>
                <w:sz w:val="18"/>
                <w:szCs w:val="18"/>
                <w:highlight w:val="none"/>
                <w:u w:val="none"/>
                <w:lang w:val="en-US" w:eastAsia="zh-CN" w:bidi="ar"/>
              </w:rPr>
              <w:t xml:space="preserve">≥100mm。表面采用抑菌防霉粉末静电喷涂处理，涂层膜厚度均匀，内外一致，抑菌、防霉、耐酸碱、耐磨、耐撞击，抗腐蚀力强。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9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诊断桌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诊断桌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657225"/>
                      <wp:effectExtent l="0" t="0" r="0" b="9525"/>
                      <wp:docPr id="75" name="图片 4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43" descr="IMG_278"/>
                              <pic:cNvPicPr>
                                <a:picLocks noChangeAspect="1"/>
                              </pic:cNvPicPr>
                              <pic:nvPr/>
                            </pic:nvPicPr>
                            <pic:blipFill>
                              <a:blip r:embed="rId80"/>
                              <a:stretch/>
                            </pic:blipFill>
                            <pic:spPr bwMode="auto">
                              <a:xfrm>
                                <a:off x="0" y="0"/>
                                <a:ext cx="97155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6.5pt;height:51.8pt;mso-wrap-distance-left:0.0pt;mso-wrap-distance-top:0.0pt;mso-wrap-distance-right:0.0pt;mso-wrap-distance-bottom:0.0pt;" stroked="f">
                      <v:path textboxrect="0,0,0,0"/>
                      <v:imagedata r:id="rId8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1500*1500*750/850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w:t>
            </w:r>
            <w:r>
              <w:rPr>
                <w:rFonts w:hint="eastAsia" w:ascii="宋体" w:hAnsi="宋体" w:eastAsia="宋体" w:cs="宋体"/>
                <w:i w:val="0"/>
                <w:iCs w:val="0"/>
                <w:color w:val="auto"/>
                <w:sz w:val="18"/>
                <w:szCs w:val="18"/>
                <w:highlight w:val="none"/>
                <w:u w:val="none"/>
                <w:lang w:val="en-US" w:eastAsia="zh-CN" w:bidi="ar"/>
              </w:rPr>
              <w:t xml:space="preserve">采用E0级刨花板，</w:t>
            </w:r>
            <w:r>
              <w:rPr>
                <w:rFonts w:hint="eastAsia" w:ascii="宋体" w:hAnsi="宋体" w:eastAsia="宋体" w:cs="宋体"/>
                <w:i w:val="0"/>
                <w:iCs w:val="0"/>
                <w:color w:val="auto"/>
                <w:sz w:val="18"/>
                <w:szCs w:val="18"/>
                <w:highlight w:val="none"/>
                <w:u w:val="none"/>
                <w:lang w:val="en-US" w:eastAsia="zh-CN" w:bidi="ar"/>
              </w:rPr>
              <w:t xml:space="preserve">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3、配置：主台面+圆柱形钢脚+钢制副柜+钢制键盘架+铝合金线盒+钢制前挡板+钢制桌上挡板；                                                                                                                                        4、五金配置：304不锈钢缓冲门铰（铰链）、三节导轨、锁具、拉手、连接件等；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5、封边：采用见光面为2.0</w:t>
            </w:r>
            <w:r>
              <w:rPr>
                <w:rFonts w:hint="eastAsia" w:ascii="宋体" w:hAnsi="宋体" w:eastAsia="宋体" w:cs="宋体"/>
                <w:i w:val="0"/>
                <w:iCs w:val="0"/>
                <w:color w:val="auto"/>
                <w:sz w:val="18"/>
                <w:szCs w:val="18"/>
                <w:highlight w:val="none"/>
                <w:u w:val="none"/>
                <w:lang w:val="en-US" w:eastAsia="zh-CN" w:bidi="ar"/>
              </w:rPr>
              <w:t xml:space="preserve">mm厚全自动封边工艺，防水、防潮、不变色；                                                       6、桌上钢挡板：采用≥2.0mm厚电解钢板；                                                                                            7、副柜：副柜采用≥1.0mm厚电解钢板，表面抑菌粉末静电喷涂处理，门板根据台面板颜色木纹转印，柜体四周倒R20圆角，副柜底座整体采</w:t>
            </w:r>
            <w:r>
              <w:rPr>
                <w:rFonts w:hint="eastAsia" w:ascii="宋体" w:hAnsi="宋体" w:eastAsia="宋体" w:cs="宋体"/>
                <w:i w:val="0"/>
                <w:iCs w:val="0"/>
                <w:color w:val="auto"/>
                <w:sz w:val="18"/>
                <w:szCs w:val="18"/>
                <w:highlight w:val="none"/>
                <w:u w:val="none"/>
                <w:lang w:val="en-US" w:eastAsia="zh-CN" w:bidi="ar"/>
              </w:rPr>
              <w:t xml:space="preserve">用厚度≥0.8mm的304#油膜拉丝不锈钢底座，高度≥100mm。                                                                                                                                                                 8、抑菌粉末：钢制表面采用抑菌防霉粉末静电喷涂处理，涂层膜厚度均匀，内外一致，抑菌、防霉、耐酸碱、耐磨、耐撞击，抗腐蚀力强,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9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34745" cy="850900"/>
                      <wp:effectExtent l="0" t="0" r="8255" b="0"/>
                      <wp:docPr id="76" name="图片 4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44" descr="IMG_279"/>
                              <pic:cNvPicPr>
                                <a:picLocks noChangeAspect="1"/>
                              </pic:cNvPicPr>
                              <pic:nvPr/>
                            </pic:nvPicPr>
                            <pic:blipFill>
                              <a:blip r:embed="rId81"/>
                              <a:stretch/>
                            </pic:blipFill>
                            <pic:spPr bwMode="auto">
                              <a:xfrm>
                                <a:off x="0" y="0"/>
                                <a:ext cx="1134745" cy="850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89.3pt;height:67.0pt;mso-wrap-distance-left:0.0pt;mso-wrap-distance-top:0.0pt;mso-wrap-distance-right:0.0pt;mso-wrap-distance-bottom:0.0pt;" stroked="f">
                      <v:path textboxrect="0,0,0,0"/>
                      <v:imagedata r:id="rId8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1547*1500*750/1200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1、主要材料：所有板件采用E0级中密度纤维板，面贴实木木皮，厚度≥0.6mm，环保水性漆涂装，色泽美观，漆膜饱满均匀，手感光滑，色泽美丽；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2、主要板材厚度：台面板厚度为35mm，副柜台面板厚度为25mm，侧挡板厚度50mm,其余板件为16mm；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3、配置：主台面+圆柱形钢脚+多功能固定副柜+过线盒+钢制前挡板；                                                 4、五金配置：三节导轨、锁具、拉手、连接件等；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技术要求：门板和抽面采用≥1.0mm电解钢板，一字折弯斜拉手，表面采用抑菌防霉粉末静电喷涂处理，涂层膜厚度均匀，内外一致，抑菌、防霉、耐酸碱、耐磨、耐撞击，抗腐蚀力强,；副柜底座整体采用厚度≥0.8mm的304#油膜拉丝不锈钢底座，高度≥100mm。</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1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儿童诊断桌○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儿童诊断桌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71575" cy="952500"/>
                      <wp:effectExtent l="0" t="0" r="9525" b="0"/>
                      <wp:docPr id="77" name="图片 4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45" descr="IMG_280"/>
                              <pic:cNvPicPr>
                                <a:picLocks noChangeAspect="1"/>
                              </pic:cNvPicPr>
                              <pic:nvPr/>
                            </pic:nvPicPr>
                            <pic:blipFill>
                              <a:blip r:embed="rId82"/>
                              <a:stretch/>
                            </pic:blipFill>
                            <pic:spPr bwMode="auto">
                              <a:xfrm>
                                <a:off x="0" y="0"/>
                                <a:ext cx="1171575"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92.2pt;height:75.0pt;mso-wrap-distance-left:0.0pt;mso-wrap-distance-top:0.0pt;mso-wrap-distance-right:0.0pt;mso-wrap-distance-bottom:0.0pt;" stroked="f">
                      <v:path textboxrect="0,0,0,0"/>
                      <v:imagedata r:id="rId8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1440*1200*750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3、配置：主台面+圆柱形钢脚+木制副柜+钢制键盘架+铝合金线盒+钢制前挡板；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5、封边：采用见光面为2.0mm厚全自动封边工艺，防水、防潮、不变色；                                                       6、技术要求：副柜底座整体采用厚度≥0.8mm的304#油膜拉丝不锈钢底座，高度≥100mm;副柜正视面侧板配大小仙人掌图案装饰件，采用≥1.0mm厚电解钢板数控线切割而成，表面采用抑菌防霉粉末静电喷涂处理，涂层膜厚度均匀，内外一致，抑菌、防霉、耐酸碱、耐磨、耐撞击，抗腐蚀力强,；钢制前挡板可以根据需求丝印LOGO；</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47700" cy="914400"/>
                      <wp:effectExtent l="0" t="0" r="0" b="0"/>
                      <wp:docPr id="78" name="图片 4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6" descr="IMG_281"/>
                              <pic:cNvPicPr>
                                <a:picLocks noChangeAspect="1"/>
                              </pic:cNvPicPr>
                              <pic:nvPr/>
                            </pic:nvPicPr>
                            <pic:blipFill>
                              <a:blip r:embed="rId83"/>
                              <a:stretch/>
                            </pic:blipFill>
                            <pic:spPr bwMode="auto">
                              <a:xfrm>
                                <a:off x="0" y="0"/>
                                <a:ext cx="6477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1.0pt;height:72.0pt;mso-wrap-distance-left:0.0pt;mso-wrap-distance-top:0.0pt;mso-wrap-distance-right:0.0pt;mso-wrap-distance-bottom:0.0pt;" stroked="f">
                      <v:path textboxrect="0,0,0,0"/>
                      <v:imagedata r:id="rId8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620*470*1140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1、椅架：整体采用优质天然白蜡木实木；                                                                                                      2、油漆：采用水性漆，色泽美观，漆膜饱满均匀，手感光滑，色泽美丽；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中医患者椅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中医患者椅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225" cy="1190625"/>
                      <wp:effectExtent l="0" t="0" r="9525" b="9525"/>
                      <wp:docPr id="79" name="图片 4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47" descr="IMG_282"/>
                              <pic:cNvPicPr>
                                <a:picLocks noChangeAspect="1"/>
                              </pic:cNvPicPr>
                              <pic:nvPr/>
                            </pic:nvPicPr>
                            <pic:blipFill>
                              <a:blip r:embed="rId84"/>
                              <a:stretch/>
                            </pic:blipFill>
                            <pic:spPr bwMode="auto">
                              <a:xfrm>
                                <a:off x="0" y="0"/>
                                <a:ext cx="1038225" cy="1190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81.8pt;height:9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直径350*450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1、架子：整体采用优质天然白蜡木实木；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2、座包：采用环保高密度高回弹海绵，软硬适中，回弹性能好，抗变形能力强，坐感舒适。耐磨医用皮革饰面，结实耐用，易清洁；                                                                                                                                  3、油漆：采用水性漆，色泽美观，漆膜饱满均匀，手感光滑，色泽美丽；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42"/>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中医诊断床</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中医诊断床</w:t>
            </w:r>
            <w:r/>
          </w:p>
        </w:tc>
        <w:tc>
          <w:tcPr>
            <w:shd w:val="clear" w:color="auto" w:fill="auto"/>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60780" cy="679450"/>
                      <wp:effectExtent l="0" t="0" r="7620" b="6350"/>
                      <wp:docPr id="80" name="图片 4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48" descr="IMG_283"/>
                              <pic:cNvPicPr>
                                <a:picLocks noChangeAspect="1"/>
                              </pic:cNvPicPr>
                              <pic:nvPr/>
                            </pic:nvPicPr>
                            <pic:blipFill>
                              <a:blip r:embed="rId85"/>
                              <a:stretch/>
                            </pic:blipFill>
                            <pic:spPr bwMode="auto">
                              <a:xfrm>
                                <a:off x="0" y="0"/>
                                <a:ext cx="1160780" cy="679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91.4pt;height:53.5pt;mso-wrap-distance-left:0.0pt;mso-wrap-distance-top:0.0pt;mso-wrap-distance-right:0.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2000*650*700</w:t>
            </w:r>
            <w:r/>
          </w:p>
        </w:tc>
        <w:tc>
          <w:tcPr>
            <w:shd w:val="clear" w:color="auto" w:fill="auto"/>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1、面料：耐磨医用皮革饰面，结实耐用，易清洁；</w:t>
            </w:r>
            <w:r>
              <w:rPr>
                <w:rFonts w:hint="eastAsia" w:ascii="宋体" w:hAnsi="宋体" w:eastAsia="宋体" w:cs="宋体"/>
                <w:i w:val="0"/>
                <w:iCs w:val="0"/>
                <w:color w:val="auto"/>
                <w:sz w:val="18"/>
                <w:szCs w:val="18"/>
                <w:highlight w:val="none"/>
                <w:u w:val="none"/>
                <w:lang w:val="en-US" w:eastAsia="zh-CN" w:bidi="ar"/>
              </w:rPr>
              <w:t xml:space="preserve">                                                                                                                            2、海绵：采用环保高密度高回弹海绵，软硬适中，回弹性能好，抗变形能力强；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3、脚架：采用优质天然白蜡木实木；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4、油漆：采用水性漆，色泽美观，漆膜饱满均匀，手感光滑，色泽美丽；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6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雾化桌○</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雾化桌</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57250" cy="647700"/>
                      <wp:effectExtent l="0" t="0" r="0" b="0"/>
                      <wp:docPr id="81" name="图片 4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49" descr="IMG_284"/>
                              <pic:cNvPicPr>
                                <a:picLocks noChangeAspect="1"/>
                              </pic:cNvPicPr>
                              <pic:nvPr/>
                            </pic:nvPicPr>
                            <pic:blipFill>
                              <a:blip r:embed="rId86"/>
                              <a:stretch/>
                            </pic:blipFill>
                            <pic:spPr bwMode="auto">
                              <a:xfrm>
                                <a:off x="0" y="0"/>
                                <a:ext cx="8572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67.5pt;height:51.0pt;mso-wrap-distance-left:0.0pt;mso-wrap-distance-top:0.0pt;mso-wrap-distance-right:0.0pt;mso-wrap-distance-bottom:0.0pt;" stroked="f">
                      <v:path textboxrect="0,0,0,0"/>
                      <v:imagedata r:id="rId8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700*610*1600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3、配置：不含平板电脑及设置带；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5、封边：采用见光面为2.0mm厚全自动封边工艺，防水、防潮、不变色。</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9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病人椅○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病人椅</w:t>
            </w:r>
            <w:r/>
          </w:p>
        </w:tc>
        <w:tc>
          <w:tcPr>
            <w:tcBorders>
              <w:top w:val="single" w:color="000000" w:sz="4" w:space="0"/>
              <w:left w:val="single" w:color="000000" w:sz="4" w:space="0"/>
              <w:bottom w:val="non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57225" cy="933450"/>
                      <wp:effectExtent l="0" t="0" r="9525" b="0"/>
                      <wp:docPr id="82" name="图片 5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50" descr="IMG_285"/>
                              <pic:cNvPicPr>
                                <a:picLocks noChangeAspect="1"/>
                              </pic:cNvPicPr>
                              <pic:nvPr/>
                            </pic:nvPicPr>
                            <pic:blipFill>
                              <a:blip r:embed="rId87"/>
                              <a:stretch/>
                            </pic:blipFill>
                            <pic:spPr bwMode="auto">
                              <a:xfrm>
                                <a:off x="0" y="0"/>
                                <a:ext cx="6572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1.8pt;height:73.5pt;mso-wrap-distance-left:0.0pt;mso-wrap-distance-top:0.0pt;mso-wrap-distance-right:0.0pt;mso-wrap-distance-bottom:0.0pt;" stroked="f">
                      <v:path textboxrect="0,0,0,0"/>
                      <v:imagedata r:id="rId8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490*505*790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1、椅身：整体为优质塑料一体注塑成型；                                                                                                    2、椅座：采用环保高密度高回弹定型海绵，软硬适中，回弹性能好，抗变形能力强；耐磨医用皮革饰面，结实耐用，易清洁。</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2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病人椅（儿童）</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病人椅（儿童）</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1323975"/>
                      <wp:effectExtent l="0" t="0" r="0" b="9525"/>
                      <wp:docPr id="83" name="图片 5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51" descr="IMG_286"/>
                              <pic:cNvPicPr>
                                <a:picLocks noChangeAspect="1"/>
                              </pic:cNvPicPr>
                              <pic:nvPr/>
                            </pic:nvPicPr>
                            <pic:blipFill>
                              <a:blip r:embed="rId88"/>
                              <a:stretch/>
                            </pic:blipFill>
                            <pic:spPr bwMode="auto">
                              <a:xfrm>
                                <a:off x="0" y="0"/>
                                <a:ext cx="971550" cy="1323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6.5pt;height:104.2pt;mso-wrap-distance-left:0.0pt;mso-wrap-distance-top:0.0pt;mso-wrap-distance-right:0.0pt;mso-wrap-distance-bottom:0.0pt;" stroked="f">
                      <v:path textboxrect="0,0,0,0"/>
                      <v:imagedata r:id="rId8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485*550*785</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1、材质：采用全新聚丙烯一体注塑成型、零甲醛释放；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2、座面：座高440mm*座宽420mm* 座深440mm， 座面根据人体曲线设计舒适配比，辨识度高，座面贴合；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4、椅背：可独立拆卸式靠背，凹槽式设计，具备使用者单手手提功能。圆润椅角无毛边，不伤手，背重0.55KG，背高250mm，背宽390mm，背下厚9mm/上厚3mm，背弧度R250mm包覆性明显，整椅的舒适度高；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5、脚架：四脚40*35m成菱形设计、结构稳定，PU耐磨脚垫保护地板随意推拉， 可承重150KG。</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446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14425" cy="1743075"/>
                      <wp:effectExtent l="0" t="0" r="9525" b="9525"/>
                      <wp:docPr id="84" name="图片 5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2" descr="IMG_287"/>
                              <pic:cNvPicPr>
                                <a:picLocks noChangeAspect="1"/>
                              </pic:cNvPicPr>
                              <pic:nvPr/>
                            </pic:nvPicPr>
                            <pic:blipFill>
                              <a:blip r:embed="rId89"/>
                              <a:stretch/>
                            </pic:blipFill>
                            <pic:spPr bwMode="auto">
                              <a:xfrm>
                                <a:off x="0" y="0"/>
                                <a:ext cx="1114425" cy="1743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87.8pt;height:137.2pt;mso-wrap-distance-left:0.0pt;mso-wrap-distance-top:0.0pt;mso-wrap-distance-right:0.0pt;mso-wrap-distance-bottom:0.0pt;" stroked="f">
                      <v:path textboxrect="0,0,0,0"/>
                      <v:imagedata r:id="rId8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380*450*742/857</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椅座:①内胶壳+外胶壳强化合成尼龙坐垫，②尼龙操作手柄隐藏在胶壳内，③采用环保高密度高回弹定型海绵，回弹性能好，抗变形能力强，且造型吻合人体臀部的弧度，符合身体曲线，缓解疲劳：④内框采用开模胶壳高韧度，不易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3、椅背:①内胶壳+外胶壳强化合成尼龙纤维背框，②采用环保高密度高回弹定型海绵，回弹性能好，抗变形能力强，且造型吻合人体臀部的弧度，符合身体曲线，缓解疲劳：③内框采用开模胶壳高韧度，不易折；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4、靠背支架：①采用尼龙+纤维强化支架，双边支撑结构，不缩水，不变形，有效支撑上身重量，②具备上下滑动调节功能，行程3cm；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5、气压棒:灰色三级120mm行程碳化气压棒,升降自如，棒芯2.0mm厚度，外管1.5mm厚度；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6、椅脚:采用定尼龙+纤维五星脚，38管口径，半径270mm；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7、脚轮：50mm38杯口灰色PU加纤材质，防滑耐磨静音，抗压以及耐磨能力强。</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8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候诊椅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三人位候诊椅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14425" cy="647700"/>
                      <wp:effectExtent l="0" t="0" r="9525" b="0"/>
                      <wp:docPr id="85" name="图片 5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53" descr="IMG_288"/>
                              <pic:cNvPicPr>
                                <a:picLocks noChangeAspect="1"/>
                              </pic:cNvPicPr>
                              <pic:nvPr/>
                            </pic:nvPicPr>
                            <pic:blipFill>
                              <a:blip r:embed="rId90"/>
                              <a:stretch/>
                            </pic:blipFill>
                            <pic:spPr bwMode="auto">
                              <a:xfrm>
                                <a:off x="0" y="0"/>
                                <a:ext cx="111442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87.8pt;height:51.0pt;mso-wrap-distance-left:0.0pt;mso-wrap-distance-top:0.0pt;mso-wrap-distance-right:0.0pt;mso-wrap-distance-bottom:0.0pt;" stroked="f">
                      <v:path textboxrect="0,0,0,0"/>
                      <v:imagedata r:id="rId9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1750*680*770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1、扶手，脚：采用优质铝合金压铸，表面做抑菌防霉粉末静电喷涂处理和高分子纳米处理；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2、座板：采用1.3mmT冷轧钢板，除油除锈后抑菌防霉粉末静电喷涂处理；                                                                                                        3、椅面座垫：椅面为弯曲板坐垫，椅面材质采用优质聚氨酯，耐臭氧、耐老化、耐霉菌、耐低温、耐曲折， 每个座板宽≥500mm；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4、横梁:冷轧钢板折压焊接成三角形，厚度≥1.2mm，除油除锈后抑菌防霉粉末静电喷涂处理；                                                                                                                           5、配置:含两个中间扶手。</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4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候诊椅○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四人位候诊椅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5850" cy="590550"/>
                      <wp:effectExtent l="0" t="0" r="0" b="0"/>
                      <wp:docPr id="86" name="图片 5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54" descr="IMG_289"/>
                              <pic:cNvPicPr>
                                <a:picLocks noChangeAspect="1"/>
                              </pic:cNvPicPr>
                              <pic:nvPr/>
                            </pic:nvPicPr>
                            <pic:blipFill>
                              <a:blip r:embed="rId91"/>
                              <a:stretch/>
                            </pic:blipFill>
                            <pic:spPr bwMode="auto">
                              <a:xfrm>
                                <a:off x="0" y="0"/>
                                <a:ext cx="1085850"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85.5pt;height:46.5pt;mso-wrap-distance-left:0.0pt;mso-wrap-distance-top:0.0pt;mso-wrap-distance-right:0.0pt;mso-wrap-distance-bottom:0.0pt;" stroked="f">
                      <v:path textboxrect="0,0,0,0"/>
                      <v:imagedata r:id="rId9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2320*680*770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1、扶手，脚：采用优质铝合金压铸，表面做抑菌防霉粉末静电喷涂处理和高分子纳米处理；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2、座板：采用1.3mmT冷轧钢板，除油除锈后抑菌防霉粉末静电喷涂处理；                                                                                                        3、椅面座垫：椅面为弯曲板坐垫，椅面材质采用优质聚氨酯，耐臭氧、耐老化、耐霉菌、耐低温、耐曲折， 每个座板宽≥500mm；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4、横梁:冷轧钢板折压焊接成三角形，厚度≥1.2mm，除油除锈后抑菌防霉粉末静电喷涂处理；                                                                                                                                        5、配置:含三个中间扶手。</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558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输液椅</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输液椅</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2100" cy="1171575"/>
                      <wp:effectExtent l="0" t="0" r="0" b="9525"/>
                      <wp:docPr id="87" name="图片 5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55" descr="IMG_290"/>
                              <pic:cNvPicPr>
                                <a:picLocks noChangeAspect="1"/>
                              </pic:cNvPicPr>
                              <pic:nvPr/>
                            </pic:nvPicPr>
                            <pic:blipFill>
                              <a:blip r:embed="rId92"/>
                              <a:stretch/>
                            </pic:blipFill>
                            <pic:spPr bwMode="auto">
                              <a:xfrm>
                                <a:off x="0" y="0"/>
                                <a:ext cx="1562100" cy="1171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23.0pt;height:92.2pt;mso-wrap-distance-left:0.0pt;mso-wrap-distance-top:0.0pt;mso-wrap-distance-right:0.0pt;mso-wrap-distance-bottom:0.0pt;" stroked="f">
                      <v:path textboxrect="0,0,0,0"/>
                      <v:imagedata r:id="rId9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700*800*1130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1、靠背：采用高密度回弹定型海绵，回弹性能好，抗变形能力强。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2、座海绵：采用高密度回弹定型海绵，回弹性能好，抗变形能力强。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3、扶手框:采用PE食品级塑料中空吹塑一次成型，表面皮纹处理，美观大方，清理方便，满足医院特殊场所的卫生处理，药水及脏污接触后清理非常简便。扶手框预埋M8法兰螺帽，用于与铁架链接。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4、铁质支架：采用高品质钢管焊接，管壁厚度≥1.5mm，可以承受至少500公斤的重量，防锈处理后抑菌防霉粉末静电喷涂处理。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5、面料：采用高耐水碱皮革，药水接触延缓出现腐蚀现象，满足医院卫生清理要求，药水及脏污接触后清理非常简便。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6、扶手：扶手采用实木扶手，厚度25mm，表面环保水性漆处理。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7、紧固螺丝：采用防锈静电涂内六角防松螺丝，不生锈。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8、输液杆：底杆为直径25mm304#不锈钢管，上杆为直径10mm304#不锈钢杆，配4挂钩。挂钩可以承重10公斤的重量，完全满足挂水的要求。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9、座椅外形：设计符合“人体形态学”工程原理，舒适度好，满足特殊人群的特殊需求。                                10、其他要求：带写字板，不带伸缩功能。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5920"/>
        </w:trPr>
        <w:tc>
          <w:tcPr>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服务台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服务台</w:t>
            </w:r>
            <w:r/>
          </w:p>
        </w:tc>
        <w:tc>
          <w:tcPr>
            <w:tcBorders>
              <w:top w:val="single" w:color="000000" w:sz="4" w:space="0"/>
              <w:left w:val="single" w:color="000000" w:sz="4" w:space="0"/>
              <w:bottom w:val="single" w:color="000000" w:sz="4" w:space="0"/>
              <w:right w:val="single" w:color="000000" w:sz="4" w:space="0"/>
            </w:tcBorders>
            <w:tcW w:w="19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-37465</wp:posOffset>
                      </wp:positionH>
                      <wp:positionV relativeFrom="paragraph">
                        <wp:posOffset>481965</wp:posOffset>
                      </wp:positionV>
                      <wp:extent cx="1127125" cy="2068195"/>
                      <wp:effectExtent l="0" t="0" r="15875" b="8255"/>
                      <wp:wrapNone/>
                      <wp:docPr id="88" name="图片_1"/>
                      <wp:cNvGraphicFramePr/>
                      <a:graphic xmlns:a="http://schemas.openxmlformats.org/drawingml/2006/main">
                        <a:graphicData uri="http://schemas.openxmlformats.org/drawingml/2006/picture">
                          <pic:pic xmlns:pic="http://schemas.openxmlformats.org/drawingml/2006/picture">
                            <pic:nvPicPr>
                              <pic:cNvPr id="156" name="图片_1"/>
                              <pic:cNvPicPr/>
                              <pic:nvPr/>
                            </pic:nvPicPr>
                            <pic:blipFill>
                              <a:blip r:embed="rId93"/>
                              <a:stretch/>
                            </pic:blipFill>
                            <pic:spPr bwMode="auto">
                              <a:xfrm>
                                <a:off x="0" y="0"/>
                                <a:ext cx="1127125" cy="2068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0288;o:allowoverlap:true;o:allowincell:true;mso-position-horizontal-relative:text;margin-left:-2.9pt;mso-position-horizontal:absolute;mso-position-vertical-relative:text;margin-top:37.9pt;mso-position-vertical:absolute;width:88.8pt;height:162.8pt;mso-wrap-distance-left:9.0pt;mso-wrap-distance-top:0.0pt;mso-wrap-distance-right:9.0pt;mso-wrap-distance-bottom:0.0pt;" stroked="f">
                      <v:path textboxrect="0,0,0,0"/>
                      <v:imagedata r:id="rId9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1880/4660/1200*700*1150</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1、台面及造型：采用医用级复合亚克力人造石，厚度≥12mm，台面无缝拼接；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站体：采用站体饰面≥1.0mm厚及龙骨采用≥2.0mm厚一级电解钢板，单个模块分上(看台)、中(站体)、下（不锈钢底座）三段，模块间用螺杆串联使得结构稳固，站体上中段可任意喷涂与装修风格相近的颜色；模块中段内部装配活动可拆卸钢挂板，内设强弱电线槽，集中走线，线路明朗不杂乱，便于安装和维护强弱电线路，每个电脑位台面下及台面上可根据需求配插座孔位，方便后期安装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3、配柜：柜体材料及厚度采用≥1.0mm厚一级电解钢板，门板及抽面板为双层工艺，门板及抽面带塑料标签卡槽；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4、抑菌粉末：采用抑菌防霉粉末静电喷涂处理，涂层膜厚度均匀，内外一致，抑菌、防霉、耐酸碱、耐磨、耐撞击，抗腐蚀力强；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5、踢脚线：服务台站体采用厚度≥1.0mm 304#油膜拉丝不锈钢底座，高度</w:t>
            </w:r>
            <w:r>
              <w:rPr>
                <w:rFonts w:hint="eastAsia" w:ascii="宋体" w:hAnsi="宋体" w:eastAsia="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0mm，配柜不锈钢踢脚线采用厚度≥1.0mm 304#油膜拉丝不锈钢，四周折弯8mm厚，采用塑料胶粒卡扣式安装避免使用时刮脚。                                                                                                                                                       6、拉手：采用一字折弯斜拉手；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7、门铰：采用304不锈钢缓冲门铰（铰链），与门板及柜体连接位采用丝锥后不锈钢螺丝固定；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8、导轨：采用卡扣式三节导轨，顺畅、静音、抽拉自如；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9、锁具：抽芯锁具；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10、配置：站体+高看台+人造石+304#不锈钢底座+3个主机柜+3个钢制键盘架+1个1200*700*1150定制柜+1个400*700*1150定制柜。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eastAsia="宋体" w:cs="Times New Roman"/>
          <w:color w:val="auto"/>
          <w:highlight w:val="none"/>
          <w:lang w:eastAsia="zh-CN"/>
        </w:rPr>
      </w:pPr>
      <w:r>
        <w:rPr>
          <w:rFonts w:hint="eastAsia"/>
          <w:color w:val="auto"/>
          <w:highlight w:val="none"/>
          <w:lang w:eastAsia="zh-CN"/>
        </w:rPr>
        <w:t xml:space="preserve">附件：采购清单（采购包2）</w:t>
      </w:r>
      <w:r>
        <w:rPr>
          <w:rFonts w:hint="eastAsia" w:eastAsia="宋体" w:cs="Times New Roman"/>
          <w:color w:val="auto"/>
          <w:highlight w:val="none"/>
          <w:lang w:eastAsia="zh-CN"/>
        </w:rPr>
        <w:t xml:space="preserve">（</w:t>
      </w:r>
      <w:r>
        <w:rPr>
          <w:rFonts w:hint="eastAsia" w:eastAsia="宋体" w:cs="Times New Roman"/>
          <w:color w:val="auto"/>
          <w:highlight w:val="none"/>
          <w:lang w:val="zh-CN" w:eastAsia="zh-CN"/>
        </w:rPr>
        <w:t xml:space="preserve">标记“○”的产品</w:t>
      </w:r>
      <w:r>
        <w:rPr>
          <w:rFonts w:hint="eastAsia" w:eastAsia="宋体" w:cs="Times New Roman"/>
          <w:color w:val="auto"/>
          <w:highlight w:val="none"/>
          <w:lang w:eastAsia="zh-CN"/>
        </w:rPr>
        <w:t xml:space="preserve">参与本标段</w:t>
      </w:r>
      <w:r>
        <w:rPr>
          <w:rFonts w:hint="eastAsia" w:eastAsia="宋体" w:cs="Times New Roman"/>
          <w:color w:val="auto"/>
          <w:highlight w:val="none"/>
          <w:lang w:val="zh-CN" w:eastAsia="zh-CN"/>
        </w:rPr>
        <w:t xml:space="preserve">工艺方案评价</w:t>
      </w:r>
      <w:r>
        <w:rPr>
          <w:rFonts w:hint="eastAsia" w:eastAsia="宋体" w:cs="Times New Roman"/>
          <w:color w:val="auto"/>
          <w:highlight w:val="none"/>
          <w:lang w:eastAsia="zh-CN"/>
        </w:rPr>
        <w:t xml:space="preserve">）</w:t>
      </w:r>
      <w:r/>
    </w:p>
    <w:tbl>
      <w:tblPr>
        <w:tblStyle w:val="689"/>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0"/>
        <w:gridCol w:w="1325"/>
        <w:gridCol w:w="1152"/>
        <w:gridCol w:w="1939"/>
        <w:gridCol w:w="1796"/>
        <w:gridCol w:w="1838"/>
        <w:gridCol w:w="712"/>
        <w:gridCol w:w="612"/>
      </w:tblGrid>
      <w:tr>
        <w:trPr>
          <w:trHeight w:val="680"/>
        </w:trPr>
        <w:tc>
          <w:tcPr>
            <w:gridSpan w:val="8"/>
            <w:tcBorders>
              <w:top w:val="none" w:color="000000" w:sz="4" w:space="0"/>
              <w:left w:val="none" w:color="000000" w:sz="4" w:space="0"/>
              <w:bottom w:val="single" w:color="000000" w:sz="8" w:space="0"/>
              <w:right w:val="none" w:color="000000" w:sz="4" w:space="0"/>
            </w:tcBorders>
            <w:tcW w:w="9864" w:type="dxa"/>
            <w:vAlign w:val="center"/>
            <w:textDirection w:val="lrTb"/>
            <w:noWrap w:val="false"/>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丹阳市中医院新院办公家具采购清单</w:t>
            </w:r>
            <w:r/>
          </w:p>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部件名称</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图片参考</w:t>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规格（mm）</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材质描述</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r>
      <w:tr>
        <w:trPr>
          <w:trHeight w:val="29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钢制文件柜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钢制文件柜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9175" cy="1504950"/>
                      <wp:effectExtent l="0" t="0" r="9525" b="0"/>
                      <wp:docPr id="89" name="图片 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30" descr="IMG_256"/>
                              <pic:cNvPicPr>
                                <a:picLocks noChangeAspect="1"/>
                              </pic:cNvPicPr>
                              <pic:nvPr/>
                            </pic:nvPicPr>
                            <pic:blipFill>
                              <a:blip r:embed="rId94"/>
                              <a:stretch/>
                            </pic:blipFill>
                            <pic:spPr bwMode="auto">
                              <a:xfrm>
                                <a:off x="0" y="0"/>
                                <a:ext cx="1019174" cy="1504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80.2pt;height:118.5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3、工艺要求：柜门均为双层结构，门板采用木纹转印，颜色根据采购人的实际需求定制；离地100mm高为厚度≥0.8mm的304#油膜拉丝不锈钢底座；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4、功能配置：上为玻璃门板，下为钢制门板，内含三件层板；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5、五金配置：304不锈钢缓冲门铰（铰链），锁具、拉手等；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278</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32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组合文件柜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组合文件柜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9175" cy="1724025"/>
                      <wp:effectExtent l="0" t="0" r="9525" b="9525"/>
                      <wp:docPr id="90" name="图片 3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31" descr="IMG_257"/>
                              <pic:cNvPicPr>
                                <a:picLocks noChangeAspect="1"/>
                              </pic:cNvPicPr>
                              <pic:nvPr/>
                            </pic:nvPicPr>
                            <pic:blipFill>
                              <a:blip r:embed="rId95"/>
                              <a:stretch/>
                            </pic:blipFill>
                            <pic:spPr bwMode="auto">
                              <a:xfrm>
                                <a:off x="0" y="0"/>
                                <a:ext cx="1019174" cy="1724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80.2pt;height:135.8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3、工艺要求：柜门均为双层结构，门板采用木纹转印，颜色根据采购人的实际需求定制；离地100mm高为厚度≥0.8mm的304#油膜拉丝不锈钢底座；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4、功能配置：一边是文件柜，上为玻璃门板，下为钢制门板，内含三件层板；一边是更衣柜，内有挂衣杆和一层板，钢制门板；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5、五金配置：304不锈钢缓冲门铰（铰链），锁具、拉手、挂衣杆等；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3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b/>
                <w:bCs/>
                <w:color w:val="auto"/>
                <w:sz w:val="18"/>
                <w:szCs w:val="18"/>
                <w:highlight w:val="none"/>
                <w:lang w:val="en-US" w:eastAsia="zh-CN" w:bidi="ar"/>
              </w:rPr>
              <w:t xml:space="preserve">组合文件柜</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组合文件柜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04900" cy="1866900"/>
                      <wp:effectExtent l="0" t="0" r="0" b="0"/>
                      <wp:docPr id="91" name="图片 3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32" descr="IMG_258"/>
                              <pic:cNvPicPr>
                                <a:picLocks noChangeAspect="1"/>
                              </pic:cNvPicPr>
                              <pic:nvPr/>
                            </pic:nvPicPr>
                            <pic:blipFill>
                              <a:blip r:embed="rId96"/>
                              <a:stretch/>
                            </pic:blipFill>
                            <pic:spPr bwMode="auto">
                              <a:xfrm>
                                <a:off x="0" y="0"/>
                                <a:ext cx="1104900" cy="186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87.0pt;height:147.0pt;mso-wrap-distance-left:0.0pt;mso-wrap-distance-top:0.0pt;mso-wrap-distance-right:0.0pt;mso-wrap-distance-bottom:0.0pt;" stroked="f">
                      <v:path textboxrect="0,0,0,0"/>
                      <v:imagedata r:id="rId9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1200*450*1800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2、主要板材厚度：侧板、门板、顶板、底板、层板厚度≥0.8mm；                                                              3、工艺要求：柜门均为双层结构，门板采用木纹转印，颜色根据采购人的实际需求定制；离地100mm高为厚度≥0.8mm的304#油膜拉丝不锈钢底座；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4、功能配置：一边是文件柜，上为玻璃门板，下为钢制门板，内含三件层板；一边是更衣柜，内有挂衣杆和一层板，钢制门板；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5、五金配置：304不锈钢缓冲门铰（铰链），锁具、拉手、挂衣杆等；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6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更衣柜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上下六门更衣柜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7300" cy="2038350"/>
                      <wp:effectExtent l="0" t="0" r="0" b="0"/>
                      <wp:docPr id="92" name="图片 3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33" descr="IMG_259"/>
                              <pic:cNvPicPr>
                                <a:picLocks noChangeAspect="1"/>
                              </pic:cNvPicPr>
                              <pic:nvPr/>
                            </pic:nvPicPr>
                            <pic:blipFill>
                              <a:blip r:embed="rId97"/>
                              <a:stretch/>
                            </pic:blipFill>
                            <pic:spPr bwMode="auto">
                              <a:xfrm>
                                <a:off x="0" y="0"/>
                                <a:ext cx="1257300" cy="20383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99.0pt;height:160.5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4、功能配置：主柜（6个单开掩门+层板+挂衣杆）；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9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更衣柜</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六门更衣柜带鞋柜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04900" cy="2000250"/>
                      <wp:effectExtent l="0" t="0" r="0" b="0"/>
                      <wp:docPr id="93" name="图片 3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34" descr="IMG_260"/>
                              <pic:cNvPicPr>
                                <a:picLocks noChangeAspect="1"/>
                              </pic:cNvPicPr>
                              <pic:nvPr/>
                            </pic:nvPicPr>
                            <pic:blipFill>
                              <a:blip r:embed="rId98"/>
                              <a:stretch/>
                            </pic:blipFill>
                            <pic:spPr bwMode="auto">
                              <a:xfrm>
                                <a:off x="0" y="0"/>
                                <a:ext cx="1104900" cy="2000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87.0pt;height:157.5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4、功能配置：主柜（6个单开掩门+层板+挂衣杆）+六空格鞋柜；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9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更衣柜</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三门更衣柜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"C:\\Users\\HZJJ\\AppData\\Local\\Temp\\ksohtml\\clip_cell_image238.png"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85190" cy="1485900"/>
                      <wp:effectExtent l="0" t="0" r="10160" b="0"/>
                      <wp:docPr id="94" name="图片 3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35" descr="IMG_261"/>
                              <pic:cNvPicPr>
                                <a:picLocks noChangeAspect="1"/>
                              </pic:cNvPicPr>
                              <pic:nvPr/>
                            </pic:nvPicPr>
                            <pic:blipFill>
                              <a:blip r:embed="rId99"/>
                              <a:stretch/>
                            </pic:blipFill>
                            <pic:spPr bwMode="auto">
                              <a:xfrm>
                                <a:off x="0" y="0"/>
                                <a:ext cx="885190" cy="1485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69.7pt;height:117.0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4、功能配置：主柜（3个单开掩门+层板+挂衣杆）；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6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更衣柜</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三门更衣柜带鞋柜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638300" cy="1495425"/>
                      <wp:effectExtent l="0" t="0" r="0" b="9525"/>
                      <wp:docPr id="95" name="图片 3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36" descr="IMG_262"/>
                              <pic:cNvPicPr>
                                <a:picLocks noChangeAspect="1"/>
                              </pic:cNvPicPr>
                              <pic:nvPr/>
                            </pic:nvPicPr>
                            <pic:blipFill>
                              <a:blip r:embed="rId100"/>
                              <a:stretch/>
                            </pic:blipFill>
                            <pic:spPr bwMode="auto">
                              <a:xfrm>
                                <a:off x="0" y="0"/>
                                <a:ext cx="1638300" cy="1495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29.0pt;height:117.8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4、功能配置：主柜（3个单开掩门+层板+挂衣杆）+三空格鞋柜；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5、五金配置：304不锈钢缓冲门铰（铰链），一字折弯拉手，锁具、挂衣杆等；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7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鞋柜</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十五门鞋柜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"C:\\Users\\HZJJ\\AppData\\Local\\Temp\\ksohtml\\clip_cell_image232.png"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1075" cy="1571625"/>
                      <wp:effectExtent l="0" t="0" r="9525" b="9525"/>
                      <wp:docPr id="96" name="图片 37"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37" descr="IMG_263"/>
                              <pic:cNvPicPr>
                                <a:picLocks noChangeAspect="1"/>
                              </pic:cNvPicPr>
                              <pic:nvPr/>
                            </pic:nvPicPr>
                            <pic:blipFill>
                              <a:blip r:embed="rId101"/>
                              <a:stretch/>
                            </pic:blipFill>
                            <pic:spPr bwMode="auto">
                              <a:xfrm>
                                <a:off x="0" y="0"/>
                                <a:ext cx="981075" cy="1571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7.2pt;height:123.8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4、功能配置：主柜（15个单开掩门）；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5、五金配置：罗兰仪门铰或304不锈钢缓冲门铰（铰链），锁具等；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7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鞋柜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十门鞋柜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"C:\\Users\\HZJJ\\AppData\\Local\\Temp\\ksohtml\\clip_cell_image31.png"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38810" cy="1771650"/>
                      <wp:effectExtent l="0" t="0" r="8890" b="0"/>
                      <wp:docPr id="97" name="图片 38"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IMG_264"/>
                              <pic:cNvPicPr>
                                <a:picLocks noChangeAspect="1"/>
                              </pic:cNvPicPr>
                              <pic:nvPr/>
                            </pic:nvPicPr>
                            <pic:blipFill>
                              <a:blip r:embed="rId102"/>
                              <a:stretch/>
                            </pic:blipFill>
                            <pic:spPr bwMode="auto">
                              <a:xfrm>
                                <a:off x="0" y="0"/>
                                <a:ext cx="638810" cy="1771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0.3pt;height:139.5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603*450*1800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                                                                            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4、功能配置：主柜（10个单开掩门）；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5、五金配置：罗兰仪门铰或304不锈钢缓冲门铰（铰链），锁具等；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30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储物柜</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98830" cy="1409065"/>
                      <wp:effectExtent l="0" t="0" r="1270" b="635"/>
                      <wp:docPr id="98" name="图片 39"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39" descr="IMG_265"/>
                              <pic:cNvPicPr>
                                <a:picLocks noChangeAspect="1"/>
                              </pic:cNvPicPr>
                              <pic:nvPr/>
                            </pic:nvPicPr>
                            <pic:blipFill>
                              <a:blip r:embed="rId103"/>
                              <a:stretch/>
                            </pic:blipFill>
                            <pic:spPr bwMode="auto">
                              <a:xfrm>
                                <a:off x="0" y="0"/>
                                <a:ext cx="798830" cy="1409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62.9pt;height:110.9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900*500*2000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4、功能配置：上中下三对对开掩门，内含一块活动层板；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定制柜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定制柜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17550" cy="1357630"/>
                      <wp:effectExtent l="0" t="0" r="6350" b="13970"/>
                      <wp:docPr id="99" name="图片 40"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40" descr="IMG_266"/>
                              <pic:cNvPicPr>
                                <a:picLocks noChangeAspect="1"/>
                              </pic:cNvPicPr>
                              <pic:nvPr/>
                            </pic:nvPicPr>
                            <pic:blipFill>
                              <a:blip r:embed="rId104"/>
                              <a:stretch/>
                            </pic:blipFill>
                            <pic:spPr bwMode="auto">
                              <a:xfrm>
                                <a:off x="0" y="0"/>
                                <a:ext cx="717550" cy="13576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56.5pt;height:106.9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700*650*2000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4、功能配置：上为掩门，内含一块活动层板，下为三抽，具体细节依据采购人实际需求定制；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5、五金配置：304不锈钢缓冲门铰（铰链），三节导轨，一字折弯拉手，锁具等；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0450" cy="976630"/>
                      <wp:effectExtent l="0" t="0" r="6350" b="13970"/>
                      <wp:docPr id="100" name="图片 41"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41" descr="IMG_267"/>
                              <pic:cNvPicPr>
                                <a:picLocks noChangeAspect="1"/>
                              </pic:cNvPicPr>
                              <pic:nvPr/>
                            </pic:nvPicPr>
                            <pic:blipFill>
                              <a:blip r:embed="rId105"/>
                              <a:stretch/>
                            </pic:blipFill>
                            <pic:spPr bwMode="auto">
                              <a:xfrm>
                                <a:off x="0" y="0"/>
                                <a:ext cx="1060450" cy="976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83.5pt;height:76.9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1200*500*900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4、功能配置：上为三抽屉，下为三掩门，掩门内各含一块活动层板；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5、五金配置：304不锈钢缓冲门铰（铰链），三节导轨，一字折弯拉手，锁具等；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1075" cy="902970"/>
                      <wp:effectExtent l="0" t="0" r="9525" b="11430"/>
                      <wp:docPr id="101" name="图片 42"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42" descr="IMG_322"/>
                              <pic:cNvPicPr>
                                <a:picLocks noChangeAspect="1"/>
                              </pic:cNvPicPr>
                              <pic:nvPr/>
                            </pic:nvPicPr>
                            <pic:blipFill>
                              <a:blip r:embed="rId105"/>
                              <a:stretch/>
                            </pic:blipFill>
                            <pic:spPr bwMode="auto">
                              <a:xfrm>
                                <a:off x="0" y="0"/>
                                <a:ext cx="981075" cy="902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7.2pt;height:71.1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700*500*900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4、功能配置：上为两抽屉，下为对开掩门，掩门内含一块活动层板；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5、五金配置：304不锈钢缓冲门铰（铰链），三节导轨，一字折弯拉手，锁具等；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换鞋凳</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换鞋凳</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"C:\\Users\\HZJJ\\AppData\\Local\\Temp\\ksohtml\\clip_cell_image329.png"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5530" cy="481330"/>
                      <wp:effectExtent l="0" t="0" r="1270" b="13970"/>
                      <wp:docPr id="102" name="图片 43"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43" descr="IMG_269"/>
                              <pic:cNvPicPr>
                                <a:picLocks noChangeAspect="1"/>
                              </pic:cNvPicPr>
                              <pic:nvPr/>
                            </pic:nvPicPr>
                            <pic:blipFill>
                              <a:blip r:embed="rId106"/>
                              <a:stretch/>
                            </pic:blipFill>
                            <pic:spPr bwMode="auto">
                              <a:xfrm>
                                <a:off x="0" y="0"/>
                                <a:ext cx="1065530" cy="481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83.9pt;height:37.9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1200*400*450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3、软包：采用环保高密度高回弹海绵，耐磨医用皮革饰面，结实耐用，易清洁；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换鞋凳</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换鞋凳</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"C:\\Users\\HZJJ\\AppData\\Local\\Temp\\ksohtml\\clip_cell_image329.png"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46150" cy="427355"/>
                      <wp:effectExtent l="0" t="0" r="6350" b="10795"/>
                      <wp:docPr id="103" name="图片 44"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44" descr="IMG_270"/>
                              <pic:cNvPicPr>
                                <a:picLocks noChangeAspect="1"/>
                              </pic:cNvPicPr>
                              <pic:nvPr/>
                            </pic:nvPicPr>
                            <pic:blipFill>
                              <a:blip r:embed="rId106"/>
                              <a:stretch/>
                            </pic:blipFill>
                            <pic:spPr bwMode="auto">
                              <a:xfrm>
                                <a:off x="0" y="0"/>
                                <a:ext cx="946150" cy="427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74.5pt;height:33.6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700*400*450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3、软包：采用环保高密度高回弹海绵，耐磨医用皮革饰面，结实耐用，易清洁；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垛架</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垛架</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"C:\\Users\\HZJJ\\AppData\\Local\\Temp\\ksohtml\\clip_cell_image142.png"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50595" cy="795020"/>
                      <wp:effectExtent l="0" t="0" r="1905" b="5080"/>
                      <wp:docPr id="104" name="图片 45"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45" descr="IMG_271"/>
                              <pic:cNvPicPr>
                                <a:picLocks noChangeAspect="1"/>
                              </pic:cNvPicPr>
                              <pic:nvPr/>
                            </pic:nvPicPr>
                            <pic:blipFill>
                              <a:blip r:embed="rId107"/>
                              <a:stretch/>
                            </pic:blipFill>
                            <pic:spPr bwMode="auto">
                              <a:xfrm>
                                <a:off x="0" y="0"/>
                                <a:ext cx="950595" cy="795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74.8pt;height:62.6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1000*800*200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                                                                       2、主要板材厚度：整体厚度≥1.2mm；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3、配件：塑料脚套，防止划伤地面；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4、功能：用于堆放物品。</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不锈钢货架</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不锈钢货架</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"C:\\Users\\HZJJ\\AppData\\Local\\Temp\\ksohtml\\clip_cell_image92.png"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23290" cy="1028700"/>
                      <wp:effectExtent l="0" t="0" r="10160" b="0"/>
                      <wp:docPr id="105" name="图片 46"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46" descr="IMG_272"/>
                              <pic:cNvPicPr>
                                <a:picLocks noChangeAspect="1"/>
                              </pic:cNvPicPr>
                              <pic:nvPr/>
                            </pic:nvPicPr>
                            <pic:blipFill>
                              <a:blip r:embed="rId108"/>
                              <a:stretch/>
                            </pic:blipFill>
                            <pic:spPr bwMode="auto">
                              <a:xfrm>
                                <a:off x="0" y="0"/>
                                <a:ext cx="92329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72.7pt;height:81.0pt;mso-wrap-distance-left:0.0pt;mso-wrap-distance-top:0.0pt;mso-wrap-distance-right:0.0pt;mso-wrap-distance-bottom:0.0pt;" stroked="f">
                      <v:path textboxrect="0,0,0,0"/>
                      <v:imagedata r:id="rId10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1、主要材料：采用304不锈钢板材，具有不易生锈、防蚀等特点；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2、主要板材厚度：立柱厚度≥1.5mm，余板厚度≥1.0mm；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3、配置：五件固定层板，塑料胶套，避免损伤地面；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4、所有工件经数控激光切割、模具冲压、数控折弯、亚弧焊接、机器打磨、抛光、拉丝而成。</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3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106" name="图片 47"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47" descr="IMG_278"/>
                              <pic:cNvPicPr>
                                <a:picLocks noChangeAspect="1"/>
                              </pic:cNvPicPr>
                              <pic:nvPr/>
                            </pic:nvPicPr>
                            <pic:blipFill>
                              <a:blip r:embed="rId109"/>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86.2pt;height:124.5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3、功能配置：不带亚克力卡槽；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3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医用货架</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107" name="图片 48"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48" descr="IMG_278"/>
                              <pic:cNvPicPr>
                                <a:picLocks noChangeAspect="1"/>
                              </pic:cNvPicPr>
                              <pic:nvPr/>
                            </pic:nvPicPr>
                            <pic:blipFill>
                              <a:blip r:embed="rId109"/>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86.2pt;height:124.5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3、功能配置：不带亚克力卡槽；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3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108" name="图片 49"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49" descr="IMG_278"/>
                              <pic:cNvPicPr>
                                <a:picLocks noChangeAspect="1"/>
                              </pic:cNvPicPr>
                              <pic:nvPr/>
                            </pic:nvPicPr>
                            <pic:blipFill>
                              <a:blip r:embed="rId109"/>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86.2pt;height:124.5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109" name="图片 50"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50" descr="IMG_278"/>
                              <pic:cNvPicPr>
                                <a:picLocks noChangeAspect="1"/>
                              </pic:cNvPicPr>
                              <pic:nvPr/>
                            </pic:nvPicPr>
                            <pic:blipFill>
                              <a:blip r:embed="rId109"/>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86.2pt;height:124.5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110" name="图片 51"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51" descr="IMG_278"/>
                              <pic:cNvPicPr>
                                <a:picLocks noChangeAspect="1"/>
                              </pic:cNvPicPr>
                              <pic:nvPr/>
                            </pic:nvPicPr>
                            <pic:blipFill>
                              <a:blip r:embed="rId109"/>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86.2pt;height:124.5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医用货架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（带亚克力卡槽）</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5375" cy="1581150"/>
                      <wp:effectExtent l="0" t="0" r="9525" b="0"/>
                      <wp:docPr id="111" name="图片 52"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52" descr="IMG_278"/>
                              <pic:cNvPicPr>
                                <a:picLocks noChangeAspect="1"/>
                              </pic:cNvPicPr>
                              <pic:nvPr/>
                            </pic:nvPicPr>
                            <pic:blipFill>
                              <a:blip r:embed="rId109"/>
                              <a:stretch/>
                            </pic:blipFill>
                            <pic:spPr bwMode="auto">
                              <a:xfrm>
                                <a:off x="0" y="0"/>
                                <a:ext cx="1095375"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86.2pt;height:124.5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2400*600*2000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2、主要板材厚度：立柱采用≥40*40mm方管，厚度≥1.5mm，其余板件厚度≥1.0mm；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3、功能配置：带亚克力卡槽；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1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会议桌</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16965" cy="431800"/>
                      <wp:effectExtent l="0" t="0" r="6985" b="6350"/>
                      <wp:docPr id="112" name="图片 53"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53" descr="IMG_279"/>
                              <pic:cNvPicPr>
                                <a:picLocks noChangeAspect="1"/>
                              </pic:cNvPicPr>
                              <pic:nvPr/>
                            </pic:nvPicPr>
                            <pic:blipFill>
                              <a:blip r:embed="rId110"/>
                              <a:stretch/>
                            </pic:blipFill>
                            <pic:spPr bwMode="auto">
                              <a:xfrm>
                                <a:off x="0" y="0"/>
                                <a:ext cx="1116965"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88.0pt;height:34.0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2400*1200*750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3、功能配置：台面+铝合金脚架+1个BA插线槽+钢制走线功能中柱1个，桌面配带毛刷铝合金过线盒（300*120mm）1个；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5、金属脚架：壁厚≥1.5mm铝合金一次成形型材脚架，表面采用抑菌防霉粉末静电喷涂处理，涂层膜厚度均匀，内外一致，抑菌、防霉、耐酸碱、耐磨、耐撞击，抗腐蚀力强。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9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8855" cy="386080"/>
                      <wp:effectExtent l="0" t="0" r="10795" b="13970"/>
                      <wp:docPr id="113" name="图片 54"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54" descr="IMG_280"/>
                              <pic:cNvPicPr>
                                <a:picLocks noChangeAspect="1"/>
                              </pic:cNvPicPr>
                              <pic:nvPr/>
                            </pic:nvPicPr>
                            <pic:blipFill>
                              <a:blip r:embed="rId110"/>
                              <a:stretch/>
                            </pic:blipFill>
                            <pic:spPr bwMode="auto">
                              <a:xfrm>
                                <a:off x="0" y="0"/>
                                <a:ext cx="998855" cy="386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78.6pt;height:30.4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3200*1200*750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3、功能配置：台面+铝合金脚架+2个BA插线槽+钢制走线功能中柱1个，桌面配带毛刷铝合金过线盒（300*120mm）1个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5、金属脚架：壁厚≥1.5mm铝合金一次成形型材脚架，表面采用抑菌防霉粉末静电喷涂处理，涂层膜厚度均匀，内外一致，抑菌、防霉、耐酸碱、耐磨、耐撞击，抗腐蚀力强。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28370" cy="358775"/>
                      <wp:effectExtent l="0" t="0" r="5080" b="3175"/>
                      <wp:docPr id="114" name="图片 55"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55" descr="IMG_281"/>
                              <pic:cNvPicPr>
                                <a:picLocks noChangeAspect="1"/>
                              </pic:cNvPicPr>
                              <pic:nvPr/>
                            </pic:nvPicPr>
                            <pic:blipFill>
                              <a:blip r:embed="rId110"/>
                              <a:stretch/>
                            </pic:blipFill>
                            <pic:spPr bwMode="auto">
                              <a:xfrm>
                                <a:off x="0" y="0"/>
                                <a:ext cx="928370" cy="358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3.1pt;height:28.2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4200*1400*750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3、功能配置：台面+铝合金脚架+2个BA插线槽+走线功能中柱（钢制）2个+过渡线槽（1000*135mm）2个，桌面配带毛刷铝合金过线盒（300*125mm）2个；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5、金属脚架：壁厚≥1.5mm铝合金一次成形型材脚架，表面采用抑菌防霉粉末静电喷涂处理，涂层膜厚度均匀，内外一致，抑菌、防霉、耐酸碱、耐磨、耐撞击，抗腐蚀力强。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860" cy="401320"/>
                      <wp:effectExtent l="0" t="0" r="8890" b="17780"/>
                      <wp:docPr id="115" name="图片 56"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56" descr="IMG_282"/>
                              <pic:cNvPicPr>
                                <a:picLocks noChangeAspect="1"/>
                              </pic:cNvPicPr>
                              <pic:nvPr/>
                            </pic:nvPicPr>
                            <pic:blipFill>
                              <a:blip r:embed="rId110"/>
                              <a:stretch/>
                            </pic:blipFill>
                            <pic:spPr bwMode="auto">
                              <a:xfrm>
                                <a:off x="0" y="0"/>
                                <a:ext cx="1038860" cy="401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81.8pt;height:31.6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4800*1600*750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3、功能配置：台面+铝合金脚架+2个BA插线槽+走线功能中柱（钢制）2个+过渡线槽（1000*135mm）2个，桌面配带毛刷铝合金过线盒（300*125mm）2个；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5、金属脚架：壁厚≥1.5mm铝合金一次成形型材脚架，表面采用抑菌防霉粉末静电喷涂处理，涂层膜厚度均匀，内外一致，抑菌、防霉、耐酸碱、耐磨、耐撞击，抗腐蚀力强。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5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屏风工作位</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屏风工作位</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743075" cy="1419225"/>
                      <wp:effectExtent l="0" t="0" r="9525" b="9525"/>
                      <wp:docPr id="116" name="图片 57"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57" descr="IMG_283"/>
                              <pic:cNvPicPr>
                                <a:picLocks noChangeAspect="1"/>
                              </pic:cNvPicPr>
                              <pic:nvPr/>
                            </pic:nvPicPr>
                            <pic:blipFill>
                              <a:blip r:embed="rId111"/>
                              <a:stretch/>
                            </pic:blipFill>
                            <pic:spPr bwMode="auto">
                              <a:xfrm>
                                <a:off x="0" y="0"/>
                                <a:ext cx="17430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137.2pt;height:111.8pt;mso-wrap-distance-left:0.0pt;mso-wrap-distance-top:0.0pt;mso-wrap-distance-right:0.0pt;mso-wrap-distance-bottom:0.0pt;" stroked="f">
                      <v:path textboxrect="0,0,0,0"/>
                      <v:imagedata r:id="rId111"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800*500*1200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w:t>
            </w:r>
            <w:r>
              <w:rPr>
                <w:rFonts w:hint="eastAsia" w:ascii="宋体" w:hAnsi="宋体" w:eastAsia="宋体" w:cs="宋体"/>
                <w:i w:val="0"/>
                <w:iCs w:val="0"/>
                <w:color w:val="auto"/>
                <w:sz w:val="18"/>
                <w:szCs w:val="18"/>
                <w:highlight w:val="none"/>
                <w:u w:val="none"/>
                <w:lang w:val="en-US" w:eastAsia="zh-CN" w:bidi="ar"/>
              </w:rPr>
              <w:t xml:space="preserve">采用E0级刨花板</w:t>
            </w:r>
            <w:r>
              <w:rPr>
                <w:rFonts w:hint="eastAsia" w:ascii="宋体" w:hAnsi="宋体" w:eastAsia="宋体" w:cs="宋体"/>
                <w:i w:val="0"/>
                <w:iCs w:val="0"/>
                <w:color w:val="auto"/>
                <w:sz w:val="18"/>
                <w:szCs w:val="18"/>
                <w:highlight w:val="none"/>
                <w:u w:val="none"/>
                <w:lang w:val="en-US" w:eastAsia="zh-CN" w:bidi="ar"/>
              </w:rPr>
              <w:t xml:space="preserve">，三聚氰胺饰面纸饰面；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2、主要板材厚度：面板厚度为25mm；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3、屏风：正面屏风采用60mm厚铝合金框架，条纹磨砂玻璃+木板+铝合金走线槽；侧面屏风采用30mm厚铝合金框架，条纹磨砂玻璃+木板;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4、五金配置：采用优质品牌五金配件，无锈蚀，具有足够的承载能力、耐腐蚀能力。</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培训条桌（不带轮）</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培训条桌（不带轮）</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"C:\\Users\\HZJJ\\AppData\\Local\\Temp\\ksohtml\\clip_cell_image25.png"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69315" cy="502285"/>
                      <wp:effectExtent l="0" t="0" r="6985" b="12065"/>
                      <wp:docPr id="117" name="图片 58"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58" descr="IMG_284"/>
                              <pic:cNvPicPr>
                                <a:picLocks noChangeAspect="1"/>
                              </pic:cNvPicPr>
                              <pic:nvPr/>
                            </pic:nvPicPr>
                            <pic:blipFill>
                              <a:blip r:embed="rId112"/>
                              <a:stretch/>
                            </pic:blipFill>
                            <pic:spPr bwMode="auto">
                              <a:xfrm>
                                <a:off x="0" y="0"/>
                                <a:ext cx="869315" cy="502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68.5pt;height:39.5pt;mso-wrap-distance-left:0.0pt;mso-wrap-distance-top:0.0pt;mso-wrap-distance-right:0.0pt;mso-wrap-distance-bottom:0.0pt;" stroked="f">
                      <v:path textboxrect="0,0,0,0"/>
                      <v:imagedata r:id="rId11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w:t>
            </w:r>
            <w:r>
              <w:rPr>
                <w:rFonts w:hint="eastAsia" w:ascii="宋体" w:hAnsi="宋体" w:eastAsia="宋体" w:cs="宋体"/>
                <w:i w:val="0"/>
                <w:iCs w:val="0"/>
                <w:color w:val="auto"/>
                <w:sz w:val="18"/>
                <w:szCs w:val="18"/>
                <w:highlight w:val="none"/>
                <w:u w:val="none"/>
                <w:lang w:val="en-US" w:eastAsia="zh-CN" w:bidi="ar"/>
              </w:rPr>
              <w:t xml:space="preserve">采用E0级刨花板，</w:t>
            </w:r>
            <w:r>
              <w:rPr>
                <w:rFonts w:hint="eastAsia" w:ascii="宋体" w:hAnsi="宋体" w:eastAsia="宋体" w:cs="宋体"/>
                <w:i w:val="0"/>
                <w:iCs w:val="0"/>
                <w:color w:val="auto"/>
                <w:sz w:val="18"/>
                <w:szCs w:val="18"/>
                <w:highlight w:val="none"/>
                <w:u w:val="none"/>
                <w:lang w:val="en-US" w:eastAsia="zh-CN" w:bidi="ar"/>
              </w:rPr>
              <w:t xml:space="preserve">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2、主要板材厚度：面板厚度为25mm，挡板厚度为16mm；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3、功能配置：台面+固定脚架+前挡板（不含书网和走线功能）；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4、封边：采用见光面为2.0mm厚全自动封边工艺，防水、防潮、不变色；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3、钢脚：铝合金钢脚架壁厚≥1.5mm，表面采用抑菌防霉粉末静电喷涂处理，涂层膜厚度均匀，内外一致，抑菌、防霉、耐酸碱、耐磨、耐撞击，抗腐蚀力强。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主任办公桌</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主任办公桌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70610" cy="596900"/>
                      <wp:effectExtent l="0" t="0" r="15240" b="12700"/>
                      <wp:docPr id="118" name="图片 59"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59" descr="IMG_285"/>
                              <pic:cNvPicPr>
                                <a:picLocks noChangeAspect="1"/>
                              </pic:cNvPicPr>
                              <pic:nvPr/>
                            </pic:nvPicPr>
                            <pic:blipFill>
                              <a:blip r:embed="rId113"/>
                              <a:stretch/>
                            </pic:blipFill>
                            <pic:spPr bwMode="auto">
                              <a:xfrm>
                                <a:off x="0" y="0"/>
                                <a:ext cx="1070610" cy="59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84.3pt;height:47.0pt;mso-wrap-distance-left:0.0pt;mso-wrap-distance-top:0.0pt;mso-wrap-distance-right:0.0pt;mso-wrap-distance-bottom:0.0pt;" stroked="f">
                      <v:path textboxrect="0,0,0,0"/>
                      <v:imagedata r:id="rId11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主台1700*700*750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副柜1500*450*650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2、主要板材厚度：台面板厚度为25mm，副柜台面厚度25mm，侧板、背板、抽面、底板厚度为16mm；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3、配置：主台面+50mm*50mm门型钢脚+多功能副柜（无门主机柜+单门柜+空格柜+单门单抽柜）+木制前挡板+铝合金过线盒；                                                                                                                                                4、五金配置：三节导轨、缓冲门铰、锁具、拉手、连接件等；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5、封边：见光面为2.0mm厚全自动封边，其余为1mm厚全自动封边，防水、防潮、不变色；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6、钢脚架表面采用抑菌防霉粉末静电喷涂处理，涂层膜厚度均匀，内外一致，抑菌、防霉、耐酸碱、耐磨、耐撞击，抗腐蚀力强。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32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主任办公桌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主任办公桌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58240" cy="645160"/>
                      <wp:effectExtent l="0" t="0" r="3810" b="2540"/>
                      <wp:docPr id="119" name="图片 60"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0" descr="IMG_286"/>
                              <pic:cNvPicPr>
                                <a:picLocks noChangeAspect="1"/>
                              </pic:cNvPicPr>
                              <pic:nvPr/>
                            </pic:nvPicPr>
                            <pic:blipFill>
                              <a:blip r:embed="rId113"/>
                              <a:stretch/>
                            </pic:blipFill>
                            <pic:spPr bwMode="auto">
                              <a:xfrm>
                                <a:off x="0" y="0"/>
                                <a:ext cx="1158240" cy="6451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91.2pt;height:50.8pt;mso-wrap-distance-left:0.0pt;mso-wrap-distance-top:0.0pt;mso-wrap-distance-right:0.0pt;mso-wrap-distance-bottom:0.0pt;" stroked="f">
                      <v:path textboxrect="0,0,0,0"/>
                      <v:imagedata r:id="rId11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主台1400*700*750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副柜1500*450*650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2、主要板材厚度：台面板厚度为25mm，副柜台面厚度25mm，侧板、背板、抽面、底板厚度为16mm；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3、配置：主台面+50mm*50mm门型钢脚+多功能副柜（无门主机柜+单门柜+空格柜+单门单抽柜）+木制前挡板+铝合金过线盒；                                                                                                                                                   4、五金配置：三节导轨、缓冲门铰、锁具、拉手、连接件等；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5、封边：台面板、副柜顶板为2.0mm厚全自动封边，其余为1mm厚全自动封边，防水、防潮、不变色；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3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收费桌</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收费桌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22350" cy="779145"/>
                      <wp:effectExtent l="0" t="0" r="6350" b="1905"/>
                      <wp:docPr id="120" name="图片 61"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1" descr="IMG_287"/>
                              <pic:cNvPicPr>
                                <a:picLocks noChangeAspect="1"/>
                              </pic:cNvPicPr>
                              <pic:nvPr/>
                            </pic:nvPicPr>
                            <pic:blipFill>
                              <a:blip r:embed="rId114"/>
                              <a:stretch/>
                            </pic:blipFill>
                            <pic:spPr bwMode="auto">
                              <a:xfrm>
                                <a:off x="0" y="0"/>
                                <a:ext cx="1022350" cy="779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80.5pt;height:61.3pt;mso-wrap-distance-left:0.0pt;mso-wrap-distance-top:0.0pt;mso-wrap-distance-right:0.0pt;mso-wrap-distance-bottom:0.0pt;" stroked="f">
                      <v:path textboxrect="0,0,0,0"/>
                      <v:imagedata r:id="rId11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1400*1400*750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3、配置：主台面+50mm*50mm门型钢脚+多功能副柜+塑料键盘架+Φ60mm金属线盒；                                         4、五金配置：三节导轨、缓冲门铰、锁具、拉手、连接件等；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5、封边：台面板为2.0mm厚全自动封边，其余为1mm厚全自动封边，防水、防潮、不变色；                                                        6、钢脚：50mm*50mm门型钢脚，壁厚≥1.5mm，表面采用抑菌防霉粉末静电喷涂处理，涂层膜厚度均匀，内外一致，抑菌、防霉、耐酸碱、耐磨、耐撞击，抗腐蚀力强。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7、功能：可以满足现金纸币、打印纸、收费单据分类存放。</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1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56970" cy="862965"/>
                      <wp:effectExtent l="0" t="0" r="5080" b="13335"/>
                      <wp:docPr id="121" name="图片 62"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2" descr="IMG_288"/>
                              <pic:cNvPicPr>
                                <a:picLocks noChangeAspect="1"/>
                              </pic:cNvPicPr>
                              <pic:nvPr/>
                            </pic:nvPicPr>
                            <pic:blipFill>
                              <a:blip r:embed="rId115"/>
                              <a:stretch/>
                            </pic:blipFill>
                            <pic:spPr bwMode="auto">
                              <a:xfrm>
                                <a:off x="0" y="0"/>
                                <a:ext cx="1156970" cy="862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91.1pt;height:68.0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3、配置：主台面+50mm*50mm门型钢脚+三抽固定柜+塑料键盘架+Φ60mm金属线盒+木制活动主机架+木制前挡板；                                                                                                                                                               4、五金配置：三节导轨、锁具、拉手、连接件等；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w:t>
            </w:r>
            <w:r>
              <w:rPr>
                <w:rFonts w:hint="eastAsia" w:ascii="宋体" w:hAnsi="宋体" w:eastAsia="宋体" w:cs="宋体"/>
                <w:i w:val="0"/>
                <w:iCs w:val="0"/>
                <w:color w:val="auto"/>
                <w:sz w:val="18"/>
                <w:szCs w:val="18"/>
                <w:highlight w:val="none"/>
                <w:u w:val="none"/>
                <w:lang w:val="en-US" w:eastAsia="zh-CN" w:bidi="ar"/>
              </w:rPr>
              <w:t xml:space="preserve">台面板抽面板</w:t>
            </w:r>
            <w:r>
              <w:rPr>
                <w:rFonts w:hint="eastAsia" w:ascii="宋体" w:hAnsi="宋体" w:eastAsia="宋体" w:cs="宋体"/>
                <w:i w:val="0"/>
                <w:iCs w:val="0"/>
                <w:color w:val="auto"/>
                <w:sz w:val="18"/>
                <w:szCs w:val="18"/>
                <w:highlight w:val="none"/>
                <w:u w:val="none"/>
                <w:lang w:val="en-US" w:eastAsia="zh-CN" w:bidi="ar"/>
              </w:rPr>
              <w:t xml:space="preserve">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376</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1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4100" cy="786130"/>
                      <wp:effectExtent l="0" t="0" r="12700" b="13970"/>
                      <wp:docPr id="122" name="图片 63"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3" descr="IMG_290"/>
                              <pic:cNvPicPr>
                                <a:picLocks noChangeAspect="1"/>
                              </pic:cNvPicPr>
                              <pic:nvPr/>
                            </pic:nvPicPr>
                            <pic:blipFill>
                              <a:blip r:embed="rId115"/>
                              <a:stretch/>
                            </pic:blipFill>
                            <pic:spPr bwMode="auto">
                              <a:xfrm>
                                <a:off x="0" y="0"/>
                                <a:ext cx="1054100" cy="786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83.0pt;height:61.9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3、配置：主台面+50mm*50mm门型钢脚+三抽固定柜+塑料键盘架+Φ60mm金属线盒+木制活动主机架+木制前挡板；                                                                                                                                                                 4、五金配置：三节导轨、锁具、拉手、连接件等；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w:t>
            </w:r>
            <w:r>
              <w:rPr>
                <w:rFonts w:hint="eastAsia" w:ascii="宋体" w:hAnsi="宋体" w:eastAsia="宋体" w:cs="宋体"/>
                <w:i w:val="0"/>
                <w:iCs w:val="0"/>
                <w:color w:val="auto"/>
                <w:sz w:val="18"/>
                <w:szCs w:val="18"/>
                <w:highlight w:val="none"/>
                <w:u w:val="none"/>
                <w:lang w:val="en-US" w:eastAsia="zh-CN" w:bidi="ar"/>
              </w:rPr>
              <w:t xml:space="preserve">台面板抽面板</w:t>
            </w:r>
            <w:r>
              <w:rPr>
                <w:rFonts w:hint="eastAsia" w:ascii="宋体" w:hAnsi="宋体" w:eastAsia="宋体" w:cs="宋体"/>
                <w:i w:val="0"/>
                <w:iCs w:val="0"/>
                <w:color w:val="auto"/>
                <w:sz w:val="18"/>
                <w:szCs w:val="18"/>
                <w:highlight w:val="none"/>
                <w:u w:val="none"/>
                <w:lang w:val="en-US" w:eastAsia="zh-CN" w:bidi="ar"/>
              </w:rPr>
              <w:t xml:space="preserve">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1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0125" cy="746125"/>
                      <wp:effectExtent l="0" t="0" r="9525" b="15875"/>
                      <wp:docPr id="123" name="图片 64"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4" descr="IMG_290"/>
                              <pic:cNvPicPr>
                                <a:picLocks noChangeAspect="1"/>
                              </pic:cNvPicPr>
                              <pic:nvPr/>
                            </pic:nvPicPr>
                            <pic:blipFill>
                              <a:blip r:embed="rId115"/>
                              <a:stretch/>
                            </pic:blipFill>
                            <pic:spPr bwMode="auto">
                              <a:xfrm>
                                <a:off x="0" y="0"/>
                                <a:ext cx="1000125" cy="74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8.8pt;height:58.8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1900*600*750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3、配置：主台面+50mm*50mm门型钢脚+三抽固定柜+塑料键盘架+Φ60mm金属线盒+木制活动主机架+木制前挡板；                                                                                                                                                                    4、五金配置：三节导轨、锁具、拉手、连接件等；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w:t>
            </w:r>
            <w:r>
              <w:rPr>
                <w:rFonts w:hint="eastAsia" w:ascii="宋体" w:hAnsi="宋体" w:eastAsia="宋体" w:cs="宋体"/>
                <w:i w:val="0"/>
                <w:iCs w:val="0"/>
                <w:color w:val="auto"/>
                <w:sz w:val="18"/>
                <w:szCs w:val="18"/>
                <w:highlight w:val="none"/>
                <w:u w:val="none"/>
                <w:lang w:val="en-US" w:eastAsia="zh-CN" w:bidi="ar"/>
              </w:rPr>
              <w:t xml:space="preserve">台面板抽面板</w:t>
            </w:r>
            <w:r>
              <w:rPr>
                <w:rFonts w:hint="eastAsia" w:ascii="宋体" w:hAnsi="宋体" w:eastAsia="宋体" w:cs="宋体"/>
                <w:i w:val="0"/>
                <w:iCs w:val="0"/>
                <w:color w:val="auto"/>
                <w:sz w:val="18"/>
                <w:szCs w:val="18"/>
                <w:highlight w:val="none"/>
                <w:u w:val="none"/>
                <w:lang w:val="en-US" w:eastAsia="zh-CN" w:bidi="ar"/>
              </w:rPr>
              <w:t xml:space="preserve">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1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转角办公桌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转角办公桌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10590" cy="528955"/>
                      <wp:effectExtent l="0" t="0" r="3810" b="4445"/>
                      <wp:docPr id="124" name="图片 65"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5" descr="IMG_291"/>
                              <pic:cNvPicPr>
                                <a:picLocks noChangeAspect="1"/>
                              </pic:cNvPicPr>
                              <pic:nvPr/>
                            </pic:nvPicPr>
                            <pic:blipFill>
                              <a:blip r:embed="rId116"/>
                              <a:stretch/>
                            </pic:blipFill>
                            <pic:spPr bwMode="auto">
                              <a:xfrm>
                                <a:off x="0" y="0"/>
                                <a:ext cx="910590" cy="528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71.7pt;height:41.6pt;mso-wrap-distance-left:0.0pt;mso-wrap-distance-top:0.0pt;mso-wrap-distance-right:0.0pt;mso-wrap-distance-bottom:0.0pt;" stroked="f">
                      <v:path textboxrect="0,0,0,0"/>
                      <v:imagedata r:id="rId11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1400*1400*750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2、主要板材厚度：台面板厚度为25mm，侧板、背板、抽面、底板厚度为16mm；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3、配置：主台面+50mm*50mm门型钢脚+三抽固定柜+塑料键盘架+Φ60mm金属线盒+木制活动主机架+木制前挡板；                                                                                                                                                                          4、五金配置：三节导轨、锁具、拉手、连接件等；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w:t>
            </w:r>
            <w:r>
              <w:rPr>
                <w:rFonts w:hint="eastAsia" w:ascii="宋体" w:hAnsi="宋体" w:eastAsia="宋体" w:cs="宋体"/>
                <w:i w:val="0"/>
                <w:iCs w:val="0"/>
                <w:color w:val="auto"/>
                <w:sz w:val="18"/>
                <w:szCs w:val="18"/>
                <w:highlight w:val="none"/>
                <w:u w:val="none"/>
                <w:lang w:val="en-US" w:eastAsia="zh-CN" w:bidi="ar"/>
              </w:rPr>
              <w:t xml:space="preserve">台面板抽面板</w:t>
            </w:r>
            <w:r>
              <w:rPr>
                <w:rFonts w:hint="eastAsia" w:ascii="宋体" w:hAnsi="宋体" w:eastAsia="宋体" w:cs="宋体"/>
                <w:i w:val="0"/>
                <w:iCs w:val="0"/>
                <w:color w:val="auto"/>
                <w:sz w:val="18"/>
                <w:szCs w:val="18"/>
                <w:highlight w:val="none"/>
                <w:u w:val="none"/>
                <w:lang w:val="en-US" w:eastAsia="zh-CN" w:bidi="ar"/>
              </w:rPr>
              <w:t xml:space="preserve">为2.0mm厚全自动封边，其余为1mm厚全自动封边，防水、防潮、不变色；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6、钢脚：50mm*50mm门型钢脚，壁厚≥1.5mm，表面采用抑菌防霉粉末静电喷涂处理，涂层膜厚度均匀，内外一致，抑菌、防霉、耐酸碱、耐磨、耐撞击，抗腐蚀力强。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80745" cy="654685"/>
                      <wp:effectExtent l="0" t="0" r="14604" b="12065"/>
                      <wp:docPr id="125" name="图片 66"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6" descr="IMG_292"/>
                              <pic:cNvPicPr>
                                <a:picLocks noChangeAspect="1"/>
                              </pic:cNvPicPr>
                              <pic:nvPr/>
                            </pic:nvPicPr>
                            <pic:blipFill>
                              <a:blip r:embed="rId117"/>
                              <a:stretch/>
                            </pic:blipFill>
                            <pic:spPr bwMode="auto">
                              <a:xfrm>
                                <a:off x="0" y="0"/>
                                <a:ext cx="880745" cy="654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69.3pt;height:51.5pt;mso-wrap-distance-left:0.0pt;mso-wrap-distance-top:0.0pt;mso-wrap-distance-right:0.0pt;mso-wrap-distance-bottom:0.0pt;" stroked="f">
                      <v:path textboxrect="0,0,0,0"/>
                      <v:imagedata r:id="rId11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1800*600*760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6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主席台</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主席台</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59485" cy="673735"/>
                      <wp:effectExtent l="0" t="0" r="12065" b="12065"/>
                      <wp:docPr id="126" name="图片 67"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7" descr="IMG_293"/>
                              <pic:cNvPicPr>
                                <a:picLocks noChangeAspect="1"/>
                              </pic:cNvPicPr>
                              <pic:nvPr/>
                            </pic:nvPicPr>
                            <pic:blipFill>
                              <a:blip r:embed="rId118"/>
                              <a:stretch/>
                            </pic:blipFill>
                            <pic:spPr bwMode="auto">
                              <a:xfrm>
                                <a:off x="0" y="0"/>
                                <a:ext cx="959485" cy="673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75.5pt;height:53.0pt;mso-wrap-distance-left:0.0pt;mso-wrap-distance-top:0.0pt;mso-wrap-distance-right:0.0pt;mso-wrap-distance-bottom:0.0pt;" stroked="f">
                      <v:path textboxrect="0,0,0,0"/>
                      <v:imagedata r:id="rId11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1600*600*760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2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主席椅</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主席椅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0600" cy="1476375"/>
                      <wp:effectExtent l="0" t="0" r="0" b="9525"/>
                      <wp:docPr id="127" name="图片 68"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68" descr="IMG_294"/>
                              <pic:cNvPicPr>
                                <a:picLocks noChangeAspect="1"/>
                              </pic:cNvPicPr>
                              <pic:nvPr/>
                            </pic:nvPicPr>
                            <pic:blipFill>
                              <a:blip r:embed="rId119"/>
                              <a:stretch/>
                            </pic:blipFill>
                            <pic:spPr bwMode="auto">
                              <a:xfrm>
                                <a:off x="0" y="0"/>
                                <a:ext cx="990600" cy="1476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78.0pt;height:116.2pt;mso-wrap-distance-left:0.0pt;mso-wrap-distance-top:0.0pt;mso-wrap-distance-right:0.0pt;mso-wrap-distance-bottom:0.0pt;" stroked="f">
                      <v:path textboxrect="0,0,0,0"/>
                      <v:imagedata r:id="rId11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1、饰面：采用耐磨加厚西皮，厚度一致适中，柔软手感好，不掉色和脱漆；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2、缝韧和包履要求：平服饱满、无皱折，松紧均匀无松弛，工艺缝线对称均匀，嵌线圆弧处圆滑顺直；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4、椅架：采用优质橡胶木实木，榫卯结构，四脚厚度≥30*50mm；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5、油漆：采用环保水性漆，色泽美观，漆膜饱满均匀，手感光滑，色泽美丽。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66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礼堂椅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礼堂椅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"C:\\Users\\HZJJ\\AppData\\Local\\Temp\\ksohtml\\clip_cell_image87.png"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52500" cy="909955"/>
                      <wp:effectExtent l="0" t="0" r="0" b="4445"/>
                      <wp:docPr id="128" name="图片 69"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69" descr="IMG_295"/>
                              <pic:cNvPicPr>
                                <a:picLocks noChangeAspect="1"/>
                              </pic:cNvPicPr>
                              <pic:nvPr/>
                            </pic:nvPicPr>
                            <pic:blipFill>
                              <a:blip r:embed="rId120"/>
                              <a:stretch/>
                            </pic:blipFill>
                            <pic:spPr bwMode="auto">
                              <a:xfrm>
                                <a:off x="0" y="0"/>
                                <a:ext cx="952500" cy="909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75.0pt;height:71.6pt;mso-wrap-distance-left:0.0pt;mso-wrap-distance-top:0.0pt;mso-wrap-distance-right:0.0pt;mso-wrap-distance-bottom:0.0pt;" stroked="f">
                      <v:path textboxrect="0,0,0,0"/>
                      <v:imagedata r:id="rId12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640*805*1010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背包</w:t>
            </w:r>
            <w:r>
              <w:rPr>
                <w:rFonts w:hint="eastAsia" w:ascii="宋体" w:hAnsi="宋体" w:eastAsia="宋体" w:cs="宋体"/>
                <w:color w:val="auto"/>
                <w:sz w:val="22"/>
                <w:szCs w:val="22"/>
                <w:highlight w:val="none"/>
              </w:rPr>
              <w:t xml:space="preserve">：采用环保高密度高回弹</w:t>
            </w:r>
            <w:r>
              <w:rPr>
                <w:rFonts w:hint="eastAsia" w:ascii="宋体" w:hAnsi="宋体" w:eastAsia="宋体" w:cs="宋体"/>
                <w:color w:val="auto"/>
                <w:sz w:val="22"/>
                <w:szCs w:val="22"/>
                <w:highlight w:val="none"/>
                <w:lang w:val="en-US" w:eastAsia="zh-CN"/>
              </w:rPr>
              <w:t xml:space="preserve">异形</w:t>
            </w:r>
            <w:r>
              <w:rPr>
                <w:rFonts w:hint="eastAsia" w:ascii="宋体" w:hAnsi="宋体" w:eastAsia="宋体" w:cs="宋体"/>
                <w:color w:val="auto"/>
                <w:sz w:val="22"/>
                <w:szCs w:val="22"/>
                <w:highlight w:val="none"/>
              </w:rPr>
              <w:t xml:space="preserve">定型海绵，规格：：宽470mm*高690mm*</w:t>
            </w:r>
            <w:r>
              <w:rPr>
                <w:rFonts w:hint="eastAsia" w:ascii="宋体" w:hAnsi="宋体" w:eastAsia="宋体" w:cs="宋体"/>
                <w:color w:val="auto"/>
                <w:sz w:val="22"/>
                <w:szCs w:val="22"/>
                <w:highlight w:val="none"/>
              </w:rPr>
              <w:t xml:space="preserve">厚80-110mm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座</w:t>
            </w:r>
            <w:r>
              <w:rPr>
                <w:rFonts w:hint="eastAsia" w:ascii="宋体" w:hAnsi="宋体" w:eastAsia="宋体" w:cs="宋体"/>
                <w:color w:val="auto"/>
                <w:sz w:val="22"/>
                <w:szCs w:val="22"/>
                <w:highlight w:val="none"/>
                <w:lang w:val="en-US" w:eastAsia="zh-CN"/>
              </w:rPr>
              <w:t xml:space="preserve">包</w:t>
            </w:r>
            <w:r>
              <w:rPr>
                <w:rFonts w:hint="eastAsia" w:ascii="宋体" w:hAnsi="宋体" w:eastAsia="宋体" w:cs="宋体"/>
                <w:color w:val="auto"/>
                <w:sz w:val="22"/>
                <w:szCs w:val="22"/>
                <w:highlight w:val="none"/>
              </w:rPr>
              <w:t xml:space="preserve">：采用环保高密度高回弹</w:t>
            </w:r>
            <w:r>
              <w:rPr>
                <w:rFonts w:hint="eastAsia" w:ascii="宋体" w:hAnsi="宋体" w:eastAsia="宋体" w:cs="宋体"/>
                <w:color w:val="auto"/>
                <w:sz w:val="22"/>
                <w:szCs w:val="22"/>
                <w:highlight w:val="none"/>
                <w:lang w:val="en-US" w:eastAsia="zh-CN"/>
              </w:rPr>
              <w:t xml:space="preserve">异形</w:t>
            </w:r>
            <w:r>
              <w:rPr>
                <w:rFonts w:hint="eastAsia" w:ascii="宋体" w:hAnsi="宋体" w:eastAsia="宋体" w:cs="宋体"/>
                <w:color w:val="auto"/>
                <w:sz w:val="22"/>
                <w:szCs w:val="22"/>
                <w:highlight w:val="none"/>
              </w:rPr>
              <w:t xml:space="preserve">定型海绵，座绵内置≥1.5mm加厚钢架，采用黑色无纺布作隔层，座包不易变形，持久耐用；规格：长500*宽460*</w:t>
            </w:r>
            <w:r>
              <w:rPr>
                <w:rFonts w:hint="eastAsia" w:ascii="宋体" w:hAnsi="宋体" w:eastAsia="宋体" w:cs="宋体"/>
                <w:color w:val="auto"/>
                <w:sz w:val="22"/>
                <w:szCs w:val="22"/>
                <w:highlight w:val="none"/>
              </w:rPr>
              <w:t xml:space="preserve">厚140-160mm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3、座、背外板：采用优质多层旋切桦木皮用无甲醛环保胶热压成型,表面经5次抛光，厚度≥12mm；油漆采用环保水性油漆；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4、布料：采用优质麻绒面料；椅背拉线定位并加垫丝光绵；</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扶手：扶手框架采用钢结构设计，钢制框架选用≥2.0mm冷轧钢板经模具冲压、机械手焊接成型，需结构牢固，扶手框用改善声学效能的中空结构设计，两侧用外覆薄棉及布料的装饰板装饰。扶手骨架尺寸448*410*65mm宽。</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写字板：写字板支撑板和支撑杆材质均采用冷轧钢压铸成型，通过焊接连为一体，四周做加强筋处理，使其更加美观且承重能力更强。写字板面板尺寸：265mm*232mm*15mm。写字板面材质为高密度中纤板四周采用PVC注塑封边。写字板向上倾斜保证书写舒适自然状态，打开与回收功能顺畅。</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7、椅脚：采用优质铝合金压铸，脚架与扶手框连接安装，脚架尺寸：长359mm，宽70mm，高151~202mm，底部地面安装孔孔距≥300mm；扶手侧板采用优质密度板覆薄棉外包布装饰，隐藏式地爆螺丝，外带地胶盖。</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8、扶手盖：采用进口原木经5次抛光封漆而成，油漆采用环保水性油漆；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9、回复功能：采用弹簧加阻尼回复机构。座包采用了以上回复机构使得座包在回复时匀速运动而又无噪音。</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10、地爆螺钉：采用不锈钢内六角圆柱头螺钉与镀彩锌膨胀螺母。</w:t>
            </w:r>
            <w:r/>
          </w:p>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5398"/>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值班床</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双层值班床</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4085" cy="980440"/>
                      <wp:effectExtent l="0" t="0" r="18415" b="10160"/>
                      <wp:docPr id="129" name="图片 70"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70" descr="IMG_296"/>
                              <pic:cNvPicPr>
                                <a:picLocks noChangeAspect="1"/>
                              </pic:cNvPicPr>
                              <pic:nvPr/>
                            </pic:nvPicPr>
                            <pic:blipFill>
                              <a:blip r:embed="rId121"/>
                              <a:stretch/>
                            </pic:blipFill>
                            <pic:spPr bwMode="auto">
                              <a:xfrm>
                                <a:off x="0" y="0"/>
                                <a:ext cx="934085" cy="980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73.5pt;height:77.2pt;mso-wrap-distance-left:0.0pt;mso-wrap-distance-top:0.0pt;mso-wrap-distance-right:0.0pt;mso-wrap-distance-bottom:0.0pt;" stroked="f">
                      <v:path textboxrect="0,0,0,0"/>
                      <v:imagedata r:id="rId121"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2020*900*1960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1.床立柱：采用优质冷轧钢板经特制成型线轧制成中空异形结构，立柱立面应至少有2条宽度≥5mm向内凹的加强筋，达到加强硬度作用。立柱成型后截面尺寸应</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72mm×72mm。所用材料的喷塑前厚度应≥1.3mm，立柱两端带有塑胶套；</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2.长横梁 ：采用优质冷轧钢板经特制成型线轧制成中空异形结构，正面应至少有1条宽度≥20mm向内凹的加强筋，以确保结构牢固。横梁成型后截面尺寸应</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80mm×38mm，所用材料的喷塑前厚度应≥1.3mm；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3.短横梁 结构与材质：采用优质冷轧钢板经特制成型线轧制成中空异形结构，正面应至少有1条宽度≥20mm向内凹的加强筋，以确保结构牢固。横梁成型后截面尺寸应</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80mm×38mm。所用材料的喷塑前厚度应≥1.2mm；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4.床支撑材质与规格：采用截面</w:t>
            </w:r>
            <w:r>
              <w:rPr>
                <w:rFonts w:hint="eastAsia" w:ascii="宋体" w:hAnsi="宋体" w:eastAsia="宋体" w:cs="宋体"/>
                <w:color w:val="auto"/>
                <w:sz w:val="22"/>
                <w:szCs w:val="22"/>
                <w:highlight w:val="none"/>
              </w:rPr>
              <w:t xml:space="preserve">不小于</w:t>
            </w:r>
            <w:r>
              <w:rPr>
                <w:rFonts w:hint="eastAsia" w:ascii="宋体" w:hAnsi="宋体" w:eastAsia="宋体" w:cs="宋体"/>
                <w:color w:val="auto"/>
                <w:sz w:val="22"/>
                <w:szCs w:val="22"/>
                <w:highlight w:val="none"/>
              </w:rPr>
              <w:t xml:space="preserve">30mm×20mm的优质方形钢管制作。钢管喷塑前壁厚应≥0.9mm；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5.前护栏规格：长度</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1350mm，高度</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300mm。框架：采用</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20mm×20mm方管制作，喷塑前壁厚应≥1.0mm。内嵌板：框架内应嵌装厚度≥18mm、高度≥100mm且符合E0级环保标准三聚氰胺板，四周进行封边处理，木材需经杀虫、烘干、防腐防霉处理；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6.侧护栏规格：侧护栏采用中空吹塑工艺，表面皮纹处理造型美观，材料为HDPE 高密度聚乙烯。长*宽*厚度最大尺寸要求：长度</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745mm，高度</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315mm，厚度为30±2mm。挡头具有6个透气平椭圆孔，4个小的透气孔和2个大的透气孔。小透气孔的尺寸≥19*95mm，大透气孔的尺寸≥30*180 mm。在挡头的左右两侧均有一次成型的警示线和刻度线，以确保符合国家标准的要求。挡头采用预埋2个M6螺母，以保证与立柱的连接可靠，底部凸起两个圆柱嵌入短横梁，以保证侧护栏整体稳固；</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7.床楼梯 (爬梯)立柱：爬梯立柱采用25*25mm方形钢管制作，未喷塑钢管未喷塑厚度≥1.2mm，床梯支撑架采用20*20mm方形钢管制作，未喷塑钢管厚度≥1.2mm。踏板：踏板由一次注塑成型的荧光片内嵌于冲压成型的优质钢板所组成。脚踏板规格（总长*总宽*高）</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 385mm * 65mm*9mm。钢板厚度≧1.7mm。踏板中间具有3条长防滑条纹，大小为7x108mm（±2mm），踏板两侧各有4条短斜防滑条纹6*20 mm（±2mm）。踏板表面内嵌4颗人字形荧光片，其大小尺寸：15 mm x15mm（±2mm）；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8.连接件 结构与工艺：需经冲压成型为L型，并有三个连接卡口。尺寸与厚度：成型后尺寸应</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190mm×26mm×26mm。所用材料的喷塑前厚度应≥2.0mm；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9.立柱防护胶套用途：安装于床架与地面接触的部位，起保护、防滑和缓冲作用。</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床板要求</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材质：采用双面刨光杉木板，厚度16mm。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结构：由5片或7片铺板组成，板间缝隙≤3mm。背面辅以4根四面刨光的30mm×40mm杉木条（床板档），用地板钉与铺板可靠连接。</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质量：无板皮、无发霉、无蛀孔、无影响结构的烂疤。整体制作牢固可靠。</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处理：木材需经过杀虫、烘干、防腐、防霉处理，含水率符合国家及地区标准。</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规格：按钢架床内部实际空间尺寸定制，如图所示：</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安全尺寸要求</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安全栏板缺口长度：500~600 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扶梯净宽：≥350mm。</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扶梯梯蹬净间距：300~340 mm。</w:t>
            </w:r>
            <w:r/>
          </w:p>
          <w:p>
            <w:pPr>
              <w:rPr>
                <w:rFonts w:hint="eastAsia" w:ascii="宋体" w:hAnsi="宋体" w:eastAsia="宋体" w:cs="宋体"/>
                <w:color w:val="auto"/>
                <w:sz w:val="18"/>
                <w:szCs w:val="18"/>
                <w:highlight w:val="none"/>
              </w:rPr>
            </w:pPr>
            <w:r>
              <w:rPr>
                <w:rFonts w:hint="eastAsia" w:ascii="宋体" w:hAnsi="宋体" w:eastAsia="宋体" w:cs="宋体"/>
                <w:color w:val="auto"/>
                <w:sz w:val="22"/>
                <w:szCs w:val="22"/>
                <w:highlight w:val="none"/>
              </w:rPr>
              <w:t xml:space="preserve">梯蹬宽度：≥50 mm。</w:t>
            </w:r>
            <w:r/>
          </w:p>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"C:\\Users\\HZJJ\\AppData\\Local\\Temp\\ksohtml\\clip_cell_image210.png"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2025" cy="942340"/>
                      <wp:effectExtent l="0" t="0" r="9525" b="10160"/>
                      <wp:docPr id="130" name="图片 71"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71" descr="IMG_297"/>
                              <pic:cNvPicPr>
                                <a:picLocks noChangeAspect="1"/>
                              </pic:cNvPicPr>
                              <pic:nvPr/>
                            </pic:nvPicPr>
                            <pic:blipFill>
                              <a:blip r:embed="rId122"/>
                              <a:stretch/>
                            </pic:blipFill>
                            <pic:spPr bwMode="auto">
                              <a:xfrm>
                                <a:off x="0" y="0"/>
                                <a:ext cx="962025" cy="942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75.8pt;height:74.2pt;mso-wrap-distance-left:0.0pt;mso-wrap-distance-top:0.0pt;mso-wrap-distance-right:0.0pt;mso-wrap-distance-bottom:0.0pt;" stroked="f">
                      <v:path textboxrect="0,0,0,0"/>
                      <v:imagedata r:id="rId12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500*450*500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2、主要板材厚度：面板厚度为25mm，其余板件厚度为16mm；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3、配置：两抽，台面以上带挡边；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4、五金配置：三节导轨，拉手，连接件等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w:t>
            </w:r>
            <w:r>
              <w:rPr>
                <w:rFonts w:hint="eastAsia" w:ascii="宋体" w:hAnsi="宋体" w:eastAsia="宋体" w:cs="宋体"/>
                <w:i w:val="0"/>
                <w:iCs w:val="0"/>
                <w:color w:val="auto"/>
                <w:sz w:val="18"/>
                <w:szCs w:val="18"/>
                <w:highlight w:val="none"/>
                <w:u w:val="none"/>
                <w:lang w:val="en-US" w:eastAsia="zh-CN" w:bidi="ar"/>
              </w:rPr>
              <w:t xml:space="preserve">台面板</w:t>
            </w:r>
            <w:r>
              <w:rPr>
                <w:rFonts w:hint="eastAsia" w:ascii="宋体" w:hAnsi="宋体" w:eastAsia="宋体" w:cs="宋体"/>
                <w:i w:val="0"/>
                <w:iCs w:val="0"/>
                <w:color w:val="auto"/>
                <w:sz w:val="18"/>
                <w:szCs w:val="18"/>
                <w:highlight w:val="none"/>
                <w:u w:val="none"/>
                <w:lang w:val="en-US" w:eastAsia="zh-CN" w:bidi="ar"/>
              </w:rPr>
              <w:t xml:space="preserve">为2.0mm厚全自动封边，其余为1mm厚全自动封边，防水、防潮、不变色；</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5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8225" cy="1247775"/>
                      <wp:effectExtent l="0" t="0" r="9525" b="9525"/>
                      <wp:docPr id="131" name="图片 72"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72" descr="IMG_298"/>
                              <pic:cNvPicPr>
                                <a:picLocks noChangeAspect="1"/>
                              </pic:cNvPicPr>
                              <pic:nvPr/>
                            </pic:nvPicPr>
                            <pic:blipFill>
                              <a:blip r:embed="rId123"/>
                              <a:stretch/>
                            </pic:blipFill>
                            <pic:spPr bwMode="auto">
                              <a:xfrm>
                                <a:off x="0" y="0"/>
                                <a:ext cx="1038225" cy="1247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81.8pt;height:98.2pt;mso-wrap-distance-left:0.0pt;mso-wrap-distance-top:0.0pt;mso-wrap-distance-right:0.0pt;mso-wrap-distance-bottom:0.0pt;" stroked="f">
                      <v:path textboxrect="0,0,0,0"/>
                      <v:imagedata r:id="rId12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700*500*800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1、主要材料：所有板件采用E0级中密度纤维板，面贴实木木皮，厚度≥0.6mm，环保水性漆涂装，色泽美观，漆膜饱满均匀，手感光滑，色泽美丽；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2、主要板材厚度：顶板层板25mm厚、其他板件厚度为16mm；                                                                   3、配置：单抽+对开掩门柜（内含一块活动层板），台面以上带挡边；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3、五金配置：缓冲门铰、锁具、拉手、连接件等；                                                                                                   4、油漆：采用环保水性漆，色泽美观，漆膜饱满均匀，手感光滑，色泽美丽。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1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演讲台</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演讲台</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"C:\\Users\\HZJJ\\AppData\\Local\\Temp\\ksohtml\\clip_cell_image90.png"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4570" cy="1079500"/>
                      <wp:effectExtent l="0" t="0" r="5080" b="6350"/>
                      <wp:docPr id="132" name="图片 73"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73" descr="IMG_299"/>
                              <pic:cNvPicPr>
                                <a:picLocks noChangeAspect="1"/>
                              </pic:cNvPicPr>
                              <pic:nvPr/>
                            </pic:nvPicPr>
                            <pic:blipFill>
                              <a:blip r:embed="rId124"/>
                              <a:stretch/>
                            </pic:blipFill>
                            <pic:spPr bwMode="auto">
                              <a:xfrm>
                                <a:off x="0" y="0"/>
                                <a:ext cx="1004570" cy="1079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79.1pt;height:85.0pt;mso-wrap-distance-left:0.0pt;mso-wrap-distance-top:0.0pt;mso-wrap-distance-right:0.0pt;mso-wrap-distance-bottom:0.0pt;" stroked="f">
                      <v:path textboxrect="0,0,0,0"/>
                      <v:imagedata r:id="rId12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600*535*1050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1、主要材料：台面板采用25mm厚的</w:t>
            </w:r>
            <w:r>
              <w:rPr>
                <w:rFonts w:hint="eastAsia" w:ascii="宋体" w:hAnsi="宋体" w:eastAsia="宋体" w:cs="宋体"/>
                <w:i w:val="0"/>
                <w:iCs w:val="0"/>
                <w:color w:val="auto"/>
                <w:sz w:val="18"/>
                <w:szCs w:val="18"/>
                <w:highlight w:val="none"/>
                <w:u w:val="none"/>
                <w:lang w:val="en-US" w:eastAsia="zh-CN" w:bidi="ar"/>
              </w:rPr>
              <w:t xml:space="preserve">E0级刨花板</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2、功能配置：台面+活动弧形挡板钢脚架+防下滑钢挡条；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3、封边：采用见光面为2.0mm厚全自动封边工艺，防水、防潮、不变色；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4、钢架：厚度≥1.2mm，表面采用抑菌防霉粉末静电喷涂处理，涂层膜厚度均匀，内外一致，抑菌、防霉、耐酸碱、耐磨、耐撞击，抗腐蚀力强。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主任办公椅</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主任办公椅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0450" cy="1577975"/>
                      <wp:effectExtent l="0" t="0" r="6350" b="3175"/>
                      <wp:docPr id="133" name="图片 74"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74" descr="IMG_300"/>
                              <pic:cNvPicPr>
                                <a:picLocks noChangeAspect="1"/>
                              </pic:cNvPicPr>
                              <pic:nvPr/>
                            </pic:nvPicPr>
                            <pic:blipFill>
                              <a:blip r:embed="rId125"/>
                              <a:stretch/>
                            </pic:blipFill>
                            <pic:spPr bwMode="auto">
                              <a:xfrm>
                                <a:off x="0" y="0"/>
                                <a:ext cx="1060450" cy="157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83.5pt;height:124.2pt;mso-wrap-distance-left:0.0pt;mso-wrap-distance-top:0.0pt;mso-wrap-distance-right:0.0pt;mso-wrap-distance-bottom:0.0pt;" stroked="f">
                      <v:path textboxrect="0,0,0,0"/>
                      <v:imagedata r:id="rId12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630*600*920-970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1、椅背：采用抑菌级高弹性网布，高强度PP加30%玻纤材料椅背，长期使用不变形，背框可5档升降调节以及顶腰5档升降调节；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2、坐垫：采用防油污，防水，防磨损及抗尘埃3M防污处理和不助燃处理，阻燃PU定型海绵，搭载加厚承重底塑壳，无木板、无胶水、不打钉、环保、绿色健康；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3、扶手：采用3D软PU面升降扶手，可上下、前后、左右调节；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4、底盘：采用塑钢结构，精密准确，承受力大，并保持恒久，不变形，可追背倾仰；3段倾仰锁定并具有防撞功能、可原位以及倾仰锁定椅背，更人性化设计；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弓形脚：采用≥2.0mm壁厚钢管，管径≥28mm，表面采用抑菌防霉粉末静电喷涂处理，涂层膜厚度均匀，内外一致，抑菌、防霉、耐酸碱、耐磨、耐撞击，抗腐蚀力强。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3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"C:\\Users\\HZJJ\\AppData\\Local\\Temp\\ksohtml\\clip_cell_image12.png"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52525" cy="1706245"/>
                      <wp:effectExtent l="0" t="0" r="9525" b="8255"/>
                      <wp:docPr id="134" name="图片 75"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75" descr="IMG_301"/>
                              <pic:cNvPicPr>
                                <a:picLocks noChangeAspect="1"/>
                              </pic:cNvPicPr>
                              <pic:nvPr/>
                            </pic:nvPicPr>
                            <pic:blipFill>
                              <a:blip r:embed="rId126"/>
                              <a:stretch/>
                            </pic:blipFill>
                            <pic:spPr bwMode="auto">
                              <a:xfrm>
                                <a:off x="0" y="0"/>
                                <a:ext cx="1152525" cy="1706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90.8pt;height:134.3pt;mso-wrap-distance-left:0.0pt;mso-wrap-distance-top:0.0pt;mso-wrap-distance-right:0.0pt;mso-wrap-distance-bottom:0.0pt;" stroked="f">
                      <v:path textboxrect="0,0,0,0"/>
                      <v:imagedata r:id="rId12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630*590*940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1、椅背：采用抑菌级高弹性网布，高强度PP加30%玻纤材料椅背，长期使用不变形；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2、坐垫：采用防油污，防水，防磨损及抗尘埃3M防污处理和不助燃处理，阻燃PU定型海绵，搭载加厚承重底塑壳，无木板、无胶水、不打钉、环保、绿色健康；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3、扶手：采用PP防滑臂托扶手；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4、底盘：采用塑钢结构，精密准确，承受力大，并保持恒久，不变形，可追背倾仰；2段倾仰锁定并具有防撞功能、可原位以及倾仰锁定椅背，更人性化设计；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弓形脚：采用≥2.0mm壁厚钢管，管径≥28mm，表面采用抑菌防霉粉末静电喷涂处理，涂层膜厚度均匀，内外一致，抑菌、防霉、耐酸碱、耐磨、耐撞击，抗腐蚀力强。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8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会议椅</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97915" cy="1641475"/>
                      <wp:effectExtent l="0" t="0" r="6985" b="15875"/>
                      <wp:docPr id="135" name="图片 76"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76" descr="IMG_302"/>
                              <pic:cNvPicPr>
                                <a:picLocks noChangeAspect="1"/>
                              </pic:cNvPicPr>
                              <pic:nvPr/>
                            </pic:nvPicPr>
                            <pic:blipFill>
                              <a:blip r:embed="rId127"/>
                              <a:stretch/>
                            </pic:blipFill>
                            <pic:spPr bwMode="auto">
                              <a:xfrm>
                                <a:off x="0" y="0"/>
                                <a:ext cx="1097915" cy="1641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86.5pt;height:129.2pt;mso-wrap-distance-left:0.0pt;mso-wrap-distance-top:0.0pt;mso-wrap-distance-right:0.0pt;mso-wrap-distance-bottom:0.0pt;" stroked="f">
                      <v:path textboxrect="0,0,0,0"/>
                      <v:imagedata r:id="rId12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630*590*960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1、椅背：采用抑菌级高弹性网布，高强度PP加30%玻纤材料椅背，长期使用不变形，顶腰可上下调节；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2、坐垫：采用防油污，防水，防磨损及抗尘埃3M防污处理和不助燃处理，阻燃PU定型海绵，搭载加厚承重底塑壳，无木板、无胶水、不打钉、环保、绿色健康；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3、扶手：采用PP防滑臂托扶手；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4、底盘：采用塑钢结构，精密准确，承受力大，并保持恒久，不变形，可追背倾仰；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弓形脚：采用≥2.0mm壁厚钢管，管径≥28mm，表面采用抑菌防霉粉末静电喷涂处理，涂层膜厚度均匀，内外一致，抑菌、防霉、耐酸碱、耐磨、耐撞击，抗腐蚀力强。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7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Style w:val="1238"/>
                <w:rFonts w:hint="eastAsia" w:ascii="宋体" w:hAnsi="宋体" w:eastAsia="宋体" w:cs="宋体"/>
                <w:color w:val="auto"/>
                <w:sz w:val="18"/>
                <w:szCs w:val="18"/>
                <w:highlight w:val="none"/>
                <w:lang w:val="en-US" w:eastAsia="zh-CN" w:bidi="ar"/>
              </w:rPr>
              <w:t xml:space="preserve">培训椅</w:t>
            </w:r>
            <w:r>
              <w:rPr>
                <w:rStyle w:val="2323"/>
                <w:rFonts w:hint="eastAsia" w:ascii="宋体" w:hAnsi="宋体" w:eastAsia="宋体" w:cs="宋体"/>
                <w:b/>
                <w:bCs/>
                <w:color w:val="auto"/>
                <w:sz w:val="18"/>
                <w:szCs w:val="18"/>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培训椅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75030" cy="1243965"/>
                      <wp:effectExtent l="0" t="0" r="1270" b="13335"/>
                      <wp:docPr id="136" name="图片 77"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77" descr="IMG_303"/>
                              <pic:cNvPicPr>
                                <a:picLocks noChangeAspect="1"/>
                              </pic:cNvPicPr>
                              <pic:nvPr/>
                            </pic:nvPicPr>
                            <pic:blipFill>
                              <a:blip r:embed="rId128"/>
                              <a:stretch/>
                            </pic:blipFill>
                            <pic:spPr bwMode="auto">
                              <a:xfrm>
                                <a:off x="0" y="0"/>
                                <a:ext cx="875030" cy="1243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68.9pt;height:97.9pt;mso-wrap-distance-left:0.0pt;mso-wrap-distance-top:0.0pt;mso-wrap-distance-right:0.0pt;mso-wrap-distance-bottom:0.0pt;" stroked="f">
                      <v:path textboxrect="0,0,0,0"/>
                      <v:imagedata r:id="rId12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610*570*920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1、椅背：采用抑菌级高弹性网布，高强度PP加30%玻纤材料椅背，长期使用不变形；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2、坐垫：采用</w:t>
            </w:r>
            <w:r>
              <w:rPr>
                <w:rFonts w:hint="eastAsia" w:ascii="宋体" w:hAnsi="宋体" w:eastAsia="宋体" w:cs="宋体"/>
                <w:i w:val="0"/>
                <w:iCs w:val="0"/>
                <w:color w:val="auto"/>
                <w:sz w:val="18"/>
                <w:szCs w:val="18"/>
                <w:highlight w:val="none"/>
                <w:u w:val="none"/>
                <w:lang w:val="en-US" w:eastAsia="zh-CN" w:bidi="ar"/>
              </w:rPr>
              <w:t xml:space="preserve">防油污，防水，防磨损及抗尘埃3M防污处理和不助燃处理，阻燃PU定型海绵，搭载加厚承重底塑壳，无木板、无胶水、不打钉、环保、绿色健康；坐垫可翻转并排折叠；                                                                                                                                                                    3、扶手：采用黑色PP活动扶手；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4、椅架：采用≥1.8mm厚钢管造型，黑色烤漆工艺，脚架可自由收展，节省空间。</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弧形沙发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弧形沙发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"C:\\Users\\HZJJ\\AppData\\Local\\Temp\\ksohtml\\clip_cell_image54.png"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1240" cy="448945"/>
                      <wp:effectExtent l="0" t="0" r="16510" b="8255"/>
                      <wp:docPr id="137" name="图片 78"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78" descr="IMG_304"/>
                              <pic:cNvPicPr>
                                <a:picLocks noChangeAspect="1"/>
                              </pic:cNvPicPr>
                              <pic:nvPr/>
                            </pic:nvPicPr>
                            <pic:blipFill>
                              <a:blip r:embed="rId129"/>
                              <a:stretch/>
                            </pic:blipFill>
                            <pic:spPr bwMode="auto">
                              <a:xfrm>
                                <a:off x="0" y="0"/>
                                <a:ext cx="1031240" cy="448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81.2pt;height:35.4pt;mso-wrap-distance-left:0.0pt;mso-wrap-distance-top:0.0pt;mso-wrap-distance-right:0.0pt;mso-wrap-distance-bottom:0.0pt;" stroked="f">
                      <v:path textboxrect="0,0,0,0"/>
                      <v:imagedata r:id="rId12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10000*700*400/800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3、踢脚：不锈钢踢脚线。</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75970" cy="789940"/>
                      <wp:effectExtent l="0" t="0" r="5080" b="10160"/>
                      <wp:docPr id="138" name="图片 79"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79" descr="IMG_305"/>
                              <pic:cNvPicPr>
                                <a:picLocks noChangeAspect="1"/>
                              </pic:cNvPicPr>
                              <pic:nvPr/>
                            </pic:nvPicPr>
                            <pic:blipFill>
                              <a:blip r:embed="rId130"/>
                              <a:stretch/>
                            </pic:blipFill>
                            <pic:spPr bwMode="auto">
                              <a:xfrm>
                                <a:off x="0" y="0"/>
                                <a:ext cx="775970" cy="789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61.1pt;height:62.2pt;mso-wrap-distance-left:0.0pt;mso-wrap-distance-top:0.0pt;mso-wrap-distance-right:0.0pt;mso-wrap-distance-bottom:0.0pt;" stroked="f">
                      <v:path textboxrect="0,0,0,0"/>
                      <v:imagedata r:id="rId13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φ800*750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1、主要材料：所有板件采用E0级中密度纤维板，采用环保水性漆，色泽美观，漆膜饱满均匀，手感光滑，色泽美丽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2、原木色实木底座。</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8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"C:\\Users\\HZJJ\\AppData\\Local\\Temp\\ksohtml\\clip_cell_image11.png"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7740" cy="825500"/>
                      <wp:effectExtent l="0" t="0" r="3810" b="12700"/>
                      <wp:docPr id="139" name="图片 80"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80" descr="IMG_306"/>
                              <pic:cNvPicPr>
                                <a:picLocks noChangeAspect="1"/>
                              </pic:cNvPicPr>
                              <pic:nvPr/>
                            </pic:nvPicPr>
                            <pic:blipFill>
                              <a:blip r:embed="rId131"/>
                              <a:stretch/>
                            </pic:blipFill>
                            <pic:spPr bwMode="auto">
                              <a:xfrm>
                                <a:off x="0" y="0"/>
                                <a:ext cx="967740" cy="825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76.2pt;height:65.0pt;mso-wrap-distance-left:0.0pt;mso-wrap-distance-top:0.0pt;mso-wrap-distance-right:0.0pt;mso-wrap-distance-bottom:0.0pt;" stroked="f">
                      <v:path textboxrect="0,0,0,0"/>
                      <v:imagedata r:id="rId131"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750*750*780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1、内框架：采用E0级单层连体弯板，厚度≥12mm厚；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4、脚架：采用黑色喷涂沙发脚。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休闲凳</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休闲凳</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"C:\\Users\\HZJJ\\AppData\\Local\\Temp\\ksohtml\\clip_cell_image57.png"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3450" cy="1015365"/>
                      <wp:effectExtent l="0" t="0" r="0" b="13335"/>
                      <wp:docPr id="140" name="图片 81"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81" descr="IMG_307"/>
                              <pic:cNvPicPr>
                                <a:picLocks noChangeAspect="1"/>
                              </pic:cNvPicPr>
                              <pic:nvPr/>
                            </pic:nvPicPr>
                            <pic:blipFill>
                              <a:blip r:embed="rId132"/>
                              <a:stretch/>
                            </pic:blipFill>
                            <pic:spPr bwMode="auto">
                              <a:xfrm>
                                <a:off x="0" y="0"/>
                                <a:ext cx="933450" cy="1015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73.5pt;height:80.0pt;mso-wrap-distance-left:0.0pt;mso-wrap-distance-top:0.0pt;mso-wrap-distance-right:0.0pt;mso-wrap-distance-bottom:0.0pt;" stroked="f">
                      <v:path textboxrect="0,0,0,0"/>
                      <v:imagedata r:id="rId132"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490*490*420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1、内框架：采用E0级单层连体弯板，厚度≥12mm厚；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3、底座：不锈钢底座。</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洽谈桌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洽谈桌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"C:\\Users\\HZJJ\\AppData\\Local\\Temp\\ksohtml\\clip_cell_image525.png"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91210" cy="865505"/>
                      <wp:effectExtent l="0" t="0" r="8890" b="10795"/>
                      <wp:docPr id="141" name="图片 82"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82" descr="IMG_308"/>
                              <pic:cNvPicPr>
                                <a:picLocks noChangeAspect="1"/>
                              </pic:cNvPicPr>
                              <pic:nvPr/>
                            </pic:nvPicPr>
                            <pic:blipFill>
                              <a:blip r:embed="rId133"/>
                              <a:stretch/>
                            </pic:blipFill>
                            <pic:spPr bwMode="auto">
                              <a:xfrm>
                                <a:off x="0" y="0"/>
                                <a:ext cx="791210" cy="865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62.3pt;height:68.1pt;mso-wrap-distance-left:0.0pt;mso-wrap-distance-top:0.0pt;mso-wrap-distance-right:0.0pt;mso-wrap-distance-bottom:0.0pt;" stroked="f">
                      <v:path textboxrect="0,0,0,0"/>
                      <v:imagedata r:id="rId13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φ700*750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1、台面:采用优质岩板，厚度≥11mm，不变形，不易破损，耐高温，                                                                      2、脚架：金属五金脚，表面静电粉末喷涂处理。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休闲椅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"C:\\Users\\HZJJ\\AppData\\Local\\Temp\\ksohtml\\clip_cell_image534.png"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14425" cy="1276350"/>
                      <wp:effectExtent l="0" t="0" r="9525" b="0"/>
                      <wp:docPr id="142" name="图片 83"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83" descr="IMG_309"/>
                              <pic:cNvPicPr>
                                <a:picLocks noChangeAspect="1"/>
                              </pic:cNvPicPr>
                              <pic:nvPr/>
                            </pic:nvPicPr>
                            <pic:blipFill>
                              <a:blip r:embed="rId134"/>
                              <a:stretch/>
                            </pic:blipFill>
                            <pic:spPr bwMode="auto">
                              <a:xfrm>
                                <a:off x="0" y="0"/>
                                <a:ext cx="1114425" cy="1276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87.8pt;height:100.5pt;mso-wrap-distance-left:0.0pt;mso-wrap-distance-top:0.0pt;mso-wrap-distance-right:0.0pt;mso-wrap-distance-bottom:0.0pt;" stroked="f">
                      <v:path textboxrect="0,0,0,0"/>
                      <v:imagedata r:id="rId13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540*540*800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1、内框架：采用E0级单层连体弯板，厚度≥12mm厚；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3、脚架：实木脚架，带防滑耐磨脚垫。</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"C:\\Users\\HZJJ\\AppData\\Local\\Temp\\ksohtml\\clip_cell_image19.png"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73760" cy="789305"/>
                      <wp:effectExtent l="0" t="0" r="2540" b="10795"/>
                      <wp:docPr id="143" name="图片 84"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84" descr="IMG_310"/>
                              <pic:cNvPicPr>
                                <a:picLocks noChangeAspect="1"/>
                              </pic:cNvPicPr>
                              <pic:nvPr/>
                            </pic:nvPicPr>
                            <pic:blipFill>
                              <a:blip r:embed="rId135"/>
                              <a:stretch/>
                            </pic:blipFill>
                            <pic:spPr bwMode="auto">
                              <a:xfrm>
                                <a:off x="0" y="0"/>
                                <a:ext cx="873760" cy="789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68.8pt;height:62.1pt;mso-wrap-distance-left:0.0pt;mso-wrap-distance-top:0.0pt;mso-wrap-distance-right:0.0pt;mso-wrap-distance-bottom:0.0pt;" stroked="f">
                      <v:path textboxrect="0,0,0,0"/>
                      <v:imagedata r:id="rId13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810*780*700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4、脚架：采用黑色喷涂沙发脚。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"C:\\Users\\HZJJ\\AppData\\Local\\Temp\\ksohtml\\clip_cell_image20.png"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08050" cy="746125"/>
                      <wp:effectExtent l="0" t="0" r="6350" b="15875"/>
                      <wp:docPr id="144" name="图片 85"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85" descr="IMG_311"/>
                              <pic:cNvPicPr>
                                <a:picLocks noChangeAspect="1"/>
                              </pic:cNvPicPr>
                              <pic:nvPr/>
                            </pic:nvPicPr>
                            <pic:blipFill>
                              <a:blip r:embed="rId136"/>
                              <a:stretch/>
                            </pic:blipFill>
                            <pic:spPr bwMode="auto">
                              <a:xfrm>
                                <a:off x="0" y="0"/>
                                <a:ext cx="908050" cy="74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71.5pt;height:58.8pt;mso-wrap-distance-left:0.0pt;mso-wrap-distance-top:0.0pt;mso-wrap-distance-right:0.0pt;mso-wrap-distance-bottom:0.0pt;" stroked="f">
                      <v:path textboxrect="0,0,0,0"/>
                      <v:imagedata r:id="rId13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1550*780*700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4、脚架：采用黑色喷涂沙发脚。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"C:\\Users\\HZJJ\\AppData\\Local\\Temp\\ksohtml\\clip_cell_image21.png"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32510" cy="650240"/>
                      <wp:effectExtent l="0" t="0" r="15240" b="16510"/>
                      <wp:docPr id="145" name="图片 86"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86" descr="IMG_312"/>
                              <pic:cNvPicPr>
                                <a:picLocks noChangeAspect="1"/>
                              </pic:cNvPicPr>
                              <pic:nvPr/>
                            </pic:nvPicPr>
                            <pic:blipFill>
                              <a:blip r:embed="rId137"/>
                              <a:stretch/>
                            </pic:blipFill>
                            <pic:spPr bwMode="auto">
                              <a:xfrm>
                                <a:off x="0" y="0"/>
                                <a:ext cx="1032510" cy="650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81.3pt;height:51.2pt;mso-wrap-distance-left:0.0pt;mso-wrap-distance-top:0.0pt;mso-wrap-distance-right:0.0pt;mso-wrap-distance-bottom:0.0pt;" stroked="f">
                      <v:path textboxrect="0,0,0,0"/>
                      <v:imagedata r:id="rId137"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2050*780*700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4、脚架：采用黑色喷涂沙发脚。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0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胎心监护沙发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胎心监护沙发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24560" cy="965200"/>
                      <wp:effectExtent l="0" t="0" r="8890" b="6350"/>
                      <wp:docPr id="146" name="图片 87"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87" descr="IMG_313"/>
                              <pic:cNvPicPr>
                                <a:picLocks noChangeAspect="1"/>
                              </pic:cNvPicPr>
                              <pic:nvPr/>
                            </pic:nvPicPr>
                            <pic:blipFill>
                              <a:blip r:embed="rId138"/>
                              <a:stretch/>
                            </pic:blipFill>
                            <pic:spPr bwMode="auto">
                              <a:xfrm>
                                <a:off x="0" y="0"/>
                                <a:ext cx="924560" cy="965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72.8pt;height:76.0pt;mso-wrap-distance-left:0.0pt;mso-wrap-distance-top:0.0pt;mso-wrap-distance-right:0.0pt;mso-wrap-distance-bottom:0.0pt;" stroked="f">
                      <v:path textboxrect="0,0,0,0"/>
                      <v:imagedata r:id="rId138"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970*970*970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t xml:space="preserve">                                                                                2、面料：采用优质耐磨加厚西皮，结实耐用，易清洁；                                                                                                                 3、海绵：采用优质环保高密度高回弹海绵，软硬适中，回弹性能好，抗变形能力强；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4、功能：带电动拉升功能。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2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接待沙发</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接待沙发</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"C:\\Users\\HZJJ\\AppData\\Local\\Temp\\ksohtml\\clip_cell_image463.png"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33500" cy="648335"/>
                      <wp:effectExtent l="0" t="0" r="0" b="18415"/>
                      <wp:docPr id="147" name="图片 88"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88" descr="IMG_314"/>
                              <pic:cNvPicPr>
                                <a:picLocks noChangeAspect="1"/>
                              </pic:cNvPicPr>
                              <pic:nvPr/>
                            </pic:nvPicPr>
                            <pic:blipFill>
                              <a:blip r:embed="rId139"/>
                              <a:stretch/>
                            </pic:blipFill>
                            <pic:spPr bwMode="auto">
                              <a:xfrm>
                                <a:off x="0" y="0"/>
                                <a:ext cx="1333500" cy="648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105.0pt;height:51.0pt;mso-wrap-distance-left:0.0pt;mso-wrap-distance-top:0.0pt;mso-wrap-distance-right:0.0pt;mso-wrap-distance-bottom:0.0pt;" stroked="f">
                      <v:path textboxrect="0,0,0,0"/>
                      <v:imagedata r:id="rId139"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970*820*900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1、内框架：全实木刨方，无树皮、无明显结疤，不易生虫，结实牢靠；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2、面料：采用优质布绒饰面；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3、海绵：采用优质环保高密度高回弹海绵，软硬适中，回弹性能好，抗变形能力强；                                                                                                                                                                   4、沙发脚：实木脚。</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2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"C:\\Users\\HZJJ\\AppData\\Local\\Temp\\ksohtml\\clip_cell_image76.png"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7755" cy="902335"/>
                      <wp:effectExtent l="0" t="0" r="17145" b="12065"/>
                      <wp:docPr id="148" name="图片 89"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89" descr="IMG_315"/>
                              <pic:cNvPicPr>
                                <a:picLocks noChangeAspect="1"/>
                              </pic:cNvPicPr>
                              <pic:nvPr/>
                            </pic:nvPicPr>
                            <pic:blipFill>
                              <a:blip r:embed="rId140"/>
                              <a:stretch/>
                            </pic:blipFill>
                            <pic:spPr bwMode="auto">
                              <a:xfrm>
                                <a:off x="0" y="0"/>
                                <a:ext cx="1087755" cy="902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85.6pt;height:71.0pt;mso-wrap-distance-left:0.0pt;mso-wrap-distance-top:0.0pt;mso-wrap-distance-right:0.0pt;mso-wrap-distance-bottom:0.0pt;" stroked="f">
                      <v:path textboxrect="0,0,0,0"/>
                      <v:imagedata r:id="rId140"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670*480*560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3、油漆：采用环保水性漆，色泽美观，漆膜饱满均匀，手感光滑，色泽美丽。</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"C:\\Users\\HZJJ\\AppData\\Local\\Temp\\ksohtml\\clip_cell_image47.png"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9800" cy="648970"/>
                      <wp:effectExtent l="0" t="0" r="12700" b="17780"/>
                      <wp:docPr id="149" name="图片 90"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0" descr="IMG_316"/>
                              <pic:cNvPicPr>
                                <a:picLocks noChangeAspect="1"/>
                              </pic:cNvPicPr>
                              <pic:nvPr/>
                            </pic:nvPicPr>
                            <pic:blipFill>
                              <a:blip r:embed="rId141"/>
                              <a:stretch/>
                            </pic:blipFill>
                            <pic:spPr bwMode="auto">
                              <a:xfrm>
                                <a:off x="0" y="0"/>
                                <a:ext cx="939800" cy="648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74.0pt;height:51.1pt;mso-wrap-distance-left:0.0pt;mso-wrap-distance-top:0.0pt;mso-wrap-distance-right:0.0pt;mso-wrap-distance-bottom:0.0pt;" stroked="f">
                      <v:path textboxrect="0,0,0,0"/>
                      <v:imagedata r:id="rId141"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104140</wp:posOffset>
                      </wp:positionH>
                      <wp:positionV relativeFrom="paragraph">
                        <wp:posOffset>255905</wp:posOffset>
                      </wp:positionV>
                      <wp:extent cx="8890" cy="0"/>
                      <wp:effectExtent l="0" t="0" r="0" b="0"/>
                      <wp:wrapNone/>
                      <wp:docPr id="150" name="图片_16"/>
                      <wp:cNvGraphicFramePr/>
                      <a:graphic xmlns:a="http://schemas.openxmlformats.org/drawingml/2006/main">
                        <a:graphicData uri="http://schemas.openxmlformats.org/drawingml/2006/picture">
                          <pic:pic xmlns:pic="http://schemas.openxmlformats.org/drawingml/2006/picture">
                            <pic:nvPicPr>
                              <pic:cNvPr id="103" name="图片_16"/>
                              <pic:cNvPicPr/>
                              <pic:nvPr/>
                            </pic:nvPicPr>
                            <pic:blipFill>
                              <a:blip r:embed="rId142"/>
                              <a:stretch/>
                            </pic:blipFill>
                            <pic:spPr bwMode="auto">
                              <a:xfrm>
                                <a:off x="0" y="0"/>
                                <a:ext cx="889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61312;o:allowoverlap:true;o:allowincell:true;mso-position-horizontal-relative:text;margin-left:8.2pt;mso-position-horizontal:absolute;mso-position-vertical-relative:text;margin-top:20.1pt;mso-position-vertical:absolute;width:0.7pt;height:0.0pt;mso-wrap-distance-left:9.0pt;mso-wrap-distance-top:0.0pt;mso-wrap-distance-right:9.0pt;mso-wrap-distance-bottom:0.0pt;" stroked="f">
                      <v:path textboxrect="0,0,0,0"/>
                      <v:imagedata r:id="rId142" o:title=""/>
                    </v:shape>
                  </w:pict>
                </mc:Fallback>
              </mc:AlternateContent>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600*600*450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3、油漆：采用环保水性漆，色泽美观，漆膜饱满均匀，手感光滑，色泽美丽；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4、脚架：304不锈钢脚架。</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长茶几</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长茶几</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17905" cy="557530"/>
                      <wp:effectExtent l="0" t="0" r="10795" b="13970"/>
                      <wp:docPr id="151" name="图片 91"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1" descr="IMG_317"/>
                              <pic:cNvPicPr>
                                <a:picLocks noChangeAspect="1"/>
                              </pic:cNvPicPr>
                              <pic:nvPr/>
                            </pic:nvPicPr>
                            <pic:blipFill>
                              <a:blip r:embed="rId143"/>
                              <a:stretch/>
                            </pic:blipFill>
                            <pic:spPr bwMode="auto">
                              <a:xfrm>
                                <a:off x="0" y="0"/>
                                <a:ext cx="1017905" cy="557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80.1pt;height:43.9pt;mso-wrap-distance-left:0.0pt;mso-wrap-distance-top:0.0pt;mso-wrap-distance-right:0.0pt;mso-wrap-distance-bottom:0.0pt;" stroked="f">
                      <v:path textboxrect="0,0,0,0"/>
                      <v:imagedata r:id="rId143"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1400*600*420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1、面材：采用优质实木木皮，厚度≥0.6mm，无节疤，无裂纹，无朽木，色差过渡自然，木纹清晰，色泽一致，木皮拼接必须顺纹交圈，拼接自然，胶粘牢固，平整不得透胶，无鼓泡，无龟裂，无分层，无干湿花；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2、基材：采用E0级高密度纤维板；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3、油漆：采用环保水性漆，色泽美观，漆膜饱满均匀，手感光滑，色泽美丽；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4、脚架：304不锈钢脚架。</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1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6950" cy="829945"/>
                      <wp:effectExtent l="0" t="0" r="12700" b="8255"/>
                      <wp:docPr id="152" name="图片 92"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2" descr="IMG_318"/>
                              <pic:cNvPicPr>
                                <a:picLocks noChangeAspect="1"/>
                              </pic:cNvPicPr>
                              <pic:nvPr/>
                            </pic:nvPicPr>
                            <pic:blipFill>
                              <a:blip r:embed="rId144"/>
                              <a:stretch/>
                            </pic:blipFill>
                            <pic:spPr bwMode="auto">
                              <a:xfrm>
                                <a:off x="0" y="0"/>
                                <a:ext cx="996950" cy="8299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78.5pt;height:65.3pt;mso-wrap-distance-left:0.0pt;mso-wrap-distance-top:0.0pt;mso-wrap-distance-right:0.0pt;mso-wrap-distance-bottom:0.0pt;" stroked="f">
                      <v:path textboxrect="0,0,0,0"/>
                      <v:imagedata r:id="rId14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1、主要材料：所有板件采用E0级实木多层板，双面防火皮饰面；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3、封边：台面采用155度斜切工艺清水油面封边，防水、防潮、不变色；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4、钢脚：直径50mm圆柱形钢脚，壁厚≥1.2mm，表面抑菌防霉粉末静电喷涂处理；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18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"C:\\Users\\HZJJ\\AppData\\Local\\Temp\\ksohtml\\clip_cell_image4.png"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2345" cy="817880"/>
                      <wp:effectExtent l="0" t="0" r="8255" b="1270"/>
                      <wp:docPr id="153" name="图片 93"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3" descr="IMG_319"/>
                              <pic:cNvPicPr>
                                <a:picLocks noChangeAspect="1"/>
                              </pic:cNvPicPr>
                              <pic:nvPr/>
                            </pic:nvPicPr>
                            <pic:blipFill>
                              <a:blip r:embed="rId144"/>
                              <a:stretch/>
                            </pic:blipFill>
                            <pic:spPr bwMode="auto">
                              <a:xfrm>
                                <a:off x="0" y="0"/>
                                <a:ext cx="982345" cy="817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77.3pt;height:64.4pt;mso-wrap-distance-left:0.0pt;mso-wrap-distance-top:0.0pt;mso-wrap-distance-right:0.0pt;mso-wrap-distance-bottom:0.0pt;" stroked="f">
                      <v:path textboxrect="0,0,0,0"/>
                      <v:imagedata r:id="rId144"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1200*700*750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1、主要材料：所有板件采用E0级实木多层板，双面防火皮饰面；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2、主要板材厚度：台面板厚度为25mm；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3、封边：台面采用155度斜切工艺清水油面封边，防水、防潮、不变色；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4、钢脚：直径50mm圆柱形钢脚，壁厚≥1.2mm，表面抑菌防霉粉末静电喷涂处理；</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96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"C:\\Users\\HZJJ\\AppData\\Local\\Temp\\ksohtml\\clip_cell_image136.png"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63575" cy="885190"/>
                      <wp:effectExtent l="0" t="0" r="3175" b="10160"/>
                      <wp:docPr id="154" name="图片 94"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4" descr="IMG_320"/>
                              <pic:cNvPicPr>
                                <a:picLocks noChangeAspect="1"/>
                              </pic:cNvPicPr>
                              <pic:nvPr/>
                            </pic:nvPicPr>
                            <pic:blipFill>
                              <a:blip r:embed="rId145"/>
                              <a:stretch/>
                            </pic:blipFill>
                            <pic:spPr bwMode="auto">
                              <a:xfrm>
                                <a:off x="0" y="0"/>
                                <a:ext cx="663575" cy="885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52.2pt;height:69.7pt;mso-wrap-distance-left:0.0pt;mso-wrap-distance-top:0.0pt;mso-wrap-distance-right:0.0pt;mso-wrap-distance-bottom:0.0pt;" stroked="f">
                      <v:path textboxrect="0,0,0,0"/>
                      <v:imagedata r:id="rId14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420*490*835</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座椅基材：采用全新塑料PP加纤材质，通过一体注塑成型工艺，椅座与椅背设计为拆分式结构，坐板和靠背两侧光滑无棱角，座椅面平整且易于清洁，无任何凹凸线条或镂空设计；座椅面；单个座椅面宽度≥460mm，座板靠背高度≥365mm，宽度≥440mm，座椅面整体厚度≥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2.椅架：采用优质实木材质，实木木方表面刨光处理，除虫、除菌、干燥等加工处理，表面做防潮清漆工艺，整体框架为固定式结构。                                                                                                                                                3.配件：PP座板与脚架连接螺丝均为防滑耐落螺丝，加强座椅稳固性；木脚着地处采用塑胶软垫。</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trHeight w:val="2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茶水柜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茶水柜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"C:\\Users\\HZJJ\\AppData\\Local\\Temp\\ksohtml\\clip_cell_image338.png"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70610" cy="1047115"/>
                      <wp:effectExtent l="0" t="0" r="15240" b="635"/>
                      <wp:docPr id="155" name="图片 95"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95" descr="IMG_321"/>
                              <pic:cNvPicPr>
                                <a:picLocks noChangeAspect="1"/>
                              </pic:cNvPicPr>
                              <pic:nvPr/>
                            </pic:nvPicPr>
                            <pic:blipFill>
                              <a:blip r:embed="rId146"/>
                              <a:stretch/>
                            </pic:blipFill>
                            <pic:spPr bwMode="auto">
                              <a:xfrm>
                                <a:off x="0" y="0"/>
                                <a:ext cx="1070610" cy="1047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84.3pt;height:82.5pt;mso-wrap-distance-left:0.0pt;mso-wrap-distance-top:0.0pt;mso-wrap-distance-right:0.0pt;mso-wrap-distance-bottom:0.0pt;" stroked="f">
                      <v:path textboxrect="0,0,0,0"/>
                      <v:imagedata r:id="rId146"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800*400*800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1、主要材料：所有板件采用E0级刨花板，三聚氰胺饰面纸饰面；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2、主要板材厚度：顶板、层板厚度为25mm，侧板、门板、底板厚度为16mm；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3、配置：主柜（上为掩门，内含1件活层，下为两个抽屉）；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4、五金配置：三节导轨，阻尼门铰、锁具、拉手、连接件等；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5、封边：</w:t>
            </w:r>
            <w:r>
              <w:rPr>
                <w:rFonts w:hint="eastAsia" w:ascii="宋体" w:hAnsi="宋体" w:eastAsia="宋体" w:cs="宋体"/>
                <w:i w:val="0"/>
                <w:iCs w:val="0"/>
                <w:color w:val="auto"/>
                <w:sz w:val="18"/>
                <w:szCs w:val="18"/>
                <w:highlight w:val="none"/>
                <w:u w:val="none"/>
                <w:lang w:val="en-US" w:eastAsia="zh-CN" w:bidi="ar"/>
              </w:rPr>
              <w:t xml:space="preserve">台面板</w:t>
            </w:r>
            <w:r>
              <w:rPr>
                <w:rFonts w:hint="eastAsia" w:ascii="宋体" w:hAnsi="宋体" w:eastAsia="宋体" w:cs="宋体"/>
                <w:i w:val="0"/>
                <w:iCs w:val="0"/>
                <w:color w:val="auto"/>
                <w:sz w:val="18"/>
                <w:szCs w:val="18"/>
                <w:highlight w:val="none"/>
                <w:u w:val="none"/>
                <w:lang w:val="en-US" w:eastAsia="zh-CN" w:bidi="ar"/>
              </w:rPr>
              <w:t xml:space="preserve">为2.0mm厚全自动封边，其余为1mm厚全自动封边，防水、防潮、不变色；</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trHeight w:val="284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939"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fldChar w:fldCharType="begin"/>
            </w:r>
            <w:r>
              <w:rPr>
                <w:rFonts w:hint="eastAsia" w:ascii="宋体" w:hAnsi="宋体" w:eastAsia="宋体" w:cs="宋体"/>
                <w:i w:val="0"/>
                <w:iCs w:val="0"/>
                <w:color w:val="auto"/>
                <w:sz w:val="18"/>
                <w:szCs w:val="18"/>
                <w:highlight w:val="none"/>
                <w:u w:val="none"/>
                <w:lang w:val="en-US" w:eastAsia="zh-CN" w:bidi="ar"/>
              </w:rPr>
              <w:instrText xml:space="preserve">INCLUDEPICTURE \d "C:\\Users\\HZJJ\\AppData\\Local\\Temp\\ksohtml\\clip_cell_image68.png" \* MERGEFORMATINET </w:instrText>
            </w:r>
            <w:r>
              <w:rPr>
                <w:rFonts w:hint="eastAsia" w:ascii="宋体" w:hAnsi="宋体" w:eastAsia="宋体" w:cs="宋体"/>
                <w:i w:val="0"/>
                <w:iCs w:val="0"/>
                <w:color w:val="auto"/>
                <w:sz w:val="18"/>
                <w:szCs w:val="18"/>
                <w:highlight w:val="none"/>
                <w:u w:val="none"/>
                <w:lang w:val="en-US" w:eastAsia="zh-CN" w:bidi="ar"/>
              </w:rPr>
              <w:fldChar w:fldCharType="separate"/>
            </w: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0600" cy="912495"/>
                      <wp:effectExtent l="0" t="0" r="0" b="1905"/>
                      <wp:docPr id="156" name="图片 96"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96" descr="IMG_322"/>
                              <pic:cNvPicPr>
                                <a:picLocks noChangeAspect="1"/>
                              </pic:cNvPicPr>
                              <pic:nvPr/>
                            </pic:nvPicPr>
                            <pic:blipFill>
                              <a:blip r:embed="rId105"/>
                              <a:stretch/>
                            </pic:blipFill>
                            <pic:spPr bwMode="auto">
                              <a:xfrm>
                                <a:off x="0" y="0"/>
                                <a:ext cx="990600" cy="912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78.0pt;height:71.8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auto"/>
                <w:sz w:val="18"/>
                <w:szCs w:val="18"/>
                <w:highlight w:val="none"/>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L*500*900</w:t>
            </w:r>
            <w:r/>
          </w:p>
        </w:tc>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1、主要材料：电解钢板，具有更抗酸、更防锈、更防蚀、和涂层接触更稳固、使用年限更长等特点；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2、主要板材厚度：侧板、门板、顶板、底板、层板用≥0.8mm；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3、工艺要求：柜门均为双层结构，离地100mm高为厚度≥0.8mm的304#油膜拉丝不锈钢底座；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4、功能配置：上为三抽屉，下为三掩门，掩门内各含一块活动层板；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5、五金配置：304不锈钢缓冲门铰（铰链），三节导轨，一字折弯拉手，锁具等；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6、所有板件经数控激光切割、模具冲压、数控折弯、焊接、机器打磨而成；表面采用抑菌防霉粉末静电喷涂处理，涂层膜厚度均匀，内外一致，抑菌、防霉、耐酸碱、耐磨、耐撞击，抗腐蚀力强。</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延米</w:t>
            </w:r>
            <w:r/>
          </w:p>
        </w:tc>
      </w:tr>
    </w:tbl>
    <w:p>
      <w:pPr>
        <w:rPr>
          <w:color w:val="auto"/>
          <w:highlight w:val="none"/>
        </w:rPr>
      </w:pPr>
      <w:r>
        <w:rPr>
          <w:color w:val="auto"/>
          <w:highlight w:val="none"/>
        </w:rPr>
      </w:r>
      <w:r/>
    </w:p>
    <w:sectPr>
      <w:footnotePr/>
      <w:endnotePr/>
      <w:type w:val="continuous"/>
      <w:pgSz w:w="11907" w:h="16840"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Arial Unicode MS">
    <w:panose1 w:val="020B0604020202020204"/>
  </w:font>
  <w:font w:name="方正仿宋_GBK">
    <w:panose1 w:val="020B0503020202020204"/>
  </w:font>
  <w:font w:name="华文楷体">
    <w:panose1 w:val="02010600040101010101"/>
  </w:font>
  <w:font w:name="Wingdings">
    <w:panose1 w:val="05000000000000000000"/>
  </w:font>
  <w:font w:name="StarSymbol">
    <w:panose1 w:val="020B0503020202020204"/>
  </w:font>
  <w:font w:name="Cambria">
    <w:panose1 w:val="02040503050406030204"/>
  </w:font>
  <w:font w:name="DFKai-SB">
    <w:panose1 w:val="03050502040202030202"/>
  </w:font>
  <w:font w:name="Courier New">
    <w:panose1 w:val="02070309020205020404"/>
  </w:font>
  <w:font w:name="等线 Light">
    <w:panose1 w:val="02010600030101010101"/>
  </w:font>
  <w:font w:name="仿宋">
    <w:panose1 w:val="02010609060101010101"/>
  </w:font>
  <w:font w:name="等线">
    <w:panose1 w:val="02010600030101010101"/>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0"/>
  </w:num>
  <w:num w:numId="3">
    <w:abstractNumId w:val="7"/>
  </w:num>
  <w:num w:numId="4">
    <w:abstractNumId w:val="9"/>
  </w:num>
  <w:num w:numId="5">
    <w:abstractNumId w:val="2"/>
  </w:num>
  <w:num w:numId="6">
    <w:abstractNumId w:val="1"/>
  </w:num>
  <w:num w:numId="7">
    <w:abstractNumId w:val="3"/>
  </w:num>
  <w:num w:numId="8">
    <w:abstractNumId w:val="6"/>
  </w:num>
  <w:num w:numId="9">
    <w:abstractNumId w:val="0"/>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Quote Char"/>
    <w:link w:val="745"/>
    <w:uiPriority w:val="29"/>
    <w:rPr>
      <w:i/>
    </w:rPr>
  </w:style>
  <w:style w:type="character" w:styleId="657">
    <w:name w:val="Intense Quote Char"/>
    <w:link w:val="749"/>
    <w:uiPriority w:val="30"/>
    <w:rPr>
      <w:i/>
    </w:rPr>
  </w:style>
  <w:style w:type="table" w:styleId="658">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9">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0">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1">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2">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3">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4">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5">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6">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7">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8">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9">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0">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1">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2">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3">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4">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5">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6">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7">
    <w:name w:val="TOC Heading"/>
    <w:uiPriority w:val="39"/>
    <w:unhideWhenUsed/>
  </w:style>
  <w:style w:type="paragraph" w:styleId="67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9">
    <w:name w:val="Heading 1"/>
    <w:basedOn w:val="678"/>
    <w:next w:val="678"/>
    <w:link w:val="1023"/>
    <w:uiPriority w:val="0"/>
    <w:qFormat/>
    <w:pPr>
      <w:keepNext/>
      <w:outlineLvl w:val="0"/>
    </w:pPr>
    <w:rPr>
      <w:rFonts w:ascii="楷体_GB2312" w:hAnsi="Times New Roman" w:eastAsia="楷体_GB2312" w:cs="Times New Roman"/>
      <w:sz w:val="28"/>
      <w:szCs w:val="20"/>
    </w:rPr>
  </w:style>
  <w:style w:type="paragraph" w:styleId="680">
    <w:name w:val="Heading 2"/>
    <w:basedOn w:val="678"/>
    <w:next w:val="690"/>
    <w:link w:val="723"/>
    <w:uiPriority w:val="9"/>
    <w:qFormat/>
    <w:pPr>
      <w:jc w:val="center"/>
      <w:keepLines/>
      <w:keepNext/>
      <w:spacing w:before="260" w:after="260" w:line="416" w:lineRule="auto"/>
      <w:outlineLvl w:val="1"/>
    </w:pPr>
    <w:rPr>
      <w:rFonts w:ascii="幼圆" w:hAnsi="Arial" w:eastAsia="楷体_GB2312" w:cs="Times New Roman"/>
      <w:b/>
      <w:sz w:val="44"/>
      <w:szCs w:val="20"/>
    </w:rPr>
  </w:style>
  <w:style w:type="paragraph" w:styleId="681">
    <w:name w:val="Heading 3"/>
    <w:basedOn w:val="678"/>
    <w:next w:val="678"/>
    <w:link w:val="876"/>
    <w:uiPriority w:val="0"/>
    <w:qFormat/>
    <w:pPr>
      <w:keepLines/>
      <w:keepNext/>
      <w:spacing w:before="260" w:after="260" w:line="416" w:lineRule="auto"/>
      <w:outlineLvl w:val="2"/>
    </w:pPr>
    <w:rPr>
      <w:rFonts w:ascii="Times New Roman" w:hAnsi="Times New Roman" w:eastAsia="宋体" w:cs="Times New Roman"/>
      <w:b/>
      <w:sz w:val="32"/>
      <w:szCs w:val="20"/>
    </w:rPr>
  </w:style>
  <w:style w:type="paragraph" w:styleId="682">
    <w:name w:val="Heading 4"/>
    <w:basedOn w:val="678"/>
    <w:next w:val="678"/>
    <w:link w:val="731"/>
    <w:uiPriority w:val="0"/>
    <w:qFormat/>
    <w:pPr>
      <w:keepLines/>
      <w:keepNext/>
      <w:spacing w:before="280" w:after="290" w:line="376" w:lineRule="auto"/>
      <w:outlineLvl w:val="3"/>
    </w:pPr>
    <w:rPr>
      <w:rFonts w:ascii="Arial" w:hAnsi="Arial" w:eastAsia="黑体" w:cs="Times New Roman"/>
      <w:b/>
      <w:bCs/>
      <w:sz w:val="28"/>
      <w:szCs w:val="28"/>
    </w:rPr>
  </w:style>
  <w:style w:type="paragraph" w:styleId="683">
    <w:name w:val="Heading 5"/>
    <w:basedOn w:val="678"/>
    <w:next w:val="691"/>
    <w:link w:val="732"/>
    <w:uiPriority w:val="0"/>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rPr>
  </w:style>
  <w:style w:type="paragraph" w:styleId="684">
    <w:name w:val="Heading 6"/>
    <w:basedOn w:val="678"/>
    <w:next w:val="691"/>
    <w:link w:val="733"/>
    <w:uiPriority w:val="0"/>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 w:val="24"/>
      <w:szCs w:val="20"/>
    </w:rPr>
  </w:style>
  <w:style w:type="paragraph" w:styleId="685">
    <w:name w:val="Heading 7"/>
    <w:basedOn w:val="678"/>
    <w:next w:val="691"/>
    <w:link w:val="734"/>
    <w:uiPriority w:val="0"/>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 w:val="24"/>
      <w:szCs w:val="20"/>
    </w:rPr>
  </w:style>
  <w:style w:type="paragraph" w:styleId="686">
    <w:name w:val="Heading 8"/>
    <w:basedOn w:val="678"/>
    <w:next w:val="691"/>
    <w:link w:val="735"/>
    <w:uiPriority w:val="0"/>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 w:val="24"/>
      <w:szCs w:val="20"/>
    </w:rPr>
  </w:style>
  <w:style w:type="paragraph" w:styleId="687">
    <w:name w:val="Heading 9"/>
    <w:basedOn w:val="678"/>
    <w:next w:val="691"/>
    <w:link w:val="736"/>
    <w:uiPriority w:val="0"/>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customStyle="1">
    <w:name w:val="正文缩进1"/>
    <w:basedOn w:val="678"/>
    <w:uiPriority w:val="0"/>
    <w:qFormat/>
    <w:pPr>
      <w:ind w:firstLine="420"/>
    </w:pPr>
    <w:rPr>
      <w:rFonts w:ascii="Times New Roman" w:hAnsi="Times New Roman" w:eastAsia="宋体" w:cs="Times New Roman"/>
      <w:szCs w:val="20"/>
    </w:rPr>
  </w:style>
  <w:style w:type="paragraph" w:styleId="691" w:customStyle="1">
    <w:name w:val="正文缩进11"/>
    <w:basedOn w:val="678"/>
    <w:link w:val="784"/>
    <w:uiPriority w:val="0"/>
    <w:unhideWhenUsed/>
    <w:qFormat/>
    <w:pPr>
      <w:ind w:firstLine="420"/>
    </w:pPr>
    <w:rPr>
      <w:rFonts w:ascii="Times New Roman" w:hAnsi="Times New Roman" w:eastAsia="宋体" w:cs="Times New Roman"/>
      <w:sz w:val="20"/>
      <w:szCs w:val="24"/>
    </w:rPr>
  </w:style>
  <w:style w:type="paragraph" w:styleId="692">
    <w:name w:val="toc 7"/>
    <w:basedOn w:val="678"/>
    <w:next w:val="678"/>
    <w:uiPriority w:val="39"/>
    <w:unhideWhenUsed/>
    <w:qFormat/>
    <w:pPr>
      <w:ind w:left="1701"/>
      <w:spacing w:after="57"/>
    </w:pPr>
    <w:rPr>
      <w:rFonts w:ascii="Times New Roman" w:hAnsi="Times New Roman" w:eastAsia="宋体" w:cs="Times New Roman"/>
      <w:szCs w:val="24"/>
    </w:rPr>
  </w:style>
  <w:style w:type="paragraph" w:styleId="693">
    <w:name w:val="table of authorities"/>
    <w:basedOn w:val="678"/>
    <w:next w:val="678"/>
    <w:uiPriority w:val="99"/>
    <w:unhideWhenUsed/>
    <w:qFormat/>
    <w:pPr>
      <w:ind w:left="420"/>
    </w:pPr>
  </w:style>
  <w:style w:type="paragraph" w:styleId="694">
    <w:name w:val="Caption"/>
    <w:basedOn w:val="678"/>
    <w:next w:val="678"/>
    <w:uiPriority w:val="35"/>
    <w:semiHidden/>
    <w:unhideWhenUsed/>
    <w:qFormat/>
    <w:pPr>
      <w:spacing w:line="276" w:lineRule="auto"/>
    </w:pPr>
    <w:rPr>
      <w:rFonts w:ascii="Times New Roman" w:hAnsi="Times New Roman" w:eastAsia="宋体" w:cs="Times New Roman"/>
      <w:b/>
      <w:bCs/>
      <w:color w:val="4f81bd"/>
      <w:sz w:val="18"/>
      <w:szCs w:val="18"/>
    </w:rPr>
  </w:style>
  <w:style w:type="paragraph" w:styleId="695">
    <w:name w:val="annotation text"/>
    <w:basedOn w:val="678"/>
    <w:uiPriority w:val="99"/>
    <w:semiHidden/>
    <w:unhideWhenUsed/>
    <w:qFormat/>
    <w:pPr>
      <w:jc w:val="left"/>
    </w:pPr>
  </w:style>
  <w:style w:type="paragraph" w:styleId="696">
    <w:name w:val="Body Text"/>
    <w:basedOn w:val="678"/>
    <w:link w:val="2318"/>
    <w:uiPriority w:val="99"/>
    <w:semiHidden/>
    <w:unhideWhenUsed/>
    <w:qFormat/>
    <w:pPr>
      <w:spacing w:after="120"/>
    </w:pPr>
  </w:style>
  <w:style w:type="paragraph" w:styleId="697">
    <w:name w:val="toc 5"/>
    <w:basedOn w:val="678"/>
    <w:next w:val="678"/>
    <w:uiPriority w:val="39"/>
    <w:unhideWhenUsed/>
    <w:qFormat/>
    <w:pPr>
      <w:ind w:left="1134"/>
      <w:spacing w:after="57"/>
    </w:pPr>
    <w:rPr>
      <w:rFonts w:ascii="Times New Roman" w:hAnsi="Times New Roman" w:eastAsia="宋体" w:cs="Times New Roman"/>
      <w:szCs w:val="24"/>
    </w:rPr>
  </w:style>
  <w:style w:type="paragraph" w:styleId="698">
    <w:name w:val="toc 3"/>
    <w:basedOn w:val="678"/>
    <w:next w:val="678"/>
    <w:uiPriority w:val="39"/>
    <w:unhideWhenUsed/>
    <w:qFormat/>
    <w:pPr>
      <w:ind w:left="567"/>
      <w:spacing w:after="57"/>
    </w:pPr>
    <w:rPr>
      <w:rFonts w:ascii="Times New Roman" w:hAnsi="Times New Roman" w:eastAsia="宋体" w:cs="Times New Roman"/>
      <w:szCs w:val="24"/>
    </w:rPr>
  </w:style>
  <w:style w:type="paragraph" w:styleId="699">
    <w:name w:val="toc 8"/>
    <w:basedOn w:val="678"/>
    <w:next w:val="678"/>
    <w:uiPriority w:val="39"/>
    <w:unhideWhenUsed/>
    <w:qFormat/>
    <w:pPr>
      <w:ind w:left="1984"/>
      <w:spacing w:after="57"/>
    </w:pPr>
    <w:rPr>
      <w:rFonts w:ascii="Times New Roman" w:hAnsi="Times New Roman" w:eastAsia="宋体" w:cs="Times New Roman"/>
      <w:szCs w:val="24"/>
    </w:rPr>
  </w:style>
  <w:style w:type="paragraph" w:styleId="700">
    <w:name w:val="endnote text"/>
    <w:basedOn w:val="678"/>
    <w:link w:val="739"/>
    <w:uiPriority w:val="99"/>
    <w:semiHidden/>
    <w:unhideWhenUsed/>
    <w:qFormat/>
    <w:rPr>
      <w:rFonts w:ascii="Times New Roman" w:hAnsi="Times New Roman" w:eastAsia="宋体" w:cs="Times New Roman"/>
      <w:sz w:val="20"/>
      <w:szCs w:val="24"/>
    </w:rPr>
  </w:style>
  <w:style w:type="paragraph" w:styleId="701">
    <w:name w:val="Balloon Text"/>
    <w:basedOn w:val="678"/>
    <w:link w:val="2322"/>
    <w:uiPriority w:val="99"/>
    <w:semiHidden/>
    <w:unhideWhenUsed/>
    <w:qFormat/>
    <w:rPr>
      <w:sz w:val="18"/>
      <w:szCs w:val="18"/>
    </w:rPr>
  </w:style>
  <w:style w:type="paragraph" w:styleId="702">
    <w:name w:val="Footer"/>
    <w:basedOn w:val="678"/>
    <w:link w:val="726"/>
    <w:uiPriority w:val="99"/>
    <w:unhideWhenUsed/>
    <w:qFormat/>
    <w:pPr>
      <w:jc w:val="left"/>
      <w:tabs>
        <w:tab w:val="center" w:pos="4153" w:leader="none"/>
        <w:tab w:val="right" w:pos="8306" w:leader="none"/>
      </w:tabs>
    </w:pPr>
    <w:rPr>
      <w:sz w:val="18"/>
      <w:szCs w:val="18"/>
    </w:rPr>
  </w:style>
  <w:style w:type="paragraph" w:styleId="703">
    <w:name w:val="Header"/>
    <w:basedOn w:val="678"/>
    <w:link w:val="72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78"/>
    <w:next w:val="678"/>
    <w:uiPriority w:val="39"/>
    <w:unhideWhenUsed/>
    <w:qFormat/>
    <w:pPr>
      <w:spacing w:after="57"/>
    </w:pPr>
    <w:rPr>
      <w:rFonts w:ascii="Times New Roman" w:hAnsi="Times New Roman" w:eastAsia="宋体" w:cs="Times New Roman"/>
      <w:szCs w:val="24"/>
    </w:rPr>
  </w:style>
  <w:style w:type="paragraph" w:styleId="705">
    <w:name w:val="toc 4"/>
    <w:basedOn w:val="678"/>
    <w:next w:val="678"/>
    <w:uiPriority w:val="39"/>
    <w:unhideWhenUsed/>
    <w:qFormat/>
    <w:pPr>
      <w:ind w:left="850"/>
      <w:spacing w:after="57"/>
    </w:pPr>
    <w:rPr>
      <w:rFonts w:ascii="Times New Roman" w:hAnsi="Times New Roman" w:eastAsia="宋体" w:cs="Times New Roman"/>
      <w:szCs w:val="24"/>
    </w:rPr>
  </w:style>
  <w:style w:type="paragraph" w:styleId="706">
    <w:name w:val="Subtitle"/>
    <w:basedOn w:val="678"/>
    <w:next w:val="678"/>
    <w:link w:val="740"/>
    <w:uiPriority w:val="11"/>
    <w:qFormat/>
    <w:pPr>
      <w:spacing w:before="200" w:after="200"/>
    </w:pPr>
    <w:rPr>
      <w:rFonts w:ascii="Times New Roman" w:hAnsi="Times New Roman" w:eastAsia="宋体" w:cs="Times New Roman"/>
      <w:sz w:val="24"/>
      <w:szCs w:val="24"/>
    </w:rPr>
  </w:style>
  <w:style w:type="paragraph" w:styleId="707">
    <w:name w:val="footnote text"/>
    <w:basedOn w:val="678"/>
    <w:link w:val="741"/>
    <w:uiPriority w:val="99"/>
    <w:semiHidden/>
    <w:unhideWhenUsed/>
    <w:qFormat/>
    <w:pPr>
      <w:spacing w:after="40"/>
    </w:pPr>
    <w:rPr>
      <w:rFonts w:ascii="Times New Roman" w:hAnsi="Times New Roman" w:eastAsia="宋体" w:cs="Times New Roman"/>
      <w:sz w:val="18"/>
      <w:szCs w:val="24"/>
    </w:rPr>
  </w:style>
  <w:style w:type="paragraph" w:styleId="708">
    <w:name w:val="toc 6"/>
    <w:basedOn w:val="678"/>
    <w:next w:val="678"/>
    <w:uiPriority w:val="39"/>
    <w:unhideWhenUsed/>
    <w:qFormat/>
    <w:pPr>
      <w:ind w:left="1417"/>
      <w:spacing w:after="57"/>
    </w:pPr>
    <w:rPr>
      <w:rFonts w:ascii="Times New Roman" w:hAnsi="Times New Roman" w:eastAsia="宋体" w:cs="Times New Roman"/>
      <w:szCs w:val="24"/>
    </w:rPr>
  </w:style>
  <w:style w:type="paragraph" w:styleId="709">
    <w:name w:val="table of figures"/>
    <w:basedOn w:val="678"/>
    <w:next w:val="678"/>
    <w:uiPriority w:val="99"/>
    <w:unhideWhenUsed/>
    <w:qFormat/>
    <w:rPr>
      <w:rFonts w:ascii="Times New Roman" w:hAnsi="Times New Roman" w:eastAsia="宋体" w:cs="Times New Roman"/>
      <w:szCs w:val="24"/>
    </w:rPr>
  </w:style>
  <w:style w:type="paragraph" w:styleId="710">
    <w:name w:val="toc 2"/>
    <w:basedOn w:val="678"/>
    <w:next w:val="678"/>
    <w:uiPriority w:val="39"/>
    <w:unhideWhenUsed/>
    <w:qFormat/>
    <w:pPr>
      <w:ind w:left="283"/>
      <w:spacing w:after="57"/>
    </w:pPr>
    <w:rPr>
      <w:rFonts w:ascii="Times New Roman" w:hAnsi="Times New Roman" w:eastAsia="宋体" w:cs="Times New Roman"/>
      <w:szCs w:val="24"/>
    </w:rPr>
  </w:style>
  <w:style w:type="paragraph" w:styleId="711">
    <w:name w:val="toc 9"/>
    <w:basedOn w:val="678"/>
    <w:next w:val="678"/>
    <w:uiPriority w:val="39"/>
    <w:unhideWhenUsed/>
    <w:qFormat/>
    <w:pPr>
      <w:ind w:left="2268"/>
      <w:spacing w:after="57"/>
    </w:pPr>
    <w:rPr>
      <w:rFonts w:ascii="Times New Roman" w:hAnsi="Times New Roman" w:eastAsia="宋体" w:cs="Times New Roman"/>
      <w:szCs w:val="24"/>
    </w:rPr>
  </w:style>
  <w:style w:type="paragraph" w:styleId="712">
    <w:name w:val="Body Text 2"/>
    <w:basedOn w:val="678"/>
    <w:uiPriority w:val="0"/>
    <w:qFormat/>
    <w:pPr>
      <w:spacing w:after="120" w:line="480" w:lineRule="auto"/>
    </w:pPr>
  </w:style>
  <w:style w:type="paragraph" w:styleId="713">
    <w:name w:val="Normal (Web)"/>
    <w:basedOn w:val="678"/>
    <w:uiPriority w:val="99"/>
    <w:semiHidden/>
    <w:unhideWhenUsed/>
    <w:qFormat/>
    <w:pPr>
      <w:jc w:val="left"/>
      <w:spacing w:beforeAutospacing="1" w:afterAutospacing="1"/>
    </w:pPr>
    <w:rPr>
      <w:rFonts w:cs="Times New Roman"/>
      <w:sz w:val="24"/>
    </w:rPr>
  </w:style>
  <w:style w:type="paragraph" w:styleId="714">
    <w:name w:val="Title"/>
    <w:basedOn w:val="678"/>
    <w:next w:val="678"/>
    <w:link w:val="742"/>
    <w:uiPriority w:val="10"/>
    <w:qFormat/>
    <w:pPr>
      <w:contextualSpacing/>
      <w:spacing w:before="300" w:after="200"/>
    </w:pPr>
    <w:rPr>
      <w:rFonts w:ascii="Times New Roman" w:hAnsi="Times New Roman" w:eastAsia="宋体" w:cs="Times New Roman"/>
      <w:sz w:val="48"/>
      <w:szCs w:val="48"/>
    </w:rPr>
  </w:style>
  <w:style w:type="paragraph" w:styleId="715">
    <w:name w:val="Body Text First Indent"/>
    <w:basedOn w:val="696"/>
    <w:link w:val="2319"/>
    <w:uiPriority w:val="99"/>
    <w:semiHidden/>
    <w:unhideWhenUsed/>
    <w:qFormat/>
    <w:pPr>
      <w:ind w:firstLine="420"/>
    </w:pPr>
  </w:style>
  <w:style w:type="table" w:styleId="716">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uiPriority w:val="99"/>
    <w:semiHidden/>
    <w:unhideWhenUsed/>
    <w:qFormat/>
    <w:rPr>
      <w:vertAlign w:val="superscript"/>
    </w:rPr>
  </w:style>
  <w:style w:type="character" w:styleId="718">
    <w:name w:val="Hyperlink"/>
    <w:uiPriority w:val="99"/>
    <w:unhideWhenUsed/>
    <w:qFormat/>
    <w:rPr>
      <w:color w:val="0000ff"/>
      <w:u w:val="single"/>
    </w:rPr>
  </w:style>
  <w:style w:type="character" w:styleId="719">
    <w:name w:val="annotation reference"/>
    <w:basedOn w:val="688"/>
    <w:uiPriority w:val="99"/>
    <w:semiHidden/>
    <w:unhideWhenUsed/>
    <w:qFormat/>
    <w:rPr>
      <w:sz w:val="21"/>
      <w:szCs w:val="21"/>
    </w:rPr>
  </w:style>
  <w:style w:type="character" w:styleId="720">
    <w:name w:val="footnote reference"/>
    <w:uiPriority w:val="99"/>
    <w:unhideWhenUsed/>
    <w:qFormat/>
    <w:rPr>
      <w:vertAlign w:val="superscript"/>
    </w:rPr>
  </w:style>
  <w:style w:type="character" w:styleId="721" w:customStyle="1">
    <w:name w:val="标题 3 Char"/>
    <w:uiPriority w:val="9"/>
    <w:qFormat/>
    <w:rPr>
      <w:rFonts w:ascii="Times New Roman" w:hAnsi="Times New Roman" w:eastAsia="宋体" w:cs="Times New Roman"/>
      <w:b/>
      <w:bCs/>
      <w:sz w:val="32"/>
      <w:szCs w:val="32"/>
    </w:rPr>
  </w:style>
  <w:style w:type="character" w:styleId="722" w:customStyle="1">
    <w:name w:val="标题 1 Char"/>
    <w:uiPriority w:val="9"/>
    <w:qFormat/>
    <w:rPr>
      <w:rFonts w:ascii="Times New Roman" w:hAnsi="Times New Roman" w:eastAsia="宋体" w:cs="Times New Roman"/>
      <w:b/>
      <w:bCs/>
      <w:sz w:val="44"/>
      <w:szCs w:val="44"/>
    </w:rPr>
  </w:style>
  <w:style w:type="character" w:styleId="723" w:customStyle="1">
    <w:name w:val="标题 2 Char"/>
    <w:link w:val="680"/>
    <w:uiPriority w:val="9"/>
    <w:qFormat/>
    <w:rPr>
      <w:rFonts w:ascii="幼圆" w:hAnsi="Arial" w:eastAsia="楷体_GB2312" w:cs="Times New Roman"/>
      <w:b/>
      <w:sz w:val="44"/>
      <w:szCs w:val="20"/>
    </w:rPr>
  </w:style>
  <w:style w:type="paragraph" w:styleId="724" w:customStyle="1">
    <w:name w:val="索引 41"/>
    <w:basedOn w:val="678"/>
    <w:next w:val="678"/>
    <w:uiPriority w:val="0"/>
    <w:unhideWhenUsed/>
    <w:qFormat/>
    <w:pPr>
      <w:ind w:left="600"/>
    </w:pPr>
    <w:rPr>
      <w:rFonts w:ascii="Times New Roman" w:hAnsi="Times New Roman" w:eastAsia="宋体" w:cs="Times New Roman"/>
      <w:szCs w:val="24"/>
    </w:rPr>
  </w:style>
  <w:style w:type="character" w:styleId="725" w:customStyle="1">
    <w:name w:val="页眉 Char3"/>
    <w:basedOn w:val="688"/>
    <w:link w:val="703"/>
    <w:uiPriority w:val="99"/>
    <w:qFormat/>
    <w:rPr>
      <w:sz w:val="18"/>
      <w:szCs w:val="18"/>
    </w:rPr>
  </w:style>
  <w:style w:type="character" w:styleId="726" w:customStyle="1">
    <w:name w:val="页脚 Char3"/>
    <w:basedOn w:val="688"/>
    <w:link w:val="702"/>
    <w:uiPriority w:val="0"/>
    <w:qFormat/>
    <w:rPr>
      <w:sz w:val="18"/>
      <w:szCs w:val="18"/>
    </w:rPr>
  </w:style>
  <w:style w:type="character" w:styleId="727" w:customStyle="1">
    <w:name w:val="标题 1 字符"/>
    <w:basedOn w:val="688"/>
    <w:link w:val="728"/>
    <w:uiPriority w:val="9"/>
    <w:qFormat/>
    <w:rPr>
      <w:b/>
      <w:bCs/>
      <w:sz w:val="44"/>
      <w:szCs w:val="44"/>
    </w:rPr>
  </w:style>
  <w:style w:type="paragraph" w:styleId="728" w:customStyle="1">
    <w:name w:val="标题 111"/>
    <w:basedOn w:val="678"/>
    <w:next w:val="678"/>
    <w:link w:val="727"/>
    <w:uiPriority w:val="9"/>
    <w:qFormat/>
    <w:pPr>
      <w:keepLines/>
      <w:keepNext/>
      <w:spacing w:before="340" w:after="330" w:line="578" w:lineRule="auto"/>
      <w:outlineLvl w:val="0"/>
    </w:pPr>
    <w:rPr>
      <w:b/>
      <w:bCs/>
      <w:sz w:val="44"/>
      <w:szCs w:val="44"/>
    </w:rPr>
  </w:style>
  <w:style w:type="character" w:styleId="729" w:customStyle="1">
    <w:name w:val="标题 2 字符"/>
    <w:basedOn w:val="688"/>
    <w:uiPriority w:val="0"/>
    <w:qFormat/>
    <w:rPr>
      <w:rFonts w:asciiTheme="majorHAnsi" w:hAnsiTheme="majorHAnsi" w:eastAsiaTheme="majorEastAsia" w:cstheme="majorBidi"/>
      <w:b/>
      <w:bCs/>
      <w:sz w:val="32"/>
      <w:szCs w:val="32"/>
    </w:rPr>
  </w:style>
  <w:style w:type="character" w:styleId="730" w:customStyle="1">
    <w:name w:val="标题 3 字符"/>
    <w:basedOn w:val="688"/>
    <w:uiPriority w:val="0"/>
    <w:qFormat/>
    <w:rPr>
      <w:b/>
      <w:bCs/>
      <w:sz w:val="32"/>
      <w:szCs w:val="32"/>
    </w:rPr>
  </w:style>
  <w:style w:type="character" w:styleId="731" w:customStyle="1">
    <w:name w:val="标题 4 Char3"/>
    <w:basedOn w:val="688"/>
    <w:link w:val="682"/>
    <w:uiPriority w:val="0"/>
    <w:qFormat/>
    <w:rPr>
      <w:rFonts w:ascii="Arial" w:hAnsi="Arial" w:eastAsia="黑体" w:cs="Times New Roman"/>
      <w:b/>
      <w:bCs/>
      <w:sz w:val="28"/>
      <w:szCs w:val="28"/>
    </w:rPr>
  </w:style>
  <w:style w:type="character" w:styleId="732" w:customStyle="1">
    <w:name w:val="标题 5 Char3"/>
    <w:basedOn w:val="688"/>
    <w:link w:val="683"/>
    <w:uiPriority w:val="0"/>
    <w:qFormat/>
    <w:rPr>
      <w:rFonts w:ascii="宋体" w:hAnsi="Times New Roman" w:eastAsia="宋体" w:cs="Times New Roman"/>
      <w:b/>
      <w:spacing w:val="-2"/>
      <w:position w:val="-6"/>
      <w:sz w:val="28"/>
      <w:szCs w:val="20"/>
    </w:rPr>
  </w:style>
  <w:style w:type="character" w:styleId="733" w:customStyle="1">
    <w:name w:val="标题 6 Char3"/>
    <w:basedOn w:val="688"/>
    <w:link w:val="684"/>
    <w:uiPriority w:val="0"/>
    <w:qFormat/>
    <w:rPr>
      <w:rFonts w:ascii="Arial" w:hAnsi="Arial" w:eastAsia="黑体" w:cs="Times New Roman"/>
      <w:b/>
      <w:spacing w:val="-2"/>
      <w:position w:val="-6"/>
      <w:sz w:val="24"/>
      <w:szCs w:val="20"/>
    </w:rPr>
  </w:style>
  <w:style w:type="character" w:styleId="734" w:customStyle="1">
    <w:name w:val="标题 7 Char3"/>
    <w:basedOn w:val="688"/>
    <w:link w:val="685"/>
    <w:uiPriority w:val="0"/>
    <w:qFormat/>
    <w:rPr>
      <w:rFonts w:ascii="宋体" w:hAnsi="Times New Roman" w:eastAsia="宋体" w:cs="Times New Roman"/>
      <w:b/>
      <w:spacing w:val="-2"/>
      <w:position w:val="-6"/>
      <w:sz w:val="24"/>
      <w:szCs w:val="20"/>
    </w:rPr>
  </w:style>
  <w:style w:type="character" w:styleId="735" w:customStyle="1">
    <w:name w:val="标题 8 Char2"/>
    <w:basedOn w:val="688"/>
    <w:link w:val="686"/>
    <w:uiPriority w:val="0"/>
    <w:qFormat/>
    <w:rPr>
      <w:rFonts w:ascii="Arial" w:hAnsi="Arial" w:eastAsia="黑体" w:cs="Times New Roman"/>
      <w:spacing w:val="-2"/>
      <w:position w:val="-6"/>
      <w:sz w:val="24"/>
      <w:szCs w:val="20"/>
    </w:rPr>
  </w:style>
  <w:style w:type="character" w:styleId="736" w:customStyle="1">
    <w:name w:val="标题 9 Char3"/>
    <w:basedOn w:val="688"/>
    <w:link w:val="687"/>
    <w:uiPriority w:val="0"/>
    <w:qFormat/>
    <w:rPr>
      <w:rFonts w:ascii="Arial" w:hAnsi="Arial" w:eastAsia="黑体" w:cs="Times New Roman"/>
      <w:spacing w:val="-2"/>
      <w:position w:val="-6"/>
      <w:sz w:val="28"/>
      <w:szCs w:val="20"/>
    </w:rPr>
  </w:style>
  <w:style w:type="paragraph" w:styleId="737" w:customStyle="1">
    <w:name w:val="正文文本1"/>
    <w:basedOn w:val="678"/>
    <w:next w:val="715"/>
    <w:uiPriority w:val="0"/>
    <w:qFormat/>
    <w:rPr>
      <w:rFonts w:ascii="楷体_GB2312" w:hAnsi="Arial" w:eastAsia="楷体_GB2312"/>
      <w:sz w:val="28"/>
    </w:rPr>
  </w:style>
  <w:style w:type="paragraph" w:styleId="738" w:customStyle="1">
    <w:name w:val="正文首行缩进1"/>
    <w:basedOn w:val="696"/>
    <w:next w:val="715"/>
    <w:uiPriority w:val="0"/>
    <w:unhideWhenUsed/>
    <w:qFormat/>
    <w:pPr>
      <w:ind w:firstLine="420"/>
    </w:pPr>
    <w:rPr>
      <w:rFonts w:ascii="Arial" w:hAnsi="Arial"/>
      <w:szCs w:val="21"/>
    </w:rPr>
  </w:style>
  <w:style w:type="character" w:styleId="739" w:customStyle="1">
    <w:name w:val="尾注文本 Char"/>
    <w:basedOn w:val="688"/>
    <w:link w:val="700"/>
    <w:uiPriority w:val="99"/>
    <w:semiHidden/>
    <w:qFormat/>
    <w:rPr>
      <w:rFonts w:ascii="Times New Roman" w:hAnsi="Times New Roman" w:eastAsia="宋体" w:cs="Times New Roman"/>
      <w:sz w:val="20"/>
      <w:szCs w:val="24"/>
    </w:rPr>
  </w:style>
  <w:style w:type="character" w:styleId="740" w:customStyle="1">
    <w:name w:val="副标题 Char"/>
    <w:basedOn w:val="688"/>
    <w:link w:val="706"/>
    <w:uiPriority w:val="11"/>
    <w:qFormat/>
    <w:rPr>
      <w:rFonts w:ascii="Times New Roman" w:hAnsi="Times New Roman" w:eastAsia="宋体" w:cs="Times New Roman"/>
      <w:sz w:val="24"/>
      <w:szCs w:val="24"/>
    </w:rPr>
  </w:style>
  <w:style w:type="character" w:styleId="741" w:customStyle="1">
    <w:name w:val="脚注文本 Char"/>
    <w:basedOn w:val="688"/>
    <w:link w:val="707"/>
    <w:uiPriority w:val="99"/>
    <w:semiHidden/>
    <w:qFormat/>
    <w:rPr>
      <w:rFonts w:ascii="Times New Roman" w:hAnsi="Times New Roman" w:eastAsia="宋体" w:cs="Times New Roman"/>
      <w:sz w:val="18"/>
      <w:szCs w:val="24"/>
    </w:rPr>
  </w:style>
  <w:style w:type="character" w:styleId="742" w:customStyle="1">
    <w:name w:val="标题 Char"/>
    <w:basedOn w:val="688"/>
    <w:link w:val="714"/>
    <w:uiPriority w:val="10"/>
    <w:qFormat/>
    <w:rPr>
      <w:rFonts w:ascii="Times New Roman" w:hAnsi="Times New Roman" w:eastAsia="宋体" w:cs="Times New Roman"/>
      <w:sz w:val="48"/>
      <w:szCs w:val="48"/>
    </w:rPr>
  </w:style>
  <w:style w:type="paragraph" w:styleId="743">
    <w:name w:val="List Paragraph"/>
    <w:basedOn w:val="678"/>
    <w:uiPriority w:val="34"/>
    <w:qFormat/>
    <w:pPr>
      <w:contextualSpacing/>
      <w:ind w:left="720"/>
    </w:pPr>
    <w:rPr>
      <w:rFonts w:ascii="Times New Roman" w:hAnsi="Times New Roman" w:eastAsia="宋体" w:cs="Times New Roman"/>
      <w:szCs w:val="24"/>
    </w:rPr>
  </w:style>
  <w:style w:type="paragraph" w:styleId="744">
    <w:name w:val="No Spacing"/>
    <w:uiPriority w:val="1"/>
    <w:qFormat/>
    <w:rPr>
      <w:rFonts w:ascii="Times New Roman" w:hAnsi="Times New Roman" w:eastAsia="宋体" w:cs="Times New Roman"/>
      <w:lang w:val="en-US" w:eastAsia="zh-CN" w:bidi="ar-SA"/>
    </w:rPr>
  </w:style>
  <w:style w:type="paragraph" w:styleId="745">
    <w:name w:val="Quote"/>
    <w:basedOn w:val="678"/>
    <w:next w:val="678"/>
    <w:link w:val="748"/>
    <w:uiPriority w:val="29"/>
    <w:qFormat/>
    <w:pPr>
      <w:ind w:left="720" w:right="720"/>
    </w:pPr>
    <w:rPr>
      <w:rFonts w:ascii="Times New Roman" w:hAnsi="Times New Roman" w:eastAsia="宋体" w:cs="Times New Roman"/>
      <w:i/>
      <w:szCs w:val="24"/>
    </w:rPr>
  </w:style>
  <w:style w:type="character" w:styleId="746" w:customStyle="1">
    <w:name w:val="引用 字符"/>
    <w:basedOn w:val="688"/>
    <w:link w:val="747"/>
    <w:uiPriority w:val="0"/>
    <w:qFormat/>
    <w:rPr>
      <w:i/>
      <w:iCs/>
      <w:color w:val="404040" w:themeColor="text1" w:themeTint="BF"/>
      <w14:textFill>
        <w14:solidFill>
          <w14:schemeClr w14:val="tx1">
            <w14:lumMod w14:val="75000"/>
            <w14:lumOff w14:val="25000"/>
          </w14:schemeClr>
        </w14:solidFill>
      </w14:textFill>
    </w:rPr>
  </w:style>
  <w:style w:type="paragraph" w:styleId="747" w:customStyle="1">
    <w:name w:val="引用11"/>
    <w:basedOn w:val="678"/>
    <w:next w:val="678"/>
    <w:link w:val="746"/>
    <w:uiPriority w:val="0"/>
    <w:qFormat/>
    <w:pPr>
      <w:jc w:val="left"/>
      <w:spacing w:after="200" w:line="276" w:lineRule="auto"/>
      <w:widowControl/>
    </w:pPr>
    <w:rPr>
      <w:i/>
      <w:iCs/>
      <w:color w:val="404040" w:themeColor="text1" w:themeTint="BF"/>
      <w14:textFill>
        <w14:solidFill>
          <w14:schemeClr w14:val="tx1">
            <w14:lumMod w14:val="75000"/>
            <w14:lumOff w14:val="25000"/>
          </w14:schemeClr>
        </w14:solidFill>
      </w14:textFill>
    </w:rPr>
  </w:style>
  <w:style w:type="character" w:styleId="748" w:customStyle="1">
    <w:name w:val="引用 Char3"/>
    <w:link w:val="745"/>
    <w:uiPriority w:val="29"/>
    <w:qFormat/>
    <w:rPr>
      <w:rFonts w:ascii="Times New Roman" w:hAnsi="Times New Roman" w:eastAsia="宋体" w:cs="Times New Roman"/>
      <w:i/>
      <w:szCs w:val="24"/>
    </w:rPr>
  </w:style>
  <w:style w:type="paragraph" w:styleId="749">
    <w:name w:val="Intense Quote"/>
    <w:basedOn w:val="678"/>
    <w:next w:val="678"/>
    <w:link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4"/>
    </w:rPr>
  </w:style>
  <w:style w:type="character" w:styleId="750" w:customStyle="1">
    <w:name w:val="明显引用 字符"/>
    <w:basedOn w:val="688"/>
    <w:link w:val="751"/>
    <w:uiPriority w:val="0"/>
    <w:qFormat/>
    <w:rPr>
      <w:i/>
      <w:iCs/>
      <w:color w:val="4f81bd" w:themeColor="accent1"/>
      <w14:textFill>
        <w14:solidFill>
          <w14:schemeClr w14:val="accent1"/>
        </w14:solidFill>
      </w14:textFill>
    </w:rPr>
  </w:style>
  <w:style w:type="paragraph" w:styleId="751" w:customStyle="1">
    <w:name w:val="明显引用11"/>
    <w:basedOn w:val="678"/>
    <w:next w:val="678"/>
    <w:link w:val="750"/>
    <w:uiPriority w:val="0"/>
    <w:qFormat/>
    <w:pPr>
      <w:ind w:left="936" w:right="936"/>
      <w:jc w:val="left"/>
      <w:spacing w:before="200" w:after="280" w:line="276" w:lineRule="auto"/>
      <w:widowControl/>
      <w:pBdr>
        <w:bottom w:val="single" w:color="4F81BD" w:sz="4" w:space="4"/>
      </w:pBdr>
    </w:pPr>
    <w:rPr>
      <w:i/>
      <w:iCs/>
      <w:color w:val="4f81bd" w:themeColor="accent1"/>
      <w14:textFill>
        <w14:solidFill>
          <w14:schemeClr w14:val="accent1"/>
        </w14:solidFill>
      </w14:textFill>
    </w:rPr>
  </w:style>
  <w:style w:type="character" w:styleId="752" w:customStyle="1">
    <w:name w:val="明显引用 Char"/>
    <w:link w:val="749"/>
    <w:uiPriority w:val="30"/>
    <w:qFormat/>
    <w:rPr>
      <w:rFonts w:ascii="Times New Roman" w:hAnsi="Times New Roman" w:eastAsia="宋体" w:cs="Times New Roman"/>
      <w:i/>
      <w:szCs w:val="24"/>
      <w:shd w:val="clear" w:color="auto" w:fill="f2f2f2"/>
    </w:rPr>
  </w:style>
  <w:style w:type="table" w:styleId="75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5" w:customStyle="1">
    <w:name w:val="无格式表格 31"/>
    <w:uiPriority w:val="99"/>
    <w:qFormat/>
    <w:tblPr>
      <w:tblCellMar>
        <w:left w:w="0" w:type="dxa"/>
        <w:top w:w="0" w:type="dxa"/>
        <w:right w:w="0" w:type="dxa"/>
        <w:bottom w:w="0" w:type="dxa"/>
      </w:tblCellMar>
    </w:tblPr>
  </w:style>
  <w:style w:type="table" w:styleId="756" w:customStyle="1">
    <w:name w:val="无格式表格 41"/>
    <w:uiPriority w:val="99"/>
    <w:qFormat/>
    <w:tblPr>
      <w:tblCellMar>
        <w:left w:w="0" w:type="dxa"/>
        <w:top w:w="0" w:type="dxa"/>
        <w:right w:w="0" w:type="dxa"/>
        <w:bottom w:w="0" w:type="dxa"/>
      </w:tblCellMar>
    </w:tblPr>
  </w:style>
  <w:style w:type="table" w:styleId="757" w:customStyle="1">
    <w:name w:val="无格式表格 51"/>
    <w:uiPriority w:val="99"/>
    <w:qFormat/>
    <w:tblPr>
      <w:tblCellMar>
        <w:left w:w="0" w:type="dxa"/>
        <w:top w:w="0" w:type="dxa"/>
        <w:right w:w="0" w:type="dxa"/>
        <w:bottom w:w="0" w:type="dxa"/>
      </w:tblCellMar>
    </w:tblPr>
  </w:style>
  <w:style w:type="table" w:styleId="75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5" w:customStyle="1">
    <w:name w:val="清单表 1 浅色1"/>
    <w:uiPriority w:val="99"/>
    <w:qFormat/>
    <w:tblPr>
      <w:tblCellMar>
        <w:left w:w="0" w:type="dxa"/>
        <w:top w:w="0" w:type="dxa"/>
        <w:right w:w="0" w:type="dxa"/>
        <w:bottom w:w="0" w:type="dxa"/>
      </w:tblCellMar>
    </w:tblPr>
  </w:style>
  <w:style w:type="table" w:styleId="76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6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6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6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77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771" w:customStyle="1">
    <w:name w:val="清单表 7 彩色1"/>
    <w:uiPriority w:val="99"/>
    <w:qFormat/>
    <w:tblPr>
      <w:tblBorders>
        <w:right w:val="single" w:color="7F7F7F" w:sz="4" w:space="0"/>
      </w:tblBorders>
      <w:tblCellMar>
        <w:left w:w="0" w:type="dxa"/>
        <w:top w:w="0" w:type="dxa"/>
        <w:right w:w="0" w:type="dxa"/>
        <w:bottom w:w="0" w:type="dxa"/>
      </w:tblCellMar>
    </w:tblPr>
  </w:style>
  <w:style w:type="paragraph" w:styleId="772" w:customStyle="1">
    <w:name w:val="TOC 标题1"/>
    <w:uiPriority w:val="39"/>
    <w:unhideWhenUsed/>
    <w:qFormat/>
    <w:rPr>
      <w:rFonts w:ascii="Times New Roman" w:hAnsi="Times New Roman" w:eastAsia="宋体" w:cs="Times New Roman"/>
      <w:lang w:val="en-US" w:eastAsia="zh-CN" w:bidi="ar-SA"/>
    </w:rPr>
  </w:style>
  <w:style w:type="paragraph" w:styleId="773" w:customStyle="1">
    <w:name w:val="标题 21"/>
    <w:basedOn w:val="678"/>
    <w:next w:val="678"/>
    <w:uiPriority w:val="0"/>
    <w:qFormat/>
    <w:pPr>
      <w:keepLines/>
      <w:keepNext/>
      <w:spacing w:line="360" w:lineRule="auto"/>
      <w:outlineLvl w:val="1"/>
    </w:pPr>
    <w:rPr>
      <w:rFonts w:ascii="Arial" w:hAnsi="Arial" w:eastAsia="宋体" w:cs="Times New Roman"/>
      <w:b/>
      <w:bCs/>
      <w:sz w:val="24"/>
      <w:szCs w:val="32"/>
    </w:rPr>
  </w:style>
  <w:style w:type="paragraph" w:styleId="774" w:customStyle="1">
    <w:name w:val="标题 311"/>
    <w:basedOn w:val="678"/>
    <w:next w:val="678"/>
    <w:uiPriority w:val="0"/>
    <w:qFormat/>
    <w:pPr>
      <w:keepLines/>
      <w:keepNext/>
      <w:spacing w:before="260" w:after="260" w:line="416" w:lineRule="auto"/>
      <w:outlineLvl w:val="2"/>
    </w:pPr>
    <w:rPr>
      <w:rFonts w:ascii="Times New Roman" w:hAnsi="Times New Roman" w:eastAsia="宋体" w:cs="Times New Roman"/>
      <w:b/>
      <w:sz w:val="32"/>
      <w:szCs w:val="20"/>
    </w:rPr>
  </w:style>
  <w:style w:type="character" w:styleId="775" w:customStyle="1">
    <w:name w:val="默认段落字体12"/>
    <w:uiPriority w:val="1"/>
    <w:unhideWhenUsed/>
    <w:qFormat/>
  </w:style>
  <w:style w:type="table" w:styleId="776" w:customStyle="1">
    <w:name w:val="普通表格1"/>
    <w:uiPriority w:val="99"/>
    <w:unhideWhenUsed/>
    <w:qFormat/>
    <w:tblPr>
      <w:tblCellMar>
        <w:left w:w="0" w:type="dxa"/>
        <w:top w:w="0" w:type="dxa"/>
        <w:right w:w="0" w:type="dxa"/>
        <w:bottom w:w="0" w:type="dxa"/>
      </w:tblCellMar>
    </w:tblPr>
  </w:style>
  <w:style w:type="paragraph" w:styleId="777" w:customStyle="1">
    <w:name w:val="目录 71"/>
    <w:basedOn w:val="678"/>
    <w:next w:val="678"/>
    <w:uiPriority w:val="39"/>
    <w:unhideWhenUsed/>
    <w:qFormat/>
    <w:pPr>
      <w:ind w:left="1701"/>
      <w:spacing w:after="57"/>
    </w:pPr>
    <w:rPr>
      <w:rFonts w:ascii="Times New Roman" w:hAnsi="Times New Roman" w:eastAsia="宋体" w:cs="Times New Roman"/>
      <w:szCs w:val="24"/>
    </w:rPr>
  </w:style>
  <w:style w:type="paragraph" w:styleId="778" w:customStyle="1">
    <w:name w:val="列表编号 21"/>
    <w:basedOn w:val="678"/>
    <w:uiPriority w:val="0"/>
    <w:unhideWhenUsed/>
    <w:qFormat/>
    <w:pPr>
      <w:ind w:left="425" w:hanging="425"/>
      <w:spacing w:line="300" w:lineRule="auto"/>
      <w:tabs>
        <w:tab w:val="left" w:pos="425" w:leader="none"/>
        <w:tab w:val="left" w:pos="567" w:leader="none"/>
      </w:tabs>
    </w:pPr>
    <w:rPr>
      <w:rFonts w:ascii="Times New Roman" w:hAnsi="Times New Roman" w:eastAsia="宋体" w:cs="Times New Roman"/>
      <w:sz w:val="28"/>
      <w:szCs w:val="20"/>
    </w:rPr>
  </w:style>
  <w:style w:type="paragraph" w:styleId="779" w:customStyle="1">
    <w:name w:val="注释标题1"/>
    <w:basedOn w:val="678"/>
    <w:next w:val="678"/>
    <w:link w:val="780"/>
    <w:uiPriority w:val="99"/>
    <w:qFormat/>
    <w:pPr>
      <w:jc w:val="center"/>
    </w:pPr>
    <w:rPr>
      <w:rFonts w:ascii="Times New Roman" w:hAnsi="Times New Roman" w:eastAsia="宋体" w:cs="Times New Roman"/>
      <w:sz w:val="20"/>
      <w:szCs w:val="24"/>
    </w:rPr>
  </w:style>
  <w:style w:type="character" w:styleId="780" w:customStyle="1">
    <w:name w:val="注释标题 字符1"/>
    <w:link w:val="779"/>
    <w:uiPriority w:val="99"/>
    <w:qFormat/>
    <w:rPr>
      <w:rFonts w:ascii="Times New Roman" w:hAnsi="Times New Roman" w:eastAsia="宋体" w:cs="Times New Roman"/>
      <w:sz w:val="20"/>
      <w:szCs w:val="24"/>
    </w:rPr>
  </w:style>
  <w:style w:type="paragraph" w:styleId="781" w:customStyle="1">
    <w:name w:val="索引 81"/>
    <w:basedOn w:val="678"/>
    <w:next w:val="678"/>
    <w:uiPriority w:val="0"/>
    <w:qFormat/>
    <w:pPr>
      <w:ind w:left="1680" w:hanging="210"/>
      <w:jc w:val="left"/>
    </w:pPr>
    <w:rPr>
      <w:rFonts w:ascii="Calibri" w:hAnsi="Calibri" w:eastAsia="宋体" w:cs="Times New Roman"/>
      <w:sz w:val="20"/>
      <w:szCs w:val="20"/>
    </w:rPr>
  </w:style>
  <w:style w:type="paragraph" w:styleId="782" w:customStyle="1">
    <w:name w:val="列表编号1"/>
    <w:basedOn w:val="783"/>
    <w:uiPriority w:val="0"/>
    <w:qFormat/>
    <w:pPr>
      <w:ind w:left="720" w:right="720" w:hanging="360"/>
      <w:spacing w:before="120" w:after="240" w:line="240" w:lineRule="atLeast"/>
      <w:widowControl/>
    </w:pPr>
    <w:rPr>
      <w:rFonts w:ascii="宋体" w:hAnsi="Garamond"/>
      <w:spacing w:val="-5"/>
      <w:sz w:val="24"/>
      <w:szCs w:val="20"/>
    </w:rPr>
  </w:style>
  <w:style w:type="paragraph" w:styleId="783" w:customStyle="1">
    <w:name w:val="列表11"/>
    <w:basedOn w:val="678"/>
    <w:uiPriority w:val="0"/>
    <w:qFormat/>
    <w:pPr>
      <w:ind w:left="200" w:hanging="200"/>
    </w:pPr>
    <w:rPr>
      <w:rFonts w:ascii="Times New Roman" w:hAnsi="Times New Roman" w:eastAsia="宋体" w:cs="Times New Roman"/>
      <w:szCs w:val="24"/>
    </w:rPr>
  </w:style>
  <w:style w:type="character" w:styleId="784" w:customStyle="1">
    <w:name w:val="正文缩进 字符"/>
    <w:link w:val="691"/>
    <w:uiPriority w:val="0"/>
    <w:qFormat/>
    <w:rPr>
      <w:rFonts w:ascii="Times New Roman" w:hAnsi="Times New Roman" w:eastAsia="宋体" w:cs="Times New Roman"/>
      <w:sz w:val="20"/>
      <w:szCs w:val="24"/>
    </w:rPr>
  </w:style>
  <w:style w:type="paragraph" w:styleId="785" w:customStyle="1">
    <w:name w:val="索引 51"/>
    <w:basedOn w:val="678"/>
    <w:next w:val="678"/>
    <w:uiPriority w:val="0"/>
    <w:qFormat/>
    <w:pPr>
      <w:ind w:left="1050" w:hanging="210"/>
      <w:jc w:val="left"/>
    </w:pPr>
    <w:rPr>
      <w:rFonts w:ascii="Calibri" w:hAnsi="Calibri" w:eastAsia="宋体" w:cs="Times New Roman"/>
      <w:sz w:val="20"/>
      <w:szCs w:val="20"/>
    </w:rPr>
  </w:style>
  <w:style w:type="paragraph" w:styleId="786" w:customStyle="1">
    <w:name w:val="列表项目符号1"/>
    <w:basedOn w:val="678"/>
    <w:uiPriority w:val="99"/>
    <w:unhideWhenUsed/>
    <w:qFormat/>
    <w:pPr>
      <w:contextualSpacing/>
      <w:ind w:left="1236" w:hanging="1236"/>
      <w:tabs>
        <w:tab w:val="left" w:pos="360" w:leader="none"/>
      </w:tabs>
    </w:pPr>
    <w:rPr>
      <w:rFonts w:ascii="Calibri" w:hAnsi="Calibri" w:eastAsia="宋体" w:cs="Times New Roman"/>
    </w:rPr>
  </w:style>
  <w:style w:type="paragraph" w:styleId="787" w:customStyle="1">
    <w:name w:val="文档结构图11"/>
    <w:basedOn w:val="678"/>
    <w:link w:val="788"/>
    <w:uiPriority w:val="99"/>
    <w:qFormat/>
    <w:rPr>
      <w:rFonts w:ascii="宋体" w:hAnsi="Times New Roman" w:eastAsia="宋体" w:cs="Times New Roman"/>
      <w:sz w:val="18"/>
      <w:szCs w:val="18"/>
    </w:rPr>
  </w:style>
  <w:style w:type="character" w:styleId="788" w:customStyle="1">
    <w:name w:val="文档结构图 字符"/>
    <w:link w:val="787"/>
    <w:uiPriority w:val="99"/>
    <w:qFormat/>
    <w:rPr>
      <w:rFonts w:ascii="宋体" w:hAnsi="Times New Roman" w:eastAsia="宋体" w:cs="Times New Roman"/>
      <w:sz w:val="18"/>
      <w:szCs w:val="18"/>
    </w:rPr>
  </w:style>
  <w:style w:type="paragraph" w:styleId="789" w:customStyle="1">
    <w:name w:val="批注文字1"/>
    <w:basedOn w:val="678"/>
    <w:link w:val="790"/>
    <w:uiPriority w:val="99"/>
    <w:qFormat/>
    <w:pPr>
      <w:jc w:val="left"/>
    </w:pPr>
    <w:rPr>
      <w:rFonts w:ascii="Times New Roman" w:hAnsi="Times New Roman" w:eastAsia="宋体" w:cs="Times New Roman"/>
      <w:sz w:val="20"/>
      <w:szCs w:val="24"/>
    </w:rPr>
  </w:style>
  <w:style w:type="character" w:styleId="790" w:customStyle="1">
    <w:name w:val="批注文字 字符"/>
    <w:link w:val="789"/>
    <w:uiPriority w:val="99"/>
    <w:qFormat/>
    <w:rPr>
      <w:rFonts w:ascii="Times New Roman" w:hAnsi="Times New Roman" w:eastAsia="宋体" w:cs="Times New Roman"/>
      <w:sz w:val="20"/>
      <w:szCs w:val="24"/>
    </w:rPr>
  </w:style>
  <w:style w:type="paragraph" w:styleId="791" w:customStyle="1">
    <w:name w:val="索引 61"/>
    <w:basedOn w:val="678"/>
    <w:next w:val="678"/>
    <w:uiPriority w:val="0"/>
    <w:qFormat/>
    <w:pPr>
      <w:ind w:left="1260" w:hanging="210"/>
      <w:jc w:val="left"/>
    </w:pPr>
    <w:rPr>
      <w:rFonts w:ascii="Calibri" w:hAnsi="Calibri" w:eastAsia="宋体" w:cs="Times New Roman"/>
      <w:sz w:val="20"/>
      <w:szCs w:val="20"/>
    </w:rPr>
  </w:style>
  <w:style w:type="paragraph" w:styleId="792" w:customStyle="1">
    <w:name w:val="称呼1"/>
    <w:basedOn w:val="678"/>
    <w:next w:val="678"/>
    <w:link w:val="793"/>
    <w:uiPriority w:val="99"/>
    <w:unhideWhenUsed/>
    <w:qFormat/>
    <w:pPr>
      <w:ind w:firstLine="560"/>
      <w:spacing w:line="500" w:lineRule="exact"/>
    </w:pPr>
    <w:rPr>
      <w:rFonts w:ascii="Times New Roman" w:hAnsi="Times New Roman" w:eastAsia="宋体" w:cs="Times New Roman"/>
      <w:sz w:val="20"/>
      <w:szCs w:val="24"/>
    </w:rPr>
  </w:style>
  <w:style w:type="character" w:styleId="793" w:customStyle="1">
    <w:name w:val="称呼 字符"/>
    <w:link w:val="792"/>
    <w:uiPriority w:val="99"/>
    <w:qFormat/>
    <w:rPr>
      <w:rFonts w:ascii="Times New Roman" w:hAnsi="Times New Roman" w:eastAsia="宋体" w:cs="Times New Roman"/>
      <w:sz w:val="20"/>
      <w:szCs w:val="24"/>
    </w:rPr>
  </w:style>
  <w:style w:type="paragraph" w:styleId="794" w:customStyle="1">
    <w:name w:val="正文文本 311"/>
    <w:basedOn w:val="678"/>
    <w:link w:val="795"/>
    <w:uiPriority w:val="99"/>
    <w:qFormat/>
    <w:rPr>
      <w:rFonts w:ascii="Times New Roman" w:hAnsi="Times New Roman" w:eastAsia="宋体" w:cs="Times New Roman"/>
      <w:sz w:val="16"/>
      <w:szCs w:val="16"/>
    </w:rPr>
  </w:style>
  <w:style w:type="character" w:styleId="795" w:customStyle="1">
    <w:name w:val="正文文本 3 字符"/>
    <w:link w:val="794"/>
    <w:uiPriority w:val="99"/>
    <w:qFormat/>
    <w:rPr>
      <w:rFonts w:ascii="Times New Roman" w:hAnsi="Times New Roman" w:eastAsia="宋体" w:cs="Times New Roman"/>
      <w:sz w:val="16"/>
      <w:szCs w:val="16"/>
    </w:rPr>
  </w:style>
  <w:style w:type="paragraph" w:styleId="796" w:customStyle="1">
    <w:name w:val="列表项目符号 31"/>
    <w:basedOn w:val="678"/>
    <w:uiPriority w:val="99"/>
    <w:unhideWhenUsed/>
    <w:qFormat/>
    <w:pPr>
      <w:contextualSpacing/>
      <w:ind w:left="1236" w:hanging="1236"/>
      <w:tabs>
        <w:tab w:val="left" w:pos="1200" w:leader="none"/>
      </w:tabs>
    </w:pPr>
    <w:rPr>
      <w:rFonts w:ascii="Times New Roman" w:hAnsi="Times New Roman" w:eastAsia="宋体" w:cs="Times New Roman"/>
      <w:szCs w:val="24"/>
    </w:rPr>
  </w:style>
  <w:style w:type="paragraph" w:styleId="797" w:customStyle="1">
    <w:name w:val="正文文本11"/>
    <w:basedOn w:val="678"/>
    <w:next w:val="678"/>
    <w:link w:val="798"/>
    <w:uiPriority w:val="99"/>
    <w:qFormat/>
    <w:rPr>
      <w:rFonts w:ascii="Times New Roman" w:hAnsi="Times New Roman" w:eastAsia="宋体" w:cs="Times New Roman"/>
      <w:sz w:val="20"/>
      <w:szCs w:val="24"/>
    </w:rPr>
  </w:style>
  <w:style w:type="character" w:styleId="798" w:customStyle="1">
    <w:name w:val="正文文本 字符"/>
    <w:link w:val="797"/>
    <w:uiPriority w:val="99"/>
    <w:qFormat/>
    <w:rPr>
      <w:rFonts w:ascii="Times New Roman" w:hAnsi="Times New Roman" w:eastAsia="宋体" w:cs="Times New Roman"/>
      <w:sz w:val="20"/>
      <w:szCs w:val="24"/>
    </w:rPr>
  </w:style>
  <w:style w:type="paragraph" w:styleId="799" w:customStyle="1">
    <w:name w:val="正文文本缩进11"/>
    <w:basedOn w:val="678"/>
    <w:next w:val="678"/>
    <w:link w:val="800"/>
    <w:uiPriority w:val="99"/>
    <w:qFormat/>
    <w:pPr>
      <w:ind w:firstLine="645"/>
    </w:pPr>
    <w:rPr>
      <w:rFonts w:ascii="Times New Roman" w:hAnsi="Times New Roman" w:eastAsia="宋体" w:cs="Times New Roman"/>
      <w:sz w:val="20"/>
      <w:szCs w:val="24"/>
    </w:rPr>
  </w:style>
  <w:style w:type="character" w:styleId="800" w:customStyle="1">
    <w:name w:val="正文文本缩进 字符"/>
    <w:link w:val="799"/>
    <w:uiPriority w:val="99"/>
    <w:qFormat/>
    <w:rPr>
      <w:rFonts w:ascii="Times New Roman" w:hAnsi="Times New Roman" w:eastAsia="宋体" w:cs="Times New Roman"/>
      <w:sz w:val="20"/>
      <w:szCs w:val="24"/>
    </w:rPr>
  </w:style>
  <w:style w:type="paragraph" w:styleId="801" w:customStyle="1">
    <w:name w:val="列表编号 31"/>
    <w:basedOn w:val="678"/>
    <w:uiPriority w:val="0"/>
    <w:qFormat/>
    <w:pPr>
      <w:ind w:left="720" w:hanging="720"/>
      <w:tabs>
        <w:tab w:val="left" w:pos="1200" w:leader="none"/>
      </w:tabs>
    </w:pPr>
    <w:rPr>
      <w:rFonts w:ascii="Times New Roman" w:hAnsi="Times New Roman" w:eastAsia="宋体" w:cs="Times New Roman"/>
      <w:szCs w:val="24"/>
    </w:rPr>
  </w:style>
  <w:style w:type="paragraph" w:styleId="802" w:customStyle="1">
    <w:name w:val="列表 21"/>
    <w:basedOn w:val="678"/>
    <w:uiPriority w:val="0"/>
    <w:unhideWhenUsed/>
    <w:qFormat/>
    <w:pPr>
      <w:ind w:left="100" w:hanging="200"/>
      <w:spacing w:line="500" w:lineRule="exact"/>
    </w:pPr>
    <w:rPr>
      <w:rFonts w:ascii="Arial" w:hAnsi="Arial" w:eastAsia="仿宋" w:cs="Arial"/>
      <w:sz w:val="28"/>
      <w:szCs w:val="24"/>
    </w:rPr>
  </w:style>
  <w:style w:type="paragraph" w:styleId="803" w:customStyle="1">
    <w:name w:val="文本块11"/>
    <w:basedOn w:val="678"/>
    <w:uiPriority w:val="0"/>
    <w:qFormat/>
    <w:pPr>
      <w:ind w:left="630" w:right="630"/>
      <w:jc w:val="center"/>
    </w:pPr>
    <w:rPr>
      <w:rFonts w:ascii="宋体" w:hAnsi="Times New Roman" w:eastAsia="宋体" w:cs="Times New Roman"/>
      <w:b/>
      <w:sz w:val="32"/>
      <w:szCs w:val="24"/>
    </w:rPr>
  </w:style>
  <w:style w:type="paragraph" w:styleId="804" w:customStyle="1">
    <w:name w:val="列表项目符号 21"/>
    <w:basedOn w:val="678"/>
    <w:uiPriority w:val="0"/>
    <w:qFormat/>
    <w:pPr>
      <w:ind w:left="1236" w:hanging="1236"/>
      <w:tabs>
        <w:tab w:val="left" w:pos="780" w:leader="none"/>
      </w:tabs>
    </w:pPr>
    <w:rPr>
      <w:rFonts w:ascii="Times New Roman" w:hAnsi="Times New Roman" w:eastAsia="宋体" w:cs="Times New Roman"/>
      <w:szCs w:val="24"/>
    </w:rPr>
  </w:style>
  <w:style w:type="paragraph" w:styleId="805" w:customStyle="1">
    <w:name w:val="HTML 地址1"/>
    <w:basedOn w:val="678"/>
    <w:link w:val="806"/>
    <w:uiPriority w:val="99"/>
    <w:qFormat/>
    <w:rPr>
      <w:rFonts w:ascii="Times New Roman" w:hAnsi="Times New Roman" w:eastAsia="宋体" w:cs="Times New Roman"/>
      <w:i/>
      <w:iCs/>
      <w:sz w:val="20"/>
      <w:szCs w:val="24"/>
    </w:rPr>
  </w:style>
  <w:style w:type="character" w:styleId="806" w:customStyle="1">
    <w:name w:val="HTML 地址 字符1"/>
    <w:link w:val="805"/>
    <w:uiPriority w:val="99"/>
    <w:qFormat/>
    <w:rPr>
      <w:rFonts w:ascii="Times New Roman" w:hAnsi="Times New Roman" w:eastAsia="宋体" w:cs="Times New Roman"/>
      <w:i/>
      <w:iCs/>
      <w:sz w:val="20"/>
      <w:szCs w:val="24"/>
    </w:rPr>
  </w:style>
  <w:style w:type="paragraph" w:styleId="807" w:customStyle="1">
    <w:name w:val="索引 411"/>
    <w:basedOn w:val="678"/>
    <w:next w:val="678"/>
    <w:uiPriority w:val="0"/>
    <w:unhideWhenUsed/>
    <w:qFormat/>
    <w:pPr>
      <w:ind w:left="600"/>
    </w:pPr>
    <w:rPr>
      <w:rFonts w:ascii="Times New Roman" w:hAnsi="Times New Roman" w:eastAsia="宋体" w:cs="Times New Roman"/>
      <w:szCs w:val="24"/>
    </w:rPr>
  </w:style>
  <w:style w:type="paragraph" w:styleId="808" w:customStyle="1">
    <w:name w:val="目录 51"/>
    <w:basedOn w:val="678"/>
    <w:next w:val="678"/>
    <w:uiPriority w:val="39"/>
    <w:unhideWhenUsed/>
    <w:qFormat/>
    <w:pPr>
      <w:ind w:left="1134"/>
      <w:spacing w:after="57"/>
    </w:pPr>
    <w:rPr>
      <w:rFonts w:ascii="Times New Roman" w:hAnsi="Times New Roman" w:eastAsia="宋体" w:cs="Times New Roman"/>
      <w:szCs w:val="24"/>
    </w:rPr>
  </w:style>
  <w:style w:type="paragraph" w:styleId="809" w:customStyle="1">
    <w:name w:val="目录 31"/>
    <w:basedOn w:val="678"/>
    <w:next w:val="678"/>
    <w:uiPriority w:val="39"/>
    <w:unhideWhenUsed/>
    <w:qFormat/>
    <w:pPr>
      <w:ind w:left="840"/>
    </w:pPr>
    <w:rPr>
      <w:rFonts w:ascii="Times New Roman" w:hAnsi="Times New Roman" w:eastAsia="宋体" w:cs="Times New Roman"/>
      <w:szCs w:val="24"/>
    </w:rPr>
  </w:style>
  <w:style w:type="paragraph" w:styleId="810" w:customStyle="1">
    <w:name w:val="纯文本11"/>
    <w:basedOn w:val="678"/>
    <w:link w:val="811"/>
    <w:uiPriority w:val="99"/>
    <w:qFormat/>
    <w:rPr>
      <w:rFonts w:ascii="宋体" w:hAnsi="Courier New" w:eastAsia="宋体" w:cs="Times New Roman"/>
      <w:sz w:val="20"/>
      <w:szCs w:val="21"/>
    </w:rPr>
  </w:style>
  <w:style w:type="character" w:styleId="811" w:customStyle="1">
    <w:name w:val="纯文本 字符"/>
    <w:link w:val="810"/>
    <w:uiPriority w:val="99"/>
    <w:qFormat/>
    <w:rPr>
      <w:rFonts w:ascii="宋体" w:hAnsi="Courier New" w:eastAsia="宋体" w:cs="Times New Roman"/>
      <w:sz w:val="20"/>
      <w:szCs w:val="21"/>
    </w:rPr>
  </w:style>
  <w:style w:type="paragraph" w:styleId="812" w:customStyle="1">
    <w:name w:val="列表项目符号 51"/>
    <w:basedOn w:val="678"/>
    <w:uiPriority w:val="0"/>
    <w:qFormat/>
    <w:pPr>
      <w:spacing w:line="312" w:lineRule="atLeast"/>
    </w:pPr>
    <w:rPr>
      <w:rFonts w:ascii="Times New Roman" w:hAnsi="Times New Roman" w:eastAsia="宋体" w:cs="Times New Roman"/>
      <w:szCs w:val="20"/>
    </w:rPr>
  </w:style>
  <w:style w:type="paragraph" w:styleId="813" w:customStyle="1">
    <w:name w:val="目录 81"/>
    <w:basedOn w:val="678"/>
    <w:next w:val="678"/>
    <w:uiPriority w:val="39"/>
    <w:unhideWhenUsed/>
    <w:qFormat/>
    <w:pPr>
      <w:ind w:left="1984"/>
      <w:spacing w:after="57"/>
    </w:pPr>
    <w:rPr>
      <w:rFonts w:ascii="Times New Roman" w:hAnsi="Times New Roman" w:eastAsia="宋体" w:cs="Times New Roman"/>
      <w:szCs w:val="24"/>
    </w:rPr>
  </w:style>
  <w:style w:type="paragraph" w:styleId="814" w:customStyle="1">
    <w:name w:val="索引 31"/>
    <w:basedOn w:val="678"/>
    <w:next w:val="678"/>
    <w:uiPriority w:val="0"/>
    <w:qFormat/>
    <w:pPr>
      <w:ind w:left="630" w:hanging="210"/>
      <w:jc w:val="left"/>
    </w:pPr>
    <w:rPr>
      <w:rFonts w:ascii="Calibri" w:hAnsi="Calibri" w:eastAsia="宋体" w:cs="Times New Roman"/>
      <w:sz w:val="20"/>
      <w:szCs w:val="20"/>
    </w:rPr>
  </w:style>
  <w:style w:type="paragraph" w:styleId="815" w:customStyle="1">
    <w:name w:val="日期11"/>
    <w:basedOn w:val="678"/>
    <w:next w:val="678"/>
    <w:link w:val="816"/>
    <w:uiPriority w:val="99"/>
    <w:qFormat/>
    <w:pPr>
      <w:ind w:left="100"/>
    </w:pPr>
    <w:rPr>
      <w:rFonts w:ascii="Times New Roman" w:hAnsi="Times New Roman" w:eastAsia="宋体" w:cs="Times New Roman"/>
      <w:sz w:val="20"/>
      <w:szCs w:val="24"/>
    </w:rPr>
  </w:style>
  <w:style w:type="character" w:styleId="816" w:customStyle="1">
    <w:name w:val="日期 字符"/>
    <w:link w:val="815"/>
    <w:uiPriority w:val="99"/>
    <w:qFormat/>
    <w:rPr>
      <w:rFonts w:ascii="Times New Roman" w:hAnsi="Times New Roman" w:eastAsia="宋体" w:cs="Times New Roman"/>
      <w:sz w:val="20"/>
      <w:szCs w:val="24"/>
    </w:rPr>
  </w:style>
  <w:style w:type="paragraph" w:styleId="817" w:customStyle="1">
    <w:name w:val="正文文本缩进 211"/>
    <w:basedOn w:val="678"/>
    <w:link w:val="818"/>
    <w:uiPriority w:val="99"/>
    <w:qFormat/>
    <w:pPr>
      <w:ind w:firstLine="560"/>
      <w:spacing w:line="520" w:lineRule="exact"/>
    </w:pPr>
    <w:rPr>
      <w:rFonts w:ascii="Times New Roman" w:hAnsi="Times New Roman" w:eastAsia="宋体" w:cs="Times New Roman"/>
      <w:sz w:val="20"/>
      <w:szCs w:val="24"/>
    </w:rPr>
  </w:style>
  <w:style w:type="character" w:styleId="818" w:customStyle="1">
    <w:name w:val="正文文本缩进 2 字符"/>
    <w:link w:val="817"/>
    <w:uiPriority w:val="99"/>
    <w:qFormat/>
    <w:rPr>
      <w:rFonts w:ascii="Times New Roman" w:hAnsi="Times New Roman" w:eastAsia="宋体" w:cs="Times New Roman"/>
      <w:sz w:val="20"/>
      <w:szCs w:val="24"/>
    </w:rPr>
  </w:style>
  <w:style w:type="paragraph" w:styleId="819" w:customStyle="1">
    <w:name w:val="尾注文本1"/>
    <w:basedOn w:val="678"/>
    <w:uiPriority w:val="99"/>
    <w:qFormat/>
    <w:pPr>
      <w:jc w:val="left"/>
    </w:pPr>
    <w:rPr>
      <w:rFonts w:ascii="Times New Roman" w:hAnsi="Times New Roman" w:eastAsia="宋体" w:cs="Times New Roman"/>
      <w:sz w:val="20"/>
      <w:szCs w:val="24"/>
    </w:rPr>
  </w:style>
  <w:style w:type="paragraph" w:styleId="820" w:customStyle="1">
    <w:name w:val="批注框文本1"/>
    <w:basedOn w:val="678"/>
    <w:link w:val="821"/>
    <w:uiPriority w:val="99"/>
    <w:qFormat/>
    <w:rPr>
      <w:rFonts w:ascii="Times New Roman" w:hAnsi="Times New Roman" w:eastAsia="宋体" w:cs="Times New Roman"/>
      <w:sz w:val="18"/>
      <w:szCs w:val="18"/>
    </w:rPr>
  </w:style>
  <w:style w:type="character" w:styleId="821" w:customStyle="1">
    <w:name w:val="批注框文本 字符"/>
    <w:link w:val="820"/>
    <w:uiPriority w:val="99"/>
    <w:qFormat/>
    <w:rPr>
      <w:rFonts w:ascii="Times New Roman" w:hAnsi="Times New Roman" w:eastAsia="宋体" w:cs="Times New Roman"/>
      <w:sz w:val="18"/>
      <w:szCs w:val="18"/>
    </w:rPr>
  </w:style>
  <w:style w:type="paragraph" w:styleId="822" w:customStyle="1">
    <w:name w:val="页脚1"/>
    <w:basedOn w:val="678"/>
    <w:link w:val="823"/>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823" w:customStyle="1">
    <w:name w:val="页脚 字符2"/>
    <w:link w:val="822"/>
    <w:uiPriority w:val="99"/>
    <w:qFormat/>
    <w:rPr>
      <w:rFonts w:ascii="Times New Roman" w:hAnsi="Times New Roman" w:eastAsia="宋体" w:cs="Times New Roman"/>
      <w:sz w:val="18"/>
      <w:szCs w:val="18"/>
    </w:rPr>
  </w:style>
  <w:style w:type="paragraph" w:styleId="824" w:customStyle="1">
    <w:name w:val="寄信人地址1"/>
    <w:basedOn w:val="678"/>
    <w:uiPriority w:val="0"/>
    <w:qFormat/>
    <w:pPr>
      <w:jc w:val="left"/>
      <w:tabs>
        <w:tab w:val="left" w:pos="1630" w:leader="none"/>
      </w:tabs>
    </w:pPr>
    <w:rPr>
      <w:rFonts w:ascii="Arial" w:hAnsi="Arial" w:eastAsia="DFKai-SB" w:cs="Arial"/>
      <w:sz w:val="28"/>
      <w:szCs w:val="24"/>
      <w:lang w:eastAsia="zh-TW"/>
    </w:rPr>
  </w:style>
  <w:style w:type="paragraph" w:styleId="825" w:customStyle="1">
    <w:name w:val="页眉1"/>
    <w:basedOn w:val="678"/>
    <w:link w:val="826"/>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26" w:customStyle="1">
    <w:name w:val="页眉 字符2"/>
    <w:link w:val="825"/>
    <w:uiPriority w:val="99"/>
    <w:qFormat/>
    <w:rPr>
      <w:rFonts w:ascii="Times New Roman" w:hAnsi="Times New Roman" w:eastAsia="宋体" w:cs="Times New Roman"/>
      <w:sz w:val="18"/>
      <w:szCs w:val="18"/>
    </w:rPr>
  </w:style>
  <w:style w:type="paragraph" w:styleId="827" w:customStyle="1">
    <w:name w:val="目录 11"/>
    <w:basedOn w:val="678"/>
    <w:next w:val="678"/>
    <w:uiPriority w:val="39"/>
    <w:unhideWhenUsed/>
    <w:qFormat/>
    <w:pPr>
      <w:spacing w:after="57"/>
    </w:pPr>
    <w:rPr>
      <w:rFonts w:ascii="Times New Roman" w:hAnsi="Times New Roman" w:eastAsia="宋体" w:cs="Times New Roman"/>
      <w:szCs w:val="24"/>
    </w:rPr>
  </w:style>
  <w:style w:type="paragraph" w:styleId="828" w:customStyle="1">
    <w:name w:val="目录 41"/>
    <w:basedOn w:val="678"/>
    <w:next w:val="678"/>
    <w:uiPriority w:val="39"/>
    <w:unhideWhenUsed/>
    <w:qFormat/>
    <w:pPr>
      <w:ind w:left="850"/>
      <w:spacing w:after="57"/>
    </w:pPr>
    <w:rPr>
      <w:rFonts w:ascii="Times New Roman" w:hAnsi="Times New Roman" w:eastAsia="宋体" w:cs="Times New Roman"/>
      <w:szCs w:val="24"/>
    </w:rPr>
  </w:style>
  <w:style w:type="paragraph" w:styleId="829" w:customStyle="1">
    <w:name w:val="索引标题1"/>
    <w:basedOn w:val="678"/>
    <w:next w:val="830"/>
    <w:uiPriority w:val="0"/>
    <w:unhideWhenUsed/>
    <w:qFormat/>
    <w:pPr>
      <w:spacing w:line="300" w:lineRule="auto"/>
    </w:pPr>
    <w:rPr>
      <w:rFonts w:ascii="Times New Roman" w:hAnsi="Times New Roman" w:eastAsia="楷体_GB2312" w:cs="Times New Roman"/>
      <w:sz w:val="24"/>
      <w:szCs w:val="24"/>
    </w:rPr>
  </w:style>
  <w:style w:type="paragraph" w:styleId="830" w:customStyle="1">
    <w:name w:val="索引 111"/>
    <w:basedOn w:val="678"/>
    <w:next w:val="678"/>
    <w:uiPriority w:val="0"/>
    <w:unhideWhenUsed/>
    <w:qFormat/>
    <w:rPr>
      <w:rFonts w:ascii="Times New Roman" w:hAnsi="Times New Roman" w:eastAsia="宋体" w:cs="Times New Roman"/>
      <w:szCs w:val="24"/>
    </w:rPr>
  </w:style>
  <w:style w:type="paragraph" w:styleId="831" w:customStyle="1">
    <w:name w:val="副标题1"/>
    <w:basedOn w:val="678"/>
    <w:next w:val="678"/>
    <w:uiPriority w:val="11"/>
    <w:qFormat/>
    <w:pPr>
      <w:jc w:val="center"/>
      <w:spacing w:before="240" w:after="60" w:line="312" w:lineRule="auto"/>
      <w:outlineLvl w:val="1"/>
    </w:pPr>
    <w:rPr>
      <w:rFonts w:ascii="等线 Light" w:hAnsi="等线 Light" w:eastAsia="宋体" w:cs="Times New Roman"/>
      <w:b/>
      <w:bCs/>
      <w:sz w:val="32"/>
      <w:szCs w:val="32"/>
    </w:rPr>
  </w:style>
  <w:style w:type="paragraph" w:styleId="832" w:customStyle="1">
    <w:name w:val="脚注文本1"/>
    <w:basedOn w:val="678"/>
    <w:link w:val="833"/>
    <w:uiPriority w:val="99"/>
    <w:unhideWhenUsed/>
    <w:qFormat/>
    <w:pPr>
      <w:jc w:val="left"/>
    </w:pPr>
    <w:rPr>
      <w:rFonts w:ascii="Times New Roman" w:hAnsi="Times New Roman" w:eastAsia="宋体" w:cs="Times New Roman"/>
      <w:sz w:val="18"/>
      <w:szCs w:val="18"/>
    </w:rPr>
  </w:style>
  <w:style w:type="character" w:styleId="833" w:customStyle="1">
    <w:name w:val="脚注文本 字符1"/>
    <w:link w:val="832"/>
    <w:uiPriority w:val="99"/>
    <w:qFormat/>
    <w:rPr>
      <w:rFonts w:ascii="Times New Roman" w:hAnsi="Times New Roman" w:eastAsia="宋体" w:cs="Times New Roman"/>
      <w:sz w:val="18"/>
      <w:szCs w:val="18"/>
    </w:rPr>
  </w:style>
  <w:style w:type="paragraph" w:styleId="834" w:customStyle="1">
    <w:name w:val="目录 61"/>
    <w:basedOn w:val="678"/>
    <w:next w:val="678"/>
    <w:uiPriority w:val="39"/>
    <w:unhideWhenUsed/>
    <w:qFormat/>
    <w:pPr>
      <w:ind w:left="1417"/>
      <w:spacing w:after="57"/>
    </w:pPr>
    <w:rPr>
      <w:rFonts w:ascii="Times New Roman" w:hAnsi="Times New Roman" w:eastAsia="宋体" w:cs="Times New Roman"/>
      <w:szCs w:val="24"/>
    </w:rPr>
  </w:style>
  <w:style w:type="paragraph" w:styleId="835" w:customStyle="1">
    <w:name w:val="正文文本缩进 311"/>
    <w:basedOn w:val="678"/>
    <w:link w:val="836"/>
    <w:uiPriority w:val="99"/>
    <w:qFormat/>
    <w:pPr>
      <w:ind w:left="520" w:firstLine="425"/>
      <w:jc w:val="center"/>
    </w:pPr>
    <w:rPr>
      <w:rFonts w:ascii="Times New Roman" w:hAnsi="Times New Roman" w:eastAsia="宋体" w:cs="Times New Roman"/>
      <w:sz w:val="16"/>
      <w:szCs w:val="16"/>
    </w:rPr>
  </w:style>
  <w:style w:type="character" w:styleId="836" w:customStyle="1">
    <w:name w:val="正文文本缩进 3 字符"/>
    <w:link w:val="835"/>
    <w:uiPriority w:val="99"/>
    <w:qFormat/>
    <w:rPr>
      <w:rFonts w:ascii="Times New Roman" w:hAnsi="Times New Roman" w:eastAsia="宋体" w:cs="Times New Roman"/>
      <w:sz w:val="16"/>
      <w:szCs w:val="16"/>
    </w:rPr>
  </w:style>
  <w:style w:type="paragraph" w:styleId="837" w:customStyle="1">
    <w:name w:val="索引 71"/>
    <w:basedOn w:val="678"/>
    <w:next w:val="678"/>
    <w:uiPriority w:val="0"/>
    <w:qFormat/>
    <w:pPr>
      <w:ind w:left="1470" w:hanging="210"/>
      <w:jc w:val="left"/>
    </w:pPr>
    <w:rPr>
      <w:rFonts w:ascii="Calibri" w:hAnsi="Calibri" w:eastAsia="宋体" w:cs="Times New Roman"/>
      <w:sz w:val="20"/>
      <w:szCs w:val="20"/>
    </w:rPr>
  </w:style>
  <w:style w:type="paragraph" w:styleId="838" w:customStyle="1">
    <w:name w:val="索引 91"/>
    <w:basedOn w:val="678"/>
    <w:next w:val="678"/>
    <w:uiPriority w:val="0"/>
    <w:qFormat/>
    <w:pPr>
      <w:ind w:left="1890" w:hanging="210"/>
      <w:jc w:val="left"/>
    </w:pPr>
    <w:rPr>
      <w:rFonts w:ascii="Calibri" w:hAnsi="Calibri" w:eastAsia="宋体" w:cs="Times New Roman"/>
      <w:sz w:val="20"/>
      <w:szCs w:val="20"/>
    </w:rPr>
  </w:style>
  <w:style w:type="paragraph" w:styleId="839" w:customStyle="1">
    <w:name w:val="图表目录11"/>
    <w:basedOn w:val="678"/>
    <w:next w:val="678"/>
    <w:uiPriority w:val="0"/>
    <w:unhideWhenUsed/>
    <w:qFormat/>
    <w:pPr>
      <w:ind w:left="420" w:hanging="420"/>
      <w:jc w:val="left"/>
      <w:spacing w:line="500" w:lineRule="exact"/>
    </w:pPr>
    <w:rPr>
      <w:rFonts w:ascii="Calibri" w:hAnsi="Calibri" w:eastAsia="仿宋" w:cs="Times New Roman"/>
      <w:smallCaps/>
      <w:sz w:val="20"/>
      <w:szCs w:val="20"/>
    </w:rPr>
  </w:style>
  <w:style w:type="paragraph" w:styleId="840" w:customStyle="1">
    <w:name w:val="目录 21"/>
    <w:basedOn w:val="678"/>
    <w:next w:val="678"/>
    <w:uiPriority w:val="39"/>
    <w:unhideWhenUsed/>
    <w:qFormat/>
    <w:pPr>
      <w:ind w:left="420"/>
    </w:pPr>
    <w:rPr>
      <w:rFonts w:ascii="Times New Roman" w:hAnsi="Times New Roman" w:eastAsia="宋体" w:cs="Times New Roman"/>
      <w:szCs w:val="24"/>
    </w:rPr>
  </w:style>
  <w:style w:type="paragraph" w:styleId="841" w:customStyle="1">
    <w:name w:val="目录 91"/>
    <w:basedOn w:val="678"/>
    <w:next w:val="678"/>
    <w:uiPriority w:val="39"/>
    <w:unhideWhenUsed/>
    <w:qFormat/>
    <w:pPr>
      <w:ind w:left="3360"/>
    </w:pPr>
    <w:rPr>
      <w:rFonts w:ascii="Times New Roman" w:hAnsi="Times New Roman" w:eastAsia="宋体" w:cs="Times New Roman"/>
      <w:szCs w:val="24"/>
    </w:rPr>
  </w:style>
  <w:style w:type="paragraph" w:styleId="842" w:customStyle="1">
    <w:name w:val="正文文本 211"/>
    <w:basedOn w:val="678"/>
    <w:link w:val="843"/>
    <w:uiPriority w:val="99"/>
    <w:qFormat/>
    <w:pPr>
      <w:spacing w:after="120" w:line="480" w:lineRule="auto"/>
    </w:pPr>
    <w:rPr>
      <w:rFonts w:ascii="Times New Roman" w:hAnsi="Times New Roman" w:eastAsia="宋体" w:cs="Times New Roman"/>
      <w:sz w:val="20"/>
      <w:szCs w:val="24"/>
    </w:rPr>
  </w:style>
  <w:style w:type="character" w:styleId="843" w:customStyle="1">
    <w:name w:val="正文文本 2 字符"/>
    <w:link w:val="842"/>
    <w:uiPriority w:val="99"/>
    <w:qFormat/>
    <w:rPr>
      <w:rFonts w:ascii="Times New Roman" w:hAnsi="Times New Roman" w:eastAsia="宋体" w:cs="Times New Roman"/>
      <w:sz w:val="20"/>
      <w:szCs w:val="24"/>
    </w:rPr>
  </w:style>
  <w:style w:type="paragraph" w:styleId="844" w:customStyle="1">
    <w:name w:val="HTML 预设格式1"/>
    <w:basedOn w:val="678"/>
    <w:link w:val="845"/>
    <w:uiPriority w:val="99"/>
    <w:qFormat/>
    <w:rPr>
      <w:rFonts w:ascii="Courier New" w:hAnsi="Courier New" w:eastAsia="宋体" w:cs="Times New Roman"/>
      <w:sz w:val="20"/>
      <w:szCs w:val="20"/>
    </w:rPr>
  </w:style>
  <w:style w:type="character" w:styleId="845" w:customStyle="1">
    <w:name w:val="HTML 预设格式 字符1"/>
    <w:link w:val="844"/>
    <w:uiPriority w:val="99"/>
    <w:qFormat/>
    <w:rPr>
      <w:rFonts w:ascii="Courier New" w:hAnsi="Courier New" w:eastAsia="宋体" w:cs="Times New Roman"/>
      <w:sz w:val="20"/>
      <w:szCs w:val="20"/>
    </w:rPr>
  </w:style>
  <w:style w:type="paragraph" w:styleId="846" w:customStyle="1">
    <w:name w:val="普通(网站)11"/>
    <w:basedOn w:val="678"/>
    <w:link w:val="847"/>
    <w:uiPriority w:val="0"/>
    <w:qFormat/>
    <w:pPr>
      <w:jc w:val="left"/>
      <w:spacing w:before="100" w:beforeAutospacing="1" w:after="100" w:afterAutospacing="1"/>
      <w:widowControl/>
    </w:pPr>
    <w:rPr>
      <w:rFonts w:ascii="宋体" w:hAnsi="宋体" w:eastAsia="宋体" w:cs="Times New Roman"/>
      <w:color w:val="000000"/>
      <w:sz w:val="24"/>
      <w:szCs w:val="24"/>
    </w:rPr>
  </w:style>
  <w:style w:type="character" w:styleId="847" w:customStyle="1">
    <w:name w:val="普通(网站) 字符"/>
    <w:link w:val="846"/>
    <w:uiPriority w:val="0"/>
    <w:qFormat/>
    <w:rPr>
      <w:rFonts w:ascii="宋体" w:hAnsi="宋体" w:eastAsia="宋体" w:cs="Times New Roman"/>
      <w:color w:val="000000"/>
      <w:sz w:val="24"/>
      <w:szCs w:val="24"/>
    </w:rPr>
  </w:style>
  <w:style w:type="paragraph" w:styleId="848" w:customStyle="1">
    <w:name w:val="索引 21"/>
    <w:basedOn w:val="678"/>
    <w:next w:val="678"/>
    <w:uiPriority w:val="0"/>
    <w:qFormat/>
    <w:pPr>
      <w:ind w:left="420" w:hanging="210"/>
      <w:jc w:val="left"/>
    </w:pPr>
    <w:rPr>
      <w:rFonts w:ascii="Calibri" w:hAnsi="Calibri" w:eastAsia="宋体" w:cs="Times New Roman"/>
      <w:sz w:val="20"/>
      <w:szCs w:val="20"/>
    </w:rPr>
  </w:style>
  <w:style w:type="paragraph" w:styleId="849" w:customStyle="1">
    <w:name w:val="标题111"/>
    <w:basedOn w:val="678"/>
    <w:next w:val="678"/>
    <w:uiPriority w:val="10"/>
    <w:qFormat/>
    <w:pPr>
      <w:jc w:val="center"/>
      <w:spacing w:before="240" w:after="60"/>
      <w:outlineLvl w:val="0"/>
    </w:pPr>
    <w:rPr>
      <w:rFonts w:ascii="等线 Light" w:hAnsi="等线 Light" w:eastAsia="宋体" w:cs="Times New Roman"/>
      <w:b/>
      <w:bCs/>
      <w:sz w:val="32"/>
      <w:szCs w:val="32"/>
    </w:rPr>
  </w:style>
  <w:style w:type="paragraph" w:styleId="850" w:customStyle="1">
    <w:name w:val="批注主题11"/>
    <w:basedOn w:val="789"/>
    <w:next w:val="789"/>
    <w:link w:val="851"/>
    <w:uiPriority w:val="99"/>
    <w:qFormat/>
    <w:rPr>
      <w:b/>
      <w:bCs/>
    </w:rPr>
  </w:style>
  <w:style w:type="character" w:styleId="851" w:customStyle="1">
    <w:name w:val="批注主题 字符"/>
    <w:link w:val="850"/>
    <w:uiPriority w:val="99"/>
    <w:qFormat/>
    <w:rPr>
      <w:rFonts w:ascii="Times New Roman" w:hAnsi="Times New Roman" w:eastAsia="宋体" w:cs="Times New Roman"/>
      <w:b/>
      <w:bCs/>
      <w:sz w:val="20"/>
      <w:szCs w:val="24"/>
    </w:rPr>
  </w:style>
  <w:style w:type="paragraph" w:styleId="852" w:customStyle="1">
    <w:name w:val="正文首行缩进11"/>
    <w:basedOn w:val="797"/>
    <w:link w:val="853"/>
    <w:uiPriority w:val="99"/>
    <w:unhideWhenUsed/>
    <w:qFormat/>
    <w:pPr>
      <w:ind w:firstLine="420"/>
      <w:spacing w:after="120"/>
    </w:pPr>
  </w:style>
  <w:style w:type="character" w:styleId="853" w:customStyle="1">
    <w:name w:val="正文首行缩进 字符"/>
    <w:link w:val="852"/>
    <w:uiPriority w:val="99"/>
    <w:qFormat/>
    <w:rPr>
      <w:rFonts w:ascii="Times New Roman" w:hAnsi="Times New Roman" w:eastAsia="宋体" w:cs="Times New Roman"/>
      <w:sz w:val="20"/>
      <w:szCs w:val="24"/>
    </w:rPr>
  </w:style>
  <w:style w:type="paragraph" w:styleId="854" w:customStyle="1">
    <w:name w:val="正文首行缩进 21"/>
    <w:basedOn w:val="799"/>
    <w:next w:val="678"/>
    <w:link w:val="855"/>
    <w:uiPriority w:val="99"/>
    <w:unhideWhenUsed/>
    <w:qFormat/>
    <w:pPr>
      <w:ind w:left="420" w:firstLine="420"/>
      <w:spacing w:after="120"/>
    </w:pPr>
  </w:style>
  <w:style w:type="character" w:styleId="855" w:customStyle="1">
    <w:name w:val="正文首行缩进 2 字符"/>
    <w:link w:val="854"/>
    <w:uiPriority w:val="99"/>
    <w:qFormat/>
    <w:rPr>
      <w:rFonts w:ascii="Times New Roman" w:hAnsi="Times New Roman" w:eastAsia="宋体" w:cs="Times New Roman"/>
      <w:sz w:val="20"/>
      <w:szCs w:val="24"/>
    </w:rPr>
  </w:style>
  <w:style w:type="table" w:styleId="856" w:customStyle="1">
    <w:name w:val="网格型111"/>
    <w:basedOn w:val="776"/>
    <w:uiPriority w:val="59"/>
    <w:unhideWhenUsed/>
    <w:qFormat/>
    <w:tblPr>
      <w:tblCellMar>
        <w:left w:w="0" w:type="dxa"/>
        <w:top w:w="0" w:type="dxa"/>
        <w:right w:w="0" w:type="dxa"/>
        <w:bottom w:w="0" w:type="dxa"/>
      </w:tblCellMar>
    </w:tblPr>
  </w:style>
  <w:style w:type="table" w:styleId="857" w:customStyle="1">
    <w:name w:val="表格主题1"/>
    <w:basedOn w:val="776"/>
    <w:uiPriority w:val="0"/>
    <w:qFormat/>
    <w:pPr>
      <w:jc w:val="both"/>
      <w:widowControl w:val="off"/>
    </w:pPr>
    <w:tblPr>
      <w:tblCellMar>
        <w:left w:w="0" w:type="dxa"/>
        <w:top w:w="0" w:type="dxa"/>
        <w:right w:w="0" w:type="dxa"/>
        <w:bottom w:w="0" w:type="dxa"/>
      </w:tblCellMar>
    </w:tblPr>
  </w:style>
  <w:style w:type="table" w:styleId="858" w:customStyle="1">
    <w:name w:val="典雅型1"/>
    <w:basedOn w:val="776"/>
    <w:uiPriority w:val="0"/>
    <w:unhideWhenUsed/>
    <w:qFormat/>
    <w:pPr>
      <w:jc w:val="both"/>
      <w:widowControl w:val="off"/>
    </w:pPr>
    <w:tblPr>
      <w:tblCellMar>
        <w:left w:w="0" w:type="dxa"/>
        <w:top w:w="0" w:type="dxa"/>
        <w:right w:w="0" w:type="dxa"/>
        <w:bottom w:w="0" w:type="dxa"/>
      </w:tblCellMar>
    </w:tblPr>
  </w:style>
  <w:style w:type="character" w:styleId="859" w:customStyle="1">
    <w:name w:val="要点1"/>
    <w:uiPriority w:val="0"/>
    <w:qFormat/>
    <w:rPr>
      <w:b/>
      <w:bCs/>
    </w:rPr>
  </w:style>
  <w:style w:type="character" w:styleId="860" w:customStyle="1">
    <w:name w:val="尾注引用1"/>
    <w:uiPriority w:val="0"/>
    <w:qFormat/>
    <w:rPr>
      <w:vertAlign w:val="superscript"/>
    </w:rPr>
  </w:style>
  <w:style w:type="character" w:styleId="861" w:customStyle="1">
    <w:name w:val="页码111"/>
    <w:uiPriority w:val="0"/>
    <w:qFormat/>
  </w:style>
  <w:style w:type="character" w:styleId="862" w:customStyle="1">
    <w:name w:val="访问过的超链接1"/>
    <w:uiPriority w:val="99"/>
    <w:unhideWhenUsed/>
    <w:qFormat/>
    <w:rPr>
      <w:color w:val="954f72"/>
      <w:u w:val="single"/>
    </w:rPr>
  </w:style>
  <w:style w:type="character" w:styleId="863" w:customStyle="1">
    <w:name w:val="强调1"/>
    <w:uiPriority w:val="20"/>
    <w:qFormat/>
    <w:rPr>
      <w:color w:val="cc0000"/>
    </w:rPr>
  </w:style>
  <w:style w:type="character" w:styleId="864" w:customStyle="1">
    <w:name w:val="HTML 定义1"/>
    <w:uiPriority w:val="0"/>
    <w:unhideWhenUsed/>
    <w:qFormat/>
  </w:style>
  <w:style w:type="character" w:styleId="865" w:customStyle="1">
    <w:name w:val="HTML 打字机1"/>
    <w:uiPriority w:val="0"/>
    <w:unhideWhenUsed/>
    <w:qFormat/>
    <w:rPr>
      <w:rFonts w:ascii="Courier New" w:hAnsi="Courier New" w:eastAsia="Courier New" w:cs="Courier New"/>
      <w:sz w:val="24"/>
      <w:szCs w:val="24"/>
    </w:rPr>
  </w:style>
  <w:style w:type="character" w:styleId="866" w:customStyle="1">
    <w:name w:val="HTML 缩写1"/>
    <w:uiPriority w:val="0"/>
    <w:qFormat/>
  </w:style>
  <w:style w:type="character" w:styleId="867" w:customStyle="1">
    <w:name w:val="HTML 变量1"/>
    <w:uiPriority w:val="0"/>
    <w:unhideWhenUsed/>
    <w:qFormat/>
  </w:style>
  <w:style w:type="character" w:styleId="868" w:customStyle="1">
    <w:name w:val="超链接1"/>
    <w:uiPriority w:val="99"/>
    <w:qFormat/>
    <w:rPr>
      <w:color w:val="0000ff"/>
      <w:u w:val="none"/>
    </w:rPr>
  </w:style>
  <w:style w:type="character" w:styleId="869" w:customStyle="1">
    <w:name w:val="HTML 代码1"/>
    <w:uiPriority w:val="0"/>
    <w:unhideWhenUsed/>
    <w:qFormat/>
    <w:rPr>
      <w:rFonts w:ascii="Courier New" w:hAnsi="Courier New" w:eastAsia="Courier New" w:cs="Courier New"/>
      <w:sz w:val="24"/>
      <w:szCs w:val="24"/>
    </w:rPr>
  </w:style>
  <w:style w:type="character" w:styleId="870" w:customStyle="1">
    <w:name w:val="批注引用11"/>
    <w:uiPriority w:val="99"/>
    <w:qFormat/>
    <w:rPr>
      <w:sz w:val="21"/>
      <w:szCs w:val="21"/>
    </w:rPr>
  </w:style>
  <w:style w:type="character" w:styleId="871" w:customStyle="1">
    <w:name w:val="HTML 引文1"/>
    <w:uiPriority w:val="0"/>
    <w:unhideWhenUsed/>
    <w:qFormat/>
  </w:style>
  <w:style w:type="character" w:styleId="872" w:customStyle="1">
    <w:name w:val="脚注引用1"/>
    <w:uiPriority w:val="0"/>
    <w:unhideWhenUsed/>
    <w:qFormat/>
    <w:rPr>
      <w:vertAlign w:val="superscript"/>
    </w:rPr>
  </w:style>
  <w:style w:type="character" w:styleId="873" w:customStyle="1">
    <w:name w:val="HTML 键盘1"/>
    <w:uiPriority w:val="0"/>
    <w:unhideWhenUsed/>
    <w:qFormat/>
    <w:rPr>
      <w:rFonts w:ascii="Courier New" w:hAnsi="Courier New" w:eastAsia="Courier New" w:cs="Courier New"/>
      <w:sz w:val="24"/>
      <w:szCs w:val="24"/>
    </w:rPr>
  </w:style>
  <w:style w:type="character" w:styleId="874" w:customStyle="1">
    <w:name w:val="HTML 样本1"/>
    <w:uiPriority w:val="0"/>
    <w:unhideWhenUsed/>
    <w:qFormat/>
    <w:rPr>
      <w:rFonts w:ascii="Courier New" w:hAnsi="Courier New" w:eastAsia="Courier New" w:cs="Courier New"/>
    </w:rPr>
  </w:style>
  <w:style w:type="character" w:styleId="875" w:customStyle="1">
    <w:name w:val="默认段落字体11"/>
    <w:uiPriority w:val="1"/>
    <w:unhideWhenUsed/>
    <w:qFormat/>
  </w:style>
  <w:style w:type="character" w:styleId="876" w:customStyle="1">
    <w:name w:val="标题 3 Char3"/>
    <w:link w:val="681"/>
    <w:uiPriority w:val="0"/>
    <w:qFormat/>
    <w:rPr>
      <w:rFonts w:ascii="Times New Roman" w:hAnsi="Times New Roman" w:eastAsia="宋体" w:cs="Times New Roman"/>
      <w:b/>
      <w:sz w:val="32"/>
      <w:szCs w:val="20"/>
    </w:rPr>
  </w:style>
  <w:style w:type="character" w:styleId="877" w:customStyle="1">
    <w:name w:val="Heading 1 Char"/>
    <w:uiPriority w:val="9"/>
    <w:qFormat/>
    <w:rPr>
      <w:rFonts w:ascii="Arial" w:hAnsi="Arial" w:eastAsia="Arial" w:cs="Arial"/>
      <w:sz w:val="40"/>
      <w:szCs w:val="40"/>
    </w:rPr>
  </w:style>
  <w:style w:type="character" w:styleId="878" w:customStyle="1">
    <w:name w:val="Heading 2 Char"/>
    <w:uiPriority w:val="9"/>
    <w:qFormat/>
    <w:rPr>
      <w:rFonts w:ascii="Arial" w:hAnsi="Arial" w:eastAsia="Arial" w:cs="Arial"/>
      <w:sz w:val="34"/>
    </w:rPr>
  </w:style>
  <w:style w:type="character" w:styleId="879" w:customStyle="1">
    <w:name w:val="Heading 3 Char"/>
    <w:uiPriority w:val="9"/>
    <w:qFormat/>
    <w:rPr>
      <w:rFonts w:ascii="Arial" w:hAnsi="Arial" w:eastAsia="Arial" w:cs="Arial"/>
      <w:sz w:val="30"/>
      <w:szCs w:val="30"/>
    </w:rPr>
  </w:style>
  <w:style w:type="character" w:styleId="880" w:customStyle="1">
    <w:name w:val="Heading 4 Char"/>
    <w:uiPriority w:val="9"/>
    <w:qFormat/>
    <w:rPr>
      <w:rFonts w:ascii="Arial" w:hAnsi="Arial" w:eastAsia="Arial" w:cs="Arial"/>
      <w:b/>
      <w:bCs/>
      <w:sz w:val="26"/>
      <w:szCs w:val="26"/>
    </w:rPr>
  </w:style>
  <w:style w:type="character" w:styleId="881" w:customStyle="1">
    <w:name w:val="Heading 5 Char"/>
    <w:uiPriority w:val="9"/>
    <w:qFormat/>
    <w:rPr>
      <w:rFonts w:ascii="Arial" w:hAnsi="Arial" w:eastAsia="Arial" w:cs="Arial"/>
      <w:b/>
      <w:bCs/>
      <w:sz w:val="24"/>
      <w:szCs w:val="24"/>
    </w:rPr>
  </w:style>
  <w:style w:type="character" w:styleId="882" w:customStyle="1">
    <w:name w:val="Heading 6 Char"/>
    <w:uiPriority w:val="9"/>
    <w:qFormat/>
    <w:rPr>
      <w:rFonts w:ascii="Arial" w:hAnsi="Arial" w:eastAsia="Arial" w:cs="Arial"/>
      <w:b/>
      <w:bCs/>
      <w:sz w:val="22"/>
      <w:szCs w:val="22"/>
    </w:rPr>
  </w:style>
  <w:style w:type="character" w:styleId="883" w:customStyle="1">
    <w:name w:val="Heading 7 Char"/>
    <w:uiPriority w:val="9"/>
    <w:qFormat/>
    <w:rPr>
      <w:rFonts w:ascii="Arial" w:hAnsi="Arial" w:eastAsia="Arial" w:cs="Arial"/>
      <w:b/>
      <w:bCs/>
      <w:i/>
      <w:iCs/>
      <w:sz w:val="22"/>
      <w:szCs w:val="22"/>
    </w:rPr>
  </w:style>
  <w:style w:type="character" w:styleId="884" w:customStyle="1">
    <w:name w:val="Heading 8 Char"/>
    <w:uiPriority w:val="9"/>
    <w:qFormat/>
    <w:rPr>
      <w:rFonts w:ascii="Arial" w:hAnsi="Arial" w:eastAsia="Arial" w:cs="Arial"/>
      <w:i/>
      <w:iCs/>
      <w:sz w:val="22"/>
      <w:szCs w:val="22"/>
    </w:rPr>
  </w:style>
  <w:style w:type="character" w:styleId="885" w:customStyle="1">
    <w:name w:val="Heading 9 Char"/>
    <w:uiPriority w:val="9"/>
    <w:qFormat/>
    <w:rPr>
      <w:rFonts w:ascii="Arial" w:hAnsi="Arial" w:eastAsia="Arial" w:cs="Arial"/>
      <w:i/>
      <w:iCs/>
      <w:sz w:val="21"/>
      <w:szCs w:val="21"/>
    </w:rPr>
  </w:style>
  <w:style w:type="character" w:styleId="886" w:customStyle="1">
    <w:name w:val="Title Char"/>
    <w:uiPriority w:val="10"/>
    <w:qFormat/>
    <w:rPr>
      <w:sz w:val="48"/>
      <w:szCs w:val="48"/>
    </w:rPr>
  </w:style>
  <w:style w:type="character" w:styleId="887" w:customStyle="1">
    <w:name w:val="Subtitle Char"/>
    <w:uiPriority w:val="11"/>
    <w:qFormat/>
    <w:rPr>
      <w:sz w:val="24"/>
      <w:szCs w:val="24"/>
    </w:rPr>
  </w:style>
  <w:style w:type="paragraph" w:styleId="888" w:customStyle="1">
    <w:name w:val="引用1"/>
    <w:basedOn w:val="678"/>
    <w:next w:val="678"/>
    <w:link w:val="889"/>
    <w:uiPriority w:val="29"/>
    <w:qFormat/>
    <w:pPr>
      <w:ind w:left="720" w:right="720"/>
    </w:pPr>
    <w:rPr>
      <w:rFonts w:ascii="Times New Roman" w:hAnsi="Times New Roman" w:eastAsia="宋体" w:cs="Times New Roman"/>
      <w:i/>
      <w:sz w:val="20"/>
      <w:szCs w:val="20"/>
    </w:rPr>
  </w:style>
  <w:style w:type="character" w:styleId="889" w:customStyle="1">
    <w:name w:val="引用 字符2"/>
    <w:link w:val="888"/>
    <w:uiPriority w:val="29"/>
    <w:qFormat/>
    <w:rPr>
      <w:rFonts w:ascii="Times New Roman" w:hAnsi="Times New Roman" w:eastAsia="宋体" w:cs="Times New Roman"/>
      <w:i/>
      <w:sz w:val="20"/>
      <w:szCs w:val="20"/>
    </w:rPr>
  </w:style>
  <w:style w:type="paragraph" w:styleId="890" w:customStyle="1">
    <w:name w:val="明显引用1"/>
    <w:basedOn w:val="678"/>
    <w:next w:val="678"/>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891" w:customStyle="1">
    <w:name w:val="明显引用 字符2"/>
    <w:link w:val="890"/>
    <w:uiPriority w:val="30"/>
    <w:qFormat/>
    <w:rPr>
      <w:rFonts w:ascii="Times New Roman" w:hAnsi="Times New Roman" w:eastAsia="宋体" w:cs="Times New Roman"/>
      <w:i/>
      <w:sz w:val="20"/>
      <w:szCs w:val="20"/>
      <w:shd w:val="clear" w:color="auto" w:fill="f2f2f2"/>
    </w:rPr>
  </w:style>
  <w:style w:type="character" w:styleId="892" w:customStyle="1">
    <w:name w:val="Header Char"/>
    <w:uiPriority w:val="99"/>
    <w:qFormat/>
  </w:style>
  <w:style w:type="character" w:styleId="893" w:customStyle="1">
    <w:name w:val="Footer Char"/>
    <w:uiPriority w:val="99"/>
    <w:qFormat/>
  </w:style>
  <w:style w:type="character" w:styleId="894" w:customStyle="1">
    <w:name w:val="Caption Char"/>
    <w:uiPriority w:val="99"/>
    <w:qFormat/>
  </w:style>
  <w:style w:type="table" w:styleId="895" w:customStyle="1">
    <w:name w:val="Table Grid Light"/>
    <w:basedOn w:val="776"/>
    <w:uiPriority w:val="59"/>
    <w:qFormat/>
    <w:tblPr>
      <w:tblCellMar>
        <w:left w:w="0" w:type="dxa"/>
        <w:top w:w="0" w:type="dxa"/>
        <w:right w:w="0" w:type="dxa"/>
        <w:bottom w:w="0" w:type="dxa"/>
      </w:tblCellMar>
    </w:tblPr>
  </w:style>
  <w:style w:type="table" w:styleId="896" w:customStyle="1">
    <w:name w:val="无格式表格 12"/>
    <w:basedOn w:val="776"/>
    <w:uiPriority w:val="59"/>
    <w:qFormat/>
    <w:tblPr>
      <w:tblCellMar>
        <w:left w:w="0" w:type="dxa"/>
        <w:top w:w="0" w:type="dxa"/>
        <w:right w:w="0" w:type="dxa"/>
        <w:bottom w:w="0" w:type="dxa"/>
      </w:tblCellMar>
    </w:tblPr>
  </w:style>
  <w:style w:type="table" w:styleId="897" w:customStyle="1">
    <w:name w:val="无格式表格 22"/>
    <w:basedOn w:val="776"/>
    <w:uiPriority w:val="59"/>
    <w:qFormat/>
    <w:tblPr>
      <w:tblCellMar>
        <w:left w:w="0" w:type="dxa"/>
        <w:top w:w="0" w:type="dxa"/>
        <w:right w:w="0" w:type="dxa"/>
        <w:bottom w:w="0" w:type="dxa"/>
      </w:tblCellMar>
    </w:tblPr>
  </w:style>
  <w:style w:type="table" w:styleId="898" w:customStyle="1">
    <w:name w:val="无格式表格 32"/>
    <w:basedOn w:val="776"/>
    <w:uiPriority w:val="99"/>
    <w:qFormat/>
    <w:tblPr>
      <w:tblCellMar>
        <w:left w:w="0" w:type="dxa"/>
        <w:top w:w="0" w:type="dxa"/>
        <w:right w:w="0" w:type="dxa"/>
        <w:bottom w:w="0" w:type="dxa"/>
      </w:tblCellMar>
    </w:tblPr>
  </w:style>
  <w:style w:type="table" w:styleId="899" w:customStyle="1">
    <w:name w:val="无格式表格 42"/>
    <w:basedOn w:val="776"/>
    <w:uiPriority w:val="99"/>
    <w:qFormat/>
    <w:tblPr>
      <w:tblCellMar>
        <w:left w:w="0" w:type="dxa"/>
        <w:top w:w="0" w:type="dxa"/>
        <w:right w:w="0" w:type="dxa"/>
        <w:bottom w:w="0" w:type="dxa"/>
      </w:tblCellMar>
    </w:tblPr>
  </w:style>
  <w:style w:type="table" w:styleId="900" w:customStyle="1">
    <w:name w:val="无格式表格 52"/>
    <w:basedOn w:val="776"/>
    <w:uiPriority w:val="99"/>
    <w:qFormat/>
    <w:tblPr>
      <w:tblCellMar>
        <w:left w:w="0" w:type="dxa"/>
        <w:top w:w="0" w:type="dxa"/>
        <w:right w:w="0" w:type="dxa"/>
        <w:bottom w:w="0" w:type="dxa"/>
      </w:tblCellMar>
    </w:tblPr>
  </w:style>
  <w:style w:type="table" w:styleId="901" w:customStyle="1">
    <w:name w:val="网格表 1 浅色2"/>
    <w:basedOn w:val="776"/>
    <w:uiPriority w:val="99"/>
    <w:qFormat/>
    <w:tblPr>
      <w:tblCellMar>
        <w:left w:w="0" w:type="dxa"/>
        <w:top w:w="0" w:type="dxa"/>
        <w:right w:w="0" w:type="dxa"/>
        <w:bottom w:w="0" w:type="dxa"/>
      </w:tblCellMar>
    </w:tblPr>
  </w:style>
  <w:style w:type="table" w:styleId="902" w:customStyle="1">
    <w:name w:val="Grid Table 1 Light - Accent 1"/>
    <w:basedOn w:val="776"/>
    <w:uiPriority w:val="99"/>
    <w:qFormat/>
    <w:tblPr>
      <w:tblCellMar>
        <w:left w:w="0" w:type="dxa"/>
        <w:top w:w="0" w:type="dxa"/>
        <w:right w:w="0" w:type="dxa"/>
        <w:bottom w:w="0" w:type="dxa"/>
      </w:tblCellMar>
    </w:tblPr>
  </w:style>
  <w:style w:type="table" w:styleId="903" w:customStyle="1">
    <w:name w:val="Grid Table 1 Light - Accent 2"/>
    <w:basedOn w:val="776"/>
    <w:uiPriority w:val="99"/>
    <w:qFormat/>
    <w:tblPr>
      <w:tblCellMar>
        <w:left w:w="0" w:type="dxa"/>
        <w:top w:w="0" w:type="dxa"/>
        <w:right w:w="0" w:type="dxa"/>
        <w:bottom w:w="0" w:type="dxa"/>
      </w:tblCellMar>
    </w:tblPr>
  </w:style>
  <w:style w:type="table" w:styleId="904" w:customStyle="1">
    <w:name w:val="Grid Table 1 Light - Accent 3"/>
    <w:basedOn w:val="776"/>
    <w:uiPriority w:val="99"/>
    <w:qFormat/>
    <w:tblPr>
      <w:tblCellMar>
        <w:left w:w="0" w:type="dxa"/>
        <w:top w:w="0" w:type="dxa"/>
        <w:right w:w="0" w:type="dxa"/>
        <w:bottom w:w="0" w:type="dxa"/>
      </w:tblCellMar>
    </w:tblPr>
  </w:style>
  <w:style w:type="table" w:styleId="905" w:customStyle="1">
    <w:name w:val="Grid Table 1 Light - Accent 4"/>
    <w:basedOn w:val="776"/>
    <w:uiPriority w:val="99"/>
    <w:qFormat/>
    <w:tblPr>
      <w:tblCellMar>
        <w:left w:w="0" w:type="dxa"/>
        <w:top w:w="0" w:type="dxa"/>
        <w:right w:w="0" w:type="dxa"/>
        <w:bottom w:w="0" w:type="dxa"/>
      </w:tblCellMar>
    </w:tblPr>
  </w:style>
  <w:style w:type="table" w:styleId="906" w:customStyle="1">
    <w:name w:val="Grid Table 1 Light - Accent 5"/>
    <w:basedOn w:val="776"/>
    <w:uiPriority w:val="99"/>
    <w:qFormat/>
    <w:tblPr>
      <w:tblCellMar>
        <w:left w:w="0" w:type="dxa"/>
        <w:top w:w="0" w:type="dxa"/>
        <w:right w:w="0" w:type="dxa"/>
        <w:bottom w:w="0" w:type="dxa"/>
      </w:tblCellMar>
    </w:tblPr>
  </w:style>
  <w:style w:type="table" w:styleId="907" w:customStyle="1">
    <w:name w:val="Grid Table 1 Light - Accent 6"/>
    <w:basedOn w:val="776"/>
    <w:uiPriority w:val="99"/>
    <w:qFormat/>
    <w:tblPr>
      <w:tblCellMar>
        <w:left w:w="0" w:type="dxa"/>
        <w:top w:w="0" w:type="dxa"/>
        <w:right w:w="0" w:type="dxa"/>
        <w:bottom w:w="0" w:type="dxa"/>
      </w:tblCellMar>
    </w:tblPr>
  </w:style>
  <w:style w:type="table" w:styleId="908" w:customStyle="1">
    <w:name w:val="网格表 22"/>
    <w:basedOn w:val="776"/>
    <w:uiPriority w:val="99"/>
    <w:qFormat/>
    <w:tblPr>
      <w:tblCellMar>
        <w:left w:w="0" w:type="dxa"/>
        <w:top w:w="0" w:type="dxa"/>
        <w:right w:w="0" w:type="dxa"/>
        <w:bottom w:w="0" w:type="dxa"/>
      </w:tblCellMar>
    </w:tblPr>
  </w:style>
  <w:style w:type="table" w:styleId="909" w:customStyle="1">
    <w:name w:val="Grid Table 2 - Accent 1"/>
    <w:basedOn w:val="776"/>
    <w:uiPriority w:val="99"/>
    <w:qFormat/>
    <w:tblPr>
      <w:tblCellMar>
        <w:left w:w="0" w:type="dxa"/>
        <w:top w:w="0" w:type="dxa"/>
        <w:right w:w="0" w:type="dxa"/>
        <w:bottom w:w="0" w:type="dxa"/>
      </w:tblCellMar>
    </w:tblPr>
  </w:style>
  <w:style w:type="table" w:styleId="910" w:customStyle="1">
    <w:name w:val="Grid Table 2 - Accent 2"/>
    <w:basedOn w:val="776"/>
    <w:uiPriority w:val="99"/>
    <w:qFormat/>
    <w:tblPr>
      <w:tblCellMar>
        <w:left w:w="0" w:type="dxa"/>
        <w:top w:w="0" w:type="dxa"/>
        <w:right w:w="0" w:type="dxa"/>
        <w:bottom w:w="0" w:type="dxa"/>
      </w:tblCellMar>
    </w:tblPr>
  </w:style>
  <w:style w:type="table" w:styleId="911" w:customStyle="1">
    <w:name w:val="Grid Table 2 - Accent 3"/>
    <w:basedOn w:val="776"/>
    <w:uiPriority w:val="99"/>
    <w:qFormat/>
    <w:tblPr>
      <w:tblCellMar>
        <w:left w:w="0" w:type="dxa"/>
        <w:top w:w="0" w:type="dxa"/>
        <w:right w:w="0" w:type="dxa"/>
        <w:bottom w:w="0" w:type="dxa"/>
      </w:tblCellMar>
    </w:tblPr>
  </w:style>
  <w:style w:type="table" w:styleId="912" w:customStyle="1">
    <w:name w:val="Grid Table 2 - Accent 4"/>
    <w:basedOn w:val="776"/>
    <w:uiPriority w:val="99"/>
    <w:qFormat/>
    <w:tblPr>
      <w:tblCellMar>
        <w:left w:w="0" w:type="dxa"/>
        <w:top w:w="0" w:type="dxa"/>
        <w:right w:w="0" w:type="dxa"/>
        <w:bottom w:w="0" w:type="dxa"/>
      </w:tblCellMar>
    </w:tblPr>
  </w:style>
  <w:style w:type="table" w:styleId="913" w:customStyle="1">
    <w:name w:val="Grid Table 2 - Accent 5"/>
    <w:basedOn w:val="776"/>
    <w:uiPriority w:val="99"/>
    <w:qFormat/>
    <w:tblPr>
      <w:tblCellMar>
        <w:left w:w="0" w:type="dxa"/>
        <w:top w:w="0" w:type="dxa"/>
        <w:right w:w="0" w:type="dxa"/>
        <w:bottom w:w="0" w:type="dxa"/>
      </w:tblCellMar>
    </w:tblPr>
  </w:style>
  <w:style w:type="table" w:styleId="914" w:customStyle="1">
    <w:name w:val="Grid Table 2 - Accent 6"/>
    <w:basedOn w:val="776"/>
    <w:uiPriority w:val="99"/>
    <w:qFormat/>
    <w:tblPr>
      <w:tblCellMar>
        <w:left w:w="0" w:type="dxa"/>
        <w:top w:w="0" w:type="dxa"/>
        <w:right w:w="0" w:type="dxa"/>
        <w:bottom w:w="0" w:type="dxa"/>
      </w:tblCellMar>
    </w:tblPr>
  </w:style>
  <w:style w:type="table" w:styleId="915" w:customStyle="1">
    <w:name w:val="网格表 32"/>
    <w:basedOn w:val="776"/>
    <w:uiPriority w:val="99"/>
    <w:qFormat/>
    <w:tblPr>
      <w:tblCellMar>
        <w:left w:w="0" w:type="dxa"/>
        <w:top w:w="0" w:type="dxa"/>
        <w:right w:w="0" w:type="dxa"/>
        <w:bottom w:w="0" w:type="dxa"/>
      </w:tblCellMar>
    </w:tblPr>
  </w:style>
  <w:style w:type="table" w:styleId="916" w:customStyle="1">
    <w:name w:val="Grid Table 3 - Accent 1"/>
    <w:basedOn w:val="776"/>
    <w:uiPriority w:val="99"/>
    <w:qFormat/>
    <w:tblPr>
      <w:tblCellMar>
        <w:left w:w="0" w:type="dxa"/>
        <w:top w:w="0" w:type="dxa"/>
        <w:right w:w="0" w:type="dxa"/>
        <w:bottom w:w="0" w:type="dxa"/>
      </w:tblCellMar>
    </w:tblPr>
  </w:style>
  <w:style w:type="table" w:styleId="917" w:customStyle="1">
    <w:name w:val="Grid Table 3 - Accent 2"/>
    <w:basedOn w:val="776"/>
    <w:uiPriority w:val="99"/>
    <w:qFormat/>
    <w:tblPr>
      <w:tblCellMar>
        <w:left w:w="0" w:type="dxa"/>
        <w:top w:w="0" w:type="dxa"/>
        <w:right w:w="0" w:type="dxa"/>
        <w:bottom w:w="0" w:type="dxa"/>
      </w:tblCellMar>
    </w:tblPr>
  </w:style>
  <w:style w:type="table" w:styleId="918" w:customStyle="1">
    <w:name w:val="Grid Table 3 - Accent 3"/>
    <w:basedOn w:val="776"/>
    <w:uiPriority w:val="99"/>
    <w:qFormat/>
    <w:tblPr>
      <w:tblCellMar>
        <w:left w:w="0" w:type="dxa"/>
        <w:top w:w="0" w:type="dxa"/>
        <w:right w:w="0" w:type="dxa"/>
        <w:bottom w:w="0" w:type="dxa"/>
      </w:tblCellMar>
    </w:tblPr>
  </w:style>
  <w:style w:type="table" w:styleId="919" w:customStyle="1">
    <w:name w:val="Grid Table 3 - Accent 4"/>
    <w:basedOn w:val="776"/>
    <w:uiPriority w:val="99"/>
    <w:qFormat/>
    <w:tblPr>
      <w:tblCellMar>
        <w:left w:w="0" w:type="dxa"/>
        <w:top w:w="0" w:type="dxa"/>
        <w:right w:w="0" w:type="dxa"/>
        <w:bottom w:w="0" w:type="dxa"/>
      </w:tblCellMar>
    </w:tblPr>
  </w:style>
  <w:style w:type="table" w:styleId="920" w:customStyle="1">
    <w:name w:val="Grid Table 3 - Accent 5"/>
    <w:basedOn w:val="776"/>
    <w:uiPriority w:val="99"/>
    <w:qFormat/>
    <w:tblPr>
      <w:tblCellMar>
        <w:left w:w="0" w:type="dxa"/>
        <w:top w:w="0" w:type="dxa"/>
        <w:right w:w="0" w:type="dxa"/>
        <w:bottom w:w="0" w:type="dxa"/>
      </w:tblCellMar>
    </w:tblPr>
  </w:style>
  <w:style w:type="table" w:styleId="921" w:customStyle="1">
    <w:name w:val="Grid Table 3 - Accent 6"/>
    <w:basedOn w:val="776"/>
    <w:uiPriority w:val="99"/>
    <w:qFormat/>
    <w:tblPr>
      <w:tblCellMar>
        <w:left w:w="0" w:type="dxa"/>
        <w:top w:w="0" w:type="dxa"/>
        <w:right w:w="0" w:type="dxa"/>
        <w:bottom w:w="0" w:type="dxa"/>
      </w:tblCellMar>
    </w:tblPr>
  </w:style>
  <w:style w:type="table" w:styleId="922" w:customStyle="1">
    <w:name w:val="网格表 42"/>
    <w:basedOn w:val="776"/>
    <w:uiPriority w:val="59"/>
    <w:qFormat/>
    <w:tblPr>
      <w:tblCellMar>
        <w:left w:w="0" w:type="dxa"/>
        <w:top w:w="0" w:type="dxa"/>
        <w:right w:w="0" w:type="dxa"/>
        <w:bottom w:w="0" w:type="dxa"/>
      </w:tblCellMar>
    </w:tblPr>
  </w:style>
  <w:style w:type="table" w:styleId="923" w:customStyle="1">
    <w:name w:val="Grid Table 4 - Accent 1"/>
    <w:basedOn w:val="776"/>
    <w:uiPriority w:val="59"/>
    <w:qFormat/>
    <w:tblPr>
      <w:tblCellMar>
        <w:left w:w="0" w:type="dxa"/>
        <w:top w:w="0" w:type="dxa"/>
        <w:right w:w="0" w:type="dxa"/>
        <w:bottom w:w="0" w:type="dxa"/>
      </w:tblCellMar>
    </w:tblPr>
  </w:style>
  <w:style w:type="table" w:styleId="924" w:customStyle="1">
    <w:name w:val="Grid Table 4 - Accent 2"/>
    <w:basedOn w:val="776"/>
    <w:uiPriority w:val="59"/>
    <w:qFormat/>
    <w:tblPr>
      <w:tblCellMar>
        <w:left w:w="0" w:type="dxa"/>
        <w:top w:w="0" w:type="dxa"/>
        <w:right w:w="0" w:type="dxa"/>
        <w:bottom w:w="0" w:type="dxa"/>
      </w:tblCellMar>
    </w:tblPr>
  </w:style>
  <w:style w:type="table" w:styleId="925" w:customStyle="1">
    <w:name w:val="Grid Table 4 - Accent 3"/>
    <w:basedOn w:val="776"/>
    <w:uiPriority w:val="59"/>
    <w:qFormat/>
    <w:tblPr>
      <w:tblCellMar>
        <w:left w:w="0" w:type="dxa"/>
        <w:top w:w="0" w:type="dxa"/>
        <w:right w:w="0" w:type="dxa"/>
        <w:bottom w:w="0" w:type="dxa"/>
      </w:tblCellMar>
    </w:tblPr>
  </w:style>
  <w:style w:type="table" w:styleId="926" w:customStyle="1">
    <w:name w:val="Grid Table 4 - Accent 4"/>
    <w:basedOn w:val="776"/>
    <w:uiPriority w:val="59"/>
    <w:qFormat/>
    <w:tblPr>
      <w:tblCellMar>
        <w:left w:w="0" w:type="dxa"/>
        <w:top w:w="0" w:type="dxa"/>
        <w:right w:w="0" w:type="dxa"/>
        <w:bottom w:w="0" w:type="dxa"/>
      </w:tblCellMar>
    </w:tblPr>
  </w:style>
  <w:style w:type="table" w:styleId="927" w:customStyle="1">
    <w:name w:val="Grid Table 4 - Accent 5"/>
    <w:basedOn w:val="776"/>
    <w:uiPriority w:val="59"/>
    <w:qFormat/>
    <w:tblPr>
      <w:tblCellMar>
        <w:left w:w="0" w:type="dxa"/>
        <w:top w:w="0" w:type="dxa"/>
        <w:right w:w="0" w:type="dxa"/>
        <w:bottom w:w="0" w:type="dxa"/>
      </w:tblCellMar>
    </w:tblPr>
  </w:style>
  <w:style w:type="table" w:styleId="928" w:customStyle="1">
    <w:name w:val="Grid Table 4 - Accent 6"/>
    <w:basedOn w:val="776"/>
    <w:uiPriority w:val="59"/>
    <w:qFormat/>
    <w:tblPr>
      <w:tblCellMar>
        <w:left w:w="0" w:type="dxa"/>
        <w:top w:w="0" w:type="dxa"/>
        <w:right w:w="0" w:type="dxa"/>
        <w:bottom w:w="0" w:type="dxa"/>
      </w:tblCellMar>
    </w:tblPr>
  </w:style>
  <w:style w:type="table" w:styleId="929" w:customStyle="1">
    <w:name w:val="网格表 5 深色2"/>
    <w:basedOn w:val="776"/>
    <w:uiPriority w:val="99"/>
    <w:qFormat/>
    <w:tblPr>
      <w:tblCellMar>
        <w:left w:w="0" w:type="dxa"/>
        <w:top w:w="0" w:type="dxa"/>
        <w:right w:w="0" w:type="dxa"/>
        <w:bottom w:w="0" w:type="dxa"/>
      </w:tblCellMar>
    </w:tblPr>
  </w:style>
  <w:style w:type="table" w:styleId="930" w:customStyle="1">
    <w:name w:val="Grid Table 5 Dark- Accent 1"/>
    <w:basedOn w:val="776"/>
    <w:uiPriority w:val="99"/>
    <w:qFormat/>
    <w:tblPr>
      <w:tblCellMar>
        <w:left w:w="0" w:type="dxa"/>
        <w:top w:w="0" w:type="dxa"/>
        <w:right w:w="0" w:type="dxa"/>
        <w:bottom w:w="0" w:type="dxa"/>
      </w:tblCellMar>
    </w:tblPr>
  </w:style>
  <w:style w:type="table" w:styleId="931" w:customStyle="1">
    <w:name w:val="Grid Table 5 Dark - Accent 2"/>
    <w:basedOn w:val="776"/>
    <w:uiPriority w:val="99"/>
    <w:qFormat/>
    <w:tblPr>
      <w:tblCellMar>
        <w:left w:w="0" w:type="dxa"/>
        <w:top w:w="0" w:type="dxa"/>
        <w:right w:w="0" w:type="dxa"/>
        <w:bottom w:w="0" w:type="dxa"/>
      </w:tblCellMar>
    </w:tblPr>
  </w:style>
  <w:style w:type="table" w:styleId="932" w:customStyle="1">
    <w:name w:val="Grid Table 5 Dark - Accent 3"/>
    <w:basedOn w:val="776"/>
    <w:uiPriority w:val="99"/>
    <w:qFormat/>
    <w:tblPr>
      <w:tblCellMar>
        <w:left w:w="0" w:type="dxa"/>
        <w:top w:w="0" w:type="dxa"/>
        <w:right w:w="0" w:type="dxa"/>
        <w:bottom w:w="0" w:type="dxa"/>
      </w:tblCellMar>
    </w:tblPr>
  </w:style>
  <w:style w:type="table" w:styleId="933" w:customStyle="1">
    <w:name w:val="Grid Table 5 Dark- Accent 4"/>
    <w:basedOn w:val="776"/>
    <w:uiPriority w:val="99"/>
    <w:qFormat/>
    <w:tblPr>
      <w:tblCellMar>
        <w:left w:w="0" w:type="dxa"/>
        <w:top w:w="0" w:type="dxa"/>
        <w:right w:w="0" w:type="dxa"/>
        <w:bottom w:w="0" w:type="dxa"/>
      </w:tblCellMar>
    </w:tblPr>
  </w:style>
  <w:style w:type="table" w:styleId="934" w:customStyle="1">
    <w:name w:val="Grid Table 5 Dark - Accent 5"/>
    <w:basedOn w:val="776"/>
    <w:uiPriority w:val="99"/>
    <w:qFormat/>
    <w:tblPr>
      <w:tblCellMar>
        <w:left w:w="0" w:type="dxa"/>
        <w:top w:w="0" w:type="dxa"/>
        <w:right w:w="0" w:type="dxa"/>
        <w:bottom w:w="0" w:type="dxa"/>
      </w:tblCellMar>
    </w:tblPr>
  </w:style>
  <w:style w:type="table" w:styleId="935" w:customStyle="1">
    <w:name w:val="Grid Table 5 Dark - Accent 6"/>
    <w:basedOn w:val="776"/>
    <w:uiPriority w:val="99"/>
    <w:qFormat/>
    <w:tblPr>
      <w:tblCellMar>
        <w:left w:w="0" w:type="dxa"/>
        <w:top w:w="0" w:type="dxa"/>
        <w:right w:w="0" w:type="dxa"/>
        <w:bottom w:w="0" w:type="dxa"/>
      </w:tblCellMar>
    </w:tblPr>
  </w:style>
  <w:style w:type="table" w:styleId="936" w:customStyle="1">
    <w:name w:val="网格表 6 彩色2"/>
    <w:basedOn w:val="776"/>
    <w:uiPriority w:val="99"/>
    <w:qFormat/>
    <w:tblPr>
      <w:tblCellMar>
        <w:left w:w="0" w:type="dxa"/>
        <w:top w:w="0" w:type="dxa"/>
        <w:right w:w="0" w:type="dxa"/>
        <w:bottom w:w="0" w:type="dxa"/>
      </w:tblCellMar>
    </w:tblPr>
  </w:style>
  <w:style w:type="table" w:styleId="937" w:customStyle="1">
    <w:name w:val="Grid Table 6 Colorful - Accent 1"/>
    <w:basedOn w:val="776"/>
    <w:uiPriority w:val="99"/>
    <w:qFormat/>
    <w:tblPr>
      <w:tblCellMar>
        <w:left w:w="0" w:type="dxa"/>
        <w:top w:w="0" w:type="dxa"/>
        <w:right w:w="0" w:type="dxa"/>
        <w:bottom w:w="0" w:type="dxa"/>
      </w:tblCellMar>
    </w:tblPr>
  </w:style>
  <w:style w:type="table" w:styleId="938" w:customStyle="1">
    <w:name w:val="Grid Table 6 Colorful - Accent 2"/>
    <w:basedOn w:val="776"/>
    <w:uiPriority w:val="99"/>
    <w:qFormat/>
    <w:tblPr>
      <w:tblCellMar>
        <w:left w:w="0" w:type="dxa"/>
        <w:top w:w="0" w:type="dxa"/>
        <w:right w:w="0" w:type="dxa"/>
        <w:bottom w:w="0" w:type="dxa"/>
      </w:tblCellMar>
    </w:tblPr>
  </w:style>
  <w:style w:type="table" w:styleId="939" w:customStyle="1">
    <w:name w:val="Grid Table 6 Colorful - Accent 3"/>
    <w:basedOn w:val="776"/>
    <w:uiPriority w:val="99"/>
    <w:qFormat/>
    <w:tblPr>
      <w:tblCellMar>
        <w:left w:w="0" w:type="dxa"/>
        <w:top w:w="0" w:type="dxa"/>
        <w:right w:w="0" w:type="dxa"/>
        <w:bottom w:w="0" w:type="dxa"/>
      </w:tblCellMar>
    </w:tblPr>
  </w:style>
  <w:style w:type="table" w:styleId="940" w:customStyle="1">
    <w:name w:val="Grid Table 6 Colorful - Accent 4"/>
    <w:basedOn w:val="776"/>
    <w:uiPriority w:val="99"/>
    <w:qFormat/>
    <w:tblPr>
      <w:tblCellMar>
        <w:left w:w="0" w:type="dxa"/>
        <w:top w:w="0" w:type="dxa"/>
        <w:right w:w="0" w:type="dxa"/>
        <w:bottom w:w="0" w:type="dxa"/>
      </w:tblCellMar>
    </w:tblPr>
  </w:style>
  <w:style w:type="table" w:styleId="941" w:customStyle="1">
    <w:name w:val="Grid Table 6 Colorful - Accent 5"/>
    <w:basedOn w:val="776"/>
    <w:uiPriority w:val="99"/>
    <w:qFormat/>
    <w:tblPr>
      <w:tblCellMar>
        <w:left w:w="0" w:type="dxa"/>
        <w:top w:w="0" w:type="dxa"/>
        <w:right w:w="0" w:type="dxa"/>
        <w:bottom w:w="0" w:type="dxa"/>
      </w:tblCellMar>
    </w:tblPr>
  </w:style>
  <w:style w:type="table" w:styleId="942" w:customStyle="1">
    <w:name w:val="Grid Table 6 Colorful - Accent 6"/>
    <w:basedOn w:val="776"/>
    <w:uiPriority w:val="99"/>
    <w:qFormat/>
    <w:tblPr>
      <w:tblCellMar>
        <w:left w:w="0" w:type="dxa"/>
        <w:top w:w="0" w:type="dxa"/>
        <w:right w:w="0" w:type="dxa"/>
        <w:bottom w:w="0" w:type="dxa"/>
      </w:tblCellMar>
    </w:tblPr>
  </w:style>
  <w:style w:type="table" w:styleId="943" w:customStyle="1">
    <w:name w:val="网格表 7 彩色2"/>
    <w:basedOn w:val="776"/>
    <w:uiPriority w:val="99"/>
    <w:qFormat/>
    <w:tblPr>
      <w:tblCellMar>
        <w:left w:w="0" w:type="dxa"/>
        <w:top w:w="0" w:type="dxa"/>
        <w:right w:w="0" w:type="dxa"/>
        <w:bottom w:w="0" w:type="dxa"/>
      </w:tblCellMar>
    </w:tblPr>
  </w:style>
  <w:style w:type="table" w:styleId="944" w:customStyle="1">
    <w:name w:val="Grid Table 7 Colorful - Accent 1"/>
    <w:basedOn w:val="776"/>
    <w:uiPriority w:val="99"/>
    <w:qFormat/>
    <w:tblPr>
      <w:tblCellMar>
        <w:left w:w="0" w:type="dxa"/>
        <w:top w:w="0" w:type="dxa"/>
        <w:right w:w="0" w:type="dxa"/>
        <w:bottom w:w="0" w:type="dxa"/>
      </w:tblCellMar>
    </w:tblPr>
  </w:style>
  <w:style w:type="table" w:styleId="945" w:customStyle="1">
    <w:name w:val="Grid Table 7 Colorful - Accent 2"/>
    <w:basedOn w:val="776"/>
    <w:uiPriority w:val="99"/>
    <w:qFormat/>
    <w:tblPr>
      <w:tblCellMar>
        <w:left w:w="0" w:type="dxa"/>
        <w:top w:w="0" w:type="dxa"/>
        <w:right w:w="0" w:type="dxa"/>
        <w:bottom w:w="0" w:type="dxa"/>
      </w:tblCellMar>
    </w:tblPr>
  </w:style>
  <w:style w:type="table" w:styleId="946" w:customStyle="1">
    <w:name w:val="Grid Table 7 Colorful - Accent 3"/>
    <w:basedOn w:val="776"/>
    <w:uiPriority w:val="99"/>
    <w:qFormat/>
    <w:tblPr>
      <w:tblCellMar>
        <w:left w:w="0" w:type="dxa"/>
        <w:top w:w="0" w:type="dxa"/>
        <w:right w:w="0" w:type="dxa"/>
        <w:bottom w:w="0" w:type="dxa"/>
      </w:tblCellMar>
    </w:tblPr>
  </w:style>
  <w:style w:type="table" w:styleId="947" w:customStyle="1">
    <w:name w:val="Grid Table 7 Colorful - Accent 4"/>
    <w:basedOn w:val="776"/>
    <w:uiPriority w:val="99"/>
    <w:qFormat/>
    <w:tblPr>
      <w:tblCellMar>
        <w:left w:w="0" w:type="dxa"/>
        <w:top w:w="0" w:type="dxa"/>
        <w:right w:w="0" w:type="dxa"/>
        <w:bottom w:w="0" w:type="dxa"/>
      </w:tblCellMar>
    </w:tblPr>
  </w:style>
  <w:style w:type="table" w:styleId="948" w:customStyle="1">
    <w:name w:val="Grid Table 7 Colorful - Accent 5"/>
    <w:basedOn w:val="776"/>
    <w:uiPriority w:val="99"/>
    <w:qFormat/>
    <w:tblPr>
      <w:tblCellMar>
        <w:left w:w="0" w:type="dxa"/>
        <w:top w:w="0" w:type="dxa"/>
        <w:right w:w="0" w:type="dxa"/>
        <w:bottom w:w="0" w:type="dxa"/>
      </w:tblCellMar>
    </w:tblPr>
  </w:style>
  <w:style w:type="table" w:styleId="949" w:customStyle="1">
    <w:name w:val="Grid Table 7 Colorful - Accent 6"/>
    <w:basedOn w:val="776"/>
    <w:uiPriority w:val="99"/>
    <w:qFormat/>
    <w:tblPr>
      <w:tblCellMar>
        <w:left w:w="0" w:type="dxa"/>
        <w:top w:w="0" w:type="dxa"/>
        <w:right w:w="0" w:type="dxa"/>
        <w:bottom w:w="0" w:type="dxa"/>
      </w:tblCellMar>
    </w:tblPr>
  </w:style>
  <w:style w:type="table" w:styleId="950" w:customStyle="1">
    <w:name w:val="清单表 1 浅色2"/>
    <w:basedOn w:val="776"/>
    <w:uiPriority w:val="99"/>
    <w:qFormat/>
    <w:tblPr>
      <w:tblCellMar>
        <w:left w:w="0" w:type="dxa"/>
        <w:top w:w="0" w:type="dxa"/>
        <w:right w:w="0" w:type="dxa"/>
        <w:bottom w:w="0" w:type="dxa"/>
      </w:tblCellMar>
    </w:tblPr>
  </w:style>
  <w:style w:type="table" w:styleId="951" w:customStyle="1">
    <w:name w:val="List Table 1 Light - Accent 1"/>
    <w:basedOn w:val="776"/>
    <w:uiPriority w:val="99"/>
    <w:qFormat/>
    <w:tblPr>
      <w:tblCellMar>
        <w:left w:w="0" w:type="dxa"/>
        <w:top w:w="0" w:type="dxa"/>
        <w:right w:w="0" w:type="dxa"/>
        <w:bottom w:w="0" w:type="dxa"/>
      </w:tblCellMar>
    </w:tblPr>
  </w:style>
  <w:style w:type="table" w:styleId="952" w:customStyle="1">
    <w:name w:val="List Table 1 Light - Accent 2"/>
    <w:basedOn w:val="776"/>
    <w:uiPriority w:val="99"/>
    <w:qFormat/>
    <w:tblPr>
      <w:tblCellMar>
        <w:left w:w="0" w:type="dxa"/>
        <w:top w:w="0" w:type="dxa"/>
        <w:right w:w="0" w:type="dxa"/>
        <w:bottom w:w="0" w:type="dxa"/>
      </w:tblCellMar>
    </w:tblPr>
  </w:style>
  <w:style w:type="table" w:styleId="953" w:customStyle="1">
    <w:name w:val="List Table 1 Light - Accent 3"/>
    <w:basedOn w:val="776"/>
    <w:uiPriority w:val="99"/>
    <w:qFormat/>
    <w:tblPr>
      <w:tblCellMar>
        <w:left w:w="0" w:type="dxa"/>
        <w:top w:w="0" w:type="dxa"/>
        <w:right w:w="0" w:type="dxa"/>
        <w:bottom w:w="0" w:type="dxa"/>
      </w:tblCellMar>
    </w:tblPr>
  </w:style>
  <w:style w:type="table" w:styleId="954" w:customStyle="1">
    <w:name w:val="List Table 1 Light - Accent 4"/>
    <w:basedOn w:val="776"/>
    <w:uiPriority w:val="99"/>
    <w:qFormat/>
    <w:tblPr>
      <w:tblCellMar>
        <w:left w:w="0" w:type="dxa"/>
        <w:top w:w="0" w:type="dxa"/>
        <w:right w:w="0" w:type="dxa"/>
        <w:bottom w:w="0" w:type="dxa"/>
      </w:tblCellMar>
    </w:tblPr>
  </w:style>
  <w:style w:type="table" w:styleId="955" w:customStyle="1">
    <w:name w:val="List Table 1 Light - Accent 5"/>
    <w:basedOn w:val="776"/>
    <w:uiPriority w:val="99"/>
    <w:qFormat/>
    <w:tblPr>
      <w:tblCellMar>
        <w:left w:w="0" w:type="dxa"/>
        <w:top w:w="0" w:type="dxa"/>
        <w:right w:w="0" w:type="dxa"/>
        <w:bottom w:w="0" w:type="dxa"/>
      </w:tblCellMar>
    </w:tblPr>
  </w:style>
  <w:style w:type="table" w:styleId="956" w:customStyle="1">
    <w:name w:val="List Table 1 Light - Accent 6"/>
    <w:basedOn w:val="776"/>
    <w:uiPriority w:val="99"/>
    <w:qFormat/>
    <w:tblPr>
      <w:tblCellMar>
        <w:left w:w="0" w:type="dxa"/>
        <w:top w:w="0" w:type="dxa"/>
        <w:right w:w="0" w:type="dxa"/>
        <w:bottom w:w="0" w:type="dxa"/>
      </w:tblCellMar>
    </w:tblPr>
  </w:style>
  <w:style w:type="table" w:styleId="957" w:customStyle="1">
    <w:name w:val="清单表 22"/>
    <w:basedOn w:val="776"/>
    <w:uiPriority w:val="99"/>
    <w:qFormat/>
    <w:tblPr>
      <w:tblCellMar>
        <w:left w:w="0" w:type="dxa"/>
        <w:top w:w="0" w:type="dxa"/>
        <w:right w:w="0" w:type="dxa"/>
        <w:bottom w:w="0" w:type="dxa"/>
      </w:tblCellMar>
    </w:tblPr>
  </w:style>
  <w:style w:type="table" w:styleId="958" w:customStyle="1">
    <w:name w:val="List Table 2 - Accent 1"/>
    <w:basedOn w:val="776"/>
    <w:uiPriority w:val="99"/>
    <w:qFormat/>
    <w:tblPr>
      <w:tblCellMar>
        <w:left w:w="0" w:type="dxa"/>
        <w:top w:w="0" w:type="dxa"/>
        <w:right w:w="0" w:type="dxa"/>
        <w:bottom w:w="0" w:type="dxa"/>
      </w:tblCellMar>
    </w:tblPr>
  </w:style>
  <w:style w:type="table" w:styleId="959" w:customStyle="1">
    <w:name w:val="List Table 2 - Accent 2"/>
    <w:basedOn w:val="776"/>
    <w:uiPriority w:val="99"/>
    <w:qFormat/>
    <w:tblPr>
      <w:tblCellMar>
        <w:left w:w="0" w:type="dxa"/>
        <w:top w:w="0" w:type="dxa"/>
        <w:right w:w="0" w:type="dxa"/>
        <w:bottom w:w="0" w:type="dxa"/>
      </w:tblCellMar>
    </w:tblPr>
  </w:style>
  <w:style w:type="table" w:styleId="960" w:customStyle="1">
    <w:name w:val="List Table 2 - Accent 3"/>
    <w:basedOn w:val="776"/>
    <w:uiPriority w:val="99"/>
    <w:qFormat/>
    <w:tblPr>
      <w:tblCellMar>
        <w:left w:w="0" w:type="dxa"/>
        <w:top w:w="0" w:type="dxa"/>
        <w:right w:w="0" w:type="dxa"/>
        <w:bottom w:w="0" w:type="dxa"/>
      </w:tblCellMar>
    </w:tblPr>
  </w:style>
  <w:style w:type="table" w:styleId="961" w:customStyle="1">
    <w:name w:val="List Table 2 - Accent 4"/>
    <w:basedOn w:val="776"/>
    <w:uiPriority w:val="99"/>
    <w:qFormat/>
    <w:tblPr>
      <w:tblCellMar>
        <w:left w:w="0" w:type="dxa"/>
        <w:top w:w="0" w:type="dxa"/>
        <w:right w:w="0" w:type="dxa"/>
        <w:bottom w:w="0" w:type="dxa"/>
      </w:tblCellMar>
    </w:tblPr>
  </w:style>
  <w:style w:type="table" w:styleId="962" w:customStyle="1">
    <w:name w:val="List Table 2 - Accent 5"/>
    <w:basedOn w:val="776"/>
    <w:uiPriority w:val="99"/>
    <w:qFormat/>
    <w:tblPr>
      <w:tblCellMar>
        <w:left w:w="0" w:type="dxa"/>
        <w:top w:w="0" w:type="dxa"/>
        <w:right w:w="0" w:type="dxa"/>
        <w:bottom w:w="0" w:type="dxa"/>
      </w:tblCellMar>
    </w:tblPr>
  </w:style>
  <w:style w:type="table" w:styleId="963" w:customStyle="1">
    <w:name w:val="List Table 2 - Accent 6"/>
    <w:basedOn w:val="776"/>
    <w:uiPriority w:val="99"/>
    <w:qFormat/>
    <w:tblPr>
      <w:tblCellMar>
        <w:left w:w="0" w:type="dxa"/>
        <w:top w:w="0" w:type="dxa"/>
        <w:right w:w="0" w:type="dxa"/>
        <w:bottom w:w="0" w:type="dxa"/>
      </w:tblCellMar>
    </w:tblPr>
  </w:style>
  <w:style w:type="table" w:styleId="964" w:customStyle="1">
    <w:name w:val="清单表 32"/>
    <w:basedOn w:val="776"/>
    <w:uiPriority w:val="99"/>
    <w:qFormat/>
    <w:tblPr>
      <w:tblCellMar>
        <w:left w:w="0" w:type="dxa"/>
        <w:top w:w="0" w:type="dxa"/>
        <w:right w:w="0" w:type="dxa"/>
        <w:bottom w:w="0" w:type="dxa"/>
      </w:tblCellMar>
    </w:tblPr>
  </w:style>
  <w:style w:type="table" w:styleId="965" w:customStyle="1">
    <w:name w:val="List Table 3 - Accent 1"/>
    <w:basedOn w:val="776"/>
    <w:uiPriority w:val="99"/>
    <w:qFormat/>
    <w:tblPr>
      <w:tblCellMar>
        <w:left w:w="0" w:type="dxa"/>
        <w:top w:w="0" w:type="dxa"/>
        <w:right w:w="0" w:type="dxa"/>
        <w:bottom w:w="0" w:type="dxa"/>
      </w:tblCellMar>
    </w:tblPr>
  </w:style>
  <w:style w:type="table" w:styleId="966" w:customStyle="1">
    <w:name w:val="List Table 3 - Accent 2"/>
    <w:basedOn w:val="776"/>
    <w:uiPriority w:val="99"/>
    <w:qFormat/>
    <w:tblPr>
      <w:tblCellMar>
        <w:left w:w="0" w:type="dxa"/>
        <w:top w:w="0" w:type="dxa"/>
        <w:right w:w="0" w:type="dxa"/>
        <w:bottom w:w="0" w:type="dxa"/>
      </w:tblCellMar>
    </w:tblPr>
  </w:style>
  <w:style w:type="table" w:styleId="967" w:customStyle="1">
    <w:name w:val="List Table 3 - Accent 3"/>
    <w:basedOn w:val="776"/>
    <w:uiPriority w:val="99"/>
    <w:qFormat/>
    <w:tblPr>
      <w:tblCellMar>
        <w:left w:w="0" w:type="dxa"/>
        <w:top w:w="0" w:type="dxa"/>
        <w:right w:w="0" w:type="dxa"/>
        <w:bottom w:w="0" w:type="dxa"/>
      </w:tblCellMar>
    </w:tblPr>
  </w:style>
  <w:style w:type="table" w:styleId="968" w:customStyle="1">
    <w:name w:val="List Table 3 - Accent 4"/>
    <w:basedOn w:val="776"/>
    <w:uiPriority w:val="99"/>
    <w:qFormat/>
    <w:tblPr>
      <w:tblCellMar>
        <w:left w:w="0" w:type="dxa"/>
        <w:top w:w="0" w:type="dxa"/>
        <w:right w:w="0" w:type="dxa"/>
        <w:bottom w:w="0" w:type="dxa"/>
      </w:tblCellMar>
    </w:tblPr>
  </w:style>
  <w:style w:type="table" w:styleId="969" w:customStyle="1">
    <w:name w:val="List Table 3 - Accent 5"/>
    <w:basedOn w:val="776"/>
    <w:uiPriority w:val="99"/>
    <w:qFormat/>
    <w:tblPr>
      <w:tblCellMar>
        <w:left w:w="0" w:type="dxa"/>
        <w:top w:w="0" w:type="dxa"/>
        <w:right w:w="0" w:type="dxa"/>
        <w:bottom w:w="0" w:type="dxa"/>
      </w:tblCellMar>
    </w:tblPr>
  </w:style>
  <w:style w:type="table" w:styleId="970" w:customStyle="1">
    <w:name w:val="List Table 3 - Accent 6"/>
    <w:basedOn w:val="776"/>
    <w:uiPriority w:val="99"/>
    <w:qFormat/>
    <w:tblPr>
      <w:tblCellMar>
        <w:left w:w="0" w:type="dxa"/>
        <w:top w:w="0" w:type="dxa"/>
        <w:right w:w="0" w:type="dxa"/>
        <w:bottom w:w="0" w:type="dxa"/>
      </w:tblCellMar>
    </w:tblPr>
  </w:style>
  <w:style w:type="table" w:styleId="971" w:customStyle="1">
    <w:name w:val="清单表 42"/>
    <w:basedOn w:val="776"/>
    <w:uiPriority w:val="99"/>
    <w:qFormat/>
    <w:tblPr>
      <w:tblCellMar>
        <w:left w:w="0" w:type="dxa"/>
        <w:top w:w="0" w:type="dxa"/>
        <w:right w:w="0" w:type="dxa"/>
        <w:bottom w:w="0" w:type="dxa"/>
      </w:tblCellMar>
    </w:tblPr>
  </w:style>
  <w:style w:type="table" w:styleId="972" w:customStyle="1">
    <w:name w:val="List Table 4 - Accent 1"/>
    <w:basedOn w:val="776"/>
    <w:uiPriority w:val="99"/>
    <w:qFormat/>
    <w:tblPr>
      <w:tblCellMar>
        <w:left w:w="0" w:type="dxa"/>
        <w:top w:w="0" w:type="dxa"/>
        <w:right w:w="0" w:type="dxa"/>
        <w:bottom w:w="0" w:type="dxa"/>
      </w:tblCellMar>
    </w:tblPr>
  </w:style>
  <w:style w:type="table" w:styleId="973" w:customStyle="1">
    <w:name w:val="List Table 4 - Accent 2"/>
    <w:basedOn w:val="776"/>
    <w:uiPriority w:val="99"/>
    <w:qFormat/>
    <w:tblPr>
      <w:tblCellMar>
        <w:left w:w="0" w:type="dxa"/>
        <w:top w:w="0" w:type="dxa"/>
        <w:right w:w="0" w:type="dxa"/>
        <w:bottom w:w="0" w:type="dxa"/>
      </w:tblCellMar>
    </w:tblPr>
  </w:style>
  <w:style w:type="table" w:styleId="974" w:customStyle="1">
    <w:name w:val="List Table 4 - Accent 3"/>
    <w:basedOn w:val="776"/>
    <w:uiPriority w:val="99"/>
    <w:qFormat/>
    <w:tblPr>
      <w:tblCellMar>
        <w:left w:w="0" w:type="dxa"/>
        <w:top w:w="0" w:type="dxa"/>
        <w:right w:w="0" w:type="dxa"/>
        <w:bottom w:w="0" w:type="dxa"/>
      </w:tblCellMar>
    </w:tblPr>
  </w:style>
  <w:style w:type="table" w:styleId="975" w:customStyle="1">
    <w:name w:val="List Table 4 - Accent 4"/>
    <w:basedOn w:val="776"/>
    <w:uiPriority w:val="99"/>
    <w:qFormat/>
    <w:tblPr>
      <w:tblCellMar>
        <w:left w:w="0" w:type="dxa"/>
        <w:top w:w="0" w:type="dxa"/>
        <w:right w:w="0" w:type="dxa"/>
        <w:bottom w:w="0" w:type="dxa"/>
      </w:tblCellMar>
    </w:tblPr>
  </w:style>
  <w:style w:type="table" w:styleId="976" w:customStyle="1">
    <w:name w:val="List Table 4 - Accent 5"/>
    <w:basedOn w:val="776"/>
    <w:uiPriority w:val="99"/>
    <w:qFormat/>
    <w:tblPr>
      <w:tblCellMar>
        <w:left w:w="0" w:type="dxa"/>
        <w:top w:w="0" w:type="dxa"/>
        <w:right w:w="0" w:type="dxa"/>
        <w:bottom w:w="0" w:type="dxa"/>
      </w:tblCellMar>
    </w:tblPr>
  </w:style>
  <w:style w:type="table" w:styleId="977" w:customStyle="1">
    <w:name w:val="List Table 4 - Accent 6"/>
    <w:basedOn w:val="776"/>
    <w:uiPriority w:val="99"/>
    <w:qFormat/>
    <w:tblPr>
      <w:tblCellMar>
        <w:left w:w="0" w:type="dxa"/>
        <w:top w:w="0" w:type="dxa"/>
        <w:right w:w="0" w:type="dxa"/>
        <w:bottom w:w="0" w:type="dxa"/>
      </w:tblCellMar>
    </w:tblPr>
  </w:style>
  <w:style w:type="table" w:styleId="978" w:customStyle="1">
    <w:name w:val="清单表 5 深色2"/>
    <w:basedOn w:val="776"/>
    <w:uiPriority w:val="99"/>
    <w:qFormat/>
    <w:tblPr>
      <w:tblCellMar>
        <w:left w:w="0" w:type="dxa"/>
        <w:top w:w="0" w:type="dxa"/>
        <w:right w:w="0" w:type="dxa"/>
        <w:bottom w:w="0" w:type="dxa"/>
      </w:tblCellMar>
    </w:tblPr>
  </w:style>
  <w:style w:type="table" w:styleId="979" w:customStyle="1">
    <w:name w:val="List Table 5 Dark - Accent 1"/>
    <w:basedOn w:val="776"/>
    <w:uiPriority w:val="99"/>
    <w:qFormat/>
    <w:tblPr>
      <w:tblCellMar>
        <w:left w:w="0" w:type="dxa"/>
        <w:top w:w="0" w:type="dxa"/>
        <w:right w:w="0" w:type="dxa"/>
        <w:bottom w:w="0" w:type="dxa"/>
      </w:tblCellMar>
    </w:tblPr>
  </w:style>
  <w:style w:type="table" w:styleId="980" w:customStyle="1">
    <w:name w:val="List Table 5 Dark - Accent 2"/>
    <w:basedOn w:val="776"/>
    <w:uiPriority w:val="99"/>
    <w:qFormat/>
    <w:tblPr>
      <w:tblCellMar>
        <w:left w:w="0" w:type="dxa"/>
        <w:top w:w="0" w:type="dxa"/>
        <w:right w:w="0" w:type="dxa"/>
        <w:bottom w:w="0" w:type="dxa"/>
      </w:tblCellMar>
    </w:tblPr>
  </w:style>
  <w:style w:type="table" w:styleId="981" w:customStyle="1">
    <w:name w:val="List Table 5 Dark - Accent 3"/>
    <w:basedOn w:val="776"/>
    <w:uiPriority w:val="99"/>
    <w:qFormat/>
    <w:tblPr>
      <w:tblCellMar>
        <w:left w:w="0" w:type="dxa"/>
        <w:top w:w="0" w:type="dxa"/>
        <w:right w:w="0" w:type="dxa"/>
        <w:bottom w:w="0" w:type="dxa"/>
      </w:tblCellMar>
    </w:tblPr>
  </w:style>
  <w:style w:type="table" w:styleId="982" w:customStyle="1">
    <w:name w:val="List Table 5 Dark - Accent 4"/>
    <w:basedOn w:val="776"/>
    <w:uiPriority w:val="99"/>
    <w:qFormat/>
    <w:tblPr>
      <w:tblCellMar>
        <w:left w:w="0" w:type="dxa"/>
        <w:top w:w="0" w:type="dxa"/>
        <w:right w:w="0" w:type="dxa"/>
        <w:bottom w:w="0" w:type="dxa"/>
      </w:tblCellMar>
    </w:tblPr>
  </w:style>
  <w:style w:type="table" w:styleId="983" w:customStyle="1">
    <w:name w:val="List Table 5 Dark - Accent 5"/>
    <w:basedOn w:val="776"/>
    <w:uiPriority w:val="99"/>
    <w:qFormat/>
    <w:tblPr>
      <w:tblCellMar>
        <w:left w:w="0" w:type="dxa"/>
        <w:top w:w="0" w:type="dxa"/>
        <w:right w:w="0" w:type="dxa"/>
        <w:bottom w:w="0" w:type="dxa"/>
      </w:tblCellMar>
    </w:tblPr>
  </w:style>
  <w:style w:type="table" w:styleId="984" w:customStyle="1">
    <w:name w:val="List Table 5 Dark - Accent 6"/>
    <w:basedOn w:val="776"/>
    <w:uiPriority w:val="99"/>
    <w:qFormat/>
    <w:tblPr>
      <w:tblCellMar>
        <w:left w:w="0" w:type="dxa"/>
        <w:top w:w="0" w:type="dxa"/>
        <w:right w:w="0" w:type="dxa"/>
        <w:bottom w:w="0" w:type="dxa"/>
      </w:tblCellMar>
    </w:tblPr>
  </w:style>
  <w:style w:type="table" w:styleId="985" w:customStyle="1">
    <w:name w:val="清单表 6 彩色2"/>
    <w:basedOn w:val="776"/>
    <w:uiPriority w:val="99"/>
    <w:qFormat/>
    <w:tblPr>
      <w:tblCellMar>
        <w:left w:w="0" w:type="dxa"/>
        <w:top w:w="0" w:type="dxa"/>
        <w:right w:w="0" w:type="dxa"/>
        <w:bottom w:w="0" w:type="dxa"/>
      </w:tblCellMar>
    </w:tblPr>
  </w:style>
  <w:style w:type="table" w:styleId="986" w:customStyle="1">
    <w:name w:val="List Table 6 Colorful - Accent 1"/>
    <w:basedOn w:val="776"/>
    <w:uiPriority w:val="99"/>
    <w:qFormat/>
    <w:tblPr>
      <w:tblCellMar>
        <w:left w:w="0" w:type="dxa"/>
        <w:top w:w="0" w:type="dxa"/>
        <w:right w:w="0" w:type="dxa"/>
        <w:bottom w:w="0" w:type="dxa"/>
      </w:tblCellMar>
    </w:tblPr>
  </w:style>
  <w:style w:type="table" w:styleId="987" w:customStyle="1">
    <w:name w:val="List Table 6 Colorful - Accent 2"/>
    <w:basedOn w:val="776"/>
    <w:uiPriority w:val="99"/>
    <w:qFormat/>
    <w:tblPr>
      <w:tblCellMar>
        <w:left w:w="0" w:type="dxa"/>
        <w:top w:w="0" w:type="dxa"/>
        <w:right w:w="0" w:type="dxa"/>
        <w:bottom w:w="0" w:type="dxa"/>
      </w:tblCellMar>
    </w:tblPr>
  </w:style>
  <w:style w:type="table" w:styleId="988" w:customStyle="1">
    <w:name w:val="List Table 6 Colorful - Accent 3"/>
    <w:basedOn w:val="776"/>
    <w:uiPriority w:val="99"/>
    <w:qFormat/>
    <w:tblPr>
      <w:tblCellMar>
        <w:left w:w="0" w:type="dxa"/>
        <w:top w:w="0" w:type="dxa"/>
        <w:right w:w="0" w:type="dxa"/>
        <w:bottom w:w="0" w:type="dxa"/>
      </w:tblCellMar>
    </w:tblPr>
  </w:style>
  <w:style w:type="table" w:styleId="989" w:customStyle="1">
    <w:name w:val="List Table 6 Colorful - Accent 4"/>
    <w:basedOn w:val="776"/>
    <w:uiPriority w:val="99"/>
    <w:qFormat/>
    <w:tblPr>
      <w:tblCellMar>
        <w:left w:w="0" w:type="dxa"/>
        <w:top w:w="0" w:type="dxa"/>
        <w:right w:w="0" w:type="dxa"/>
        <w:bottom w:w="0" w:type="dxa"/>
      </w:tblCellMar>
    </w:tblPr>
  </w:style>
  <w:style w:type="table" w:styleId="990" w:customStyle="1">
    <w:name w:val="List Table 6 Colorful - Accent 5"/>
    <w:basedOn w:val="776"/>
    <w:uiPriority w:val="99"/>
    <w:qFormat/>
    <w:tblPr>
      <w:tblCellMar>
        <w:left w:w="0" w:type="dxa"/>
        <w:top w:w="0" w:type="dxa"/>
        <w:right w:w="0" w:type="dxa"/>
        <w:bottom w:w="0" w:type="dxa"/>
      </w:tblCellMar>
    </w:tblPr>
  </w:style>
  <w:style w:type="table" w:styleId="991" w:customStyle="1">
    <w:name w:val="List Table 6 Colorful - Accent 6"/>
    <w:basedOn w:val="776"/>
    <w:uiPriority w:val="99"/>
    <w:qFormat/>
    <w:tblPr>
      <w:tblCellMar>
        <w:left w:w="0" w:type="dxa"/>
        <w:top w:w="0" w:type="dxa"/>
        <w:right w:w="0" w:type="dxa"/>
        <w:bottom w:w="0" w:type="dxa"/>
      </w:tblCellMar>
    </w:tblPr>
  </w:style>
  <w:style w:type="table" w:styleId="992" w:customStyle="1">
    <w:name w:val="清单表 7 彩色2"/>
    <w:basedOn w:val="776"/>
    <w:uiPriority w:val="99"/>
    <w:qFormat/>
    <w:tblPr>
      <w:tblCellMar>
        <w:left w:w="0" w:type="dxa"/>
        <w:top w:w="0" w:type="dxa"/>
        <w:right w:w="0" w:type="dxa"/>
        <w:bottom w:w="0" w:type="dxa"/>
      </w:tblCellMar>
    </w:tblPr>
  </w:style>
  <w:style w:type="table" w:styleId="993" w:customStyle="1">
    <w:name w:val="List Table 7 Colorful - Accent 1"/>
    <w:basedOn w:val="776"/>
    <w:uiPriority w:val="99"/>
    <w:qFormat/>
    <w:tblPr>
      <w:tblCellMar>
        <w:left w:w="0" w:type="dxa"/>
        <w:top w:w="0" w:type="dxa"/>
        <w:right w:w="0" w:type="dxa"/>
        <w:bottom w:w="0" w:type="dxa"/>
      </w:tblCellMar>
    </w:tblPr>
  </w:style>
  <w:style w:type="table" w:styleId="994" w:customStyle="1">
    <w:name w:val="List Table 7 Colorful - Accent 2"/>
    <w:basedOn w:val="776"/>
    <w:uiPriority w:val="99"/>
    <w:qFormat/>
    <w:tblPr>
      <w:tblCellMar>
        <w:left w:w="0" w:type="dxa"/>
        <w:top w:w="0" w:type="dxa"/>
        <w:right w:w="0" w:type="dxa"/>
        <w:bottom w:w="0" w:type="dxa"/>
      </w:tblCellMar>
    </w:tblPr>
  </w:style>
  <w:style w:type="table" w:styleId="995" w:customStyle="1">
    <w:name w:val="List Table 7 Colorful - Accent 3"/>
    <w:basedOn w:val="776"/>
    <w:uiPriority w:val="99"/>
    <w:qFormat/>
    <w:tblPr>
      <w:tblCellMar>
        <w:left w:w="0" w:type="dxa"/>
        <w:top w:w="0" w:type="dxa"/>
        <w:right w:w="0" w:type="dxa"/>
        <w:bottom w:w="0" w:type="dxa"/>
      </w:tblCellMar>
    </w:tblPr>
  </w:style>
  <w:style w:type="table" w:styleId="996" w:customStyle="1">
    <w:name w:val="List Table 7 Colorful - Accent 4"/>
    <w:basedOn w:val="776"/>
    <w:uiPriority w:val="99"/>
    <w:qFormat/>
    <w:tblPr>
      <w:tblCellMar>
        <w:left w:w="0" w:type="dxa"/>
        <w:top w:w="0" w:type="dxa"/>
        <w:right w:w="0" w:type="dxa"/>
        <w:bottom w:w="0" w:type="dxa"/>
      </w:tblCellMar>
    </w:tblPr>
  </w:style>
  <w:style w:type="table" w:styleId="997" w:customStyle="1">
    <w:name w:val="List Table 7 Colorful - Accent 5"/>
    <w:basedOn w:val="776"/>
    <w:uiPriority w:val="99"/>
    <w:qFormat/>
    <w:tblPr>
      <w:tblCellMar>
        <w:left w:w="0" w:type="dxa"/>
        <w:top w:w="0" w:type="dxa"/>
        <w:right w:w="0" w:type="dxa"/>
        <w:bottom w:w="0" w:type="dxa"/>
      </w:tblCellMar>
    </w:tblPr>
  </w:style>
  <w:style w:type="table" w:styleId="998" w:customStyle="1">
    <w:name w:val="List Table 7 Colorful - Accent 6"/>
    <w:basedOn w:val="776"/>
    <w:uiPriority w:val="99"/>
    <w:qFormat/>
    <w:tblPr>
      <w:tblCellMar>
        <w:left w:w="0" w:type="dxa"/>
        <w:top w:w="0" w:type="dxa"/>
        <w:right w:w="0" w:type="dxa"/>
        <w:bottom w:w="0" w:type="dxa"/>
      </w:tblCellMar>
    </w:tblPr>
  </w:style>
  <w:style w:type="table" w:styleId="999" w:customStyle="1">
    <w:name w:val="Lined - Accent"/>
    <w:basedOn w:val="776"/>
    <w:uiPriority w:val="99"/>
    <w:qFormat/>
    <w:rPr>
      <w:color w:val="404040"/>
    </w:rPr>
    <w:tblPr>
      <w:tblCellMar>
        <w:left w:w="0" w:type="dxa"/>
        <w:top w:w="0" w:type="dxa"/>
        <w:right w:w="0" w:type="dxa"/>
        <w:bottom w:w="0" w:type="dxa"/>
      </w:tblCellMar>
    </w:tblPr>
  </w:style>
  <w:style w:type="table" w:styleId="1000" w:customStyle="1">
    <w:name w:val="Lined - Accent 1"/>
    <w:basedOn w:val="776"/>
    <w:uiPriority w:val="99"/>
    <w:qFormat/>
    <w:rPr>
      <w:color w:val="404040"/>
    </w:rPr>
    <w:tblPr>
      <w:tblCellMar>
        <w:left w:w="0" w:type="dxa"/>
        <w:top w:w="0" w:type="dxa"/>
        <w:right w:w="0" w:type="dxa"/>
        <w:bottom w:w="0" w:type="dxa"/>
      </w:tblCellMar>
    </w:tblPr>
  </w:style>
  <w:style w:type="table" w:styleId="1001" w:customStyle="1">
    <w:name w:val="Lined - Accent 2"/>
    <w:basedOn w:val="776"/>
    <w:uiPriority w:val="99"/>
    <w:qFormat/>
    <w:rPr>
      <w:color w:val="404040"/>
    </w:rPr>
    <w:tblPr>
      <w:tblCellMar>
        <w:left w:w="0" w:type="dxa"/>
        <w:top w:w="0" w:type="dxa"/>
        <w:right w:w="0" w:type="dxa"/>
        <w:bottom w:w="0" w:type="dxa"/>
      </w:tblCellMar>
    </w:tblPr>
  </w:style>
  <w:style w:type="table" w:styleId="1002" w:customStyle="1">
    <w:name w:val="Lined - Accent 3"/>
    <w:basedOn w:val="776"/>
    <w:uiPriority w:val="99"/>
    <w:qFormat/>
    <w:rPr>
      <w:color w:val="404040"/>
    </w:rPr>
    <w:tblPr>
      <w:tblCellMar>
        <w:left w:w="0" w:type="dxa"/>
        <w:top w:w="0" w:type="dxa"/>
        <w:right w:w="0" w:type="dxa"/>
        <w:bottom w:w="0" w:type="dxa"/>
      </w:tblCellMar>
    </w:tblPr>
  </w:style>
  <w:style w:type="table" w:styleId="1003" w:customStyle="1">
    <w:name w:val="Lined - Accent 4"/>
    <w:basedOn w:val="776"/>
    <w:uiPriority w:val="99"/>
    <w:qFormat/>
    <w:rPr>
      <w:color w:val="404040"/>
    </w:rPr>
    <w:tblPr>
      <w:tblCellMar>
        <w:left w:w="0" w:type="dxa"/>
        <w:top w:w="0" w:type="dxa"/>
        <w:right w:w="0" w:type="dxa"/>
        <w:bottom w:w="0" w:type="dxa"/>
      </w:tblCellMar>
    </w:tblPr>
  </w:style>
  <w:style w:type="table" w:styleId="1004" w:customStyle="1">
    <w:name w:val="Lined - Accent 5"/>
    <w:basedOn w:val="776"/>
    <w:uiPriority w:val="99"/>
    <w:qFormat/>
    <w:rPr>
      <w:color w:val="404040"/>
    </w:rPr>
    <w:tblPr>
      <w:tblCellMar>
        <w:left w:w="0" w:type="dxa"/>
        <w:top w:w="0" w:type="dxa"/>
        <w:right w:w="0" w:type="dxa"/>
        <w:bottom w:w="0" w:type="dxa"/>
      </w:tblCellMar>
    </w:tblPr>
  </w:style>
  <w:style w:type="table" w:styleId="1005" w:customStyle="1">
    <w:name w:val="Lined - Accent 6"/>
    <w:basedOn w:val="776"/>
    <w:uiPriority w:val="99"/>
    <w:qFormat/>
    <w:rPr>
      <w:color w:val="404040"/>
    </w:rPr>
    <w:tblPr>
      <w:tblCellMar>
        <w:left w:w="0" w:type="dxa"/>
        <w:top w:w="0" w:type="dxa"/>
        <w:right w:w="0" w:type="dxa"/>
        <w:bottom w:w="0" w:type="dxa"/>
      </w:tblCellMar>
    </w:tblPr>
  </w:style>
  <w:style w:type="table" w:styleId="1006" w:customStyle="1">
    <w:name w:val="Bordered &amp; Lined - Accent"/>
    <w:basedOn w:val="776"/>
    <w:uiPriority w:val="99"/>
    <w:qFormat/>
    <w:rPr>
      <w:color w:val="404040"/>
    </w:rPr>
    <w:tblPr>
      <w:tblCellMar>
        <w:left w:w="0" w:type="dxa"/>
        <w:top w:w="0" w:type="dxa"/>
        <w:right w:w="0" w:type="dxa"/>
        <w:bottom w:w="0" w:type="dxa"/>
      </w:tblCellMar>
    </w:tblPr>
  </w:style>
  <w:style w:type="table" w:styleId="1007" w:customStyle="1">
    <w:name w:val="Bordered &amp; Lined - Accent 1"/>
    <w:basedOn w:val="776"/>
    <w:uiPriority w:val="99"/>
    <w:qFormat/>
    <w:rPr>
      <w:color w:val="404040"/>
    </w:rPr>
    <w:tblPr>
      <w:tblCellMar>
        <w:left w:w="0" w:type="dxa"/>
        <w:top w:w="0" w:type="dxa"/>
        <w:right w:w="0" w:type="dxa"/>
        <w:bottom w:w="0" w:type="dxa"/>
      </w:tblCellMar>
    </w:tblPr>
  </w:style>
  <w:style w:type="table" w:styleId="1008" w:customStyle="1">
    <w:name w:val="Bordered &amp; Lined - Accent 2"/>
    <w:basedOn w:val="776"/>
    <w:uiPriority w:val="99"/>
    <w:qFormat/>
    <w:rPr>
      <w:color w:val="404040"/>
    </w:rPr>
    <w:tblPr>
      <w:tblCellMar>
        <w:left w:w="0" w:type="dxa"/>
        <w:top w:w="0" w:type="dxa"/>
        <w:right w:w="0" w:type="dxa"/>
        <w:bottom w:w="0" w:type="dxa"/>
      </w:tblCellMar>
    </w:tblPr>
  </w:style>
  <w:style w:type="table" w:styleId="1009" w:customStyle="1">
    <w:name w:val="Bordered &amp; Lined - Accent 3"/>
    <w:basedOn w:val="776"/>
    <w:uiPriority w:val="99"/>
    <w:qFormat/>
    <w:rPr>
      <w:color w:val="404040"/>
    </w:rPr>
    <w:tblPr>
      <w:tblCellMar>
        <w:left w:w="0" w:type="dxa"/>
        <w:top w:w="0" w:type="dxa"/>
        <w:right w:w="0" w:type="dxa"/>
        <w:bottom w:w="0" w:type="dxa"/>
      </w:tblCellMar>
    </w:tblPr>
  </w:style>
  <w:style w:type="table" w:styleId="1010" w:customStyle="1">
    <w:name w:val="Bordered &amp; Lined - Accent 4"/>
    <w:basedOn w:val="776"/>
    <w:uiPriority w:val="99"/>
    <w:qFormat/>
    <w:rPr>
      <w:color w:val="404040"/>
    </w:rPr>
    <w:tblPr>
      <w:tblCellMar>
        <w:left w:w="0" w:type="dxa"/>
        <w:top w:w="0" w:type="dxa"/>
        <w:right w:w="0" w:type="dxa"/>
        <w:bottom w:w="0" w:type="dxa"/>
      </w:tblCellMar>
    </w:tblPr>
  </w:style>
  <w:style w:type="table" w:styleId="1011" w:customStyle="1">
    <w:name w:val="Bordered &amp; Lined - Accent 5"/>
    <w:basedOn w:val="776"/>
    <w:uiPriority w:val="99"/>
    <w:qFormat/>
    <w:rPr>
      <w:color w:val="404040"/>
    </w:rPr>
    <w:tblPr>
      <w:tblCellMar>
        <w:left w:w="0" w:type="dxa"/>
        <w:top w:w="0" w:type="dxa"/>
        <w:right w:w="0" w:type="dxa"/>
        <w:bottom w:w="0" w:type="dxa"/>
      </w:tblCellMar>
    </w:tblPr>
  </w:style>
  <w:style w:type="table" w:styleId="1012" w:customStyle="1">
    <w:name w:val="Bordered &amp; Lined - Accent 6"/>
    <w:basedOn w:val="776"/>
    <w:uiPriority w:val="99"/>
    <w:qFormat/>
    <w:rPr>
      <w:color w:val="404040"/>
    </w:rPr>
    <w:tblPr>
      <w:tblCellMar>
        <w:left w:w="0" w:type="dxa"/>
        <w:top w:w="0" w:type="dxa"/>
        <w:right w:w="0" w:type="dxa"/>
        <w:bottom w:w="0" w:type="dxa"/>
      </w:tblCellMar>
    </w:tblPr>
  </w:style>
  <w:style w:type="table" w:styleId="1013" w:customStyle="1">
    <w:name w:val="Bordered"/>
    <w:basedOn w:val="776"/>
    <w:uiPriority w:val="99"/>
    <w:qFormat/>
    <w:tblPr>
      <w:tblCellMar>
        <w:left w:w="0" w:type="dxa"/>
        <w:top w:w="0" w:type="dxa"/>
        <w:right w:w="0" w:type="dxa"/>
        <w:bottom w:w="0" w:type="dxa"/>
      </w:tblCellMar>
    </w:tblPr>
  </w:style>
  <w:style w:type="table" w:styleId="1014" w:customStyle="1">
    <w:name w:val="Bordered - Accent 1"/>
    <w:basedOn w:val="776"/>
    <w:uiPriority w:val="99"/>
    <w:qFormat/>
    <w:tblPr>
      <w:tblCellMar>
        <w:left w:w="0" w:type="dxa"/>
        <w:top w:w="0" w:type="dxa"/>
        <w:right w:w="0" w:type="dxa"/>
        <w:bottom w:w="0" w:type="dxa"/>
      </w:tblCellMar>
    </w:tblPr>
  </w:style>
  <w:style w:type="table" w:styleId="1015" w:customStyle="1">
    <w:name w:val="Bordered - Accent 2"/>
    <w:basedOn w:val="776"/>
    <w:uiPriority w:val="99"/>
    <w:qFormat/>
    <w:tblPr>
      <w:tblCellMar>
        <w:left w:w="0" w:type="dxa"/>
        <w:top w:w="0" w:type="dxa"/>
        <w:right w:w="0" w:type="dxa"/>
        <w:bottom w:w="0" w:type="dxa"/>
      </w:tblCellMar>
    </w:tblPr>
  </w:style>
  <w:style w:type="table" w:styleId="1016" w:customStyle="1">
    <w:name w:val="Bordered - Accent 3"/>
    <w:basedOn w:val="776"/>
    <w:uiPriority w:val="99"/>
    <w:qFormat/>
    <w:tblPr>
      <w:tblCellMar>
        <w:left w:w="0" w:type="dxa"/>
        <w:top w:w="0" w:type="dxa"/>
        <w:right w:w="0" w:type="dxa"/>
        <w:bottom w:w="0" w:type="dxa"/>
      </w:tblCellMar>
    </w:tblPr>
  </w:style>
  <w:style w:type="table" w:styleId="1017" w:customStyle="1">
    <w:name w:val="Bordered - Accent 4"/>
    <w:basedOn w:val="776"/>
    <w:uiPriority w:val="99"/>
    <w:qFormat/>
    <w:tblPr>
      <w:tblCellMar>
        <w:left w:w="0" w:type="dxa"/>
        <w:top w:w="0" w:type="dxa"/>
        <w:right w:w="0" w:type="dxa"/>
        <w:bottom w:w="0" w:type="dxa"/>
      </w:tblCellMar>
    </w:tblPr>
  </w:style>
  <w:style w:type="table" w:styleId="1018" w:customStyle="1">
    <w:name w:val="Bordered - Accent 5"/>
    <w:basedOn w:val="776"/>
    <w:uiPriority w:val="99"/>
    <w:qFormat/>
    <w:tblPr>
      <w:tblCellMar>
        <w:left w:w="0" w:type="dxa"/>
        <w:top w:w="0" w:type="dxa"/>
        <w:right w:w="0" w:type="dxa"/>
        <w:bottom w:w="0" w:type="dxa"/>
      </w:tblCellMar>
    </w:tblPr>
  </w:style>
  <w:style w:type="table" w:styleId="1019" w:customStyle="1">
    <w:name w:val="Bordered - Accent 6"/>
    <w:basedOn w:val="776"/>
    <w:uiPriority w:val="99"/>
    <w:qFormat/>
    <w:tblPr>
      <w:tblCellMar>
        <w:left w:w="0" w:type="dxa"/>
        <w:top w:w="0" w:type="dxa"/>
        <w:right w:w="0" w:type="dxa"/>
        <w:bottom w:w="0" w:type="dxa"/>
      </w:tblCellMar>
    </w:tblPr>
  </w:style>
  <w:style w:type="character" w:styleId="1020" w:customStyle="1">
    <w:name w:val="Footnote Text Char"/>
    <w:uiPriority w:val="99"/>
    <w:qFormat/>
    <w:rPr>
      <w:sz w:val="18"/>
    </w:rPr>
  </w:style>
  <w:style w:type="character" w:styleId="1021" w:customStyle="1">
    <w:name w:val="Endnote Text Char"/>
    <w:uiPriority w:val="99"/>
    <w:qFormat/>
    <w:rPr>
      <w:sz w:val="20"/>
    </w:rPr>
  </w:style>
  <w:style w:type="paragraph" w:styleId="1022" w:customStyle="1">
    <w:name w:val="TOC 标题2"/>
    <w:uiPriority w:val="39"/>
    <w:qFormat/>
    <w:rPr>
      <w:rFonts w:ascii="Times New Roman" w:hAnsi="Times New Roman" w:eastAsia="宋体" w:cs="Times New Roman"/>
      <w:lang w:val="en-US" w:eastAsia="zh-CN" w:bidi="ar-SA"/>
    </w:rPr>
  </w:style>
  <w:style w:type="character" w:styleId="1023" w:customStyle="1">
    <w:name w:val="标题 1 Char3"/>
    <w:link w:val="679"/>
    <w:uiPriority w:val="0"/>
    <w:qFormat/>
    <w:rPr>
      <w:rFonts w:ascii="楷体_GB2312" w:hAnsi="Times New Roman" w:eastAsia="楷体_GB2312" w:cs="Times New Roman"/>
      <w:sz w:val="28"/>
      <w:szCs w:val="20"/>
    </w:rPr>
  </w:style>
  <w:style w:type="paragraph" w:styleId="1024" w:customStyle="1">
    <w:name w:val="Caption1"/>
    <w:basedOn w:val="678"/>
    <w:next w:val="678"/>
    <w:link w:val="1025"/>
    <w:uiPriority w:val="0"/>
    <w:qFormat/>
    <w:rPr>
      <w:rFonts w:ascii="Cambria" w:hAnsi="Cambria" w:eastAsia="黑体" w:cs="Times New Roman"/>
      <w:sz w:val="20"/>
      <w:szCs w:val="20"/>
    </w:rPr>
  </w:style>
  <w:style w:type="character" w:styleId="1025" w:customStyle="1">
    <w:name w:val="题注 Char"/>
    <w:link w:val="1024"/>
    <w:uiPriority w:val="0"/>
    <w:qFormat/>
    <w:rPr>
      <w:rFonts w:ascii="Cambria" w:hAnsi="Cambria" w:eastAsia="黑体" w:cs="Times New Roman"/>
      <w:sz w:val="20"/>
      <w:szCs w:val="20"/>
    </w:rPr>
  </w:style>
  <w:style w:type="paragraph" w:styleId="1026" w:customStyle="1">
    <w:name w:val="Footer1"/>
    <w:basedOn w:val="678"/>
    <w:link w:val="1027"/>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1027" w:customStyle="1">
    <w:name w:val="页脚 Char"/>
    <w:link w:val="1026"/>
    <w:uiPriority w:val="99"/>
    <w:qFormat/>
    <w:rPr>
      <w:rFonts w:ascii="Times New Roman" w:hAnsi="Times New Roman" w:eastAsia="宋体" w:cs="Times New Roman"/>
      <w:sz w:val="18"/>
      <w:szCs w:val="18"/>
    </w:rPr>
  </w:style>
  <w:style w:type="paragraph" w:styleId="1028" w:customStyle="1">
    <w:name w:val="Header1"/>
    <w:basedOn w:val="678"/>
    <w:link w:val="1029"/>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29" w:customStyle="1">
    <w:name w:val="页眉 Char"/>
    <w:link w:val="1028"/>
    <w:uiPriority w:val="99"/>
    <w:qFormat/>
    <w:rPr>
      <w:rFonts w:ascii="Times New Roman" w:hAnsi="Times New Roman" w:eastAsia="宋体" w:cs="Times New Roman"/>
      <w:sz w:val="18"/>
      <w:szCs w:val="18"/>
    </w:rPr>
  </w:style>
  <w:style w:type="paragraph" w:styleId="1030" w:customStyle="1">
    <w:name w:val="列出段落1"/>
    <w:basedOn w:val="678"/>
    <w:link w:val="1031"/>
    <w:uiPriority w:val="0"/>
    <w:qFormat/>
    <w:pPr>
      <w:ind w:firstLine="420"/>
    </w:pPr>
    <w:rPr>
      <w:rFonts w:ascii="Times New Roman" w:hAnsi="Times New Roman" w:eastAsia="宋体" w:cs="Times New Roman"/>
      <w:sz w:val="20"/>
      <w:szCs w:val="24"/>
    </w:rPr>
  </w:style>
  <w:style w:type="character" w:styleId="1031" w:customStyle="1">
    <w:name w:val="列出段落 字符"/>
    <w:link w:val="1030"/>
    <w:uiPriority w:val="0"/>
    <w:qFormat/>
    <w:rPr>
      <w:rFonts w:ascii="Times New Roman" w:hAnsi="Times New Roman" w:eastAsia="宋体" w:cs="Times New Roman"/>
      <w:sz w:val="20"/>
      <w:szCs w:val="24"/>
    </w:rPr>
  </w:style>
  <w:style w:type="paragraph" w:styleId="1032" w:customStyle="1">
    <w:name w:val="_Style 18"/>
    <w:basedOn w:val="678"/>
    <w:next w:val="1030"/>
    <w:uiPriority w:val="34"/>
    <w:qFormat/>
    <w:pPr>
      <w:ind w:firstLine="420"/>
    </w:pPr>
    <w:rPr>
      <w:rFonts w:ascii="Calibri" w:hAnsi="Calibri" w:eastAsia="宋体" w:cs="Times New Roman"/>
    </w:rPr>
  </w:style>
  <w:style w:type="character" w:styleId="1033" w:customStyle="1">
    <w:name w:val="htd0"/>
    <w:uiPriority w:val="0"/>
    <w:qFormat/>
  </w:style>
  <w:style w:type="character" w:styleId="1034" w:customStyle="1">
    <w:name w:val="标题 4 Char"/>
    <w:uiPriority w:val="9"/>
    <w:semiHidden/>
    <w:qFormat/>
    <w:rPr>
      <w:rFonts w:ascii="等线 Light" w:hAnsi="等线 Light" w:eastAsia="Arial" w:cs="Arial"/>
      <w:b/>
      <w:bCs/>
      <w:sz w:val="28"/>
      <w:szCs w:val="28"/>
    </w:rPr>
  </w:style>
  <w:style w:type="character" w:styleId="1035" w:customStyle="1">
    <w:name w:val="标题 5 Char"/>
    <w:uiPriority w:val="9"/>
    <w:semiHidden/>
    <w:qFormat/>
    <w:rPr>
      <w:rFonts w:ascii="Times New Roman" w:hAnsi="Times New Roman" w:eastAsia="宋体" w:cs="Times New Roman"/>
      <w:b/>
      <w:bCs/>
      <w:sz w:val="28"/>
      <w:szCs w:val="28"/>
    </w:rPr>
  </w:style>
  <w:style w:type="character" w:styleId="1036" w:customStyle="1">
    <w:name w:val="标题 6 Char"/>
    <w:uiPriority w:val="9"/>
    <w:semiHidden/>
    <w:qFormat/>
    <w:rPr>
      <w:rFonts w:ascii="等线 Light" w:hAnsi="等线 Light" w:eastAsia="Arial" w:cs="Arial"/>
      <w:b/>
      <w:bCs/>
      <w:sz w:val="24"/>
      <w:szCs w:val="24"/>
    </w:rPr>
  </w:style>
  <w:style w:type="character" w:styleId="1037" w:customStyle="1">
    <w:name w:val="标题 7 Char"/>
    <w:uiPriority w:val="9"/>
    <w:semiHidden/>
    <w:qFormat/>
    <w:rPr>
      <w:rFonts w:ascii="Times New Roman" w:hAnsi="Times New Roman" w:eastAsia="宋体" w:cs="Times New Roman"/>
      <w:b/>
      <w:bCs/>
      <w:sz w:val="24"/>
      <w:szCs w:val="24"/>
    </w:rPr>
  </w:style>
  <w:style w:type="character" w:styleId="1038" w:customStyle="1">
    <w:name w:val="标题 8 Char"/>
    <w:uiPriority w:val="9"/>
    <w:semiHidden/>
    <w:qFormat/>
    <w:rPr>
      <w:rFonts w:ascii="等线 Light" w:hAnsi="等线 Light" w:eastAsia="Arial" w:cs="Arial"/>
      <w:sz w:val="24"/>
      <w:szCs w:val="24"/>
    </w:rPr>
  </w:style>
  <w:style w:type="character" w:styleId="1039" w:customStyle="1">
    <w:name w:val="标题 9 Char"/>
    <w:uiPriority w:val="9"/>
    <w:semiHidden/>
    <w:qFormat/>
    <w:rPr>
      <w:rFonts w:ascii="等线 Light" w:hAnsi="等线 Light" w:eastAsia="Arial" w:cs="Arial"/>
      <w:szCs w:val="21"/>
    </w:rPr>
  </w:style>
  <w:style w:type="paragraph" w:styleId="1040" w:customStyle="1">
    <w:name w:val="_Style 31"/>
    <w:basedOn w:val="678"/>
    <w:next w:val="1030"/>
    <w:uiPriority w:val="34"/>
    <w:qFormat/>
    <w:pPr>
      <w:ind w:firstLine="420"/>
    </w:pPr>
    <w:rPr>
      <w:rFonts w:ascii="Calibri" w:hAnsi="Calibri" w:eastAsia="宋体" w:cs="Times New Roman"/>
    </w:rPr>
  </w:style>
  <w:style w:type="character" w:styleId="1041" w:customStyle="1">
    <w:name w:val="style31"/>
    <w:uiPriority w:val="0"/>
    <w:qFormat/>
    <w:rPr>
      <w:sz w:val="21"/>
      <w:szCs w:val="21"/>
    </w:rPr>
  </w:style>
  <w:style w:type="character" w:styleId="1042" w:customStyle="1">
    <w:name w:val="正文文本缩进 Char4"/>
    <w:uiPriority w:val="0"/>
    <w:qFormat/>
    <w:rPr>
      <w:rFonts w:ascii="楷体_GB2312" w:eastAsia="楷体_GB2312"/>
      <w:sz w:val="32"/>
    </w:rPr>
  </w:style>
  <w:style w:type="character" w:styleId="1043" w:customStyle="1">
    <w:name w:val="普通文字 Char Char Char"/>
    <w:uiPriority w:val="0"/>
    <w:qFormat/>
    <w:rPr>
      <w:rFonts w:ascii="宋体" w:hAnsi="Courier New" w:eastAsia="宋体" w:cs="Courier New"/>
      <w:sz w:val="21"/>
      <w:szCs w:val="21"/>
      <w:lang w:val="en-US" w:eastAsia="zh-CN" w:bidi="ar-SA"/>
    </w:rPr>
  </w:style>
  <w:style w:type="character" w:styleId="1044" w:customStyle="1">
    <w:name w:val="段落 Char1"/>
    <w:link w:val="1045"/>
    <w:uiPriority w:val="0"/>
    <w:qFormat/>
    <w:rPr>
      <w:rFonts w:ascii="等线" w:hAnsi="等线" w:eastAsia="仿宋_GB2312" w:cs="Arial"/>
      <w:sz w:val="24"/>
      <w:szCs w:val="24"/>
    </w:rPr>
  </w:style>
  <w:style w:type="paragraph" w:styleId="1045" w:customStyle="1">
    <w:name w:val="段落"/>
    <w:link w:val="1044"/>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046" w:customStyle="1">
    <w:name w:val="批注框文本 Char4"/>
    <w:uiPriority w:val="0"/>
    <w:qFormat/>
    <w:rPr>
      <w:sz w:val="18"/>
      <w:szCs w:val="18"/>
    </w:rPr>
  </w:style>
  <w:style w:type="character" w:styleId="1047" w:customStyle="1">
    <w:name w:val="纯文本 Char3"/>
    <w:uiPriority w:val="0"/>
    <w:qFormat/>
    <w:rPr>
      <w:rFonts w:ascii="宋体" w:hAnsi="Courier New" w:cs="Courier New"/>
      <w:szCs w:val="21"/>
    </w:rPr>
  </w:style>
  <w:style w:type="character" w:styleId="1048" w:customStyle="1">
    <w:name w:val="_正文段落 Char Char"/>
    <w:link w:val="1049"/>
    <w:uiPriority w:val="0"/>
    <w:qFormat/>
    <w:rPr>
      <w:rFonts w:ascii="宋体" w:hAnsi="宋体"/>
      <w:sz w:val="24"/>
      <w:szCs w:val="28"/>
    </w:rPr>
  </w:style>
  <w:style w:type="paragraph" w:styleId="1049" w:customStyle="1">
    <w:name w:val="_正文段落"/>
    <w:basedOn w:val="678"/>
    <w:link w:val="1048"/>
    <w:uiPriority w:val="0"/>
    <w:qFormat/>
    <w:pPr>
      <w:ind w:firstLine="480"/>
      <w:spacing w:line="360" w:lineRule="auto"/>
    </w:pPr>
    <w:rPr>
      <w:rFonts w:ascii="宋体" w:hAnsi="宋体"/>
      <w:sz w:val="24"/>
      <w:szCs w:val="28"/>
    </w:rPr>
  </w:style>
  <w:style w:type="character" w:styleId="1050" w:customStyle="1">
    <w:name w:val="正文文本 Char4"/>
    <w:uiPriority w:val="0"/>
    <w:qFormat/>
    <w:rPr>
      <w:rFonts w:ascii="楷体_GB2312" w:hAnsi="Arial" w:eastAsia="楷体_GB2312"/>
      <w:sz w:val="28"/>
    </w:rPr>
  </w:style>
  <w:style w:type="character" w:styleId="1051" w:customStyle="1">
    <w:name w:val="font"/>
    <w:uiPriority w:val="0"/>
    <w:qFormat/>
  </w:style>
  <w:style w:type="character" w:styleId="1052" w:customStyle="1">
    <w:name w:val="pt9-hui-line201"/>
    <w:uiPriority w:val="0"/>
    <w:qFormat/>
    <w:rPr>
      <w:color w:val="333333"/>
      <w:spacing w:val="300"/>
      <w:sz w:val="18"/>
      <w:szCs w:val="18"/>
      <w:u w:val="none"/>
    </w:rPr>
  </w:style>
  <w:style w:type="character" w:styleId="1053" w:customStyle="1">
    <w:name w:val="正文文本缩进 2 Char4"/>
    <w:uiPriority w:val="0"/>
    <w:qFormat/>
    <w:rPr>
      <w:rFonts w:ascii="楷体_GB2312" w:eastAsia="楷体_GB2312"/>
      <w:sz w:val="28"/>
      <w:szCs w:val="28"/>
    </w:rPr>
  </w:style>
  <w:style w:type="character" w:styleId="1054" w:customStyle="1">
    <w:name w:val="批注主题 Char4"/>
    <w:uiPriority w:val="99"/>
    <w:qFormat/>
    <w:rPr>
      <w:rFonts w:ascii="Calibri" w:hAnsi="Calibri"/>
      <w:b/>
      <w:bCs/>
    </w:rPr>
  </w:style>
  <w:style w:type="character" w:styleId="1055" w:customStyle="1">
    <w:name w:val="批注文字 Char4"/>
    <w:uiPriority w:val="99"/>
    <w:qFormat/>
    <w:rPr>
      <w:rFonts w:ascii="Calibri" w:hAnsi="Calibri"/>
    </w:rPr>
  </w:style>
  <w:style w:type="character" w:styleId="1056" w:customStyle="1">
    <w:name w:val="样式 正文文本缩进 + 左  0 字符 Char Char"/>
    <w:link w:val="1057"/>
    <w:uiPriority w:val="0"/>
    <w:qFormat/>
    <w:rPr>
      <w:rFonts w:cs="宋体"/>
      <w:sz w:val="24"/>
    </w:rPr>
  </w:style>
  <w:style w:type="paragraph" w:styleId="1057" w:customStyle="1">
    <w:name w:val="样式 正文文本缩进 + 左  0 字符"/>
    <w:basedOn w:val="799"/>
    <w:link w:val="1056"/>
    <w:uiPriority w:val="0"/>
    <w:qFormat/>
    <w:pPr>
      <w:ind w:firstLine="250"/>
      <w:spacing w:line="360" w:lineRule="auto"/>
    </w:pPr>
    <w:rPr>
      <w:rFonts w:cs="宋体" w:asciiTheme="minorHAnsi" w:hAnsiTheme="minorHAnsi" w:eastAsiaTheme="minorEastAsia"/>
      <w:sz w:val="24"/>
      <w:szCs w:val="22"/>
    </w:rPr>
  </w:style>
  <w:style w:type="character" w:styleId="1058" w:customStyle="1">
    <w:name w:val="带缩进的正文 Char Char"/>
    <w:link w:val="1059"/>
    <w:uiPriority w:val="0"/>
    <w:qFormat/>
    <w:rPr>
      <w:rFonts w:ascii="Calibri" w:hAnsi="Calibri"/>
      <w:sz w:val="24"/>
    </w:rPr>
  </w:style>
  <w:style w:type="paragraph" w:styleId="1059" w:customStyle="1">
    <w:name w:val="带缩进的正文"/>
    <w:basedOn w:val="678"/>
    <w:link w:val="1058"/>
    <w:uiPriority w:val="0"/>
    <w:qFormat/>
    <w:pPr>
      <w:ind w:firstLine="480"/>
      <w:spacing w:line="360" w:lineRule="auto"/>
    </w:pPr>
    <w:rPr>
      <w:rFonts w:ascii="Calibri" w:hAnsi="Calibri"/>
      <w:sz w:val="24"/>
    </w:rPr>
  </w:style>
  <w:style w:type="character" w:styleId="1060" w:customStyle="1">
    <w:name w:val="bodybold1"/>
    <w:uiPriority w:val="0"/>
    <w:qFormat/>
    <w:rPr>
      <w:rFonts w:ascii="Taipei" w:hAnsi="Taipei"/>
      <w:b/>
      <w:bCs/>
      <w:color w:val="0066ff"/>
      <w:sz w:val="26"/>
      <w:szCs w:val="26"/>
      <w:u w:val="none"/>
    </w:rPr>
  </w:style>
  <w:style w:type="character" w:styleId="1061" w:customStyle="1">
    <w:name w:val="flname8"/>
    <w:uiPriority w:val="0"/>
    <w:qFormat/>
  </w:style>
  <w:style w:type="character" w:styleId="1062" w:customStyle="1">
    <w:name w:val="正文（首行缩进两字） Char Char"/>
    <w:uiPriority w:val="0"/>
    <w:qFormat/>
    <w:rPr>
      <w:rFonts w:eastAsia="宋体"/>
      <w:sz w:val="24"/>
      <w:lang w:val="en-US" w:eastAsia="zh-CN" w:bidi="ar-SA"/>
    </w:rPr>
  </w:style>
  <w:style w:type="character" w:styleId="1063" w:customStyle="1">
    <w:name w:val="标题 3 Char Char"/>
    <w:uiPriority w:val="0"/>
    <w:qFormat/>
    <w:rPr>
      <w:rFonts w:eastAsia="宋体"/>
      <w:b/>
      <w:sz w:val="32"/>
      <w:lang w:val="en-US" w:eastAsia="zh-CN" w:bidi="ar-SA"/>
    </w:rPr>
  </w:style>
  <w:style w:type="character" w:styleId="1064" w:customStyle="1">
    <w:name w:val="样式6 Char Char"/>
    <w:link w:val="1065"/>
    <w:uiPriority w:val="0"/>
    <w:qFormat/>
    <w:rPr>
      <w:rFonts w:ascii="宋体" w:hAnsi="宋体"/>
      <w:sz w:val="28"/>
      <w:szCs w:val="28"/>
    </w:rPr>
  </w:style>
  <w:style w:type="paragraph" w:styleId="1065" w:customStyle="1">
    <w:name w:val="样式6"/>
    <w:basedOn w:val="678"/>
    <w:link w:val="1064"/>
    <w:uiPriority w:val="0"/>
    <w:qFormat/>
    <w:pPr>
      <w:ind w:left="980" w:hanging="420"/>
      <w:spacing w:line="360" w:lineRule="auto"/>
    </w:pPr>
    <w:rPr>
      <w:rFonts w:ascii="宋体" w:hAnsi="宋体"/>
      <w:sz w:val="28"/>
      <w:szCs w:val="28"/>
    </w:rPr>
  </w:style>
  <w:style w:type="character" w:styleId="1066" w:customStyle="1">
    <w:name w:val="WW8Num11z1"/>
    <w:uiPriority w:val="0"/>
    <w:qFormat/>
    <w:rPr>
      <w:rFonts w:ascii="Wingdings" w:hAnsi="Wingdings"/>
    </w:rPr>
  </w:style>
  <w:style w:type="character" w:styleId="1067" w:customStyle="1">
    <w:name w:val="样式 正文缩进 + 首行缩进:  2 字符 Char Char"/>
    <w:link w:val="1068"/>
    <w:uiPriority w:val="0"/>
    <w:qFormat/>
    <w:rPr>
      <w:rFonts w:cs="宋体"/>
      <w:sz w:val="24"/>
    </w:rPr>
  </w:style>
  <w:style w:type="paragraph" w:styleId="1068" w:customStyle="1">
    <w:name w:val="样式 正文缩进 + 首行缩进:  2 字符"/>
    <w:basedOn w:val="691"/>
    <w:link w:val="1067"/>
    <w:uiPriority w:val="0"/>
    <w:qFormat/>
    <w:pPr>
      <w:ind w:firstLine="200"/>
      <w:spacing w:line="360" w:lineRule="auto"/>
    </w:pPr>
    <w:rPr>
      <w:rFonts w:cs="宋体" w:asciiTheme="minorHAnsi" w:hAnsiTheme="minorHAnsi" w:eastAsiaTheme="minorEastAsia"/>
      <w:sz w:val="24"/>
      <w:szCs w:val="22"/>
    </w:rPr>
  </w:style>
  <w:style w:type="character" w:styleId="1069" w:customStyle="1">
    <w:name w:val="彩色网格 - 强调文字颜色 1 Char"/>
    <w:link w:val="1070"/>
    <w:uiPriority w:val="0"/>
    <w:qFormat/>
    <w:rPr>
      <w:rFonts w:eastAsia="方正仿宋_GBK"/>
      <w:i/>
      <w:iCs/>
      <w:color w:val="000000"/>
      <w:szCs w:val="24"/>
    </w:rPr>
  </w:style>
  <w:style w:type="paragraph" w:styleId="1070" w:customStyle="1">
    <w:name w:val="彩色网格 - 强调文字颜色 11"/>
    <w:basedOn w:val="678"/>
    <w:next w:val="678"/>
    <w:link w:val="1069"/>
    <w:uiPriority w:val="0"/>
    <w:qFormat/>
    <w:pPr>
      <w:ind w:firstLine="560"/>
      <w:spacing w:line="360" w:lineRule="auto"/>
    </w:pPr>
    <w:rPr>
      <w:rFonts w:eastAsia="方正仿宋_GBK"/>
      <w:i/>
      <w:iCs/>
      <w:color w:val="000000"/>
      <w:szCs w:val="24"/>
    </w:rPr>
  </w:style>
  <w:style w:type="character" w:styleId="1071" w:customStyle="1">
    <w:name w:val="文档结构图 Char3"/>
    <w:uiPriority w:val="99"/>
    <w:qFormat/>
    <w:rPr>
      <w:rFonts w:ascii="宋体"/>
      <w:sz w:val="18"/>
      <w:szCs w:val="18"/>
    </w:rPr>
  </w:style>
  <w:style w:type="character" w:styleId="1072" w:customStyle="1">
    <w:name w:val="正文首行缩进 2 Char3"/>
    <w:uiPriority w:val="0"/>
    <w:semiHidden/>
    <w:qFormat/>
    <w:rPr>
      <w:rFonts w:ascii="Arial" w:hAnsi="Arial" w:eastAsia="方正仿宋_GBK" w:cs="Arial"/>
      <w:szCs w:val="24"/>
    </w:rPr>
  </w:style>
  <w:style w:type="character" w:styleId="1073" w:customStyle="1">
    <w:name w:val="样式7 Char Char"/>
    <w:link w:val="1074"/>
    <w:uiPriority w:val="0"/>
    <w:qFormat/>
    <w:rPr>
      <w:rFonts w:ascii="宋体" w:hAnsi="宋体"/>
      <w:sz w:val="28"/>
      <w:szCs w:val="28"/>
    </w:rPr>
  </w:style>
  <w:style w:type="paragraph" w:styleId="1074" w:customStyle="1">
    <w:name w:val="样式7"/>
    <w:basedOn w:val="678"/>
    <w:link w:val="1073"/>
    <w:uiPriority w:val="0"/>
    <w:qFormat/>
    <w:pPr>
      <w:ind w:left="980" w:hanging="420"/>
      <w:spacing w:line="360" w:lineRule="auto"/>
    </w:pPr>
    <w:rPr>
      <w:rFonts w:ascii="宋体" w:hAnsi="宋体"/>
      <w:sz w:val="28"/>
      <w:szCs w:val="28"/>
    </w:rPr>
  </w:style>
  <w:style w:type="character" w:styleId="1075" w:customStyle="1">
    <w:name w:val="WW-Absatz-Standardschriftart11"/>
    <w:uiPriority w:val="0"/>
    <w:qFormat/>
  </w:style>
  <w:style w:type="character" w:styleId="1076" w:customStyle="1">
    <w:name w:val="正文文本 3 Char3"/>
    <w:uiPriority w:val="0"/>
    <w:qFormat/>
    <w:rPr>
      <w:rFonts w:ascii="仿宋_GB2312" w:hAnsi="Arial" w:eastAsia="仿宋_GB2312"/>
      <w:sz w:val="32"/>
    </w:rPr>
  </w:style>
  <w:style w:type="character" w:styleId="1077" w:customStyle="1">
    <w:name w:val="WW8Num34z2"/>
    <w:uiPriority w:val="0"/>
    <w:qFormat/>
    <w:rPr>
      <w:rFonts w:ascii="StarSymbol" w:hAnsi="StarSymbol" w:cs="StarSymbol"/>
      <w:sz w:val="18"/>
      <w:szCs w:val="18"/>
    </w:rPr>
  </w:style>
  <w:style w:type="character" w:styleId="1078" w:customStyle="1">
    <w:name w:val="日期 Char4"/>
    <w:uiPriority w:val="0"/>
    <w:qFormat/>
    <w:rPr>
      <w:rFonts w:ascii="仿宋_GB2312" w:eastAsia="仿宋_GB2312"/>
      <w:b/>
      <w:sz w:val="36"/>
      <w:szCs w:val="24"/>
    </w:rPr>
  </w:style>
  <w:style w:type="character" w:styleId="1079" w:customStyle="1">
    <w:name w:val="正文文本缩进 3 字符1"/>
    <w:uiPriority w:val="99"/>
    <w:qFormat/>
    <w:rPr>
      <w:rFonts w:ascii="宋体" w:hAnsi="Times New Roman" w:eastAsia="方正仿宋_GBK" w:cs="Times New Roman"/>
      <w:sz w:val="16"/>
      <w:szCs w:val="16"/>
    </w:rPr>
  </w:style>
  <w:style w:type="character" w:styleId="1080" w:customStyle="1">
    <w:name w:val="正文文本缩进 3 Char3"/>
    <w:uiPriority w:val="0"/>
    <w:qFormat/>
    <w:rPr>
      <w:rFonts w:ascii="Arial Unicode MS" w:hAnsi="Arial" w:eastAsia="Arial Unicode MS"/>
      <w:sz w:val="36"/>
    </w:rPr>
  </w:style>
  <w:style w:type="character" w:styleId="1081" w:customStyle="1">
    <w:name w:val="WW8Num6z1"/>
    <w:uiPriority w:val="0"/>
    <w:qFormat/>
    <w:rPr>
      <w:rFonts w:ascii="Wingdings" w:hAnsi="Wingdings"/>
    </w:rPr>
  </w:style>
  <w:style w:type="character" w:styleId="1082" w:customStyle="1">
    <w:name w:val="正文文本 2 Char3"/>
    <w:uiPriority w:val="0"/>
    <w:qFormat/>
    <w:rPr>
      <w:szCs w:val="24"/>
    </w:rPr>
  </w:style>
  <w:style w:type="character" w:styleId="1083" w:customStyle="1">
    <w:name w:val="WW8Num32z2"/>
    <w:uiPriority w:val="0"/>
    <w:qFormat/>
    <w:rPr>
      <w:rFonts w:ascii="StarSymbol" w:hAnsi="StarSymbol" w:cs="StarSymbol"/>
      <w:sz w:val="18"/>
      <w:szCs w:val="18"/>
    </w:rPr>
  </w:style>
  <w:style w:type="character" w:styleId="1084" w:customStyle="1">
    <w:name w:val="列表段落 字符1"/>
    <w:uiPriority w:val="34"/>
    <w:qFormat/>
    <w:rPr>
      <w:rFonts w:ascii="Calibri" w:hAnsi="Calibri"/>
      <w:sz w:val="21"/>
      <w:szCs w:val="22"/>
    </w:rPr>
  </w:style>
  <w:style w:type="character" w:styleId="1085" w:customStyle="1">
    <w:name w:val="WW8Num28z0"/>
    <w:uiPriority w:val="0"/>
    <w:qFormat/>
    <w:rPr>
      <w:rFonts w:ascii="Wingdings" w:hAnsi="Wingdings" w:cs="StarSymbol"/>
      <w:sz w:val="18"/>
      <w:szCs w:val="18"/>
    </w:rPr>
  </w:style>
  <w:style w:type="character" w:styleId="1086" w:customStyle="1">
    <w:name w:val="WW8Num2z2"/>
    <w:uiPriority w:val="0"/>
    <w:qFormat/>
    <w:rPr>
      <w:rFonts w:ascii="StarSymbol" w:hAnsi="StarSymbol" w:cs="StarSymbol"/>
      <w:sz w:val="18"/>
      <w:szCs w:val="18"/>
    </w:rPr>
  </w:style>
  <w:style w:type="character" w:styleId="1087" w:customStyle="1">
    <w:name w:val="apple-converted-space"/>
    <w:uiPriority w:val="0"/>
    <w:qFormat/>
  </w:style>
  <w:style w:type="character" w:styleId="1088" w:customStyle="1">
    <w:name w:val="WW8Num35z2"/>
    <w:uiPriority w:val="0"/>
    <w:qFormat/>
    <w:rPr>
      <w:rFonts w:ascii="StarSymbol" w:hAnsi="StarSymbol" w:cs="StarSymbol"/>
      <w:sz w:val="18"/>
      <w:szCs w:val="18"/>
    </w:rPr>
  </w:style>
  <w:style w:type="character" w:styleId="1089" w:customStyle="1">
    <w:name w:val="标题 Char3"/>
    <w:uiPriority w:val="10"/>
    <w:qFormat/>
    <w:rPr>
      <w:rFonts w:ascii="Cambria" w:hAnsi="Cambria"/>
      <w:b/>
      <w:bCs/>
      <w:sz w:val="32"/>
      <w:szCs w:val="32"/>
    </w:rPr>
  </w:style>
  <w:style w:type="character" w:styleId="1090" w:customStyle="1">
    <w:name w:val="WW8Num10z0"/>
    <w:uiPriority w:val="0"/>
    <w:qFormat/>
    <w:rPr>
      <w:rFonts w:ascii="Wingdings" w:hAnsi="Wingdings" w:cs="StarSymbol"/>
      <w:sz w:val="18"/>
      <w:szCs w:val="18"/>
    </w:rPr>
  </w:style>
  <w:style w:type="character" w:styleId="1091" w:customStyle="1">
    <w:name w:val="正文首行缩进 Char5"/>
    <w:uiPriority w:val="0"/>
    <w:semiHidden/>
    <w:qFormat/>
    <w:rPr>
      <w:rFonts w:ascii="Arial" w:hAnsi="Arial"/>
      <w:szCs w:val="21"/>
    </w:rPr>
  </w:style>
  <w:style w:type="character" w:styleId="1092" w:customStyle="1">
    <w:name w:val="WW8Num32z0"/>
    <w:uiPriority w:val="0"/>
    <w:qFormat/>
    <w:rPr>
      <w:rFonts w:ascii="Wingdings" w:hAnsi="Wingdings" w:cs="StarSymbol"/>
      <w:sz w:val="18"/>
      <w:szCs w:val="18"/>
    </w:rPr>
  </w:style>
  <w:style w:type="character" w:styleId="1093" w:customStyle="1">
    <w:name w:val="正文首行缩进 Char1"/>
    <w:uiPriority w:val="0"/>
    <w:qFormat/>
    <w:rPr>
      <w:rFonts w:ascii="Times New Roman" w:hAnsi="Times New Roman" w:eastAsia="宋体" w:cs="Times New Roman"/>
      <w:szCs w:val="24"/>
    </w:rPr>
  </w:style>
  <w:style w:type="character" w:styleId="1094" w:customStyle="1">
    <w:name w:val="标题 3 字符1"/>
    <w:uiPriority w:val="0"/>
    <w:qFormat/>
    <w:rPr>
      <w:rFonts w:ascii="仿宋" w:eastAsia="仿宋"/>
      <w:b/>
      <w:sz w:val="32"/>
      <w:szCs w:val="32"/>
    </w:rPr>
  </w:style>
  <w:style w:type="character" w:styleId="1095" w:customStyle="1">
    <w:name w:val="正文首行缩进 Char2"/>
    <w:uiPriority w:val="0"/>
    <w:qFormat/>
    <w:rPr>
      <w:rFonts w:ascii="楷体_GB2312" w:hAnsi="Arial" w:eastAsia="楷体_GB2312"/>
      <w:sz w:val="21"/>
      <w:szCs w:val="24"/>
    </w:rPr>
  </w:style>
  <w:style w:type="character" w:styleId="1096" w:customStyle="1">
    <w:name w:val="正文文本 2 字符1"/>
    <w:uiPriority w:val="99"/>
    <w:semiHidden/>
    <w:qFormat/>
    <w:rPr>
      <w:rFonts w:ascii="Times New Roman" w:hAnsi="Times New Roman" w:eastAsia="方正仿宋_GBK" w:cs="Times New Roman"/>
      <w:sz w:val="24"/>
      <w:szCs w:val="24"/>
    </w:rPr>
  </w:style>
  <w:style w:type="character" w:styleId="1097" w:customStyle="1">
    <w:name w:val="Table Heading Char1"/>
    <w:link w:val="1098"/>
    <w:uiPriority w:val="0"/>
    <w:qFormat/>
    <w:rPr>
      <w:rFonts w:ascii="Book Antiqua" w:hAnsi="Book Antiqua" w:eastAsia="黑体" w:cs="Book Antiqua"/>
      <w:bCs/>
      <w:szCs w:val="21"/>
    </w:rPr>
  </w:style>
  <w:style w:type="paragraph" w:styleId="1098" w:customStyle="1">
    <w:name w:val="Table Heading"/>
    <w:basedOn w:val="678"/>
    <w:link w:val="1097"/>
    <w:uiPriority w:val="0"/>
    <w:qFormat/>
    <w:pPr>
      <w:jc w:val="left"/>
      <w:keepNext/>
      <w:spacing w:before="80" w:after="80" w:line="240" w:lineRule="atLeast"/>
    </w:pPr>
    <w:rPr>
      <w:rFonts w:ascii="Book Antiqua" w:hAnsi="Book Antiqua" w:eastAsia="黑体" w:cs="Book Antiqua"/>
      <w:bCs/>
      <w:szCs w:val="21"/>
    </w:rPr>
  </w:style>
  <w:style w:type="character" w:styleId="1099" w:customStyle="1">
    <w:name w:val="二级采标题 字符"/>
    <w:link w:val="1100"/>
    <w:uiPriority w:val="0"/>
    <w:qFormat/>
    <w:rPr>
      <w:rFonts w:ascii="Calibri" w:hAnsi="Calibri" w:eastAsia="Arial" w:cs="Arial"/>
    </w:rPr>
  </w:style>
  <w:style w:type="paragraph" w:styleId="1100" w:customStyle="1">
    <w:name w:val="二级采标题"/>
    <w:next w:val="1101"/>
    <w:link w:val="1099"/>
    <w:uiPriority w:val="0"/>
    <w:qFormat/>
    <w:pPr>
      <w:ind w:left="1134" w:hanging="1134"/>
    </w:pPr>
    <w:rPr>
      <w:rFonts w:ascii="Calibri" w:hAnsi="Calibri" w:eastAsia="Arial" w:cs="Arial"/>
      <w:sz w:val="21"/>
      <w:szCs w:val="22"/>
      <w:lang w:val="en-US" w:eastAsia="zh-CN" w:bidi="ar-SA"/>
    </w:rPr>
  </w:style>
  <w:style w:type="paragraph" w:styleId="1101" w:customStyle="1">
    <w:name w:val="段"/>
    <w:uiPriority w:val="0"/>
    <w:qFormat/>
    <w:pPr>
      <w:ind w:firstLine="200"/>
      <w:jc w:val="both"/>
    </w:pPr>
    <w:rPr>
      <w:rFonts w:ascii="宋体" w:hAnsi="Times New Roman" w:eastAsia="宋体" w:cs="Times New Roman"/>
      <w:sz w:val="21"/>
      <w:lang w:val="en-US" w:eastAsia="zh-CN" w:bidi="ar-SA"/>
    </w:rPr>
  </w:style>
  <w:style w:type="character" w:styleId="1102" w:customStyle="1">
    <w:name w:val="Table Text Char"/>
    <w:link w:val="1103"/>
    <w:uiPriority w:val="0"/>
    <w:qFormat/>
    <w:rPr>
      <w:rFonts w:cs="Arial"/>
      <w:szCs w:val="21"/>
    </w:rPr>
  </w:style>
  <w:style w:type="paragraph" w:styleId="1103" w:customStyle="1">
    <w:name w:val="Table Text"/>
    <w:basedOn w:val="678"/>
    <w:link w:val="1102"/>
    <w:uiPriority w:val="0"/>
    <w:qFormat/>
    <w:pPr>
      <w:jc w:val="left"/>
      <w:spacing w:before="80" w:after="80" w:line="240" w:lineRule="atLeast"/>
    </w:pPr>
    <w:rPr>
      <w:rFonts w:cs="Arial"/>
      <w:szCs w:val="21"/>
    </w:rPr>
  </w:style>
  <w:style w:type="character" w:styleId="1104" w:customStyle="1">
    <w:name w:val="WW8Num28z2"/>
    <w:uiPriority w:val="0"/>
    <w:qFormat/>
    <w:rPr>
      <w:rFonts w:ascii="StarSymbol" w:hAnsi="StarSymbol" w:cs="StarSymbol"/>
      <w:sz w:val="18"/>
      <w:szCs w:val="18"/>
    </w:rPr>
  </w:style>
  <w:style w:type="character" w:styleId="1105" w:customStyle="1">
    <w:name w:val="标题2 Char"/>
    <w:link w:val="1106"/>
    <w:uiPriority w:val="0"/>
    <w:qFormat/>
    <w:rPr>
      <w:rFonts w:ascii="宋体" w:hAnsi="宋体"/>
      <w:b/>
      <w:bCs/>
      <w:sz w:val="28"/>
      <w:szCs w:val="28"/>
    </w:rPr>
  </w:style>
  <w:style w:type="paragraph" w:styleId="1106" w:customStyle="1">
    <w:name w:val="标题2"/>
    <w:basedOn w:val="680"/>
    <w:next w:val="678"/>
    <w:link w:val="1105"/>
    <w:uiPriority w:val="0"/>
    <w:qFormat/>
    <w:pPr>
      <w:ind w:left="425"/>
      <w:jc w:val="left"/>
      <w:spacing w:before="0" w:after="0" w:line="360" w:lineRule="auto"/>
    </w:pPr>
    <w:rPr>
      <w:rFonts w:ascii="宋体" w:hAnsi="宋体" w:eastAsiaTheme="minorEastAsia" w:cstheme="minorBidi"/>
      <w:bCs/>
      <w:sz w:val="28"/>
      <w:szCs w:val="28"/>
    </w:rPr>
  </w:style>
  <w:style w:type="character" w:styleId="1107" w:customStyle="1">
    <w:name w:val="WW8Num17z1"/>
    <w:uiPriority w:val="0"/>
    <w:qFormat/>
    <w:rPr>
      <w:rFonts w:ascii="Wingdings 2" w:hAnsi="Wingdings 2" w:cs="StarSymbol"/>
      <w:sz w:val="18"/>
      <w:szCs w:val="18"/>
    </w:rPr>
  </w:style>
  <w:style w:type="character" w:styleId="1108" w:customStyle="1">
    <w:name w:val="font01"/>
    <w:uiPriority w:val="0"/>
    <w:qFormat/>
    <w:rPr>
      <w:rFonts w:hint="eastAsia" w:ascii="楷体" w:hAnsi="楷体" w:eastAsia="楷体" w:cs="楷体"/>
      <w:color w:val="ff0000"/>
      <w:sz w:val="22"/>
      <w:szCs w:val="22"/>
      <w:u w:val="none"/>
    </w:rPr>
  </w:style>
  <w:style w:type="character" w:styleId="1109" w:customStyle="1">
    <w:name w:val="WW8Num23z0"/>
    <w:uiPriority w:val="0"/>
    <w:qFormat/>
    <w:rPr>
      <w:rFonts w:ascii="Wingdings" w:hAnsi="Wingdings" w:cs="StarSymbol"/>
      <w:sz w:val="18"/>
      <w:szCs w:val="18"/>
    </w:rPr>
  </w:style>
  <w:style w:type="character" w:styleId="1110" w:customStyle="1">
    <w:name w:val="font21"/>
    <w:uiPriority w:val="0"/>
    <w:qFormat/>
    <w:rPr>
      <w:rFonts w:hint="eastAsia" w:ascii="楷体" w:hAnsi="楷体" w:eastAsia="楷体" w:cs="楷体"/>
      <w:color w:val="000000"/>
      <w:sz w:val="22"/>
      <w:szCs w:val="22"/>
      <w:u w:val="none"/>
    </w:rPr>
  </w:style>
  <w:style w:type="character" w:styleId="1111" w:customStyle="1">
    <w:name w:val="Absatz-Standardschriftart"/>
    <w:uiPriority w:val="0"/>
    <w:qFormat/>
  </w:style>
  <w:style w:type="character" w:styleId="1112" w:customStyle="1">
    <w:name w:val="批注文字 Char1"/>
    <w:uiPriority w:val="0"/>
    <w:qFormat/>
    <w:rPr>
      <w:rFonts w:ascii="Times New Roman" w:hAnsi="Times New Roman" w:eastAsia="宋体" w:cs="Times New Roman"/>
      <w:szCs w:val="24"/>
    </w:rPr>
  </w:style>
  <w:style w:type="character" w:styleId="1113" w:customStyle="1">
    <w:name w:val="WW8Num20z1"/>
    <w:uiPriority w:val="0"/>
    <w:qFormat/>
    <w:rPr>
      <w:rFonts w:ascii="Wingdings 2" w:hAnsi="Wingdings 2" w:cs="StarSymbol"/>
      <w:sz w:val="18"/>
      <w:szCs w:val="18"/>
    </w:rPr>
  </w:style>
  <w:style w:type="character" w:styleId="1114" w:customStyle="1">
    <w:name w:val="font31"/>
    <w:uiPriority w:val="0"/>
    <w:qFormat/>
    <w:rPr>
      <w:rFonts w:hint="eastAsia" w:ascii="宋体" w:hAnsi="宋体" w:eastAsia="宋体" w:cs="宋体"/>
      <w:b/>
      <w:color w:val="000000"/>
      <w:sz w:val="24"/>
      <w:szCs w:val="24"/>
      <w:u w:val="none"/>
    </w:rPr>
  </w:style>
  <w:style w:type="character" w:styleId="1115" w:customStyle="1">
    <w:name w:val="金宏发行正文 Char Char Char"/>
    <w:uiPriority w:val="0"/>
    <w:qFormat/>
    <w:rPr>
      <w:rFonts w:hint="eastAsia" w:ascii="仿宋_GB2312" w:eastAsia="仿宋_GB2312" w:cs="宋体"/>
      <w:sz w:val="28"/>
    </w:rPr>
  </w:style>
  <w:style w:type="character" w:styleId="1116" w:customStyle="1">
    <w:name w:val="se11"/>
    <w:uiPriority w:val="0"/>
    <w:qFormat/>
    <w:rPr>
      <w:rFonts w:ascii="Tahoma" w:hAnsi="Tahoma" w:cs="Times New Roman"/>
      <w:color w:val="000000"/>
      <w:sz w:val="24"/>
      <w:lang w:bidi="ar-SA"/>
    </w:rPr>
  </w:style>
  <w:style w:type="character" w:styleId="1117" w:customStyle="1">
    <w:name w:val="WW8Num6z2"/>
    <w:uiPriority w:val="0"/>
    <w:qFormat/>
    <w:rPr>
      <w:rFonts w:ascii="StarSymbol" w:hAnsi="StarSymbol" w:cs="StarSymbol"/>
      <w:sz w:val="18"/>
      <w:szCs w:val="18"/>
    </w:rPr>
  </w:style>
  <w:style w:type="character" w:styleId="1118" w:customStyle="1">
    <w:name w:val="模板正文 Char"/>
    <w:link w:val="1119"/>
    <w:uiPriority w:val="0"/>
    <w:qFormat/>
    <w:rPr>
      <w:rFonts w:ascii="Calibri" w:hAnsi="Calibri"/>
      <w:sz w:val="28"/>
      <w:szCs w:val="21"/>
    </w:rPr>
  </w:style>
  <w:style w:type="paragraph" w:styleId="1119" w:customStyle="1">
    <w:name w:val="模板正文"/>
    <w:basedOn w:val="678"/>
    <w:link w:val="1118"/>
    <w:uiPriority w:val="0"/>
    <w:qFormat/>
    <w:pPr>
      <w:ind w:firstLine="200"/>
      <w:spacing w:line="360" w:lineRule="auto"/>
    </w:pPr>
    <w:rPr>
      <w:rFonts w:ascii="Calibri" w:hAnsi="Calibri"/>
      <w:sz w:val="28"/>
      <w:szCs w:val="21"/>
    </w:rPr>
  </w:style>
  <w:style w:type="character" w:styleId="1120" w:customStyle="1">
    <w:name w:val="批注框文本 字符1"/>
    <w:uiPriority w:val="99"/>
    <w:qFormat/>
    <w:rPr>
      <w:rFonts w:ascii="Times New Roman" w:hAnsi="Times New Roman" w:eastAsia="方正仿宋_GBK" w:cs="Times New Roman"/>
      <w:sz w:val="18"/>
      <w:szCs w:val="18"/>
    </w:rPr>
  </w:style>
  <w:style w:type="character" w:styleId="1121" w:customStyle="1">
    <w:name w:val="标书正文 Char"/>
    <w:link w:val="1122"/>
    <w:uiPriority w:val="0"/>
    <w:qFormat/>
    <w:rPr>
      <w:rFonts w:ascii="Calibri" w:hAnsi="Calibri"/>
    </w:rPr>
  </w:style>
  <w:style w:type="paragraph" w:styleId="1122" w:customStyle="1">
    <w:name w:val="标书正文"/>
    <w:basedOn w:val="678"/>
    <w:link w:val="1121"/>
    <w:uiPriority w:val="0"/>
    <w:qFormat/>
    <w:pPr>
      <w:ind w:firstLine="200"/>
      <w:spacing w:before="120" w:line="360" w:lineRule="auto"/>
    </w:pPr>
    <w:rPr>
      <w:rFonts w:ascii="Calibri" w:hAnsi="Calibri"/>
    </w:rPr>
  </w:style>
  <w:style w:type="character" w:styleId="1123" w:customStyle="1">
    <w:name w:val="二级条标题 字符"/>
    <w:link w:val="1124"/>
    <w:uiPriority w:val="0"/>
    <w:qFormat/>
    <w:rPr>
      <w:rFonts w:ascii="黑体" w:eastAsia="黑体"/>
    </w:rPr>
  </w:style>
  <w:style w:type="paragraph" w:styleId="1124" w:customStyle="1">
    <w:name w:val="二级条标题"/>
    <w:basedOn w:val="1125"/>
    <w:next w:val="1101"/>
    <w:link w:val="1123"/>
    <w:uiPriority w:val="0"/>
    <w:qFormat/>
    <w:pPr>
      <w:ind w:left="630"/>
      <w:tabs>
        <w:tab w:val="left" w:pos="567" w:leader="none"/>
        <w:tab w:val="left" w:pos="780" w:leader="none"/>
      </w:tabs>
      <w:outlineLvl w:val="3"/>
    </w:pPr>
    <w:rPr>
      <w:rFonts w:hAnsiTheme="minorHAnsi" w:cstheme="minorBidi"/>
      <w:sz w:val="21"/>
      <w:szCs w:val="22"/>
    </w:rPr>
  </w:style>
  <w:style w:type="paragraph" w:styleId="1125" w:customStyle="1">
    <w:name w:val="一级条标题"/>
    <w:basedOn w:val="1126"/>
    <w:next w:val="1101"/>
    <w:link w:val="1128"/>
    <w:uiPriority w:val="0"/>
    <w:qFormat/>
    <w:pPr>
      <w:ind w:left="420" w:hanging="420"/>
      <w:tabs>
        <w:tab w:val="left" w:pos="567" w:leader="none"/>
        <w:tab w:val="left" w:pos="780" w:leader="none"/>
      </w:tabs>
      <w:outlineLvl w:val="2"/>
    </w:pPr>
  </w:style>
  <w:style w:type="paragraph" w:styleId="1126" w:customStyle="1">
    <w:name w:val="章标题"/>
    <w:next w:val="1101"/>
    <w:link w:val="1127"/>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character" w:styleId="1127" w:customStyle="1">
    <w:name w:val="章标题 Char"/>
    <w:link w:val="1126"/>
    <w:uiPriority w:val="0"/>
    <w:qFormat/>
    <w:rPr>
      <w:rFonts w:ascii="黑体" w:hAnsi="Times New Roman" w:eastAsia="黑体" w:cs="Times New Roman"/>
      <w:sz w:val="20"/>
      <w:szCs w:val="20"/>
    </w:rPr>
  </w:style>
  <w:style w:type="character" w:styleId="1128" w:customStyle="1">
    <w:name w:val="一级条标题 Char Char"/>
    <w:link w:val="1125"/>
    <w:uiPriority w:val="0"/>
    <w:qFormat/>
    <w:rPr>
      <w:rFonts w:ascii="黑体" w:hAnsi="Times New Roman" w:eastAsia="黑体" w:cs="Times New Roman"/>
      <w:sz w:val="20"/>
      <w:szCs w:val="20"/>
    </w:rPr>
  </w:style>
  <w:style w:type="character" w:styleId="1129" w:customStyle="1">
    <w:name w:val="页脚 Char1"/>
    <w:uiPriority w:val="0"/>
    <w:qFormat/>
    <w:rPr>
      <w:sz w:val="18"/>
      <w:szCs w:val="18"/>
    </w:rPr>
  </w:style>
  <w:style w:type="character" w:styleId="1130" w:customStyle="1">
    <w:name w:val="WW8Num15z1"/>
    <w:uiPriority w:val="0"/>
    <w:qFormat/>
    <w:rPr>
      <w:rFonts w:ascii="Wingdings 2" w:hAnsi="Wingdings 2" w:cs="StarSymbol"/>
      <w:sz w:val="18"/>
      <w:szCs w:val="18"/>
    </w:rPr>
  </w:style>
  <w:style w:type="character" w:styleId="1131" w:customStyle="1">
    <w:name w:val="n正文 Char"/>
    <w:link w:val="1132"/>
    <w:uiPriority w:val="0"/>
    <w:qFormat/>
    <w:rPr>
      <w:rFonts w:ascii="等线" w:hAnsi="等线" w:eastAsia="仿宋_GB2312" w:cs="Arial"/>
      <w:color w:val="000000"/>
      <w:sz w:val="28"/>
      <w:szCs w:val="28"/>
    </w:rPr>
  </w:style>
  <w:style w:type="paragraph" w:styleId="1132" w:customStyle="1">
    <w:name w:val="n正文"/>
    <w:link w:val="1131"/>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133" w:customStyle="1">
    <w:name w:val="Table Text Char1"/>
    <w:uiPriority w:val="0"/>
    <w:qFormat/>
    <w:rPr>
      <w:sz w:val="21"/>
      <w:szCs w:val="21"/>
    </w:rPr>
  </w:style>
  <w:style w:type="character" w:styleId="1134" w:customStyle="1">
    <w:name w:val="正文文本缩进 Char1"/>
    <w:uiPriority w:val="0"/>
    <w:qFormat/>
    <w:rPr>
      <w:rFonts w:ascii="Calibri" w:hAnsi="Calibri" w:eastAsia="宋体" w:cs="Times New Roman"/>
    </w:rPr>
  </w:style>
  <w:style w:type="character" w:styleId="1135" w:customStyle="1">
    <w:name w:val="文章正文 Char"/>
    <w:uiPriority w:val="0"/>
    <w:qFormat/>
    <w:rPr>
      <w:rFonts w:ascii="Calibri" w:hAnsi="Calibri"/>
      <w:sz w:val="21"/>
      <w:szCs w:val="24"/>
    </w:rPr>
  </w:style>
  <w:style w:type="character" w:styleId="1136" w:customStyle="1">
    <w:name w:val="GEO正文 Char"/>
    <w:link w:val="1137"/>
    <w:uiPriority w:val="0"/>
    <w:qFormat/>
    <w:rPr>
      <w:rFonts w:eastAsia="仿宋_GB2312"/>
      <w:sz w:val="28"/>
    </w:rPr>
  </w:style>
  <w:style w:type="paragraph" w:styleId="1137" w:customStyle="1">
    <w:name w:val="GEO正文"/>
    <w:basedOn w:val="678"/>
    <w:link w:val="1136"/>
    <w:uiPriority w:val="0"/>
    <w:qFormat/>
    <w:pPr>
      <w:ind w:firstLine="200"/>
      <w:spacing w:line="360" w:lineRule="auto"/>
    </w:pPr>
    <w:rPr>
      <w:rFonts w:eastAsia="仿宋_GB2312"/>
      <w:sz w:val="28"/>
    </w:rPr>
  </w:style>
  <w:style w:type="character" w:styleId="1138" w:customStyle="1">
    <w:name w:val="WW8Num35z1"/>
    <w:uiPriority w:val="0"/>
    <w:qFormat/>
    <w:rPr>
      <w:rFonts w:ascii="Wingdings 2" w:hAnsi="Wingdings 2" w:cs="StarSymbol"/>
      <w:sz w:val="18"/>
      <w:szCs w:val="18"/>
    </w:rPr>
  </w:style>
  <w:style w:type="character" w:styleId="1139" w:customStyle="1">
    <w:name w:val="页眉 Char1"/>
    <w:uiPriority w:val="0"/>
    <w:qFormat/>
    <w:rPr>
      <w:sz w:val="18"/>
      <w:szCs w:val="18"/>
    </w:rPr>
  </w:style>
  <w:style w:type="character" w:styleId="1140" w:customStyle="1">
    <w:name w:val="WW8Num34z1"/>
    <w:uiPriority w:val="0"/>
    <w:qFormat/>
    <w:rPr>
      <w:rFonts w:ascii="Wingdings 2" w:hAnsi="Wingdings 2" w:cs="StarSymbol"/>
      <w:sz w:val="18"/>
      <w:szCs w:val="18"/>
    </w:rPr>
  </w:style>
  <w:style w:type="character" w:styleId="1141" w:customStyle="1">
    <w:name w:val="文档结构图 Char1"/>
    <w:uiPriority w:val="0"/>
    <w:qFormat/>
    <w:rPr>
      <w:rFonts w:ascii="宋体" w:hAnsi="Calibri" w:eastAsia="宋体" w:cs="Times New Roman"/>
      <w:sz w:val="18"/>
      <w:szCs w:val="18"/>
    </w:rPr>
  </w:style>
  <w:style w:type="character" w:styleId="1142" w:customStyle="1">
    <w:name w:val="WW8Num21z0"/>
    <w:uiPriority w:val="0"/>
    <w:qFormat/>
    <w:rPr>
      <w:rFonts w:ascii="Wingdings" w:hAnsi="Wingdings" w:cs="StarSymbol"/>
      <w:sz w:val="18"/>
      <w:szCs w:val="18"/>
    </w:rPr>
  </w:style>
  <w:style w:type="character" w:styleId="1143" w:customStyle="1">
    <w:name w:val="页脚 Char2"/>
    <w:uiPriority w:val="99"/>
    <w:qFormat/>
    <w:rPr>
      <w:sz w:val="18"/>
      <w:szCs w:val="18"/>
    </w:rPr>
  </w:style>
  <w:style w:type="character" w:styleId="1144" w:customStyle="1">
    <w:name w:val="WW8Num1z1"/>
    <w:uiPriority w:val="0"/>
    <w:qFormat/>
    <w:rPr>
      <w:rFonts w:ascii="Wingdings" w:hAnsi="Wingdings"/>
    </w:rPr>
  </w:style>
  <w:style w:type="character" w:styleId="1145" w:customStyle="1">
    <w:name w:val="批注主题 Char1"/>
    <w:uiPriority w:val="0"/>
    <w:qFormat/>
    <w:rPr>
      <w:rFonts w:ascii="Calibri" w:hAnsi="Calibri" w:eastAsia="宋体" w:cs="Times New Roman"/>
      <w:b/>
      <w:bCs/>
      <w:sz w:val="21"/>
      <w:szCs w:val="22"/>
    </w:rPr>
  </w:style>
  <w:style w:type="character" w:styleId="1146" w:customStyle="1">
    <w:name w:val="我的图表标题 Char"/>
    <w:uiPriority w:val="0"/>
    <w:qFormat/>
    <w:rPr>
      <w:rFonts w:ascii="Cambria" w:hAnsi="Cambria" w:eastAsia="黑体" w:cs="宋体"/>
      <w:sz w:val="24"/>
    </w:rPr>
  </w:style>
  <w:style w:type="character" w:styleId="1147" w:customStyle="1">
    <w:name w:val="页眉 Char2"/>
    <w:uiPriority w:val="99"/>
    <w:qFormat/>
    <w:rPr>
      <w:sz w:val="18"/>
      <w:szCs w:val="18"/>
    </w:rPr>
  </w:style>
  <w:style w:type="character" w:styleId="1148" w:customStyle="1">
    <w:name w:val="WW8Num14z2"/>
    <w:uiPriority w:val="0"/>
    <w:qFormat/>
    <w:rPr>
      <w:rFonts w:ascii="StarSymbol" w:hAnsi="StarSymbol" w:cs="StarSymbol"/>
      <w:sz w:val="18"/>
      <w:szCs w:val="18"/>
    </w:rPr>
  </w:style>
  <w:style w:type="character" w:styleId="1149" w:customStyle="1">
    <w:name w:val="正文文本缩进 2 Char1"/>
    <w:uiPriority w:val="0"/>
    <w:qFormat/>
    <w:rPr>
      <w:rFonts w:ascii="Calibri" w:hAnsi="Calibri" w:eastAsia="宋体" w:cs="Times New Roman"/>
    </w:rPr>
  </w:style>
  <w:style w:type="character" w:styleId="1150" w:customStyle="1">
    <w:name w:val="不明显强调1"/>
    <w:uiPriority w:val="0"/>
    <w:qFormat/>
    <w:rPr>
      <w:i/>
      <w:iCs/>
      <w:color w:val="808080"/>
    </w:rPr>
  </w:style>
  <w:style w:type="character" w:styleId="1151" w:customStyle="1">
    <w:name w:val="正文文本缩进 3 Char1"/>
    <w:uiPriority w:val="0"/>
    <w:qFormat/>
    <w:rPr>
      <w:rFonts w:ascii="Calibri" w:hAnsi="Calibri" w:eastAsia="宋体" w:cs="Times New Roman"/>
      <w:sz w:val="16"/>
      <w:szCs w:val="16"/>
    </w:rPr>
  </w:style>
  <w:style w:type="character" w:styleId="1152" w:customStyle="1">
    <w:name w:val="批注文字 字符1"/>
    <w:uiPriority w:val="0"/>
    <w:qFormat/>
    <w:rPr>
      <w:rFonts w:ascii="Times New Roman" w:hAnsi="Times New Roman" w:eastAsia="方正仿宋_GBK" w:cs="Times New Roman"/>
      <w:sz w:val="24"/>
      <w:szCs w:val="24"/>
    </w:rPr>
  </w:style>
  <w:style w:type="character" w:styleId="1153" w:customStyle="1">
    <w:name w:val="纯文本 Char2"/>
    <w:uiPriority w:val="0"/>
    <w:qFormat/>
    <w:rPr>
      <w:rFonts w:ascii="宋体" w:hAnsi="Courier New" w:eastAsia="宋体" w:cs="Courier New"/>
      <w:szCs w:val="21"/>
    </w:rPr>
  </w:style>
  <w:style w:type="character" w:styleId="1154" w:customStyle="1">
    <w:name w:val="WW8Num19z1"/>
    <w:uiPriority w:val="0"/>
    <w:qFormat/>
    <w:rPr>
      <w:rFonts w:ascii="Wingdings" w:hAnsi="Wingdings"/>
    </w:rPr>
  </w:style>
  <w:style w:type="character" w:styleId="1155" w:customStyle="1">
    <w:name w:val="正文文本缩进 Char2"/>
    <w:uiPriority w:val="99"/>
    <w:semiHidden/>
    <w:qFormat/>
    <w:rPr>
      <w:sz w:val="21"/>
      <w:szCs w:val="22"/>
    </w:rPr>
  </w:style>
  <w:style w:type="character" w:styleId="1156" w:customStyle="1">
    <w:name w:val="WW8Num14z7"/>
    <w:uiPriority w:val="0"/>
    <w:qFormat/>
    <w:rPr>
      <w:rFonts w:ascii="Wingdings" w:hAnsi="Wingdings"/>
    </w:rPr>
  </w:style>
  <w:style w:type="character" w:styleId="1157" w:customStyle="1">
    <w:name w:val="正文文本缩进 2 Char2"/>
    <w:uiPriority w:val="99"/>
    <w:semiHidden/>
    <w:qFormat/>
    <w:rPr>
      <w:sz w:val="21"/>
      <w:szCs w:val="22"/>
    </w:rPr>
  </w:style>
  <w:style w:type="character" w:styleId="1158" w:customStyle="1">
    <w:name w:val="WW8Num23z1"/>
    <w:uiPriority w:val="0"/>
    <w:qFormat/>
    <w:rPr>
      <w:rFonts w:ascii="Wingdings 2" w:hAnsi="Wingdings 2" w:cs="StarSymbol"/>
      <w:sz w:val="18"/>
      <w:szCs w:val="18"/>
    </w:rPr>
  </w:style>
  <w:style w:type="character" w:styleId="1159" w:customStyle="1">
    <w:name w:val="批注框文本 Char1"/>
    <w:uiPriority w:val="0"/>
    <w:qFormat/>
    <w:rPr>
      <w:sz w:val="18"/>
      <w:szCs w:val="18"/>
    </w:rPr>
  </w:style>
  <w:style w:type="character" w:styleId="1160" w:customStyle="1">
    <w:name w:val="WW8Num3z2"/>
    <w:uiPriority w:val="0"/>
    <w:qFormat/>
    <w:rPr>
      <w:rFonts w:ascii="StarSymbol" w:hAnsi="StarSymbol" w:cs="StarSymbol"/>
      <w:sz w:val="18"/>
      <w:szCs w:val="18"/>
    </w:rPr>
  </w:style>
  <w:style w:type="character" w:styleId="1161" w:customStyle="1">
    <w:name w:val="文档结构图 Char2"/>
    <w:uiPriority w:val="99"/>
    <w:qFormat/>
    <w:rPr>
      <w:rFonts w:ascii="宋体"/>
      <w:sz w:val="18"/>
      <w:szCs w:val="18"/>
    </w:rPr>
  </w:style>
  <w:style w:type="character" w:styleId="1162" w:customStyle="1">
    <w:name w:val="样式 InfoBlue + 倾斜 Char"/>
    <w:uiPriority w:val="0"/>
    <w:qFormat/>
    <w:rPr>
      <w:color w:val="0000ff"/>
      <w:sz w:val="21"/>
    </w:rPr>
  </w:style>
  <w:style w:type="character" w:styleId="1163" w:customStyle="1">
    <w:name w:val="批注文字 Char2"/>
    <w:uiPriority w:val="0"/>
    <w:qFormat/>
    <w:rPr>
      <w:sz w:val="21"/>
      <w:szCs w:val="22"/>
    </w:rPr>
  </w:style>
  <w:style w:type="character" w:styleId="1164" w:customStyle="1">
    <w:name w:val="批注主题 Char2"/>
    <w:uiPriority w:val="0"/>
    <w:qFormat/>
    <w:rPr>
      <w:b/>
      <w:bCs/>
      <w:sz w:val="21"/>
      <w:szCs w:val="22"/>
    </w:rPr>
  </w:style>
  <w:style w:type="character" w:styleId="1165" w:customStyle="1">
    <w:name w:val="Char Char6"/>
    <w:uiPriority w:val="0"/>
    <w:qFormat/>
    <w:rPr>
      <w:b/>
      <w:bCs/>
      <w:sz w:val="44"/>
      <w:szCs w:val="44"/>
    </w:rPr>
  </w:style>
  <w:style w:type="character" w:styleId="1166" w:customStyle="1">
    <w:name w:val="p0 Char"/>
    <w:link w:val="1167"/>
    <w:uiPriority w:val="0"/>
    <w:qFormat/>
    <w:rPr>
      <w:szCs w:val="21"/>
    </w:rPr>
  </w:style>
  <w:style w:type="paragraph" w:styleId="1167" w:customStyle="1">
    <w:name w:val="p0"/>
    <w:basedOn w:val="678"/>
    <w:link w:val="1166"/>
    <w:uiPriority w:val="0"/>
    <w:qFormat/>
    <w:pPr>
      <w:widowControl/>
    </w:pPr>
    <w:rPr>
      <w:szCs w:val="21"/>
    </w:rPr>
  </w:style>
  <w:style w:type="character" w:styleId="1168" w:customStyle="1">
    <w:name w:val="脚注文本 Char3"/>
    <w:uiPriority w:val="0"/>
    <w:qFormat/>
    <w:rPr>
      <w:rFonts w:ascii="Calibri" w:hAnsi="Calibri"/>
      <w:sz w:val="18"/>
      <w:szCs w:val="18"/>
    </w:rPr>
  </w:style>
  <w:style w:type="character" w:styleId="1169" w:customStyle="1">
    <w:name w:val="标准文本 Char"/>
    <w:link w:val="1170"/>
    <w:uiPriority w:val="0"/>
    <w:qFormat/>
    <w:rPr>
      <w:rFonts w:cs="宋体"/>
      <w:szCs w:val="21"/>
    </w:rPr>
  </w:style>
  <w:style w:type="paragraph" w:styleId="1170" w:customStyle="1">
    <w:name w:val="标准文本"/>
    <w:basedOn w:val="678"/>
    <w:link w:val="1169"/>
    <w:uiPriority w:val="0"/>
    <w:qFormat/>
    <w:pPr>
      <w:ind w:firstLine="420"/>
      <w:spacing w:line="360" w:lineRule="auto"/>
    </w:pPr>
    <w:rPr>
      <w:rFonts w:cs="宋体"/>
      <w:szCs w:val="21"/>
    </w:rPr>
  </w:style>
  <w:style w:type="character" w:styleId="1171" w:customStyle="1">
    <w:name w:val="无间隔 字符1"/>
    <w:link w:val="1172"/>
    <w:uiPriority w:val="0"/>
    <w:qFormat/>
    <w:rPr>
      <w:rFonts w:ascii="Calibri" w:hAnsi="Calibri" w:eastAsia="Arial" w:cs="Arial"/>
    </w:rPr>
  </w:style>
  <w:style w:type="paragraph" w:styleId="1172" w:customStyle="1">
    <w:name w:val="无间隔1"/>
    <w:link w:val="1171"/>
    <w:uiPriority w:val="0"/>
    <w:qFormat/>
    <w:pPr>
      <w:jc w:val="both"/>
      <w:widowControl w:val="off"/>
    </w:pPr>
    <w:rPr>
      <w:rFonts w:ascii="Calibri" w:hAnsi="Calibri" w:eastAsia="Arial" w:cs="Arial"/>
      <w:sz w:val="21"/>
      <w:szCs w:val="22"/>
      <w:lang w:val="en-US" w:eastAsia="zh-CN" w:bidi="ar-SA"/>
    </w:rPr>
  </w:style>
  <w:style w:type="character" w:styleId="1173" w:customStyle="1">
    <w:name w:val="页码1"/>
    <w:uiPriority w:val="0"/>
    <w:qFormat/>
  </w:style>
  <w:style w:type="character" w:styleId="1174" w:customStyle="1">
    <w:name w:val="11111 Char"/>
    <w:uiPriority w:val="0"/>
    <w:qFormat/>
    <w:rPr>
      <w:rFonts w:hint="eastAsia" w:ascii="宋体" w:hAnsi="宋体" w:eastAsia="宋体" w:cs="宋体"/>
      <w:color w:val="000000"/>
      <w:sz w:val="24"/>
      <w:szCs w:val="24"/>
      <w:lang w:val="zh-CN"/>
    </w:rPr>
  </w:style>
  <w:style w:type="character" w:styleId="1175" w:customStyle="1">
    <w:name w:val="正文文本 Char1"/>
    <w:uiPriority w:val="0"/>
    <w:qFormat/>
    <w:rPr>
      <w:rFonts w:ascii="Times New Roman" w:hAnsi="Times New Roman" w:eastAsia="宋体" w:cs="Times New Roman"/>
      <w:szCs w:val="24"/>
    </w:rPr>
  </w:style>
  <w:style w:type="character" w:styleId="1176" w:customStyle="1">
    <w:name w:val="WW8Num26z1"/>
    <w:uiPriority w:val="0"/>
    <w:qFormat/>
    <w:rPr>
      <w:rFonts w:ascii="Wingdings 2" w:hAnsi="Wingdings 2" w:cs="StarSymbol"/>
      <w:sz w:val="18"/>
      <w:szCs w:val="18"/>
    </w:rPr>
  </w:style>
  <w:style w:type="character" w:styleId="1177" w:customStyle="1">
    <w:name w:val="font51"/>
    <w:uiPriority w:val="0"/>
    <w:qFormat/>
    <w:rPr>
      <w:rFonts w:ascii="Arial" w:hAnsi="Arial" w:cs="Arial"/>
      <w:color w:val="000000"/>
      <w:sz w:val="20"/>
      <w:szCs w:val="20"/>
      <w:u w:val="none"/>
    </w:rPr>
  </w:style>
  <w:style w:type="character" w:styleId="1178" w:customStyle="1">
    <w:name w:val="WW8Num25z0"/>
    <w:uiPriority w:val="0"/>
    <w:qFormat/>
    <w:rPr>
      <w:rFonts w:ascii="Wingdings" w:hAnsi="Wingdings" w:cs="StarSymbol"/>
      <w:sz w:val="18"/>
      <w:szCs w:val="18"/>
    </w:rPr>
  </w:style>
  <w:style w:type="character" w:styleId="1179" w:customStyle="1">
    <w:name w:val="paramlista1"/>
    <w:uiPriority w:val="0"/>
    <w:qFormat/>
    <w:rPr>
      <w:rFonts w:ascii="Calibri" w:hAnsi="Calibri" w:eastAsia="宋体" w:cs="Times New Roman"/>
      <w:sz w:val="18"/>
      <w:szCs w:val="18"/>
    </w:rPr>
  </w:style>
  <w:style w:type="character" w:styleId="1180" w:customStyle="1">
    <w:name w:val="high-light-bg4"/>
    <w:uiPriority w:val="0"/>
    <w:qFormat/>
  </w:style>
  <w:style w:type="character" w:styleId="1181" w:customStyle="1">
    <w:name w:val="Char Char201"/>
    <w:uiPriority w:val="0"/>
    <w:qFormat/>
    <w:rPr>
      <w:rFonts w:ascii="楷体_GB2312" w:eastAsia="楷体_GB2312"/>
      <w:sz w:val="28"/>
    </w:rPr>
  </w:style>
  <w:style w:type="character" w:styleId="1182" w:customStyle="1">
    <w:name w:val="页脚 字符1"/>
    <w:uiPriority w:val="99"/>
    <w:qFormat/>
    <w:rPr>
      <w:rFonts w:ascii="Times New Roman" w:hAnsi="Times New Roman" w:eastAsia="方正仿宋_GBK" w:cs="Times New Roman"/>
      <w:sz w:val="18"/>
      <w:szCs w:val="18"/>
    </w:rPr>
  </w:style>
  <w:style w:type="character" w:styleId="1183" w:customStyle="1">
    <w:name w:val="font41"/>
    <w:uiPriority w:val="0"/>
    <w:qFormat/>
    <w:rPr>
      <w:rFonts w:hint="eastAsia" w:ascii="宋体" w:hAnsi="宋体" w:eastAsia="宋体" w:cs="宋体"/>
      <w:color w:val="000000"/>
      <w:sz w:val="20"/>
      <w:szCs w:val="20"/>
      <w:u w:val="none"/>
    </w:rPr>
  </w:style>
  <w:style w:type="character" w:styleId="1184" w:customStyle="1">
    <w:name w:val="WW8Num38z0"/>
    <w:uiPriority w:val="0"/>
    <w:qFormat/>
    <w:rPr>
      <w:rFonts w:ascii="Wingdings" w:hAnsi="Wingdings" w:cs="StarSymbol"/>
      <w:sz w:val="18"/>
      <w:szCs w:val="18"/>
    </w:rPr>
  </w:style>
  <w:style w:type="character" w:styleId="1185" w:customStyle="1">
    <w:name w:val="+正文 Char3"/>
    <w:link w:val="1186"/>
    <w:uiPriority w:val="0"/>
    <w:qFormat/>
    <w:rPr>
      <w:sz w:val="28"/>
    </w:rPr>
  </w:style>
  <w:style w:type="paragraph" w:styleId="1186" w:customStyle="1">
    <w:name w:val="+正文"/>
    <w:basedOn w:val="678"/>
    <w:link w:val="1185"/>
    <w:uiPriority w:val="0"/>
    <w:qFormat/>
    <w:pPr>
      <w:ind w:firstLine="200"/>
      <w:spacing w:line="360" w:lineRule="auto"/>
    </w:pPr>
    <w:rPr>
      <w:sz w:val="28"/>
    </w:rPr>
  </w:style>
  <w:style w:type="character" w:styleId="1187" w:customStyle="1">
    <w:name w:val="正文文本 3 字符1"/>
    <w:uiPriority w:val="99"/>
    <w:qFormat/>
    <w:rPr>
      <w:rFonts w:ascii="Times New Roman" w:hAnsi="Times New Roman" w:eastAsia="方正仿宋_GBK" w:cs="Times New Roman"/>
      <w:sz w:val="16"/>
      <w:szCs w:val="16"/>
    </w:rPr>
  </w:style>
  <w:style w:type="character" w:styleId="1188" w:customStyle="1">
    <w:name w:val="Char Char171"/>
    <w:uiPriority w:val="0"/>
    <w:qFormat/>
    <w:rPr>
      <w:rFonts w:ascii="Arial" w:hAnsi="Arial" w:eastAsia="黑体"/>
      <w:b/>
      <w:spacing w:val="-2"/>
      <w:position w:val="-6"/>
      <w:sz w:val="24"/>
    </w:rPr>
  </w:style>
  <w:style w:type="character" w:styleId="1189" w:customStyle="1">
    <w:name w:val="style241"/>
    <w:uiPriority w:val="0"/>
    <w:qFormat/>
    <w:rPr>
      <w:rFonts w:hint="eastAsia" w:ascii="宋体" w:hAnsi="宋体" w:eastAsia="宋体"/>
      <w:color w:val="333333"/>
      <w:lang w:val="en-US" w:eastAsia="zh-CN" w:bidi="ar-SA"/>
    </w:rPr>
  </w:style>
  <w:style w:type="character" w:styleId="1190" w:customStyle="1">
    <w:name w:val="fontstyle01"/>
    <w:uiPriority w:val="0"/>
    <w:qFormat/>
    <w:rPr>
      <w:rFonts w:ascii="楷体" w:hAnsi="楷体"/>
      <w:color w:val="000000"/>
      <w:sz w:val="24"/>
      <w:szCs w:val="24"/>
    </w:rPr>
  </w:style>
  <w:style w:type="character" w:styleId="1191" w:customStyle="1">
    <w:name w:val="Numbering Symbols"/>
    <w:uiPriority w:val="0"/>
    <w:qFormat/>
  </w:style>
  <w:style w:type="character" w:styleId="1192" w:customStyle="1">
    <w:name w:val="标题 1 Char1"/>
    <w:uiPriority w:val="0"/>
    <w:qFormat/>
    <w:rPr>
      <w:b/>
      <w:sz w:val="44"/>
    </w:rPr>
  </w:style>
  <w:style w:type="character" w:styleId="1193" w:customStyle="1">
    <w:name w:val="引用 Char1"/>
    <w:uiPriority w:val="29"/>
    <w:qFormat/>
    <w:rPr>
      <w:i/>
      <w:iCs/>
      <w:color w:val="404040"/>
      <w:sz w:val="21"/>
    </w:rPr>
  </w:style>
  <w:style w:type="character" w:styleId="1194" w:customStyle="1">
    <w:name w:val="Char Char181"/>
    <w:uiPriority w:val="0"/>
    <w:qFormat/>
    <w:rPr>
      <w:rFonts w:ascii="宋体"/>
      <w:b/>
      <w:spacing w:val="-2"/>
      <w:position w:val="-6"/>
      <w:sz w:val="28"/>
    </w:rPr>
  </w:style>
  <w:style w:type="character" w:styleId="1195" w:customStyle="1">
    <w:name w:val="Table Heading Char"/>
    <w:uiPriority w:val="0"/>
    <w:qFormat/>
    <w:rPr>
      <w:rFonts w:ascii="Book Antiqua" w:hAnsi="Book Antiqua" w:eastAsia="黑体"/>
      <w:bCs/>
      <w:sz w:val="21"/>
      <w:szCs w:val="21"/>
    </w:rPr>
  </w:style>
  <w:style w:type="character" w:styleId="1196" w:customStyle="1">
    <w:name w:val="Char Char151"/>
    <w:uiPriority w:val="0"/>
    <w:qFormat/>
    <w:rPr>
      <w:rFonts w:ascii="Arial" w:hAnsi="Arial" w:eastAsia="黑体"/>
      <w:spacing w:val="-2"/>
      <w:position w:val="-6"/>
      <w:sz w:val="24"/>
    </w:rPr>
  </w:style>
  <w:style w:type="character" w:styleId="1197" w:customStyle="1">
    <w:name w:val="WW8Num14z1"/>
    <w:uiPriority w:val="0"/>
    <w:qFormat/>
    <w:rPr>
      <w:rFonts w:ascii="Wingdings 2" w:hAnsi="Wingdings 2" w:cs="StarSymbol"/>
      <w:sz w:val="18"/>
      <w:szCs w:val="18"/>
    </w:rPr>
  </w:style>
  <w:style w:type="character" w:styleId="1198" w:customStyle="1">
    <w:name w:val="font111"/>
    <w:uiPriority w:val="0"/>
    <w:qFormat/>
    <w:rPr>
      <w:rFonts w:hint="eastAsia" w:ascii="宋体" w:hAnsi="宋体" w:eastAsia="宋体" w:cs="宋体"/>
      <w:color w:val="000000"/>
      <w:sz w:val="21"/>
      <w:szCs w:val="21"/>
      <w:u w:val="none"/>
    </w:rPr>
  </w:style>
  <w:style w:type="character" w:styleId="1199" w:customStyle="1">
    <w:name w:val="样式2 Char"/>
    <w:uiPriority w:val="0"/>
    <w:qFormat/>
    <w:rPr>
      <w:rFonts w:hint="eastAsia" w:ascii="方正仿宋_GBK" w:eastAsia="方正仿宋_GBK"/>
      <w:bCs/>
      <w:sz w:val="32"/>
      <w:szCs w:val="24"/>
    </w:rPr>
  </w:style>
  <w:style w:type="character" w:styleId="1200" w:customStyle="1">
    <w:name w:val="Char Char18"/>
    <w:uiPriority w:val="0"/>
    <w:qFormat/>
    <w:rPr>
      <w:rFonts w:ascii="宋体"/>
      <w:b/>
      <w:spacing w:val="-2"/>
      <w:position w:val="-6"/>
      <w:sz w:val="28"/>
    </w:rPr>
  </w:style>
  <w:style w:type="character" w:styleId="1201" w:customStyle="1">
    <w:name w:val="WW8Num25z7"/>
    <w:uiPriority w:val="0"/>
    <w:qFormat/>
    <w:rPr>
      <w:rFonts w:ascii="Wingdings" w:hAnsi="Wingdings"/>
    </w:rPr>
  </w:style>
  <w:style w:type="character" w:styleId="1202" w:customStyle="1">
    <w:name w:val="font71"/>
    <w:uiPriority w:val="0"/>
    <w:qFormat/>
    <w:rPr>
      <w:rFonts w:ascii="Arial" w:hAnsi="Arial" w:cs="Arial"/>
      <w:color w:val="000000"/>
      <w:sz w:val="20"/>
      <w:szCs w:val="20"/>
      <w:u w:val="none"/>
    </w:rPr>
  </w:style>
  <w:style w:type="character" w:styleId="1203" w:customStyle="1">
    <w:name w:val="WW8Num8z0"/>
    <w:uiPriority w:val="0"/>
    <w:qFormat/>
    <w:rPr>
      <w:rFonts w:ascii="Wingdings" w:hAnsi="Wingdings" w:cs="StarSymbol"/>
      <w:sz w:val="18"/>
      <w:szCs w:val="18"/>
    </w:rPr>
  </w:style>
  <w:style w:type="character" w:styleId="1204" w:customStyle="1">
    <w:name w:val="页码2"/>
    <w:uiPriority w:val="0"/>
    <w:qFormat/>
  </w:style>
  <w:style w:type="character" w:styleId="1205" w:customStyle="1">
    <w:name w:val="WW8Num12z0"/>
    <w:uiPriority w:val="0"/>
    <w:qFormat/>
    <w:rPr>
      <w:rFonts w:ascii="Wingdings" w:hAnsi="Wingdings" w:cs="StarSymbol"/>
      <w:sz w:val="18"/>
      <w:szCs w:val="18"/>
    </w:rPr>
  </w:style>
  <w:style w:type="character" w:styleId="1206" w:customStyle="1">
    <w:name w:val="方案文档 Char"/>
    <w:link w:val="1207"/>
    <w:uiPriority w:val="0"/>
    <w:qFormat/>
    <w:rPr>
      <w:rFonts w:ascii="等线" w:hAnsi="等线" w:eastAsia="Arial" w:cs="Arial"/>
      <w:sz w:val="24"/>
      <w:szCs w:val="24"/>
    </w:rPr>
  </w:style>
  <w:style w:type="paragraph" w:styleId="1207" w:customStyle="1">
    <w:name w:val="方案文档"/>
    <w:link w:val="1206"/>
    <w:uiPriority w:val="0"/>
    <w:qFormat/>
    <w:pPr>
      <w:ind w:firstLine="200"/>
      <w:spacing w:line="360" w:lineRule="auto"/>
    </w:pPr>
    <w:rPr>
      <w:rFonts w:ascii="等线" w:hAnsi="等线" w:eastAsia="Arial" w:cs="Arial"/>
      <w:sz w:val="24"/>
      <w:szCs w:val="24"/>
      <w:lang w:val="en-US" w:eastAsia="zh-CN" w:bidi="ar-SA"/>
    </w:rPr>
  </w:style>
  <w:style w:type="character" w:styleId="1208" w:customStyle="1">
    <w:name w:val="称呼 Char3"/>
    <w:uiPriority w:val="0"/>
    <w:qFormat/>
    <w:rPr>
      <w:rFonts w:ascii="Arial" w:hAnsi="Arial" w:eastAsia="方正仿宋_GBK" w:cs="Arial"/>
    </w:rPr>
  </w:style>
  <w:style w:type="character" w:styleId="1209" w:customStyle="1">
    <w:name w:val="font141"/>
    <w:uiPriority w:val="0"/>
    <w:qFormat/>
    <w:rPr>
      <w:rFonts w:hint="eastAsia" w:ascii="宋体" w:hAnsi="宋体" w:eastAsia="宋体" w:cs="宋体"/>
      <w:color w:val="000000"/>
      <w:sz w:val="20"/>
      <w:szCs w:val="20"/>
      <w:u w:val="none"/>
    </w:rPr>
  </w:style>
  <w:style w:type="character" w:styleId="1210" w:customStyle="1">
    <w:name w:val="WW8Num13z2"/>
    <w:uiPriority w:val="0"/>
    <w:qFormat/>
    <w:rPr>
      <w:rFonts w:ascii="StarSymbol" w:hAnsi="StarSymbol" w:cs="StarSymbol"/>
      <w:sz w:val="18"/>
      <w:szCs w:val="18"/>
    </w:rPr>
  </w:style>
  <w:style w:type="character" w:styleId="1211" w:customStyle="1">
    <w:name w:val="项目编号B Char"/>
    <w:link w:val="1212"/>
    <w:uiPriority w:val="0"/>
    <w:qFormat/>
    <w:rPr>
      <w:rFonts w:ascii="等线" w:hAnsi="等线" w:eastAsia="Arial" w:cs="Arial"/>
      <w:sz w:val="24"/>
      <w:szCs w:val="24"/>
    </w:rPr>
  </w:style>
  <w:style w:type="paragraph" w:styleId="1212" w:customStyle="1">
    <w:name w:val="项目编号B"/>
    <w:link w:val="1211"/>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213" w:customStyle="1">
    <w:name w:val="WW8Num33z1"/>
    <w:uiPriority w:val="0"/>
    <w:qFormat/>
    <w:rPr>
      <w:rFonts w:ascii="Wingdings 2" w:hAnsi="Wingdings 2" w:cs="StarSymbol"/>
      <w:sz w:val="18"/>
      <w:szCs w:val="18"/>
    </w:rPr>
  </w:style>
  <w:style w:type="character" w:styleId="1214" w:customStyle="1">
    <w:name w:val="项目编号A Char Char"/>
    <w:link w:val="1215"/>
    <w:uiPriority w:val="0"/>
    <w:qFormat/>
    <w:rPr>
      <w:rFonts w:ascii="等线" w:hAnsi="等线" w:eastAsia="Arial" w:cs="Arial"/>
      <w:sz w:val="24"/>
      <w:szCs w:val="24"/>
    </w:rPr>
  </w:style>
  <w:style w:type="paragraph" w:styleId="1215" w:customStyle="1">
    <w:name w:val="项目编号A"/>
    <w:link w:val="1214"/>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216" w:customStyle="1">
    <w:name w:val="style11"/>
    <w:uiPriority w:val="0"/>
    <w:qFormat/>
    <w:rPr>
      <w:color w:val="ff0000"/>
    </w:rPr>
  </w:style>
  <w:style w:type="character" w:styleId="1217" w:customStyle="1">
    <w:name w:val="Char Char15"/>
    <w:uiPriority w:val="0"/>
    <w:qFormat/>
    <w:rPr>
      <w:rFonts w:ascii="Arial" w:hAnsi="Arial" w:eastAsia="黑体"/>
      <w:spacing w:val="-2"/>
      <w:position w:val="-6"/>
      <w:sz w:val="24"/>
    </w:rPr>
  </w:style>
  <w:style w:type="character" w:styleId="1218" w:customStyle="1">
    <w:name w:val="WW8Num14z0"/>
    <w:uiPriority w:val="0"/>
    <w:qFormat/>
    <w:rPr>
      <w:rFonts w:ascii="Wingdings" w:hAnsi="Wingdings" w:cs="StarSymbol"/>
      <w:sz w:val="18"/>
      <w:szCs w:val="18"/>
    </w:rPr>
  </w:style>
  <w:style w:type="character" w:styleId="1219" w:customStyle="1">
    <w:name w:val="Char Char17"/>
    <w:uiPriority w:val="0"/>
    <w:qFormat/>
    <w:rPr>
      <w:rFonts w:ascii="Arial" w:hAnsi="Arial" w:eastAsia="黑体"/>
      <w:b/>
      <w:spacing w:val="-2"/>
      <w:position w:val="-6"/>
      <w:sz w:val="24"/>
    </w:rPr>
  </w:style>
  <w:style w:type="character" w:styleId="1220" w:customStyle="1">
    <w:name w:val="表格内容 Char"/>
    <w:uiPriority w:val="0"/>
    <w:qFormat/>
    <w:rPr>
      <w:rFonts w:hint="eastAsia" w:ascii="微软雅黑" w:hAnsi="微软雅黑" w:eastAsia="微软雅黑"/>
      <w:sz w:val="18"/>
      <w:szCs w:val="24"/>
      <w:lang w:val="en-GB"/>
    </w:rPr>
  </w:style>
  <w:style w:type="character" w:styleId="1221" w:customStyle="1">
    <w:name w:val="武汉表格 Char"/>
    <w:link w:val="1222"/>
    <w:uiPriority w:val="0"/>
    <w:qFormat/>
    <w:rPr>
      <w:rFonts w:eastAsia="黑体"/>
      <w:szCs w:val="21"/>
    </w:rPr>
  </w:style>
  <w:style w:type="paragraph" w:styleId="1222" w:customStyle="1">
    <w:name w:val="武汉表格"/>
    <w:basedOn w:val="678"/>
    <w:link w:val="1221"/>
    <w:uiPriority w:val="0"/>
    <w:qFormat/>
    <w:rPr>
      <w:rFonts w:eastAsia="黑体"/>
      <w:szCs w:val="21"/>
    </w:rPr>
  </w:style>
  <w:style w:type="character" w:styleId="1223" w:customStyle="1">
    <w:name w:val="WW8Num12z1"/>
    <w:uiPriority w:val="0"/>
    <w:qFormat/>
    <w:rPr>
      <w:rFonts w:ascii="Wingdings 2" w:hAnsi="Wingdings 2" w:cs="StarSymbol"/>
      <w:sz w:val="18"/>
      <w:szCs w:val="18"/>
    </w:rPr>
  </w:style>
  <w:style w:type="character" w:styleId="1224" w:customStyle="1">
    <w:name w:val="Char Char20"/>
    <w:uiPriority w:val="0"/>
    <w:qFormat/>
    <w:rPr>
      <w:rFonts w:ascii="楷体_GB2312" w:eastAsia="楷体_GB2312"/>
      <w:sz w:val="28"/>
    </w:rPr>
  </w:style>
  <w:style w:type="character" w:styleId="1225" w:customStyle="1">
    <w:name w:val="con_text1"/>
    <w:uiPriority w:val="0"/>
    <w:qFormat/>
  </w:style>
  <w:style w:type="character" w:styleId="1226" w:customStyle="1">
    <w:name w:val="批注引用2"/>
    <w:uiPriority w:val="0"/>
    <w:qFormat/>
    <w:rPr>
      <w:sz w:val="21"/>
      <w:szCs w:val="21"/>
    </w:rPr>
  </w:style>
  <w:style w:type="character" w:styleId="1227" w:customStyle="1">
    <w:name w:val="WW8Num5z2"/>
    <w:uiPriority w:val="0"/>
    <w:qFormat/>
    <w:rPr>
      <w:rFonts w:ascii="StarSymbol" w:hAnsi="StarSymbol" w:cs="StarSymbol"/>
      <w:sz w:val="18"/>
      <w:szCs w:val="18"/>
    </w:rPr>
  </w:style>
  <w:style w:type="character" w:styleId="1228" w:customStyle="1">
    <w:name w:val="正文缩进 Char2"/>
    <w:uiPriority w:val="0"/>
    <w:qFormat/>
    <w:rPr>
      <w:rFonts w:eastAsia="宋体"/>
      <w:sz w:val="21"/>
      <w:lang w:val="en-US" w:eastAsia="zh-CN" w:bidi="ar-SA"/>
    </w:rPr>
  </w:style>
  <w:style w:type="character" w:styleId="1229"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30" w:customStyle="1">
    <w:name w:val="Char Char16"/>
    <w:uiPriority w:val="0"/>
    <w:qFormat/>
    <w:rPr>
      <w:rFonts w:ascii="宋体"/>
      <w:b/>
      <w:spacing w:val="-2"/>
      <w:position w:val="-6"/>
      <w:sz w:val="24"/>
    </w:rPr>
  </w:style>
  <w:style w:type="character" w:styleId="1231" w:customStyle="1">
    <w:name w:val="批注主题 字符1"/>
    <w:uiPriority w:val="99"/>
    <w:qFormat/>
    <w:rPr>
      <w:rFonts w:ascii="Times New Roman" w:hAnsi="Times New Roman" w:eastAsia="方正仿宋_GBK" w:cs="Times New Roman"/>
      <w:b/>
      <w:bCs/>
      <w:sz w:val="24"/>
      <w:szCs w:val="24"/>
    </w:rPr>
  </w:style>
  <w:style w:type="character" w:styleId="1232" w:customStyle="1">
    <w:name w:val="Char Char161"/>
    <w:uiPriority w:val="0"/>
    <w:qFormat/>
    <w:rPr>
      <w:rFonts w:ascii="宋体"/>
      <w:b/>
      <w:spacing w:val="-2"/>
      <w:position w:val="-6"/>
      <w:sz w:val="24"/>
    </w:rPr>
  </w:style>
  <w:style w:type="character" w:styleId="1233" w:customStyle="1">
    <w:name w:val="引用 Char"/>
    <w:uiPriority w:val="0"/>
    <w:qFormat/>
    <w:rPr>
      <w:rFonts w:ascii="Times New Roman" w:hAnsi="Times New Roman" w:eastAsia="方正仿宋_GBK" w:cs="Times New Roman"/>
      <w:i/>
      <w:iCs/>
      <w:color w:val="000000"/>
      <w:sz w:val="24"/>
      <w:szCs w:val="20"/>
    </w:rPr>
  </w:style>
  <w:style w:type="character" w:styleId="1234" w:customStyle="1">
    <w:name w:val="标题 3 Char1"/>
    <w:uiPriority w:val="0"/>
    <w:qFormat/>
    <w:rPr>
      <w:b/>
      <w:sz w:val="32"/>
    </w:rPr>
  </w:style>
  <w:style w:type="character" w:styleId="1235" w:customStyle="1">
    <w:name w:val="InfoBlue Char"/>
    <w:uiPriority w:val="0"/>
    <w:qFormat/>
    <w:rPr>
      <w:color w:val="0000ff"/>
      <w:sz w:val="21"/>
    </w:rPr>
  </w:style>
  <w:style w:type="character" w:styleId="1236" w:customStyle="1">
    <w:name w:val="副标题 Char3"/>
    <w:uiPriority w:val="0"/>
    <w:qFormat/>
    <w:rPr>
      <w:b/>
      <w:bCs/>
      <w:sz w:val="32"/>
      <w:szCs w:val="32"/>
    </w:rPr>
  </w:style>
  <w:style w:type="character" w:styleId="1237" w:customStyle="1">
    <w:name w:val="title_orange1"/>
    <w:uiPriority w:val="0"/>
    <w:qFormat/>
    <w:rPr>
      <w:b/>
      <w:bCs/>
      <w:color w:val="cc6600"/>
      <w:sz w:val="33"/>
      <w:szCs w:val="33"/>
      <w:u w:val="none"/>
    </w:rPr>
  </w:style>
  <w:style w:type="character" w:styleId="1238" w:customStyle="1">
    <w:name w:val="font61"/>
    <w:basedOn w:val="688"/>
    <w:uiPriority w:val="0"/>
    <w:qFormat/>
    <w:rPr>
      <w:rFonts w:ascii="Arial" w:hAnsi="Arial" w:cs="Arial"/>
      <w:b/>
      <w:color w:val="000000"/>
      <w:sz w:val="20"/>
      <w:szCs w:val="20"/>
      <w:u w:val="none"/>
    </w:rPr>
  </w:style>
  <w:style w:type="character" w:styleId="1239" w:customStyle="1">
    <w:name w:val="Char Char191"/>
    <w:uiPriority w:val="0"/>
    <w:qFormat/>
    <w:rPr>
      <w:rFonts w:ascii="Arial" w:hAnsi="Arial" w:eastAsia="黑体"/>
      <w:b/>
      <w:bCs/>
      <w:sz w:val="28"/>
      <w:szCs w:val="28"/>
    </w:rPr>
  </w:style>
  <w:style w:type="character" w:styleId="1240" w:customStyle="1">
    <w:name w:val="WW8Num33z0"/>
    <w:uiPriority w:val="0"/>
    <w:qFormat/>
    <w:rPr>
      <w:rFonts w:ascii="Wingdings" w:hAnsi="Wingdings" w:cs="StarSymbol"/>
      <w:sz w:val="18"/>
      <w:szCs w:val="18"/>
    </w:rPr>
  </w:style>
  <w:style w:type="character" w:styleId="1241" w:customStyle="1">
    <w:name w:val="font91"/>
    <w:uiPriority w:val="0"/>
    <w:qFormat/>
    <w:rPr>
      <w:rFonts w:hint="eastAsia" w:ascii="宋体" w:hAnsi="宋体" w:eastAsia="宋体" w:cs="宋体"/>
      <w:color w:val="000000"/>
      <w:sz w:val="20"/>
      <w:szCs w:val="20"/>
      <w:u w:val="none"/>
    </w:rPr>
  </w:style>
  <w:style w:type="character" w:styleId="1242" w:customStyle="1">
    <w:name w:val="op_dict_text21"/>
    <w:uiPriority w:val="0"/>
    <w:qFormat/>
  </w:style>
  <w:style w:type="character" w:styleId="1243" w:customStyle="1">
    <w:name w:val="normal91"/>
    <w:uiPriority w:val="0"/>
    <w:qFormat/>
    <w:rPr>
      <w:rFonts w:ascii="Calibri" w:hAnsi="Calibri" w:eastAsia="宋体" w:cs="Times New Roman"/>
      <w:sz w:val="20"/>
      <w:szCs w:val="20"/>
    </w:rPr>
  </w:style>
  <w:style w:type="character" w:styleId="1244" w:customStyle="1">
    <w:name w:val="WW8Num18z1"/>
    <w:uiPriority w:val="0"/>
    <w:qFormat/>
    <w:rPr>
      <w:rFonts w:ascii="Wingdings 2" w:hAnsi="Wingdings 2" w:cs="StarSymbol"/>
      <w:sz w:val="18"/>
      <w:szCs w:val="18"/>
    </w:rPr>
  </w:style>
  <w:style w:type="character" w:styleId="1245" w:customStyle="1">
    <w:name w:val="font121"/>
    <w:uiPriority w:val="0"/>
    <w:qFormat/>
    <w:rPr>
      <w:rFonts w:hint="eastAsia" w:ascii="宋体" w:hAnsi="宋体" w:eastAsia="宋体" w:cs="宋体"/>
      <w:b/>
      <w:color w:val="000000"/>
      <w:sz w:val="20"/>
      <w:szCs w:val="20"/>
      <w:u w:val="none"/>
    </w:rPr>
  </w:style>
  <w:style w:type="character" w:styleId="1246" w:customStyle="1">
    <w:name w:val="标题 4 Char1"/>
    <w:uiPriority w:val="0"/>
    <w:qFormat/>
    <w:rPr>
      <w:rFonts w:ascii="Cambria" w:hAnsi="Cambria" w:eastAsia="宋体" w:cs="Times New Roman"/>
      <w:b/>
      <w:bCs/>
      <w:sz w:val="28"/>
      <w:szCs w:val="28"/>
    </w:rPr>
  </w:style>
  <w:style w:type="character" w:styleId="1247" w:customStyle="1">
    <w:name w:val="Char Char19"/>
    <w:uiPriority w:val="0"/>
    <w:qFormat/>
    <w:rPr>
      <w:rFonts w:ascii="Arial" w:hAnsi="Arial" w:eastAsia="黑体"/>
      <w:b/>
      <w:bCs/>
      <w:sz w:val="28"/>
      <w:szCs w:val="28"/>
    </w:rPr>
  </w:style>
  <w:style w:type="character" w:styleId="1248" w:customStyle="1">
    <w:name w:val="标题 9 字符1"/>
    <w:uiPriority w:val="9"/>
    <w:qFormat/>
    <w:rPr>
      <w:rFonts w:ascii="Arial" w:hAnsi="Arial" w:eastAsia="黑体" w:cs="Times New Roman"/>
      <w:sz w:val="24"/>
      <w:szCs w:val="21"/>
    </w:rPr>
  </w:style>
  <w:style w:type="character" w:styleId="1249" w:customStyle="1">
    <w:name w:val="font131"/>
    <w:uiPriority w:val="0"/>
    <w:qFormat/>
    <w:rPr>
      <w:rFonts w:hint="eastAsia" w:ascii="宋体" w:hAnsi="宋体" w:eastAsia="宋体" w:cs="宋体"/>
      <w:color w:val="000000"/>
      <w:sz w:val="18"/>
      <w:szCs w:val="18"/>
      <w:u w:val="none"/>
    </w:rPr>
  </w:style>
  <w:style w:type="character" w:styleId="1250" w:customStyle="1">
    <w:name w:val="标题G Char"/>
    <w:uiPriority w:val="0"/>
    <w:qFormat/>
    <w:rPr>
      <w:rFonts w:hint="eastAsia" w:ascii="方正小标宋_GBK" w:hAnsi="方正小标宋_GBK" w:eastAsia="方正小标宋_GBK"/>
      <w:color w:val="000000"/>
      <w:spacing w:val="-20"/>
      <w:sz w:val="44"/>
      <w:szCs w:val="52"/>
    </w:rPr>
  </w:style>
  <w:style w:type="character" w:styleId="1251" w:customStyle="1">
    <w:name w:val="批注引用1"/>
    <w:uiPriority w:val="0"/>
    <w:qFormat/>
    <w:rPr>
      <w:sz w:val="21"/>
      <w:szCs w:val="21"/>
    </w:rPr>
  </w:style>
  <w:style w:type="character" w:styleId="1252" w:customStyle="1">
    <w:name w:val="WW-Absatz-Standardschriftart111"/>
    <w:uiPriority w:val="0"/>
    <w:qFormat/>
  </w:style>
  <w:style w:type="character" w:styleId="1253" w:customStyle="1">
    <w:name w:val="font81"/>
    <w:uiPriority w:val="0"/>
    <w:qFormat/>
    <w:rPr>
      <w:rFonts w:hint="eastAsia" w:ascii="宋体" w:hAnsi="宋体" w:eastAsia="宋体" w:cs="宋体"/>
      <w:b/>
      <w:color w:val="000000"/>
      <w:sz w:val="20"/>
      <w:szCs w:val="20"/>
      <w:u w:val="none"/>
    </w:rPr>
  </w:style>
  <w:style w:type="character" w:styleId="1254" w:customStyle="1">
    <w:name w:val="m1"/>
    <w:uiPriority w:val="0"/>
    <w:qFormat/>
    <w:rPr>
      <w:rFonts w:hint="eastAsia" w:ascii="宋体" w:hAnsi="宋体" w:eastAsia="宋体"/>
      <w:color w:val="0000ff"/>
      <w:lang w:val="en-US" w:eastAsia="zh-CN" w:bidi="ar-SA"/>
    </w:rPr>
  </w:style>
  <w:style w:type="character" w:styleId="1255" w:customStyle="1">
    <w:name w:val="表格 Char Char"/>
    <w:link w:val="1256"/>
    <w:uiPriority w:val="0"/>
    <w:qFormat/>
    <w:rPr>
      <w:rFonts w:ascii="Arial" w:hAnsi="Arial"/>
      <w:sz w:val="24"/>
      <w:szCs w:val="24"/>
    </w:rPr>
  </w:style>
  <w:style w:type="paragraph" w:styleId="1256" w:customStyle="1">
    <w:name w:val="表格"/>
    <w:basedOn w:val="678"/>
    <w:link w:val="1255"/>
    <w:uiPriority w:val="0"/>
    <w:qFormat/>
    <w:rPr>
      <w:rFonts w:ascii="Arial" w:hAnsi="Arial"/>
      <w:sz w:val="24"/>
      <w:szCs w:val="24"/>
    </w:rPr>
  </w:style>
  <w:style w:type="character" w:styleId="1257" w:customStyle="1">
    <w:name w:val="WW8Num21z2"/>
    <w:uiPriority w:val="0"/>
    <w:qFormat/>
    <w:rPr>
      <w:rFonts w:ascii="StarSymbol" w:hAnsi="StarSymbol" w:cs="StarSymbol"/>
      <w:sz w:val="18"/>
      <w:szCs w:val="18"/>
    </w:rPr>
  </w:style>
  <w:style w:type="character" w:styleId="1258" w:customStyle="1">
    <w:name w:val="副标题 Char1"/>
    <w:uiPriority w:val="0"/>
    <w:qFormat/>
    <w:rPr>
      <w:rFonts w:ascii="Cambria" w:hAnsi="Cambria" w:cs="Times New Roman"/>
      <w:b/>
      <w:bCs/>
      <w:sz w:val="32"/>
      <w:szCs w:val="32"/>
    </w:rPr>
  </w:style>
  <w:style w:type="character" w:styleId="1259" w:customStyle="1">
    <w:name w:val="atitle31"/>
    <w:uiPriority w:val="0"/>
    <w:qFormat/>
    <w:rPr>
      <w:rFonts w:ascii="Arial" w:hAnsi="Arial" w:cs="Arial"/>
      <w:b/>
      <w:bCs/>
      <w:sz w:val="29"/>
      <w:szCs w:val="29"/>
    </w:rPr>
  </w:style>
  <w:style w:type="character" w:styleId="1260" w:customStyle="1">
    <w:name w:val="副标题 Char2"/>
    <w:uiPriority w:val="0"/>
    <w:qFormat/>
    <w:rPr>
      <w:rFonts w:ascii="Cambria" w:hAnsi="Cambria" w:cs="Times New Roman"/>
      <w:b/>
      <w:bCs/>
      <w:sz w:val="32"/>
      <w:szCs w:val="32"/>
    </w:rPr>
  </w:style>
  <w:style w:type="character" w:styleId="1261" w:customStyle="1">
    <w:name w:val="WW8Num21z1"/>
    <w:uiPriority w:val="0"/>
    <w:qFormat/>
    <w:rPr>
      <w:rFonts w:ascii="Wingdings" w:hAnsi="Wingdings"/>
    </w:rPr>
  </w:style>
  <w:style w:type="character" w:styleId="1262" w:customStyle="1">
    <w:name w:val="font191"/>
    <w:uiPriority w:val="0"/>
    <w:qFormat/>
    <w:rPr>
      <w:rFonts w:ascii="Arial" w:hAnsi="Arial" w:cs="Arial"/>
      <w:b/>
      <w:color w:val="000000"/>
      <w:sz w:val="20"/>
      <w:szCs w:val="20"/>
      <w:u w:val="none"/>
    </w:rPr>
  </w:style>
  <w:style w:type="character" w:styleId="1263" w:customStyle="1">
    <w:name w:val="MM Topic 2 Char"/>
    <w:link w:val="1264"/>
    <w:uiPriority w:val="0"/>
    <w:qFormat/>
    <w:rPr>
      <w:rFonts w:ascii="Cambria" w:hAnsi="Cambria"/>
      <w:b/>
      <w:bCs/>
      <w:sz w:val="32"/>
      <w:szCs w:val="32"/>
      <w:lang w:val="zh-CN"/>
    </w:rPr>
  </w:style>
  <w:style w:type="paragraph" w:styleId="1264" w:customStyle="1">
    <w:name w:val="MM Topic 2"/>
    <w:basedOn w:val="680"/>
    <w:link w:val="1263"/>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65" w:customStyle="1">
    <w:name w:val="注释标题 Char"/>
    <w:uiPriority w:val="0"/>
    <w:qFormat/>
    <w:rPr>
      <w:sz w:val="21"/>
      <w:szCs w:val="24"/>
    </w:rPr>
  </w:style>
  <w:style w:type="character" w:styleId="1266" w:customStyle="1">
    <w:name w:val="页眉 字符1"/>
    <w:uiPriority w:val="0"/>
    <w:qFormat/>
    <w:rPr>
      <w:rFonts w:ascii="Times New Roman" w:hAnsi="Times New Roman" w:eastAsia="方正仿宋_GBK" w:cs="Times New Roman"/>
      <w:sz w:val="18"/>
      <w:szCs w:val="18"/>
    </w:rPr>
  </w:style>
  <w:style w:type="character" w:styleId="1267" w:customStyle="1">
    <w:name w:val="称呼 Char"/>
    <w:uiPriority w:val="0"/>
    <w:qFormat/>
    <w:rPr>
      <w:sz w:val="21"/>
      <w:szCs w:val="24"/>
    </w:rPr>
  </w:style>
  <w:style w:type="character" w:styleId="1268" w:customStyle="1">
    <w:name w:val="WW8Num16z2"/>
    <w:uiPriority w:val="0"/>
    <w:qFormat/>
    <w:rPr>
      <w:rFonts w:ascii="StarSymbol" w:hAnsi="StarSymbol" w:cs="StarSymbol"/>
      <w:sz w:val="18"/>
      <w:szCs w:val="18"/>
    </w:rPr>
  </w:style>
  <w:style w:type="character" w:styleId="1269" w:customStyle="1">
    <w:name w:val="HTML 地址 Char"/>
    <w:uiPriority w:val="0"/>
    <w:qFormat/>
    <w:rPr>
      <w:i/>
      <w:iCs/>
      <w:sz w:val="21"/>
      <w:szCs w:val="24"/>
    </w:rPr>
  </w:style>
  <w:style w:type="character" w:styleId="1270" w:customStyle="1">
    <w:name w:val="WW8Num22z0"/>
    <w:uiPriority w:val="0"/>
    <w:qFormat/>
    <w:rPr>
      <w:rFonts w:ascii="Wingdings" w:hAnsi="Wingdings" w:cs="StarSymbol"/>
      <w:sz w:val="18"/>
      <w:szCs w:val="18"/>
    </w:rPr>
  </w:style>
  <w:style w:type="character" w:styleId="1271" w:customStyle="1">
    <w:name w:val="尾注文本 Char1"/>
    <w:uiPriority w:val="0"/>
    <w:qFormat/>
    <w:rPr>
      <w:szCs w:val="24"/>
      <w:lang w:val="zh-CN"/>
    </w:rPr>
  </w:style>
  <w:style w:type="character" w:styleId="1272" w:customStyle="1">
    <w:name w:val="WW8Num18z0"/>
    <w:uiPriority w:val="0"/>
    <w:qFormat/>
    <w:rPr>
      <w:rFonts w:ascii="Wingdings" w:hAnsi="Wingdings" w:cs="StarSymbol"/>
      <w:sz w:val="18"/>
      <w:szCs w:val="18"/>
    </w:rPr>
  </w:style>
  <w:style w:type="character" w:styleId="1273" w:customStyle="1">
    <w:name w:val="HTML 预设格式 Char"/>
    <w:uiPriority w:val="99"/>
    <w:qFormat/>
    <w:rPr>
      <w:rFonts w:ascii="Courier New" w:hAnsi="Courier New" w:cs="Courier New"/>
    </w:rPr>
  </w:style>
  <w:style w:type="character" w:styleId="1274" w:customStyle="1">
    <w:name w:val="WW8Num27z2"/>
    <w:uiPriority w:val="0"/>
    <w:qFormat/>
    <w:rPr>
      <w:rFonts w:ascii="StarSymbol" w:hAnsi="StarSymbol" w:cs="StarSymbol"/>
      <w:sz w:val="18"/>
      <w:szCs w:val="18"/>
    </w:rPr>
  </w:style>
  <w:style w:type="character" w:styleId="1275" w:customStyle="1">
    <w:name w:val="正文首行缩进 2 Char"/>
    <w:uiPriority w:val="0"/>
    <w:qFormat/>
    <w:rPr>
      <w:rFonts w:ascii="楷体_GB2312" w:eastAsia="楷体_GB2312"/>
      <w:sz w:val="21"/>
      <w:szCs w:val="24"/>
    </w:rPr>
  </w:style>
  <w:style w:type="character" w:styleId="1276" w:customStyle="1">
    <w:name w:val="atitle21"/>
    <w:uiPriority w:val="0"/>
    <w:qFormat/>
    <w:rPr>
      <w:rFonts w:ascii="Arial" w:hAnsi="Arial" w:cs="Arial"/>
      <w:b/>
      <w:bCs/>
      <w:sz w:val="35"/>
      <w:szCs w:val="35"/>
    </w:rPr>
  </w:style>
  <w:style w:type="character" w:styleId="1277" w:customStyle="1">
    <w:name w:val="标题 1 Char2"/>
    <w:uiPriority w:val="0"/>
    <w:qFormat/>
    <w:rPr>
      <w:rFonts w:ascii="Times New Roman" w:hAnsi="Times New Roman" w:eastAsia="宋体" w:cs="Times New Roman"/>
      <w:b/>
      <w:bCs/>
      <w:sz w:val="32"/>
      <w:szCs w:val="28"/>
    </w:rPr>
  </w:style>
  <w:style w:type="character" w:styleId="1278" w:customStyle="1">
    <w:name w:val="op_dict3_lineone_result_tip"/>
    <w:uiPriority w:val="0"/>
    <w:qFormat/>
    <w:rPr>
      <w:color w:val="999999"/>
    </w:rPr>
  </w:style>
  <w:style w:type="character" w:styleId="1279" w:customStyle="1">
    <w:name w:val="标题 2 Char2"/>
    <w:uiPriority w:val="0"/>
    <w:qFormat/>
    <w:rPr>
      <w:rFonts w:ascii="Times New Roman" w:hAnsi="Times New Roman" w:eastAsia="宋体" w:cs="Times New Roman"/>
      <w:b/>
      <w:bCs/>
      <w:sz w:val="30"/>
      <w:szCs w:val="32"/>
    </w:rPr>
  </w:style>
  <w:style w:type="character" w:styleId="1280" w:customStyle="1">
    <w:name w:val="标题 3 Char2"/>
    <w:uiPriority w:val="0"/>
    <w:qFormat/>
    <w:rPr>
      <w:rFonts w:ascii="Times New Roman" w:hAnsi="Times New Roman" w:eastAsia="宋体" w:cs="Times New Roman"/>
      <w:b/>
      <w:bCs/>
      <w:sz w:val="28"/>
      <w:szCs w:val="18"/>
    </w:rPr>
  </w:style>
  <w:style w:type="character" w:styleId="1281" w:customStyle="1">
    <w:name w:val="WW8Num9z2"/>
    <w:uiPriority w:val="0"/>
    <w:qFormat/>
    <w:rPr>
      <w:rFonts w:ascii="StarSymbol" w:hAnsi="StarSymbol" w:cs="StarSymbol"/>
      <w:sz w:val="18"/>
      <w:szCs w:val="18"/>
    </w:rPr>
  </w:style>
  <w:style w:type="character" w:styleId="1282" w:customStyle="1">
    <w:name w:val="标题 4 Char2"/>
    <w:uiPriority w:val="0"/>
    <w:qFormat/>
    <w:rPr>
      <w:rFonts w:ascii="Times New Roman" w:hAnsi="Times New Roman" w:eastAsia="宋体" w:cs="Times New Roman"/>
      <w:b/>
      <w:bCs/>
      <w:sz w:val="24"/>
      <w:szCs w:val="28"/>
    </w:rPr>
  </w:style>
  <w:style w:type="character" w:styleId="1283" w:customStyle="1">
    <w:name w:val="WW8Num13z1"/>
    <w:uiPriority w:val="0"/>
    <w:qFormat/>
    <w:rPr>
      <w:rFonts w:ascii="Wingdings 2" w:hAnsi="Wingdings 2" w:cs="StarSymbol"/>
      <w:sz w:val="18"/>
      <w:szCs w:val="18"/>
    </w:rPr>
  </w:style>
  <w:style w:type="character" w:styleId="1284" w:customStyle="1">
    <w:name w:val="标题 5 Char2"/>
    <w:uiPriority w:val="0"/>
    <w:qFormat/>
    <w:rPr>
      <w:rFonts w:ascii="Times New Roman" w:hAnsi="Times New Roman" w:eastAsia="宋体" w:cs="Times New Roman"/>
      <w:b/>
      <w:bCs/>
      <w:sz w:val="21"/>
      <w:szCs w:val="28"/>
      <w:lang w:val="zh-CN"/>
    </w:rPr>
  </w:style>
  <w:style w:type="character" w:styleId="1285" w:customStyle="1">
    <w:name w:val="WW8Num15z7"/>
    <w:uiPriority w:val="0"/>
    <w:qFormat/>
    <w:rPr>
      <w:rFonts w:ascii="Wingdings" w:hAnsi="Wingdings"/>
    </w:rPr>
  </w:style>
  <w:style w:type="character" w:styleId="1286" w:customStyle="1">
    <w:name w:val="标题 6 Char2"/>
    <w:uiPriority w:val="0"/>
    <w:qFormat/>
    <w:rPr>
      <w:rFonts w:ascii="Cambria" w:hAnsi="Cambria" w:eastAsia="宋体" w:cs="Times New Roman"/>
      <w:b/>
      <w:bCs/>
      <w:sz w:val="24"/>
      <w:szCs w:val="24"/>
      <w:lang w:val="zh-CN"/>
    </w:rPr>
  </w:style>
  <w:style w:type="character" w:styleId="1287" w:customStyle="1">
    <w:name w:val="WW8Num26z0"/>
    <w:uiPriority w:val="0"/>
    <w:qFormat/>
    <w:rPr>
      <w:rFonts w:ascii="Wingdings" w:hAnsi="Wingdings" w:cs="StarSymbol"/>
      <w:sz w:val="18"/>
      <w:szCs w:val="18"/>
    </w:rPr>
  </w:style>
  <w:style w:type="character" w:styleId="1288" w:customStyle="1">
    <w:name w:val="正文文本缩进 Char3"/>
    <w:uiPriority w:val="0"/>
    <w:qFormat/>
    <w:rPr>
      <w:rFonts w:ascii="Times New Roman" w:hAnsi="Times New Roman" w:eastAsia="宋体" w:cs="Times New Roman"/>
      <w:szCs w:val="24"/>
      <w:lang w:val="zh-CN" w:eastAsia="zh-CN"/>
    </w:rPr>
  </w:style>
  <w:style w:type="character" w:styleId="1289" w:customStyle="1">
    <w:name w:val="WW8Num26z2"/>
    <w:uiPriority w:val="0"/>
    <w:qFormat/>
    <w:rPr>
      <w:rFonts w:ascii="StarSymbol" w:hAnsi="StarSymbol" w:cs="StarSymbol"/>
      <w:sz w:val="18"/>
      <w:szCs w:val="18"/>
    </w:rPr>
  </w:style>
  <w:style w:type="character" w:styleId="1290" w:customStyle="1">
    <w:name w:val="批注框文本 Char3"/>
    <w:uiPriority w:val="99"/>
    <w:qFormat/>
    <w:rPr>
      <w:rFonts w:ascii="Times New Roman" w:hAnsi="Times New Roman" w:eastAsia="宋体" w:cs="Times New Roman"/>
      <w:sz w:val="18"/>
      <w:szCs w:val="18"/>
    </w:rPr>
  </w:style>
  <w:style w:type="character" w:styleId="1291" w:customStyle="1">
    <w:name w:val="bz-content"/>
    <w:uiPriority w:val="0"/>
    <w:qFormat/>
  </w:style>
  <w:style w:type="character" w:styleId="1292" w:customStyle="1">
    <w:name w:val="标题 Char2"/>
    <w:uiPriority w:val="0"/>
    <w:qFormat/>
    <w:rPr>
      <w:rFonts w:ascii="Cambria" w:hAnsi="Cambria" w:eastAsia="黑体" w:cs="Times New Roman"/>
      <w:b/>
      <w:bCs/>
      <w:sz w:val="52"/>
      <w:szCs w:val="32"/>
    </w:rPr>
  </w:style>
  <w:style w:type="character" w:styleId="1293" w:customStyle="1">
    <w:name w:val="标题 字符1"/>
    <w:uiPriority w:val="0"/>
    <w:qFormat/>
    <w:rPr>
      <w:rFonts w:ascii="宋体" w:hAnsi="宋体" w:eastAsia="方正小标宋_GBK" w:cs="Times New Roman"/>
      <w:color w:val="000000"/>
      <w:sz w:val="52"/>
      <w:szCs w:val="52"/>
    </w:rPr>
  </w:style>
  <w:style w:type="character" w:styleId="1294" w:customStyle="1">
    <w:name w:val="正文2 字符"/>
    <w:link w:val="1295"/>
    <w:uiPriority w:val="0"/>
    <w:qFormat/>
    <w:rPr>
      <w:szCs w:val="24"/>
    </w:rPr>
  </w:style>
  <w:style w:type="paragraph" w:styleId="1295" w:customStyle="1">
    <w:name w:val="正文2"/>
    <w:basedOn w:val="678"/>
    <w:link w:val="1294"/>
    <w:uiPriority w:val="0"/>
    <w:qFormat/>
    <w:pPr>
      <w:ind w:firstLine="420"/>
      <w:spacing w:line="360" w:lineRule="auto"/>
    </w:pPr>
    <w:rPr>
      <w:szCs w:val="24"/>
    </w:rPr>
  </w:style>
  <w:style w:type="character" w:styleId="1296" w:customStyle="1">
    <w:name w:val="WW8Num4z2"/>
    <w:uiPriority w:val="0"/>
    <w:qFormat/>
    <w:rPr>
      <w:rFonts w:ascii="StarSymbol" w:hAnsi="StarSymbol" w:cs="StarSymbol"/>
      <w:sz w:val="18"/>
      <w:szCs w:val="18"/>
    </w:rPr>
  </w:style>
  <w:style w:type="character" w:styleId="1297" w:customStyle="1">
    <w:name w:val="标题 7 Char2"/>
    <w:uiPriority w:val="0"/>
    <w:qFormat/>
    <w:rPr>
      <w:rFonts w:ascii="Times New Roman" w:hAnsi="Times New Roman" w:eastAsia="宋体" w:cs="Times New Roman"/>
      <w:b/>
      <w:bCs/>
      <w:sz w:val="24"/>
      <w:szCs w:val="24"/>
    </w:rPr>
  </w:style>
  <w:style w:type="character" w:styleId="1298" w:customStyle="1">
    <w:name w:val="WW-Absatz-Standardschriftart1"/>
    <w:uiPriority w:val="0"/>
    <w:qFormat/>
  </w:style>
  <w:style w:type="character" w:styleId="1299" w:customStyle="1">
    <w:name w:val="标题 9 Char2"/>
    <w:uiPriority w:val="0"/>
    <w:qFormat/>
    <w:rPr>
      <w:rFonts w:ascii="Times New Roman" w:hAnsi="Times New Roman" w:eastAsia="宋体" w:cs="Times New Roman"/>
      <w:b/>
      <w:bCs/>
      <w:sz w:val="30"/>
      <w:szCs w:val="18"/>
    </w:rPr>
  </w:style>
  <w:style w:type="character" w:styleId="1300" w:customStyle="1">
    <w:name w:val="WW8Num3z1"/>
    <w:uiPriority w:val="0"/>
    <w:qFormat/>
    <w:rPr>
      <w:rFonts w:ascii="Wingdings 2" w:hAnsi="Wingdings 2" w:cs="StarSymbol"/>
      <w:sz w:val="18"/>
      <w:szCs w:val="18"/>
    </w:rPr>
  </w:style>
  <w:style w:type="character" w:styleId="1301" w:customStyle="1">
    <w:name w:val="批注文字 Char3"/>
    <w:uiPriority w:val="99"/>
    <w:qFormat/>
    <w:rPr>
      <w:rFonts w:ascii="Times New Roman" w:hAnsi="Times New Roman" w:eastAsia="宋体" w:cs="Times New Roman"/>
      <w:szCs w:val="24"/>
      <w:lang w:val="zh-CN"/>
    </w:rPr>
  </w:style>
  <w:style w:type="character" w:styleId="1302" w:customStyle="1">
    <w:name w:val="WW8Num29z1"/>
    <w:uiPriority w:val="0"/>
    <w:qFormat/>
    <w:rPr>
      <w:rFonts w:ascii="Wingdings 2" w:hAnsi="Wingdings 2" w:cs="StarSymbol"/>
      <w:sz w:val="18"/>
      <w:szCs w:val="18"/>
    </w:rPr>
  </w:style>
  <w:style w:type="character" w:styleId="1303" w:customStyle="1">
    <w:name w:val="正文文本 Char3"/>
    <w:uiPriority w:val="0"/>
    <w:qFormat/>
    <w:rPr>
      <w:rFonts w:ascii="Times New Roman" w:hAnsi="Times New Roman" w:eastAsia="宋体" w:cs="Times New Roman"/>
      <w:szCs w:val="24"/>
    </w:rPr>
  </w:style>
  <w:style w:type="character" w:styleId="1304" w:customStyle="1">
    <w:name w:val="WW8Num9z1"/>
    <w:uiPriority w:val="0"/>
    <w:qFormat/>
    <w:rPr>
      <w:rFonts w:ascii="Wingdings 2" w:hAnsi="Wingdings 2" w:cs="StarSymbol"/>
      <w:sz w:val="18"/>
      <w:szCs w:val="18"/>
    </w:rPr>
  </w:style>
  <w:style w:type="character" w:styleId="1305" w:customStyle="1">
    <w:name w:val="日期 Char3"/>
    <w:uiPriority w:val="0"/>
    <w:qFormat/>
    <w:rPr>
      <w:rFonts w:ascii="Times New Roman" w:hAnsi="Times New Roman" w:eastAsia="宋体" w:cs="Times New Roman"/>
      <w:szCs w:val="24"/>
    </w:rPr>
  </w:style>
  <w:style w:type="character" w:styleId="1306" w:customStyle="1">
    <w:name w:val="WW8Num5z1"/>
    <w:uiPriority w:val="0"/>
    <w:qFormat/>
    <w:rPr>
      <w:rFonts w:ascii="Wingdings 2" w:hAnsi="Wingdings 2" w:cs="StarSymbol"/>
      <w:sz w:val="18"/>
      <w:szCs w:val="18"/>
    </w:rPr>
  </w:style>
  <w:style w:type="character" w:styleId="1307" w:customStyle="1">
    <w:name w:val="正文首行缩进 Char4"/>
    <w:uiPriority w:val="0"/>
    <w:qFormat/>
    <w:rPr>
      <w:rFonts w:ascii="Times New Roman" w:hAnsi="Times New Roman" w:eastAsia="宋体" w:cs="Times New Roman"/>
      <w:szCs w:val="24"/>
    </w:rPr>
  </w:style>
  <w:style w:type="character" w:styleId="1308" w:customStyle="1">
    <w:name w:val="标题 4 字符1"/>
    <w:uiPriority w:val="9"/>
    <w:qFormat/>
    <w:rPr>
      <w:rFonts w:ascii="仿宋" w:hAnsi="仿宋" w:eastAsia="仿宋"/>
      <w:b/>
      <w:bCs/>
      <w:sz w:val="32"/>
      <w:szCs w:val="32"/>
    </w:rPr>
  </w:style>
  <w:style w:type="character" w:styleId="1309" w:customStyle="1">
    <w:name w:val="正文文本 2 Char2"/>
    <w:uiPriority w:val="0"/>
    <w:qFormat/>
    <w:rPr>
      <w:rFonts w:ascii="Times New Roman" w:hAnsi="Times New Roman" w:eastAsia="宋体" w:cs="Times New Roman"/>
      <w:szCs w:val="24"/>
    </w:rPr>
  </w:style>
  <w:style w:type="character" w:styleId="1310" w:customStyle="1">
    <w:name w:val="Bullets"/>
    <w:uiPriority w:val="0"/>
    <w:qFormat/>
    <w:rPr>
      <w:rFonts w:ascii="StarSymbol" w:hAnsi="StarSymbol" w:eastAsia="StarSymbol" w:cs="StarSymbol"/>
      <w:sz w:val="18"/>
      <w:szCs w:val="18"/>
    </w:rPr>
  </w:style>
  <w:style w:type="character" w:styleId="1311" w:customStyle="1">
    <w:name w:val="正文文本 3 Char2"/>
    <w:uiPriority w:val="0"/>
    <w:qFormat/>
    <w:rPr>
      <w:rFonts w:ascii="Times New Roman" w:hAnsi="Times New Roman" w:eastAsia="宋体" w:cs="Times New Roman"/>
      <w:sz w:val="16"/>
      <w:szCs w:val="16"/>
    </w:rPr>
  </w:style>
  <w:style w:type="character" w:styleId="1312" w:customStyle="1">
    <w:name w:val="WW8Num39z2"/>
    <w:uiPriority w:val="0"/>
    <w:qFormat/>
    <w:rPr>
      <w:rFonts w:ascii="StarSymbol" w:hAnsi="StarSymbol" w:cs="StarSymbol"/>
      <w:sz w:val="18"/>
      <w:szCs w:val="18"/>
    </w:rPr>
  </w:style>
  <w:style w:type="character" w:styleId="1313" w:customStyle="1">
    <w:name w:val="正文文本缩进 2 Char3"/>
    <w:uiPriority w:val="0"/>
    <w:qFormat/>
    <w:rPr>
      <w:rFonts w:ascii="Times New Roman" w:hAnsi="Times New Roman" w:eastAsia="楷体_GB2312" w:cs="Times New Roman"/>
      <w:sz w:val="24"/>
      <w:szCs w:val="24"/>
    </w:rPr>
  </w:style>
  <w:style w:type="character" w:styleId="1314" w:customStyle="1">
    <w:name w:val="WW8Num11z2"/>
    <w:uiPriority w:val="0"/>
    <w:qFormat/>
    <w:rPr>
      <w:rFonts w:ascii="StarSymbol" w:hAnsi="StarSymbol" w:cs="StarSymbol"/>
      <w:sz w:val="18"/>
      <w:szCs w:val="18"/>
    </w:rPr>
  </w:style>
  <w:style w:type="character" w:styleId="1315" w:customStyle="1">
    <w:name w:val="正文文本缩进 3 Char2"/>
    <w:uiPriority w:val="0"/>
    <w:qFormat/>
    <w:rPr>
      <w:rFonts w:ascii="Times New Roman" w:hAnsi="Times New Roman" w:eastAsia="宋体" w:cs="Times New Roman"/>
      <w:sz w:val="16"/>
      <w:szCs w:val="16"/>
    </w:rPr>
  </w:style>
  <w:style w:type="character" w:styleId="1316" w:customStyle="1">
    <w:name w:val="WW8Num4z1"/>
    <w:uiPriority w:val="0"/>
    <w:qFormat/>
    <w:rPr>
      <w:rFonts w:ascii="Wingdings" w:hAnsi="Wingdings"/>
    </w:rPr>
  </w:style>
  <w:style w:type="character" w:styleId="1317" w:customStyle="1">
    <w:name w:val="方案正文 Char1"/>
    <w:link w:val="1318"/>
    <w:uiPriority w:val="0"/>
    <w:qFormat/>
    <w:rPr>
      <w:rFonts w:ascii="宋体" w:hAnsi="宋体" w:cs="宋体"/>
      <w:szCs w:val="28"/>
    </w:rPr>
  </w:style>
  <w:style w:type="paragraph" w:styleId="1318" w:customStyle="1">
    <w:name w:val="方案正文"/>
    <w:basedOn w:val="678"/>
    <w:next w:val="678"/>
    <w:link w:val="1317"/>
    <w:uiPriority w:val="0"/>
    <w:qFormat/>
    <w:pPr>
      <w:ind w:firstLine="200"/>
      <w:jc w:val="left"/>
      <w:spacing w:line="440" w:lineRule="exact"/>
    </w:pPr>
    <w:rPr>
      <w:rFonts w:ascii="宋体" w:hAnsi="宋体" w:cs="宋体"/>
      <w:szCs w:val="28"/>
    </w:rPr>
  </w:style>
  <w:style w:type="character" w:styleId="1319" w:customStyle="1">
    <w:name w:val="标题 8 字符1"/>
    <w:uiPriority w:val="9"/>
    <w:qFormat/>
    <w:rPr>
      <w:rFonts w:ascii="Arial" w:hAnsi="Arial" w:eastAsia="黑体" w:cs="Times New Roman"/>
      <w:sz w:val="24"/>
      <w:szCs w:val="24"/>
    </w:rPr>
  </w:style>
  <w:style w:type="character" w:styleId="1320" w:customStyle="1">
    <w:name w:val="FA正文 Char"/>
    <w:link w:val="1321"/>
    <w:uiPriority w:val="0"/>
    <w:qFormat/>
    <w:rPr>
      <w:rFonts w:ascii="宋体" w:hAnsi="宋体"/>
      <w:spacing w:val="10"/>
      <w:sz w:val="24"/>
      <w:szCs w:val="24"/>
    </w:rPr>
  </w:style>
  <w:style w:type="paragraph" w:styleId="1321" w:customStyle="1">
    <w:name w:val="FA正文"/>
    <w:basedOn w:val="678"/>
    <w:link w:val="1320"/>
    <w:uiPriority w:val="0"/>
    <w:qFormat/>
    <w:pPr>
      <w:ind w:firstLine="520"/>
      <w:spacing w:line="360" w:lineRule="auto"/>
      <w:tabs>
        <w:tab w:val="left" w:pos="3375" w:leader="none"/>
      </w:tabs>
    </w:pPr>
    <w:rPr>
      <w:rFonts w:ascii="宋体" w:hAnsi="宋体"/>
      <w:spacing w:val="10"/>
      <w:sz w:val="24"/>
      <w:szCs w:val="24"/>
    </w:rPr>
  </w:style>
  <w:style w:type="character" w:styleId="1322" w:customStyle="1">
    <w:name w:val="WW8Num18z7"/>
    <w:uiPriority w:val="0"/>
    <w:qFormat/>
    <w:rPr>
      <w:rFonts w:ascii="Wingdings" w:hAnsi="Wingdings"/>
    </w:rPr>
  </w:style>
  <w:style w:type="character" w:styleId="1323" w:customStyle="1">
    <w:name w:val="方案正文-样式 小四 行距: 1.5 倍行距 Char"/>
    <w:link w:val="1324"/>
    <w:uiPriority w:val="0"/>
    <w:qFormat/>
    <w:rPr>
      <w:sz w:val="24"/>
      <w:lang w:val="zh-CN"/>
    </w:rPr>
  </w:style>
  <w:style w:type="paragraph" w:styleId="1324" w:customStyle="1">
    <w:name w:val="方案正文-样式 小四 行距: 1.5 倍行距"/>
    <w:basedOn w:val="678"/>
    <w:link w:val="1323"/>
    <w:uiPriority w:val="0"/>
    <w:qFormat/>
    <w:pPr>
      <w:ind w:left="1134" w:firstLine="480"/>
      <w:spacing w:before="260" w:after="260" w:line="360" w:lineRule="auto"/>
    </w:pPr>
    <w:rPr>
      <w:sz w:val="24"/>
      <w:lang w:val="zh-CN"/>
    </w:rPr>
  </w:style>
  <w:style w:type="character" w:styleId="1325" w:customStyle="1">
    <w:name w:val="WW8Num36z2"/>
    <w:uiPriority w:val="0"/>
    <w:qFormat/>
    <w:rPr>
      <w:rFonts w:ascii="StarSymbol" w:hAnsi="StarSymbol" w:cs="StarSymbol"/>
      <w:sz w:val="18"/>
      <w:szCs w:val="18"/>
    </w:rPr>
  </w:style>
  <w:style w:type="character" w:styleId="1326" w:customStyle="1">
    <w:name w:val="label_list1"/>
    <w:uiPriority w:val="0"/>
    <w:qFormat/>
  </w:style>
  <w:style w:type="character" w:styleId="1327" w:customStyle="1">
    <w:name w:val="WW8Num9z0"/>
    <w:uiPriority w:val="0"/>
    <w:qFormat/>
    <w:rPr>
      <w:rFonts w:ascii="Wingdings" w:hAnsi="Wingdings" w:cs="StarSymbol"/>
      <w:sz w:val="18"/>
      <w:szCs w:val="18"/>
    </w:rPr>
  </w:style>
  <w:style w:type="character" w:styleId="1328" w:customStyle="1">
    <w:name w:val="p11b1"/>
    <w:uiPriority w:val="0"/>
    <w:qFormat/>
    <w:rPr>
      <w:color w:val="000000"/>
      <w:spacing w:val="320"/>
      <w:sz w:val="20"/>
      <w:szCs w:val="20"/>
      <w:u w:val="none"/>
    </w:rPr>
  </w:style>
  <w:style w:type="character" w:styleId="1329" w:customStyle="1">
    <w:name w:val="WW8Num8z1"/>
    <w:uiPriority w:val="0"/>
    <w:qFormat/>
    <w:rPr>
      <w:rFonts w:ascii="Wingdings 2" w:hAnsi="Wingdings 2" w:cs="StarSymbol"/>
      <w:sz w:val="18"/>
      <w:szCs w:val="18"/>
    </w:rPr>
  </w:style>
  <w:style w:type="character" w:styleId="1330" w:customStyle="1">
    <w:name w:val="Indent Normal Char"/>
    <w:uiPriority w:val="0"/>
    <w:qFormat/>
    <w:rPr>
      <w:rFonts w:hint="eastAsia" w:ascii="宋体" w:hAnsi="宋体" w:eastAsia="宋体"/>
      <w:sz w:val="21"/>
      <w:szCs w:val="24"/>
      <w:lang w:val="en-US" w:eastAsia="zh-CN" w:bidi="ar-SA"/>
    </w:rPr>
  </w:style>
  <w:style w:type="character" w:styleId="1331" w:customStyle="1">
    <w:name w:val="标题 2 字符1"/>
    <w:uiPriority w:val="0"/>
    <w:qFormat/>
    <w:rPr>
      <w:rFonts w:ascii="楷体" w:eastAsia="楷体"/>
      <w:b/>
      <w:bCs/>
      <w:color w:val="000000"/>
      <w:sz w:val="32"/>
      <w:szCs w:val="28"/>
    </w:rPr>
  </w:style>
  <w:style w:type="character" w:styleId="1332" w:customStyle="1">
    <w:name w:val="large1"/>
    <w:uiPriority w:val="0"/>
    <w:qFormat/>
    <w:rPr>
      <w:rFonts w:hint="eastAsia" w:ascii="宋体" w:hAnsi="宋体" w:eastAsia="宋体"/>
      <w:sz w:val="22"/>
      <w:szCs w:val="22"/>
    </w:rPr>
  </w:style>
  <w:style w:type="character" w:styleId="1333" w:customStyle="1">
    <w:name w:val="WW8Num32z1"/>
    <w:uiPriority w:val="0"/>
    <w:qFormat/>
    <w:rPr>
      <w:rFonts w:ascii="Wingdings 2" w:hAnsi="Wingdings 2" w:cs="StarSymbol"/>
      <w:sz w:val="18"/>
      <w:szCs w:val="18"/>
    </w:rPr>
  </w:style>
  <w:style w:type="character" w:styleId="1334" w:customStyle="1">
    <w:name w:val="f141"/>
    <w:uiPriority w:val="0"/>
    <w:qFormat/>
    <w:rPr>
      <w:sz w:val="21"/>
      <w:szCs w:val="21"/>
    </w:rPr>
  </w:style>
  <w:style w:type="character" w:styleId="1335" w:customStyle="1">
    <w:name w:val="WW8Num25z2"/>
    <w:uiPriority w:val="0"/>
    <w:qFormat/>
    <w:rPr>
      <w:rFonts w:ascii="StarSymbol" w:hAnsi="StarSymbol" w:cs="StarSymbol"/>
      <w:sz w:val="18"/>
      <w:szCs w:val="18"/>
    </w:rPr>
  </w:style>
  <w:style w:type="character" w:styleId="1336" w:customStyle="1">
    <w:name w:val="14_black1"/>
    <w:uiPriority w:val="0"/>
    <w:qFormat/>
    <w:rPr>
      <w:color w:val="000000"/>
      <w:sz w:val="23"/>
      <w:szCs w:val="23"/>
    </w:rPr>
  </w:style>
  <w:style w:type="character" w:styleId="1337" w:customStyle="1">
    <w:name w:val="WW8Num20z0"/>
    <w:uiPriority w:val="0"/>
    <w:qFormat/>
    <w:rPr>
      <w:rFonts w:ascii="Wingdings" w:hAnsi="Wingdings"/>
    </w:rPr>
  </w:style>
  <w:style w:type="character" w:styleId="1338" w:customStyle="1">
    <w:name w:val="正文2 Char Char"/>
    <w:uiPriority w:val="0"/>
    <w:qFormat/>
    <w:rPr>
      <w:rFonts w:hint="eastAsia" w:ascii="仿宋_GB2312" w:eastAsia="仿宋_GB2312"/>
      <w:sz w:val="24"/>
    </w:rPr>
  </w:style>
  <w:style w:type="character" w:styleId="1339" w:customStyle="1">
    <w:name w:val="WW8Num2z0"/>
    <w:uiPriority w:val="0"/>
    <w:qFormat/>
    <w:rPr>
      <w:rFonts w:ascii="Wingdings" w:hAnsi="Wingdings" w:cs="StarSymbol"/>
      <w:sz w:val="18"/>
      <w:szCs w:val="18"/>
    </w:rPr>
  </w:style>
  <w:style w:type="character" w:styleId="1340" w:customStyle="1">
    <w:name w:val="mini-tree-nodetext2"/>
    <w:uiPriority w:val="0"/>
    <w:qFormat/>
  </w:style>
  <w:style w:type="character" w:styleId="1341" w:customStyle="1">
    <w:name w:val="WW8Num8z2"/>
    <w:uiPriority w:val="0"/>
    <w:qFormat/>
    <w:rPr>
      <w:rFonts w:ascii="StarSymbol" w:hAnsi="StarSymbol" w:cs="StarSymbol"/>
      <w:sz w:val="18"/>
      <w:szCs w:val="18"/>
    </w:rPr>
  </w:style>
  <w:style w:type="character" w:styleId="1342" w:customStyle="1">
    <w:name w:val="before"/>
    <w:uiPriority w:val="0"/>
    <w:qFormat/>
  </w:style>
  <w:style w:type="character" w:styleId="1343" w:customStyle="1">
    <w:name w:val="WW8Num39z0"/>
    <w:uiPriority w:val="0"/>
    <w:qFormat/>
    <w:rPr>
      <w:rFonts w:ascii="Wingdings" w:hAnsi="Wingdings" w:cs="StarSymbol"/>
      <w:sz w:val="18"/>
      <w:szCs w:val="18"/>
    </w:rPr>
  </w:style>
  <w:style w:type="character" w:styleId="1344" w:customStyle="1">
    <w:name w:val="first-child"/>
    <w:uiPriority w:val="0"/>
    <w:qFormat/>
  </w:style>
  <w:style w:type="character" w:styleId="1345" w:customStyle="1">
    <w:name w:val="WW8Num6z0"/>
    <w:uiPriority w:val="0"/>
    <w:qFormat/>
    <w:rPr>
      <w:rFonts w:ascii="Wingdings" w:hAnsi="Wingdings" w:cs="StarSymbol"/>
      <w:sz w:val="18"/>
      <w:szCs w:val="18"/>
    </w:rPr>
  </w:style>
  <w:style w:type="character" w:styleId="1346" w:customStyle="1">
    <w:name w:val="icon501"/>
    <w:uiPriority w:val="0"/>
    <w:qFormat/>
    <w:rPr>
      <w:color w:val="a6a6a6"/>
      <w:sz w:val="27"/>
      <w:szCs w:val="27"/>
    </w:rPr>
  </w:style>
  <w:style w:type="character" w:styleId="1347" w:customStyle="1">
    <w:name w:val="WW8Num36z0"/>
    <w:uiPriority w:val="0"/>
    <w:qFormat/>
    <w:rPr>
      <w:rFonts w:ascii="Wingdings" w:hAnsi="Wingdings" w:cs="StarSymbol"/>
      <w:sz w:val="18"/>
      <w:szCs w:val="18"/>
    </w:rPr>
  </w:style>
  <w:style w:type="character" w:styleId="1348" w:customStyle="1">
    <w:name w:val="range-menu-item-main-content"/>
    <w:uiPriority w:val="0"/>
    <w:qFormat/>
  </w:style>
  <w:style w:type="character" w:styleId="1349" w:customStyle="1">
    <w:name w:val="WW8Num37z2"/>
    <w:uiPriority w:val="0"/>
    <w:qFormat/>
    <w:rPr>
      <w:rFonts w:ascii="StarSymbol" w:hAnsi="StarSymbol" w:cs="StarSymbol"/>
      <w:sz w:val="18"/>
      <w:szCs w:val="18"/>
    </w:rPr>
  </w:style>
  <w:style w:type="character" w:styleId="1350" w:customStyle="1">
    <w:name w:val="first-child1"/>
    <w:uiPriority w:val="0"/>
    <w:qFormat/>
  </w:style>
  <w:style w:type="character" w:styleId="1351" w:customStyle="1">
    <w:name w:val="默认段落字体1"/>
    <w:uiPriority w:val="0"/>
    <w:qFormat/>
  </w:style>
  <w:style w:type="character" w:styleId="1352" w:customStyle="1">
    <w:name w:val="active__1oyv"/>
    <w:uiPriority w:val="0"/>
    <w:qFormat/>
    <w:rPr>
      <w:color w:val="383838"/>
    </w:rPr>
  </w:style>
  <w:style w:type="character" w:styleId="1353" w:customStyle="1">
    <w:name w:val="WW8Num36z1"/>
    <w:uiPriority w:val="0"/>
    <w:qFormat/>
    <w:rPr>
      <w:rFonts w:ascii="Wingdings 2" w:hAnsi="Wingdings 2" w:cs="StarSymbol"/>
      <w:sz w:val="18"/>
      <w:szCs w:val="18"/>
    </w:rPr>
  </w:style>
  <w:style w:type="character" w:styleId="1354" w:customStyle="1">
    <w:name w:val="icon499"/>
    <w:uiPriority w:val="0"/>
    <w:qFormat/>
    <w:rPr>
      <w:color w:val="a6a6a6"/>
      <w:sz w:val="27"/>
      <w:szCs w:val="27"/>
    </w:rPr>
  </w:style>
  <w:style w:type="character" w:styleId="1355" w:customStyle="1">
    <w:name w:val="main1"/>
    <w:uiPriority w:val="0"/>
    <w:qFormat/>
    <w:rPr>
      <w:rFonts w:ascii="ˎ̥" w:hAnsi="ˎ̥" w:eastAsia="宋体"/>
      <w:b/>
      <w:sz w:val="21"/>
      <w:szCs w:val="21"/>
      <w:lang w:val="en-US" w:eastAsia="zh-CN" w:bidi="ar-SA"/>
    </w:rPr>
  </w:style>
  <w:style w:type="character" w:styleId="1356" w:customStyle="1">
    <w:name w:val="first-child2"/>
    <w:uiPriority w:val="0"/>
    <w:qFormat/>
  </w:style>
  <w:style w:type="character" w:styleId="135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8" w:customStyle="1">
    <w:name w:val="icon500"/>
    <w:uiPriority w:val="0"/>
    <w:qFormat/>
  </w:style>
  <w:style w:type="character" w:styleId="1359" w:customStyle="1">
    <w:name w:val="WW8Num15z2"/>
    <w:uiPriority w:val="0"/>
    <w:qFormat/>
    <w:rPr>
      <w:rFonts w:ascii="StarSymbol" w:hAnsi="StarSymbol" w:cs="StarSymbol"/>
      <w:sz w:val="18"/>
      <w:szCs w:val="18"/>
    </w:rPr>
  </w:style>
  <w:style w:type="character" w:styleId="1360" w:customStyle="1">
    <w:name w:val="range-menu-item-main-content1"/>
    <w:uiPriority w:val="0"/>
    <w:qFormat/>
  </w:style>
  <w:style w:type="character" w:styleId="1361" w:customStyle="1">
    <w:name w:val="WW8Num3z0"/>
    <w:uiPriority w:val="0"/>
    <w:qFormat/>
    <w:rPr>
      <w:rFonts w:ascii="Wingdings" w:hAnsi="Wingdings" w:cs="StarSymbol"/>
      <w:sz w:val="18"/>
      <w:szCs w:val="18"/>
    </w:rPr>
  </w:style>
  <w:style w:type="character" w:styleId="1362" w:customStyle="1">
    <w:name w:val="overdue"/>
    <w:uiPriority w:val="0"/>
    <w:qFormat/>
  </w:style>
  <w:style w:type="character" w:styleId="1363" w:customStyle="1">
    <w:name w:val="正文文本 字符1"/>
    <w:uiPriority w:val="0"/>
    <w:semiHidden/>
    <w:qFormat/>
    <w:rPr>
      <w:rFonts w:ascii="Times New Roman" w:hAnsi="Times New Roman" w:eastAsia="方正仿宋_GBK" w:cs="Times New Roman"/>
      <w:sz w:val="24"/>
      <w:szCs w:val="20"/>
    </w:rPr>
  </w:style>
  <w:style w:type="character" w:styleId="1364" w:customStyle="1">
    <w:name w:val="overdue2"/>
    <w:uiPriority w:val="0"/>
    <w:qFormat/>
  </w:style>
  <w:style w:type="character" w:styleId="1365" w:customStyle="1">
    <w:name w:val="表头样式 Char"/>
    <w:uiPriority w:val="0"/>
    <w:qFormat/>
    <w:rPr>
      <w:rFonts w:ascii="Arial" w:hAnsi="Arial" w:cs="Arial"/>
      <w:b/>
      <w:sz w:val="21"/>
      <w:szCs w:val="21"/>
    </w:rPr>
  </w:style>
  <w:style w:type="character" w:styleId="1366" w:customStyle="1">
    <w:name w:val="dls-icon[data-role=icon]"/>
    <w:uiPriority w:val="0"/>
    <w:qFormat/>
    <w:rPr>
      <w:sz w:val="24"/>
      <w:szCs w:val="24"/>
    </w:rPr>
  </w:style>
  <w:style w:type="character" w:styleId="1367" w:customStyle="1">
    <w:name w:val="maintext1"/>
    <w:uiPriority w:val="0"/>
    <w:qFormat/>
    <w:rPr>
      <w:rFonts w:ascii="Arial" w:hAnsi="Arial" w:cs="Arial"/>
      <w:color w:val="000000"/>
      <w:sz w:val="18"/>
      <w:szCs w:val="18"/>
    </w:rPr>
  </w:style>
  <w:style w:type="character" w:styleId="1368" w:customStyle="1">
    <w:name w:val="icon502"/>
    <w:uiPriority w:val="0"/>
    <w:qFormat/>
    <w:rPr>
      <w:color w:val="a6a6a6"/>
      <w:sz w:val="27"/>
      <w:szCs w:val="27"/>
    </w:rPr>
  </w:style>
  <w:style w:type="character" w:styleId="1369" w:customStyle="1">
    <w:name w:val="tw4winMark"/>
    <w:uiPriority w:val="0"/>
    <w:qFormat/>
    <w:rPr>
      <w:rFonts w:ascii="Courier New" w:hAnsi="Courier New" w:cs="Courier New"/>
      <w:vanish/>
      <w:color w:val="800080"/>
      <w:vertAlign w:val="subscript"/>
    </w:rPr>
  </w:style>
  <w:style w:type="character" w:styleId="1370" w:customStyle="1">
    <w:name w:val="列表段落 字符"/>
    <w:link w:val="1371"/>
    <w:uiPriority w:val="0"/>
    <w:qFormat/>
    <w:rPr>
      <w:szCs w:val="24"/>
    </w:rPr>
  </w:style>
  <w:style w:type="paragraph" w:styleId="1371" w:customStyle="1">
    <w:name w:val="列表段落1"/>
    <w:basedOn w:val="678"/>
    <w:link w:val="1370"/>
    <w:uiPriority w:val="0"/>
    <w:qFormat/>
    <w:pPr>
      <w:ind w:firstLine="420"/>
    </w:pPr>
    <w:rPr>
      <w:szCs w:val="24"/>
    </w:rPr>
  </w:style>
  <w:style w:type="character" w:styleId="1372" w:customStyle="1">
    <w:name w:val="称呼 Char1"/>
    <w:uiPriority w:val="0"/>
    <w:qFormat/>
    <w:rPr>
      <w:sz w:val="21"/>
    </w:rPr>
  </w:style>
  <w:style w:type="character" w:styleId="1373" w:customStyle="1">
    <w:name w:val="批注主题 Char3"/>
    <w:uiPriority w:val="99"/>
    <w:qFormat/>
    <w:rPr>
      <w:rFonts w:ascii="Times New Roman" w:hAnsi="Times New Roman" w:eastAsia="宋体" w:cs="Times New Roman"/>
      <w:b/>
      <w:bCs/>
      <w:szCs w:val="24"/>
      <w:lang w:val="zh-CN"/>
    </w:rPr>
  </w:style>
  <w:style w:type="character" w:styleId="1374" w:customStyle="1">
    <w:name w:val="正文Normal Char"/>
    <w:uiPriority w:val="0"/>
    <w:qFormat/>
    <w:rPr>
      <w:rFonts w:ascii="Arial" w:hAnsi="Arial" w:cs="Arial"/>
      <w:sz w:val="24"/>
      <w:szCs w:val="24"/>
    </w:rPr>
  </w:style>
  <w:style w:type="character" w:styleId="1375" w:customStyle="1">
    <w:name w:val="定制正文 Arial 小四 首行缩进:  0.74 厘米 行距: 1.5 倍行距1 + 宋体 Char"/>
    <w:link w:val="1376"/>
    <w:uiPriority w:val="0"/>
    <w:qFormat/>
    <w:rPr>
      <w:rFonts w:ascii="Arial" w:hAnsi="Arial" w:cs="宋体"/>
      <w:bCs/>
      <w:szCs w:val="21"/>
    </w:rPr>
  </w:style>
  <w:style w:type="paragraph" w:styleId="1376" w:customStyle="1">
    <w:name w:val="定制正文 Arial 小四 首行缩进:  0.74 厘米 行距: 1.5 倍行距1 + 宋体"/>
    <w:basedOn w:val="678"/>
    <w:link w:val="1375"/>
    <w:uiPriority w:val="0"/>
    <w:qFormat/>
    <w:pPr>
      <w:ind w:firstLine="420"/>
      <w:spacing w:line="360" w:lineRule="auto"/>
    </w:pPr>
    <w:rPr>
      <w:rFonts w:ascii="Arial" w:hAnsi="Arial" w:cs="宋体"/>
      <w:bCs/>
      <w:szCs w:val="21"/>
    </w:rPr>
  </w:style>
  <w:style w:type="character" w:styleId="1377" w:customStyle="1">
    <w:name w:val="WW8Num16z1"/>
    <w:uiPriority w:val="0"/>
    <w:qFormat/>
    <w:rPr>
      <w:rFonts w:ascii="Wingdings" w:hAnsi="Wingdings"/>
    </w:rPr>
  </w:style>
  <w:style w:type="character" w:styleId="1378" w:customStyle="1">
    <w:name w:val="Indent Normal Char1"/>
    <w:link w:val="1379"/>
    <w:uiPriority w:val="0"/>
    <w:qFormat/>
    <w:rPr>
      <w:sz w:val="24"/>
      <w:szCs w:val="24"/>
    </w:rPr>
  </w:style>
  <w:style w:type="paragraph" w:styleId="1379" w:customStyle="1">
    <w:name w:val="Indent Normal"/>
    <w:basedOn w:val="678"/>
    <w:link w:val="1378"/>
    <w:uiPriority w:val="0"/>
    <w:qFormat/>
    <w:pPr>
      <w:ind w:firstLine="150"/>
      <w:spacing w:line="360" w:lineRule="auto"/>
    </w:pPr>
    <w:rPr>
      <w:sz w:val="24"/>
      <w:szCs w:val="24"/>
    </w:rPr>
  </w:style>
  <w:style w:type="character" w:styleId="1380" w:customStyle="1">
    <w:name w:val="WW8Num7z2"/>
    <w:uiPriority w:val="0"/>
    <w:qFormat/>
    <w:rPr>
      <w:rFonts w:ascii="StarSymbol" w:hAnsi="StarSymbol" w:cs="StarSymbol"/>
      <w:sz w:val="18"/>
      <w:szCs w:val="18"/>
    </w:rPr>
  </w:style>
  <w:style w:type="character" w:styleId="1381" w:customStyle="1">
    <w:name w:val="正文-new Char"/>
    <w:link w:val="1382"/>
    <w:uiPriority w:val="0"/>
    <w:qFormat/>
    <w:rPr>
      <w:rFonts w:ascii="宋体" w:hAnsi="宋体" w:cs="宋体"/>
      <w:szCs w:val="21"/>
    </w:rPr>
  </w:style>
  <w:style w:type="paragraph" w:styleId="1382" w:customStyle="1">
    <w:name w:val="正文-new"/>
    <w:basedOn w:val="678"/>
    <w:link w:val="1381"/>
    <w:uiPriority w:val="0"/>
    <w:qFormat/>
    <w:pPr>
      <w:ind w:firstLine="425"/>
      <w:spacing w:line="360" w:lineRule="auto"/>
    </w:pPr>
    <w:rPr>
      <w:rFonts w:ascii="宋体" w:hAnsi="宋体" w:cs="宋体"/>
      <w:szCs w:val="21"/>
    </w:rPr>
  </w:style>
  <w:style w:type="character" w:styleId="1383" w:customStyle="1">
    <w:name w:val="WW8Num24z0"/>
    <w:uiPriority w:val="0"/>
    <w:qFormat/>
    <w:rPr>
      <w:rFonts w:ascii="Wingdings" w:hAnsi="Wingdings" w:cs="StarSymbol"/>
      <w:sz w:val="18"/>
      <w:szCs w:val="18"/>
    </w:rPr>
  </w:style>
  <w:style w:type="character" w:styleId="1384" w:customStyle="1">
    <w:name w:val="_正文段落 Char"/>
    <w:uiPriority w:val="0"/>
    <w:qFormat/>
    <w:rPr>
      <w:sz w:val="24"/>
      <w:szCs w:val="24"/>
    </w:rPr>
  </w:style>
  <w:style w:type="character" w:styleId="1385" w:customStyle="1">
    <w:name w:val="WW8Num33z2"/>
    <w:uiPriority w:val="0"/>
    <w:qFormat/>
    <w:rPr>
      <w:rFonts w:ascii="StarSymbol" w:hAnsi="StarSymbol" w:cs="StarSymbol"/>
      <w:sz w:val="18"/>
      <w:szCs w:val="18"/>
    </w:rPr>
  </w:style>
  <w:style w:type="character" w:styleId="1386" w:customStyle="1">
    <w:name w:val="样式 宋体 小四 段前: 7.8 磅 行距: 1.5 倍行距 Char"/>
    <w:link w:val="1387"/>
    <w:uiPriority w:val="0"/>
    <w:qFormat/>
    <w:rPr>
      <w:rFonts w:ascii="宋体" w:hAnsi="宋体"/>
      <w:szCs w:val="21"/>
    </w:rPr>
  </w:style>
  <w:style w:type="paragraph" w:styleId="1387" w:customStyle="1">
    <w:name w:val="样式 宋体 小四 段前: 7.8 磅 行距: 1.5 倍行距"/>
    <w:basedOn w:val="678"/>
    <w:link w:val="1386"/>
    <w:uiPriority w:val="0"/>
    <w:qFormat/>
    <w:pPr>
      <w:ind w:firstLine="420"/>
      <w:jc w:val="left"/>
      <w:spacing w:line="360" w:lineRule="auto"/>
    </w:pPr>
    <w:rPr>
      <w:rFonts w:ascii="宋体" w:hAnsi="宋体"/>
      <w:szCs w:val="21"/>
    </w:rPr>
  </w:style>
  <w:style w:type="character" w:styleId="1388" w:customStyle="1">
    <w:name w:val="WW8Num38z1"/>
    <w:uiPriority w:val="0"/>
    <w:qFormat/>
    <w:rPr>
      <w:rFonts w:ascii="Wingdings 2" w:hAnsi="Wingdings 2" w:cs="StarSymbol"/>
      <w:sz w:val="18"/>
      <w:szCs w:val="18"/>
    </w:rPr>
  </w:style>
  <w:style w:type="character" w:styleId="1389" w:customStyle="1">
    <w:name w:val="表格样式 宋体 5号 Char"/>
    <w:link w:val="1390"/>
    <w:uiPriority w:val="0"/>
    <w:qFormat/>
    <w:rPr>
      <w:rFonts w:ascii="宋体" w:hAnsi="宋体"/>
      <w:szCs w:val="21"/>
      <w:lang w:val="zh-CN"/>
    </w:rPr>
  </w:style>
  <w:style w:type="paragraph" w:styleId="1390" w:customStyle="1">
    <w:name w:val="表格样式 宋体 5号"/>
    <w:basedOn w:val="678"/>
    <w:link w:val="1389"/>
    <w:uiPriority w:val="0"/>
    <w:qFormat/>
    <w:pPr>
      <w:jc w:val="left"/>
    </w:pPr>
    <w:rPr>
      <w:rFonts w:ascii="宋体" w:hAnsi="宋体"/>
      <w:szCs w:val="21"/>
      <w:lang w:val="zh-CN"/>
    </w:rPr>
  </w:style>
  <w:style w:type="character" w:styleId="1391" w:customStyle="1">
    <w:name w:val="WW8Num7z1"/>
    <w:uiPriority w:val="0"/>
    <w:qFormat/>
    <w:rPr>
      <w:rFonts w:ascii="Wingdings 2" w:hAnsi="Wingdings 2" w:cs="StarSymbol"/>
      <w:sz w:val="18"/>
      <w:szCs w:val="18"/>
    </w:rPr>
  </w:style>
  <w:style w:type="character" w:styleId="1392" w:customStyle="1">
    <w:name w:val="样式 宋体 四号"/>
    <w:uiPriority w:val="0"/>
    <w:qFormat/>
    <w:rPr>
      <w:rFonts w:ascii="宋体" w:hAnsi="宋体" w:eastAsia="仿宋_GB2312"/>
      <w:sz w:val="28"/>
    </w:rPr>
  </w:style>
  <w:style w:type="character" w:styleId="1393" w:customStyle="1">
    <w:name w:val="WW8Num17z2"/>
    <w:uiPriority w:val="0"/>
    <w:qFormat/>
    <w:rPr>
      <w:rFonts w:ascii="StarSymbol" w:hAnsi="StarSymbol" w:cs="StarSymbol"/>
      <w:sz w:val="18"/>
      <w:szCs w:val="18"/>
    </w:rPr>
  </w:style>
  <w:style w:type="character" w:styleId="1394" w:customStyle="1">
    <w:name w:val="我的正文 Char"/>
    <w:link w:val="1395"/>
    <w:uiPriority w:val="0"/>
    <w:qFormat/>
    <w:rPr>
      <w:rFonts w:ascii="Arial" w:hAnsi="Arial"/>
      <w:sz w:val="24"/>
      <w:szCs w:val="18"/>
    </w:rPr>
  </w:style>
  <w:style w:type="paragraph" w:styleId="1395" w:customStyle="1">
    <w:name w:val="我的正文"/>
    <w:basedOn w:val="678"/>
    <w:link w:val="1394"/>
    <w:uiPriority w:val="0"/>
    <w:qFormat/>
    <w:pPr>
      <w:ind w:firstLine="200"/>
      <w:spacing w:line="360" w:lineRule="auto"/>
      <w:widowControl/>
    </w:pPr>
    <w:rPr>
      <w:rFonts w:ascii="Arial" w:hAnsi="Arial"/>
      <w:sz w:val="24"/>
      <w:szCs w:val="18"/>
    </w:rPr>
  </w:style>
  <w:style w:type="character" w:styleId="1396" w:customStyle="1">
    <w:name w:val="WW8Num10z1"/>
    <w:uiPriority w:val="0"/>
    <w:qFormat/>
    <w:rPr>
      <w:rFonts w:ascii="Wingdings 2" w:hAnsi="Wingdings 2" w:cs="StarSymbol"/>
      <w:sz w:val="18"/>
      <w:szCs w:val="18"/>
    </w:rPr>
  </w:style>
  <w:style w:type="character" w:styleId="1397" w:customStyle="1">
    <w:name w:val="WW8Num27z0"/>
    <w:uiPriority w:val="0"/>
    <w:qFormat/>
    <w:rPr>
      <w:rFonts w:ascii="Wingdings" w:hAnsi="Wingdings" w:cs="StarSymbol"/>
      <w:sz w:val="18"/>
      <w:szCs w:val="18"/>
    </w:rPr>
  </w:style>
  <w:style w:type="character" w:styleId="1398" w:customStyle="1">
    <w:name w:val="脚注文本 Char2"/>
    <w:uiPriority w:val="0"/>
    <w:qFormat/>
    <w:rPr>
      <w:rFonts w:ascii="Times New Roman" w:hAnsi="Times New Roman" w:eastAsia="宋体" w:cs="Times New Roman"/>
      <w:sz w:val="18"/>
      <w:szCs w:val="18"/>
    </w:rPr>
  </w:style>
  <w:style w:type="character" w:styleId="1399" w:customStyle="1">
    <w:name w:val="WW8Num10z2"/>
    <w:uiPriority w:val="0"/>
    <w:qFormat/>
    <w:rPr>
      <w:rFonts w:ascii="StarSymbol" w:hAnsi="StarSymbol" w:cs="StarSymbol"/>
      <w:sz w:val="18"/>
      <w:szCs w:val="18"/>
    </w:rPr>
  </w:style>
  <w:style w:type="character" w:styleId="1400" w:customStyle="1">
    <w:name w:val="HTML 地址 字符"/>
    <w:uiPriority w:val="0"/>
    <w:qFormat/>
    <w:rPr>
      <w:rFonts w:ascii="Times New Roman" w:hAnsi="Times New Roman" w:eastAsia="宋体" w:cs="Times New Roman"/>
      <w:i/>
      <w:iCs/>
      <w:szCs w:val="24"/>
    </w:rPr>
  </w:style>
  <w:style w:type="character" w:styleId="1401" w:customStyle="1">
    <w:name w:val="pi1"/>
    <w:uiPriority w:val="0"/>
    <w:qFormat/>
    <w:rPr>
      <w:color w:val="0000ff"/>
    </w:rPr>
  </w:style>
  <w:style w:type="character" w:styleId="1402" w:customStyle="1">
    <w:name w:val="HTML 地址 Char2"/>
    <w:uiPriority w:val="0"/>
    <w:qFormat/>
    <w:rPr>
      <w:i/>
      <w:iCs/>
      <w:szCs w:val="24"/>
    </w:rPr>
  </w:style>
  <w:style w:type="character" w:styleId="1403" w:customStyle="1">
    <w:name w:val="WW-Absatz-Standardschriftart"/>
    <w:uiPriority w:val="0"/>
    <w:qFormat/>
  </w:style>
  <w:style w:type="character" w:styleId="1404" w:customStyle="1">
    <w:name w:val="HTML 预设格式 字符"/>
    <w:uiPriority w:val="0"/>
    <w:qFormat/>
    <w:rPr>
      <w:rFonts w:ascii="Courier New" w:hAnsi="Courier New" w:eastAsia="宋体" w:cs="Courier New"/>
      <w:sz w:val="20"/>
      <w:szCs w:val="20"/>
    </w:rPr>
  </w:style>
  <w:style w:type="character" w:styleId="1405" w:customStyle="1">
    <w:name w:val="WW8Num27z1"/>
    <w:uiPriority w:val="0"/>
    <w:qFormat/>
    <w:rPr>
      <w:rFonts w:ascii="Wingdings 2" w:hAnsi="Wingdings 2" w:cs="StarSymbol"/>
      <w:sz w:val="18"/>
      <w:szCs w:val="18"/>
    </w:rPr>
  </w:style>
  <w:style w:type="character" w:styleId="1406" w:customStyle="1">
    <w:name w:val="HTML 预设格式 Char2"/>
    <w:uiPriority w:val="0"/>
    <w:qFormat/>
    <w:rPr>
      <w:rFonts w:ascii="Courier New" w:hAnsi="Courier New" w:cs="Courier New"/>
    </w:rPr>
  </w:style>
  <w:style w:type="character" w:styleId="1407" w:customStyle="1">
    <w:name w:val="WW8Num20z2"/>
    <w:uiPriority w:val="0"/>
    <w:qFormat/>
    <w:rPr>
      <w:rFonts w:ascii="StarSymbol" w:hAnsi="StarSymbol" w:cs="StarSymbol"/>
      <w:sz w:val="18"/>
      <w:szCs w:val="18"/>
    </w:rPr>
  </w:style>
  <w:style w:type="character" w:styleId="1408" w:customStyle="1">
    <w:name w:val="发布"/>
    <w:uiPriority w:val="0"/>
    <w:qFormat/>
    <w:rPr>
      <w:rFonts w:ascii="黑体" w:eastAsia="黑体"/>
      <w:spacing w:val="22"/>
      <w:position w:val="3"/>
      <w:sz w:val="28"/>
    </w:rPr>
  </w:style>
  <w:style w:type="character" w:styleId="1409" w:customStyle="1">
    <w:name w:val="WW8Num29z0"/>
    <w:uiPriority w:val="0"/>
    <w:qFormat/>
    <w:rPr>
      <w:rFonts w:ascii="Wingdings" w:hAnsi="Wingdings" w:cs="StarSymbol"/>
      <w:sz w:val="18"/>
      <w:szCs w:val="18"/>
    </w:rPr>
  </w:style>
  <w:style w:type="character" w:styleId="1410" w:customStyle="1">
    <w:name w:val="EmailStyle87"/>
    <w:uiPriority w:val="0"/>
    <w:qFormat/>
    <w:rPr>
      <w:rFonts w:ascii="Arial" w:hAnsi="Arial" w:eastAsia="宋体" w:cs="Arial"/>
      <w:color w:val="000000"/>
      <w:sz w:val="20"/>
    </w:rPr>
  </w:style>
  <w:style w:type="character" w:styleId="1411" w:customStyle="1">
    <w:name w:val="WW8Num24z2"/>
    <w:uiPriority w:val="0"/>
    <w:qFormat/>
    <w:rPr>
      <w:rFonts w:ascii="StarSymbol" w:hAnsi="StarSymbol" w:cs="StarSymbol"/>
      <w:sz w:val="18"/>
      <w:szCs w:val="18"/>
    </w:rPr>
  </w:style>
  <w:style w:type="character" w:styleId="1412" w:customStyle="1">
    <w:name w:val="EmailStyle88"/>
    <w:uiPriority w:val="0"/>
    <w:qFormat/>
    <w:rPr>
      <w:rFonts w:ascii="Arial" w:hAnsi="Arial" w:eastAsia="宋体" w:cs="Arial"/>
      <w:color w:val="000000"/>
      <w:sz w:val="20"/>
    </w:rPr>
  </w:style>
  <w:style w:type="character" w:styleId="1413" w:customStyle="1">
    <w:name w:val="称呼 字符1"/>
    <w:uiPriority w:val="0"/>
    <w:qFormat/>
    <w:rPr>
      <w:rFonts w:ascii="Times New Roman" w:hAnsi="Times New Roman" w:eastAsia="宋体" w:cs="Times New Roman"/>
      <w:szCs w:val="24"/>
    </w:rPr>
  </w:style>
  <w:style w:type="character" w:styleId="1414" w:customStyle="1">
    <w:name w:val="FA正文 Char Char"/>
    <w:uiPriority w:val="0"/>
    <w:qFormat/>
    <w:rPr>
      <w:rFonts w:hAnsi="宋体" w:cs="宋体"/>
      <w:sz w:val="24"/>
      <w:szCs w:val="21"/>
    </w:rPr>
  </w:style>
  <w:style w:type="character" w:styleId="1415" w:customStyle="1">
    <w:name w:val="副标题 字符1"/>
    <w:uiPriority w:val="0"/>
    <w:qFormat/>
    <w:rPr>
      <w:b/>
      <w:bCs/>
      <w:sz w:val="32"/>
      <w:szCs w:val="32"/>
    </w:rPr>
  </w:style>
  <w:style w:type="character" w:styleId="1416" w:customStyle="1">
    <w:name w:val="注释标题 字符"/>
    <w:uiPriority w:val="0"/>
    <w:qFormat/>
    <w:rPr>
      <w:rFonts w:ascii="Times New Roman" w:hAnsi="Times New Roman" w:eastAsia="宋体" w:cs="Times New Roman"/>
      <w:szCs w:val="24"/>
    </w:rPr>
  </w:style>
  <w:style w:type="character" w:styleId="1417" w:customStyle="1">
    <w:name w:val="正文文本首行缩进 2 字符1"/>
    <w:uiPriority w:val="0"/>
    <w:qFormat/>
    <w:rPr>
      <w:rFonts w:ascii="Times New Roman" w:hAnsi="Times New Roman" w:eastAsia="宋体" w:cs="Times New Roman"/>
      <w:szCs w:val="24"/>
      <w:lang w:val="zh-CN" w:eastAsia="zh-CN"/>
    </w:rPr>
  </w:style>
  <w:style w:type="character" w:styleId="1418" w:customStyle="1">
    <w:name w:val="注释标题 Char3"/>
    <w:uiPriority w:val="0"/>
    <w:qFormat/>
    <w:rPr>
      <w:szCs w:val="24"/>
    </w:rPr>
  </w:style>
  <w:style w:type="character" w:styleId="1419" w:customStyle="1">
    <w:name w:val="Char Char312"/>
    <w:uiPriority w:val="0"/>
    <w:qFormat/>
    <w:rPr>
      <w:rFonts w:eastAsia="宋体"/>
      <w:sz w:val="21"/>
      <w:szCs w:val="24"/>
      <w:lang w:val="en-US" w:eastAsia="zh-CN" w:bidi="ar-SA"/>
    </w:rPr>
  </w:style>
  <w:style w:type="character" w:styleId="1420" w:customStyle="1">
    <w:name w:val="EmailStyle127"/>
    <w:uiPriority w:val="0"/>
    <w:qFormat/>
    <w:rPr>
      <w:rFonts w:ascii="Arial" w:hAnsi="Arial" w:eastAsia="宋体" w:cs="Arial"/>
      <w:color w:val="000000"/>
      <w:sz w:val="20"/>
    </w:rPr>
  </w:style>
  <w:style w:type="character" w:styleId="1421" w:customStyle="1">
    <w:name w:val="!BECC正文 Char"/>
    <w:link w:val="1422"/>
    <w:uiPriority w:val="0"/>
    <w:qFormat/>
    <w:rPr>
      <w:sz w:val="24"/>
      <w:szCs w:val="24"/>
    </w:rPr>
  </w:style>
  <w:style w:type="paragraph" w:styleId="1422" w:customStyle="1">
    <w:name w:val="!BECC正文"/>
    <w:basedOn w:val="678"/>
    <w:link w:val="1421"/>
    <w:uiPriority w:val="0"/>
    <w:qFormat/>
    <w:pPr>
      <w:contextualSpacing/>
      <w:ind w:firstLine="200"/>
      <w:spacing w:line="360" w:lineRule="auto"/>
      <w:tabs>
        <w:tab w:val="left" w:pos="0" w:leader="none"/>
      </w:tabs>
    </w:pPr>
    <w:rPr>
      <w:sz w:val="24"/>
      <w:szCs w:val="24"/>
    </w:rPr>
  </w:style>
  <w:style w:type="character" w:styleId="1423" w:customStyle="1">
    <w:name w:val="EmailStyle128"/>
    <w:uiPriority w:val="0"/>
    <w:qFormat/>
    <w:rPr>
      <w:rFonts w:ascii="Arial" w:hAnsi="Arial" w:eastAsia="宋体" w:cs="Arial"/>
      <w:color w:val="000000"/>
      <w:sz w:val="20"/>
    </w:rPr>
  </w:style>
  <w:style w:type="character" w:styleId="1424" w:customStyle="1">
    <w:name w:val="ordinary-span-edit2"/>
    <w:uiPriority w:val="0"/>
    <w:qFormat/>
  </w:style>
  <w:style w:type="character" w:styleId="1425" w:customStyle="1">
    <w:name w:val="标题 2 Char1"/>
    <w:uiPriority w:val="0"/>
    <w:qFormat/>
    <w:rPr>
      <w:b/>
      <w:bCs/>
      <w:sz w:val="30"/>
      <w:szCs w:val="32"/>
    </w:rPr>
  </w:style>
  <w:style w:type="character" w:styleId="1426" w:customStyle="1">
    <w:name w:val="!RepPar_alt+p Char"/>
    <w:link w:val="1427"/>
    <w:uiPriority w:val="0"/>
    <w:qFormat/>
    <w:rPr>
      <w:sz w:val="24"/>
      <w:szCs w:val="24"/>
      <w:lang w:val="zh-CN"/>
    </w:rPr>
  </w:style>
  <w:style w:type="paragraph" w:styleId="1427" w:customStyle="1">
    <w:name w:val="!RepPar_alt+p"/>
    <w:basedOn w:val="678"/>
    <w:link w:val="1426"/>
    <w:uiPriority w:val="0"/>
    <w:qFormat/>
    <w:pPr>
      <w:ind w:firstLine="200"/>
      <w:spacing w:line="360" w:lineRule="auto"/>
    </w:pPr>
    <w:rPr>
      <w:sz w:val="24"/>
      <w:szCs w:val="24"/>
      <w:lang w:val="zh-CN"/>
    </w:rPr>
  </w:style>
  <w:style w:type="character" w:styleId="1428" w:customStyle="1">
    <w:name w:val="bz-content1"/>
    <w:uiPriority w:val="0"/>
    <w:qFormat/>
    <w:rPr>
      <w:sz w:val="20"/>
      <w:szCs w:val="20"/>
      <w:u w:val="none"/>
    </w:rPr>
  </w:style>
  <w:style w:type="character" w:styleId="1429" w:customStyle="1">
    <w:name w:val="highlight1"/>
    <w:uiPriority w:val="0"/>
    <w:qFormat/>
    <w:rPr>
      <w:shd w:val="clear" w:color="auto" w:fill="ffff00"/>
    </w:rPr>
  </w:style>
  <w:style w:type="character" w:styleId="1430" w:customStyle="1">
    <w:name w:val="Char Char3"/>
    <w:uiPriority w:val="0"/>
    <w:qFormat/>
    <w:rPr>
      <w:rFonts w:eastAsia="宋体"/>
      <w:sz w:val="21"/>
      <w:szCs w:val="24"/>
      <w:lang w:val="en-US" w:eastAsia="zh-CN" w:bidi="ar-SA"/>
    </w:rPr>
  </w:style>
  <w:style w:type="character" w:styleId="1431" w:customStyle="1">
    <w:name w:val="highlight"/>
    <w:uiPriority w:val="0"/>
    <w:qFormat/>
  </w:style>
  <w:style w:type="character" w:styleId="1432" w:customStyle="1">
    <w:name w:val="style12"/>
    <w:uiPriority w:val="0"/>
    <w:qFormat/>
  </w:style>
  <w:style w:type="character" w:styleId="1433" w:customStyle="1">
    <w:name w:val="样式1 Char"/>
    <w:link w:val="1434"/>
    <w:uiPriority w:val="0"/>
    <w:qFormat/>
    <w:rPr>
      <w:sz w:val="24"/>
      <w:szCs w:val="24"/>
    </w:rPr>
  </w:style>
  <w:style w:type="paragraph" w:styleId="1434" w:customStyle="1">
    <w:name w:val="样式1"/>
    <w:basedOn w:val="678"/>
    <w:link w:val="1433"/>
    <w:uiPriority w:val="0"/>
    <w:qFormat/>
    <w:pPr>
      <w:ind w:firstLine="480"/>
      <w:spacing w:line="300" w:lineRule="auto"/>
    </w:pPr>
    <w:rPr>
      <w:sz w:val="24"/>
      <w:szCs w:val="24"/>
    </w:rPr>
  </w:style>
  <w:style w:type="character" w:styleId="1435" w:customStyle="1">
    <w:name w:val="font201"/>
    <w:uiPriority w:val="0"/>
    <w:qFormat/>
    <w:rPr>
      <w:spacing w:val="300"/>
    </w:rPr>
  </w:style>
  <w:style w:type="character" w:styleId="1436" w:customStyle="1">
    <w:name w:val="明显强调1"/>
    <w:uiPriority w:val="0"/>
    <w:qFormat/>
    <w:rPr>
      <w:i/>
      <w:iCs/>
      <w:color w:val="5b9bd5"/>
    </w:rPr>
  </w:style>
  <w:style w:type="character" w:styleId="1437" w:customStyle="1">
    <w:name w:val="lawsitemtext1"/>
    <w:uiPriority w:val="0"/>
    <w:qFormat/>
    <w:rPr>
      <w:color w:val="696969"/>
      <w:spacing w:val="280"/>
      <w:sz w:val="21"/>
      <w:szCs w:val="21"/>
    </w:rPr>
  </w:style>
  <w:style w:type="character" w:styleId="1438" w:customStyle="1">
    <w:name w:val="文字 Char Char"/>
    <w:link w:val="1439"/>
    <w:uiPriority w:val="0"/>
    <w:qFormat/>
    <w:rPr>
      <w:rFonts w:ascii="楷体_GB2312" w:eastAsia="楷体_GB2312"/>
      <w:sz w:val="28"/>
    </w:rPr>
  </w:style>
  <w:style w:type="paragraph" w:styleId="1439" w:customStyle="1">
    <w:name w:val="文字"/>
    <w:basedOn w:val="678"/>
    <w:link w:val="1438"/>
    <w:uiPriority w:val="0"/>
    <w:qFormat/>
    <w:pPr>
      <w:ind w:right="-210" w:firstLine="556"/>
      <w:spacing w:line="312" w:lineRule="auto"/>
      <w:tabs>
        <w:tab w:val="left" w:pos="8520" w:leader="none"/>
      </w:tabs>
    </w:pPr>
    <w:rPr>
      <w:rFonts w:ascii="楷体_GB2312" w:eastAsia="楷体_GB2312"/>
      <w:sz w:val="28"/>
    </w:rPr>
  </w:style>
  <w:style w:type="character" w:styleId="1440" w:customStyle="1">
    <w:name w:val="l151"/>
    <w:uiPriority w:val="0"/>
    <w:qFormat/>
  </w:style>
  <w:style w:type="character" w:styleId="1441" w:customStyle="1">
    <w:name w:val="Char Char31"/>
    <w:uiPriority w:val="0"/>
    <w:qFormat/>
    <w:rPr>
      <w:rFonts w:eastAsia="宋体"/>
      <w:sz w:val="21"/>
      <w:szCs w:val="24"/>
      <w:lang w:val="en-US" w:eastAsia="zh-CN" w:bidi="ar-SA"/>
    </w:rPr>
  </w:style>
  <w:style w:type="character" w:styleId="1442" w:customStyle="1">
    <w:name w:val="EmailStyle891"/>
    <w:uiPriority w:val="0"/>
    <w:qFormat/>
    <w:rPr>
      <w:rFonts w:ascii="Arial" w:hAnsi="Arial" w:eastAsia="宋体" w:cs="Arial"/>
      <w:color w:val="000000"/>
      <w:sz w:val="20"/>
    </w:rPr>
  </w:style>
  <w:style w:type="character" w:styleId="1443" w:customStyle="1">
    <w:name w:val="一级条标题 Char"/>
    <w:uiPriority w:val="0"/>
    <w:qFormat/>
    <w:rPr>
      <w:rFonts w:ascii="黑体" w:hAnsi="Times New Roman" w:eastAsia="黑体" w:cs="Times New Roman"/>
      <w:szCs w:val="20"/>
    </w:rPr>
  </w:style>
  <w:style w:type="character" w:styleId="1444" w:customStyle="1">
    <w:name w:val="EmailStyle901"/>
    <w:uiPriority w:val="0"/>
    <w:qFormat/>
    <w:rPr>
      <w:rFonts w:ascii="Arial" w:hAnsi="Arial" w:eastAsia="宋体" w:cs="Arial"/>
      <w:color w:val="000000"/>
      <w:sz w:val="20"/>
    </w:rPr>
  </w:style>
  <w:style w:type="character" w:styleId="1445" w:customStyle="1">
    <w:name w:val="small1"/>
    <w:uiPriority w:val="0"/>
    <w:qFormat/>
    <w:rPr>
      <w:rFonts w:ascii="Verdana" w:hAnsi="Verdana"/>
      <w:sz w:val="18"/>
      <w:szCs w:val="18"/>
    </w:rPr>
  </w:style>
  <w:style w:type="character" w:styleId="1446" w:customStyle="1">
    <w:name w:val="二级条标题 Char"/>
    <w:uiPriority w:val="0"/>
    <w:qFormat/>
    <w:rPr>
      <w:rFonts w:ascii="黑体" w:hAnsi="Times New Roman" w:eastAsia="黑体" w:cs="Times New Roman"/>
      <w:szCs w:val="20"/>
    </w:rPr>
  </w:style>
  <w:style w:type="character" w:styleId="1447" w:customStyle="1">
    <w:name w:val="fnt1"/>
    <w:uiPriority w:val="0"/>
    <w:qFormat/>
    <w:rPr>
      <w:rFonts w:ascii="Verdana" w:hAnsi="Verdana"/>
      <w:color w:val="666666"/>
      <w:sz w:val="18"/>
      <w:szCs w:val="18"/>
    </w:rPr>
  </w:style>
  <w:style w:type="character" w:styleId="1448" w:customStyle="1">
    <w:name w:val="三级条标题 Char"/>
    <w:link w:val="1449"/>
    <w:uiPriority w:val="0"/>
    <w:qFormat/>
    <w:rPr>
      <w:rFonts w:ascii="黑体" w:eastAsia="黑体"/>
    </w:rPr>
  </w:style>
  <w:style w:type="paragraph" w:styleId="1449" w:customStyle="1">
    <w:name w:val="三级条标题"/>
    <w:basedOn w:val="1124"/>
    <w:next w:val="1101"/>
    <w:link w:val="1448"/>
    <w:uiPriority w:val="0"/>
    <w:qFormat/>
    <w:pPr>
      <w:ind w:left="780" w:hanging="360"/>
      <w:tabs>
        <w:tab w:val="left" w:pos="1440" w:leader="none"/>
      </w:tabs>
      <w:outlineLvl w:val="4"/>
    </w:pPr>
  </w:style>
  <w:style w:type="character" w:styleId="1450" w:customStyle="1">
    <w:name w:val="paragraph1 Char"/>
    <w:link w:val="1451"/>
    <w:uiPriority w:val="0"/>
    <w:qFormat/>
    <w:rPr>
      <w:rFonts w:ascii="仿宋_GB2312" w:eastAsia="仿宋_GB2312"/>
      <w:sz w:val="28"/>
      <w:szCs w:val="24"/>
    </w:rPr>
  </w:style>
  <w:style w:type="paragraph" w:styleId="1451" w:customStyle="1">
    <w:name w:val="paragraph1"/>
    <w:basedOn w:val="678"/>
    <w:link w:val="1450"/>
    <w:uiPriority w:val="0"/>
    <w:qFormat/>
    <w:pPr>
      <w:ind w:firstLine="200"/>
      <w:spacing w:line="360" w:lineRule="auto"/>
    </w:pPr>
    <w:rPr>
      <w:rFonts w:ascii="仿宋_GB2312" w:eastAsia="仿宋_GB2312"/>
      <w:sz w:val="28"/>
      <w:szCs w:val="24"/>
    </w:rPr>
  </w:style>
  <w:style w:type="character" w:styleId="1452" w:customStyle="1">
    <w:name w:val="注： Char"/>
    <w:link w:val="1453"/>
    <w:uiPriority w:val="0"/>
    <w:qFormat/>
    <w:rPr>
      <w:rFonts w:ascii="宋体" w:hAnsi="等线" w:eastAsia="Arial" w:cs="Arial"/>
      <w:sz w:val="18"/>
    </w:rPr>
  </w:style>
  <w:style w:type="paragraph" w:styleId="1453" w:customStyle="1">
    <w:name w:val="注："/>
    <w:next w:val="1101"/>
    <w:link w:val="1452"/>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454" w:customStyle="1">
    <w:name w:val="EmailStyle1271"/>
    <w:uiPriority w:val="0"/>
    <w:qFormat/>
    <w:rPr>
      <w:rFonts w:ascii="Arial" w:hAnsi="Arial" w:eastAsia="宋体" w:cs="Arial"/>
      <w:color w:val="000000"/>
      <w:sz w:val="20"/>
    </w:rPr>
  </w:style>
  <w:style w:type="character" w:styleId="1455" w:customStyle="1">
    <w:name w:val="WW-Absatz-Standardschriftart1111"/>
    <w:uiPriority w:val="0"/>
    <w:qFormat/>
  </w:style>
  <w:style w:type="character" w:styleId="1456" w:customStyle="1">
    <w:name w:val="EmailStyle1281"/>
    <w:uiPriority w:val="0"/>
    <w:qFormat/>
    <w:rPr>
      <w:rFonts w:ascii="Arial" w:hAnsi="Arial" w:eastAsia="宋体" w:cs="Arial"/>
      <w:color w:val="000000"/>
      <w:sz w:val="20"/>
    </w:rPr>
  </w:style>
  <w:style w:type="character" w:styleId="1457" w:customStyle="1">
    <w:name w:val="WW8Num1z7"/>
    <w:uiPriority w:val="0"/>
    <w:qFormat/>
    <w:rPr>
      <w:rFonts w:ascii="Wingdings" w:hAnsi="Wingdings"/>
    </w:rPr>
  </w:style>
  <w:style w:type="character" w:styleId="1458" w:customStyle="1">
    <w:name w:val="EmailStyle170"/>
    <w:uiPriority w:val="0"/>
    <w:qFormat/>
    <w:rPr>
      <w:rFonts w:ascii="Arial" w:hAnsi="Arial" w:eastAsia="宋体" w:cs="Arial"/>
      <w:color w:val="000000"/>
      <w:sz w:val="20"/>
    </w:rPr>
  </w:style>
  <w:style w:type="character" w:styleId="1459" w:customStyle="1">
    <w:name w:val="WW8Num19z2"/>
    <w:uiPriority w:val="0"/>
    <w:qFormat/>
    <w:rPr>
      <w:rFonts w:ascii="StarSymbol" w:hAnsi="StarSymbol" w:cs="StarSymbol"/>
      <w:sz w:val="18"/>
      <w:szCs w:val="18"/>
    </w:rPr>
  </w:style>
  <w:style w:type="character" w:styleId="1460" w:customStyle="1">
    <w:name w:val="EmailStyle171"/>
    <w:uiPriority w:val="0"/>
    <w:qFormat/>
    <w:rPr>
      <w:rFonts w:ascii="Arial" w:hAnsi="Arial" w:eastAsia="宋体" w:cs="Arial"/>
      <w:color w:val="000000"/>
      <w:sz w:val="20"/>
    </w:rPr>
  </w:style>
  <w:style w:type="character" w:styleId="1461" w:customStyle="1">
    <w:name w:val="WW8Num7z0"/>
    <w:uiPriority w:val="0"/>
    <w:qFormat/>
    <w:rPr>
      <w:rFonts w:ascii="Wingdings" w:hAnsi="Wingdings"/>
    </w:rPr>
  </w:style>
  <w:style w:type="character" w:styleId="1462" w:customStyle="1">
    <w:name w:val="Char Char311"/>
    <w:uiPriority w:val="0"/>
    <w:qFormat/>
    <w:rPr>
      <w:rFonts w:eastAsia="宋体"/>
      <w:sz w:val="21"/>
      <w:szCs w:val="24"/>
      <w:lang w:val="en-US" w:eastAsia="zh-CN" w:bidi="ar-SA"/>
    </w:rPr>
  </w:style>
  <w:style w:type="character" w:styleId="1463" w:customStyle="1">
    <w:name w:val="WW8Num25z1"/>
    <w:uiPriority w:val="0"/>
    <w:qFormat/>
    <w:rPr>
      <w:rFonts w:ascii="Wingdings 2" w:hAnsi="Wingdings 2" w:cs="StarSymbol"/>
      <w:sz w:val="18"/>
      <w:szCs w:val="18"/>
    </w:rPr>
  </w:style>
  <w:style w:type="character" w:styleId="1464" w:customStyle="1">
    <w:name w:val="EmailStyle200"/>
    <w:uiPriority w:val="0"/>
    <w:qFormat/>
    <w:rPr>
      <w:rFonts w:ascii="Arial" w:hAnsi="Arial" w:eastAsia="宋体" w:cs="Arial"/>
      <w:color w:val="000000"/>
      <w:sz w:val="20"/>
    </w:rPr>
  </w:style>
  <w:style w:type="character" w:styleId="1465" w:customStyle="1">
    <w:name w:val="WW8Num11z0"/>
    <w:uiPriority w:val="0"/>
    <w:qFormat/>
    <w:rPr>
      <w:rFonts w:ascii="Wingdings" w:hAnsi="Wingdings" w:cs="StarSymbol"/>
      <w:sz w:val="18"/>
      <w:szCs w:val="18"/>
    </w:rPr>
  </w:style>
  <w:style w:type="character" w:styleId="1466" w:customStyle="1">
    <w:name w:val="EmailStyle201"/>
    <w:uiPriority w:val="0"/>
    <w:qFormat/>
    <w:rPr>
      <w:rFonts w:ascii="Arial" w:hAnsi="Arial" w:eastAsia="宋体" w:cs="Arial"/>
      <w:color w:val="000000"/>
      <w:sz w:val="20"/>
    </w:rPr>
  </w:style>
  <w:style w:type="character" w:styleId="1467" w:customStyle="1">
    <w:name w:val="个人撰写风格"/>
    <w:uiPriority w:val="0"/>
    <w:qFormat/>
    <w:rPr>
      <w:rFonts w:ascii="Arial" w:hAnsi="Arial" w:eastAsia="宋体" w:cs="Arial"/>
      <w:color w:val="000000"/>
      <w:sz w:val="20"/>
    </w:rPr>
  </w:style>
  <w:style w:type="character" w:styleId="1468" w:customStyle="1">
    <w:name w:val="zn2 Char"/>
    <w:link w:val="1469"/>
    <w:uiPriority w:val="0"/>
    <w:qFormat/>
    <w:rPr>
      <w:rFonts w:ascii="华文楷体" w:hAnsi="Cambria" w:eastAsia="仿宋_GB2312"/>
      <w:b/>
      <w:bCs/>
      <w:sz w:val="32"/>
      <w:szCs w:val="32"/>
    </w:rPr>
  </w:style>
  <w:style w:type="paragraph" w:styleId="1469" w:customStyle="1">
    <w:name w:val="zn2"/>
    <w:basedOn w:val="680"/>
    <w:link w:val="146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70" w:customStyle="1">
    <w:name w:val="引用 字符1"/>
    <w:uiPriority w:val="99"/>
    <w:qFormat/>
    <w:rPr>
      <w:rFonts w:ascii="Times New Roman" w:hAnsi="Times New Roman" w:eastAsia="宋体" w:cs="Times New Roman"/>
      <w:i/>
      <w:iCs/>
      <w:color w:val="404040"/>
      <w:szCs w:val="24"/>
    </w:rPr>
  </w:style>
  <w:style w:type="character" w:styleId="1471" w:customStyle="1">
    <w:name w:val="zn3 Char"/>
    <w:link w:val="1472"/>
    <w:uiPriority w:val="0"/>
    <w:qFormat/>
    <w:rPr>
      <w:rFonts w:ascii="仿宋_GB2312" w:hAnsi="仿宋_GB2312" w:eastAsia="仿宋_GB2312"/>
      <w:b/>
      <w:bCs/>
      <w:sz w:val="32"/>
      <w:szCs w:val="32"/>
    </w:rPr>
  </w:style>
  <w:style w:type="paragraph" w:styleId="1472" w:customStyle="1">
    <w:name w:val="zn3"/>
    <w:basedOn w:val="681"/>
    <w:next w:val="678"/>
    <w:link w:val="147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73" w:customStyle="1">
    <w:name w:val="标题 5 Char1"/>
    <w:uiPriority w:val="0"/>
    <w:qFormat/>
    <w:rPr>
      <w:b/>
      <w:bCs/>
      <w:sz w:val="28"/>
      <w:szCs w:val="28"/>
    </w:rPr>
  </w:style>
  <w:style w:type="character" w:styleId="1474" w:customStyle="1">
    <w:name w:val="明显引用 字符1"/>
    <w:uiPriority w:val="99"/>
    <w:qFormat/>
    <w:rPr>
      <w:rFonts w:ascii="Times New Roman" w:hAnsi="Times New Roman" w:eastAsia="宋体" w:cs="Times New Roman"/>
      <w:i/>
      <w:iCs/>
      <w:color w:val="4f81bd"/>
      <w:szCs w:val="24"/>
    </w:rPr>
  </w:style>
  <w:style w:type="character" w:styleId="1475" w:customStyle="1">
    <w:name w:val="标题 6 Char1"/>
    <w:uiPriority w:val="0"/>
    <w:qFormat/>
    <w:rPr>
      <w:rFonts w:ascii="Calibri Light" w:hAnsi="Calibri Light" w:eastAsia="宋体" w:cs="Times New Roman"/>
      <w:b/>
      <w:bCs/>
      <w:sz w:val="24"/>
      <w:szCs w:val="24"/>
    </w:rPr>
  </w:style>
  <w:style w:type="character" w:styleId="1476" w:customStyle="1">
    <w:name w:val="明显引用 Char1"/>
    <w:uiPriority w:val="30"/>
    <w:qFormat/>
    <w:rPr>
      <w:i/>
      <w:iCs/>
      <w:color w:val="5b9bd5"/>
      <w:sz w:val="24"/>
    </w:rPr>
  </w:style>
  <w:style w:type="character" w:styleId="1477" w:customStyle="1">
    <w:name w:val="标题 7 Char1"/>
    <w:uiPriority w:val="0"/>
    <w:qFormat/>
    <w:rPr>
      <w:b/>
      <w:bCs/>
      <w:sz w:val="24"/>
      <w:szCs w:val="24"/>
    </w:rPr>
  </w:style>
  <w:style w:type="character" w:styleId="1478" w:customStyle="1">
    <w:name w:val="标题 8 Char1"/>
    <w:uiPriority w:val="0"/>
    <w:qFormat/>
    <w:rPr>
      <w:rFonts w:ascii="Calibri Light" w:hAnsi="Calibri Light" w:eastAsia="宋体" w:cs="Times New Roman"/>
      <w:sz w:val="24"/>
      <w:szCs w:val="24"/>
    </w:rPr>
  </w:style>
  <w:style w:type="character" w:styleId="1479" w:customStyle="1">
    <w:name w:val="不明显参考1"/>
    <w:uiPriority w:val="0"/>
    <w:qFormat/>
    <w:rPr>
      <w:smallCaps/>
      <w:color w:val="c0504d"/>
      <w:u w:val="single"/>
    </w:rPr>
  </w:style>
  <w:style w:type="character" w:styleId="1480" w:customStyle="1">
    <w:name w:val="标题 9 Char1"/>
    <w:uiPriority w:val="0"/>
    <w:qFormat/>
    <w:rPr>
      <w:rFonts w:ascii="Calibri Light" w:hAnsi="Calibri Light" w:eastAsia="宋体" w:cs="Times New Roman"/>
      <w:sz w:val="21"/>
      <w:szCs w:val="21"/>
    </w:rPr>
  </w:style>
  <w:style w:type="character" w:styleId="1481" w:customStyle="1">
    <w:name w:val="明显参考1"/>
    <w:uiPriority w:val="0"/>
    <w:qFormat/>
    <w:rPr>
      <w:b/>
      <w:bCs/>
      <w:smallCaps/>
      <w:color w:val="c0504d"/>
      <w:spacing w:val="5"/>
      <w:u w:val="single"/>
    </w:rPr>
  </w:style>
  <w:style w:type="character" w:styleId="1482" w:customStyle="1">
    <w:name w:val="脚注文本 Char1"/>
    <w:uiPriority w:val="0"/>
    <w:semiHidden/>
    <w:qFormat/>
    <w:rPr>
      <w:sz w:val="18"/>
      <w:szCs w:val="18"/>
    </w:rPr>
  </w:style>
  <w:style w:type="character" w:styleId="1483" w:customStyle="1">
    <w:name w:val="tpc_content1"/>
    <w:uiPriority w:val="0"/>
    <w:qFormat/>
    <w:rPr>
      <w:sz w:val="19"/>
      <w:szCs w:val="19"/>
    </w:rPr>
  </w:style>
  <w:style w:type="character" w:styleId="1484" w:customStyle="1">
    <w:name w:val="日期 Char1"/>
    <w:uiPriority w:val="0"/>
    <w:qFormat/>
    <w:rPr>
      <w:sz w:val="21"/>
      <w:szCs w:val="24"/>
    </w:rPr>
  </w:style>
  <w:style w:type="character" w:styleId="1485" w:customStyle="1">
    <w:name w:val="书籍标题1"/>
    <w:uiPriority w:val="0"/>
    <w:qFormat/>
    <w:rPr>
      <w:b/>
      <w:bCs/>
      <w:smallCaps/>
      <w:spacing w:val="5"/>
    </w:rPr>
  </w:style>
  <w:style w:type="character" w:styleId="1486" w:customStyle="1">
    <w:name w:val="正文文本 2 Char1"/>
    <w:uiPriority w:val="99"/>
    <w:qFormat/>
    <w:rPr>
      <w:sz w:val="21"/>
      <w:szCs w:val="24"/>
    </w:rPr>
  </w:style>
  <w:style w:type="character" w:styleId="1487" w:customStyle="1">
    <w:name w:val="short_text1"/>
    <w:uiPriority w:val="0"/>
    <w:qFormat/>
    <w:rPr>
      <w:sz w:val="26"/>
      <w:szCs w:val="26"/>
    </w:rPr>
  </w:style>
  <w:style w:type="character" w:styleId="1488" w:customStyle="1">
    <w:name w:val="正文文本 3 Char1"/>
    <w:uiPriority w:val="0"/>
    <w:qFormat/>
    <w:rPr>
      <w:sz w:val="16"/>
      <w:szCs w:val="16"/>
    </w:rPr>
  </w:style>
  <w:style w:type="character" w:styleId="1489" w:customStyle="1">
    <w:name w:val="ABC标题下的小点 Char"/>
    <w:link w:val="1490"/>
    <w:uiPriority w:val="0"/>
    <w:qFormat/>
    <w:rPr>
      <w:rFonts w:ascii="宋体" w:hAnsi="宋体"/>
    </w:rPr>
  </w:style>
  <w:style w:type="paragraph" w:styleId="1490" w:customStyle="1">
    <w:name w:val="ABC标题下的小点"/>
    <w:basedOn w:val="678"/>
    <w:link w:val="1489"/>
    <w:uiPriority w:val="0"/>
    <w:qFormat/>
    <w:pPr>
      <w:ind w:left="1190" w:hanging="567"/>
      <w:spacing w:line="360" w:lineRule="auto"/>
      <w:tabs>
        <w:tab w:val="left" w:pos="1260" w:leader="none"/>
      </w:tabs>
    </w:pPr>
    <w:rPr>
      <w:rFonts w:ascii="宋体" w:hAnsi="宋体"/>
    </w:rPr>
  </w:style>
  <w:style w:type="character" w:styleId="1491" w:customStyle="1">
    <w:name w:val="标题 Char1"/>
    <w:uiPriority w:val="0"/>
    <w:qFormat/>
    <w:rPr>
      <w:rFonts w:ascii="Calibri Light" w:hAnsi="Calibri Light" w:cs="Times New Roman"/>
      <w:b/>
      <w:bCs/>
      <w:sz w:val="32"/>
      <w:szCs w:val="32"/>
    </w:rPr>
  </w:style>
  <w:style w:type="character" w:styleId="1492" w:customStyle="1">
    <w:name w:val="style21"/>
    <w:uiPriority w:val="0"/>
    <w:qFormat/>
    <w:rPr>
      <w:color w:val="000080"/>
    </w:rPr>
  </w:style>
  <w:style w:type="character" w:styleId="1493" w:customStyle="1">
    <w:name w:val="注释标题 Char1"/>
    <w:uiPriority w:val="0"/>
    <w:qFormat/>
    <w:rPr>
      <w:sz w:val="21"/>
      <w:szCs w:val="24"/>
    </w:rPr>
  </w:style>
  <w:style w:type="character" w:styleId="1494" w:customStyle="1">
    <w:name w:val="ns1"/>
    <w:uiPriority w:val="0"/>
    <w:qFormat/>
    <w:rPr>
      <w:color w:val="ff0000"/>
    </w:rPr>
  </w:style>
  <w:style w:type="character" w:styleId="1495" w:customStyle="1">
    <w:name w:val="zn1 Char"/>
    <w:link w:val="1496"/>
    <w:uiPriority w:val="0"/>
    <w:qFormat/>
    <w:rPr>
      <w:rFonts w:ascii="黑体" w:hAnsi="仿宋_GB2312" w:eastAsia="黑体"/>
      <w:bCs/>
      <w:sz w:val="36"/>
      <w:szCs w:val="32"/>
      <w:lang w:val="zh-CN"/>
    </w:rPr>
  </w:style>
  <w:style w:type="paragraph" w:styleId="1496" w:customStyle="1">
    <w:name w:val="zn1"/>
    <w:basedOn w:val="679"/>
    <w:link w:val="1495"/>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97" w:customStyle="1">
    <w:name w:val="hilite2"/>
    <w:uiPriority w:val="0"/>
    <w:qFormat/>
  </w:style>
  <w:style w:type="character" w:styleId="1498" w:customStyle="1">
    <w:name w:val="WC三级 Char"/>
    <w:link w:val="1499"/>
    <w:uiPriority w:val="0"/>
    <w:qFormat/>
    <w:rPr>
      <w:b/>
      <w:sz w:val="32"/>
      <w:lang w:val="zh-CN"/>
    </w:rPr>
  </w:style>
  <w:style w:type="paragraph" w:styleId="1499" w:customStyle="1">
    <w:name w:val="WC三级"/>
    <w:basedOn w:val="681"/>
    <w:link w:val="1498"/>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00" w:customStyle="1">
    <w:name w:val="个人答复风格"/>
    <w:uiPriority w:val="0"/>
    <w:qFormat/>
    <w:rPr>
      <w:rFonts w:ascii="Arial" w:hAnsi="Arial" w:eastAsia="宋体" w:cs="Arial"/>
      <w:color w:val="000000"/>
      <w:sz w:val="20"/>
    </w:rPr>
  </w:style>
  <w:style w:type="character" w:styleId="1501" w:customStyle="1">
    <w:name w:val="WC二级 Char"/>
    <w:link w:val="1502"/>
    <w:uiPriority w:val="0"/>
    <w:qFormat/>
    <w:rPr>
      <w:rFonts w:ascii="Arial" w:hAnsi="Arial" w:eastAsia="黑体"/>
      <w:b/>
      <w:sz w:val="32"/>
      <w:lang w:val="zh-CN"/>
    </w:rPr>
  </w:style>
  <w:style w:type="paragraph" w:styleId="1502" w:customStyle="1">
    <w:name w:val="WC二级"/>
    <w:basedOn w:val="680"/>
    <w:link w:val="1501"/>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03" w:customStyle="1">
    <w:name w:val="b1"/>
    <w:uiPriority w:val="0"/>
    <w:qFormat/>
    <w:rPr>
      <w:rFonts w:ascii="Courier New" w:hAnsi="Courier New" w:cs="Courier New"/>
      <w:b/>
      <w:bCs/>
      <w:color w:val="ff0000"/>
      <w:u w:val="none"/>
    </w:rPr>
  </w:style>
  <w:style w:type="character" w:styleId="1504" w:customStyle="1">
    <w:name w:val="样式sjw Char"/>
    <w:link w:val="1505"/>
    <w:uiPriority w:val="0"/>
    <w:qFormat/>
    <w:rPr>
      <w:rFonts w:ascii="宋体" w:hAnsi="宋体"/>
      <w:caps/>
      <w:color w:val="000000"/>
      <w:sz w:val="18"/>
      <w:szCs w:val="18"/>
      <w:shd w:val="pct10" w:color="auto" w:fill="auto"/>
      <w:lang w:val="zh-CN"/>
    </w:rPr>
  </w:style>
  <w:style w:type="paragraph" w:styleId="1505" w:customStyle="1">
    <w:name w:val="样式sjw"/>
    <w:basedOn w:val="678"/>
    <w:link w:val="1504"/>
    <w:uiPriority w:val="0"/>
    <w:qFormat/>
    <w:pPr>
      <w:jc w:val="left"/>
      <w:shd w:val="pct10" w:color="auto" w:fill="auto"/>
      <w:widowControl/>
    </w:pPr>
    <w:rPr>
      <w:rFonts w:ascii="宋体" w:hAnsi="宋体"/>
      <w:caps/>
      <w:color w:val="000000"/>
      <w:sz w:val="18"/>
      <w:szCs w:val="18"/>
      <w:lang w:val="zh-CN"/>
    </w:rPr>
  </w:style>
  <w:style w:type="character" w:styleId="1506" w:customStyle="1">
    <w:name w:val="myp1111"/>
    <w:uiPriority w:val="0"/>
    <w:qFormat/>
    <w:rPr>
      <w:rFonts w:ascii="ˎ̥" w:hAnsi="ˎ̥"/>
      <w:color w:val="000000"/>
      <w:sz w:val="20"/>
      <w:szCs w:val="20"/>
      <w:u w:val="none"/>
    </w:rPr>
  </w:style>
  <w:style w:type="character" w:styleId="1507" w:customStyle="1">
    <w:name w:val="faqa1"/>
    <w:uiPriority w:val="0"/>
    <w:qFormat/>
    <w:rPr>
      <w:rFonts w:hint="eastAsia" w:ascii="微软雅黑" w:hAnsi="微软雅黑" w:eastAsia="微软雅黑"/>
      <w:b/>
      <w:bCs/>
      <w:sz w:val="27"/>
      <w:szCs w:val="27"/>
    </w:rPr>
  </w:style>
  <w:style w:type="character" w:styleId="1508" w:customStyle="1">
    <w:name w:val="表头文字(同正文大小) Char"/>
    <w:link w:val="1509"/>
    <w:uiPriority w:val="0"/>
    <w:qFormat/>
    <w:rPr>
      <w:rFonts w:eastAsia="黑体"/>
      <w:lang w:eastAsia="en-US"/>
    </w:rPr>
  </w:style>
  <w:style w:type="paragraph" w:styleId="1509" w:customStyle="1">
    <w:name w:val="表头文字(同正文大小)"/>
    <w:basedOn w:val="678"/>
    <w:link w:val="1508"/>
    <w:uiPriority w:val="0"/>
    <w:qFormat/>
    <w:pPr>
      <w:jc w:val="center"/>
      <w:spacing w:line="264" w:lineRule="auto"/>
    </w:pPr>
    <w:rPr>
      <w:rFonts w:eastAsia="黑体"/>
      <w:lang w:eastAsia="en-US"/>
    </w:rPr>
  </w:style>
  <w:style w:type="character" w:styleId="1510" w:customStyle="1">
    <w:name w:val="faqq1"/>
    <w:uiPriority w:val="0"/>
    <w:qFormat/>
    <w:rPr>
      <w:rFonts w:hint="eastAsia" w:ascii="微软雅黑" w:hAnsi="微软雅黑" w:eastAsia="微软雅黑"/>
      <w:sz w:val="24"/>
      <w:szCs w:val="24"/>
    </w:rPr>
  </w:style>
  <w:style w:type="character" w:styleId="1511" w:customStyle="1">
    <w:name w:val="表格 Char"/>
    <w:uiPriority w:val="0"/>
    <w:qFormat/>
    <w:rPr>
      <w:rFonts w:ascii="Times New Roman" w:hAnsi="Times New Roman" w:eastAsia="宋体" w:cs="Times New Roman"/>
      <w:sz w:val="24"/>
      <w:szCs w:val="24"/>
    </w:rPr>
  </w:style>
  <w:style w:type="character" w:styleId="1512" w:customStyle="1">
    <w:name w:val="题注 Char1"/>
    <w:uiPriority w:val="0"/>
    <w:qFormat/>
    <w:rPr>
      <w:rFonts w:ascii="Arial" w:hAnsi="Arial" w:eastAsia="黑体" w:cs="Arial"/>
      <w:sz w:val="20"/>
      <w:szCs w:val="20"/>
    </w:rPr>
  </w:style>
  <w:style w:type="character" w:styleId="1513" w:customStyle="1">
    <w:name w:val="未处理的提及1"/>
    <w:uiPriority w:val="99"/>
    <w:unhideWhenUsed/>
    <w:qFormat/>
    <w:rPr>
      <w:color w:val="605e5c"/>
      <w:shd w:val="clear" w:color="auto" w:fill="e1dfdd"/>
    </w:rPr>
  </w:style>
  <w:style w:type="character" w:styleId="1514" w:customStyle="1">
    <w:name w:val="Char Char32"/>
    <w:uiPriority w:val="0"/>
    <w:qFormat/>
    <w:rPr>
      <w:rFonts w:eastAsia="宋体"/>
      <w:sz w:val="21"/>
      <w:szCs w:val="24"/>
      <w:lang w:val="en-US" w:eastAsia="zh-CN" w:bidi="ar-SA"/>
    </w:rPr>
  </w:style>
  <w:style w:type="character" w:styleId="1515" w:customStyle="1">
    <w:name w:val="WW8Num22z1"/>
    <w:uiPriority w:val="0"/>
    <w:qFormat/>
    <w:rPr>
      <w:rFonts w:ascii="Wingdings 2" w:hAnsi="Wingdings 2" w:cs="StarSymbol"/>
      <w:sz w:val="18"/>
      <w:szCs w:val="18"/>
    </w:rPr>
  </w:style>
  <w:style w:type="character" w:styleId="1516" w:customStyle="1">
    <w:name w:val="正文文本缩进 字符1"/>
    <w:uiPriority w:val="0"/>
    <w:semiHidden/>
    <w:qFormat/>
    <w:rPr>
      <w:rFonts w:ascii="方正仿宋_GBK" w:hAnsi="Times New Roman" w:eastAsia="方正仿宋_GBK" w:cs="Times New Roman"/>
      <w:sz w:val="32"/>
      <w:szCs w:val="20"/>
    </w:rPr>
  </w:style>
  <w:style w:type="character" w:styleId="1517" w:customStyle="1">
    <w:name w:val="WW8Num38z2"/>
    <w:uiPriority w:val="0"/>
    <w:qFormat/>
    <w:rPr>
      <w:rFonts w:ascii="StarSymbol" w:hAnsi="StarSymbol" w:cs="StarSymbol"/>
      <w:sz w:val="18"/>
      <w:szCs w:val="18"/>
    </w:rPr>
  </w:style>
  <w:style w:type="character" w:styleId="1518" w:customStyle="1">
    <w:name w:val="样式 加粗"/>
    <w:uiPriority w:val="0"/>
    <w:qFormat/>
    <w:rPr>
      <w:rFonts w:hint="eastAsia" w:ascii="宋体" w:hAnsi="宋体" w:eastAsia="宋体"/>
      <w:b/>
      <w:bCs/>
      <w:lang w:val="en-US" w:eastAsia="zh-CN" w:bidi="ar-SA"/>
    </w:rPr>
  </w:style>
  <w:style w:type="character" w:styleId="1519" w:customStyle="1">
    <w:name w:val="WW8Num18z2"/>
    <w:uiPriority w:val="0"/>
    <w:qFormat/>
    <w:rPr>
      <w:rFonts w:ascii="StarSymbol" w:hAnsi="StarSymbol" w:cs="StarSymbol"/>
      <w:sz w:val="18"/>
      <w:szCs w:val="18"/>
    </w:rPr>
  </w:style>
  <w:style w:type="character" w:styleId="1520" w:customStyle="1">
    <w:name w:val="myp112"/>
    <w:uiPriority w:val="0"/>
    <w:qFormat/>
    <w:rPr>
      <w:color w:val="000000"/>
      <w:sz w:val="22"/>
      <w:szCs w:val="22"/>
      <w:u w:val="none"/>
    </w:rPr>
  </w:style>
  <w:style w:type="character" w:styleId="1521" w:customStyle="1">
    <w:name w:val="fontstyle21"/>
    <w:uiPriority w:val="0"/>
    <w:qFormat/>
    <w:rPr>
      <w:rFonts w:ascii="Arial" w:hAnsi="Arial" w:cs="Arial"/>
      <w:color w:val="000000"/>
      <w:sz w:val="24"/>
      <w:szCs w:val="24"/>
    </w:rPr>
  </w:style>
  <w:style w:type="character" w:styleId="1522" w:customStyle="1">
    <w:name w:val="WW8Num2z1"/>
    <w:uiPriority w:val="0"/>
    <w:qFormat/>
    <w:rPr>
      <w:rFonts w:ascii="Wingdings 2" w:hAnsi="Wingdings 2" w:cs="StarSymbol"/>
      <w:sz w:val="18"/>
      <w:szCs w:val="18"/>
    </w:rPr>
  </w:style>
  <w:style w:type="character" w:styleId="1523" w:customStyle="1">
    <w:name w:val="日期 字符1"/>
    <w:uiPriority w:val="0"/>
    <w:semiHidden/>
    <w:qFormat/>
    <w:rPr>
      <w:rFonts w:ascii="Times New Roman" w:hAnsi="Times New Roman" w:eastAsia="方正仿宋_GBK" w:cs="Times New Roman"/>
      <w:szCs w:val="20"/>
    </w:rPr>
  </w:style>
  <w:style w:type="character" w:styleId="1524" w:customStyle="1">
    <w:name w:val="正文首行缩进 2 Char1"/>
    <w:uiPriority w:val="0"/>
    <w:qFormat/>
    <w:rPr>
      <w:rFonts w:hint="eastAsia" w:ascii="方正仿宋_GBK" w:eastAsia="方正仿宋_GBK"/>
      <w:sz w:val="32"/>
      <w:szCs w:val="28"/>
    </w:rPr>
  </w:style>
  <w:style w:type="character" w:styleId="1525" w:customStyle="1">
    <w:name w:val="WW8Num35z0"/>
    <w:uiPriority w:val="0"/>
    <w:qFormat/>
    <w:rPr>
      <w:rFonts w:ascii="Wingdings" w:hAnsi="Wingdings" w:cs="StarSymbol"/>
      <w:sz w:val="18"/>
      <w:szCs w:val="18"/>
    </w:rPr>
  </w:style>
  <w:style w:type="character" w:styleId="1526" w:customStyle="1">
    <w:name w:val="WW8Num12z2"/>
    <w:uiPriority w:val="0"/>
    <w:qFormat/>
    <w:rPr>
      <w:rFonts w:ascii="StarSymbol" w:hAnsi="StarSymbol" w:cs="StarSymbol"/>
      <w:sz w:val="18"/>
      <w:szCs w:val="18"/>
    </w:rPr>
  </w:style>
  <w:style w:type="character" w:styleId="1527" w:customStyle="1">
    <w:name w:val="WW8Num16z0"/>
    <w:uiPriority w:val="0"/>
    <w:qFormat/>
    <w:rPr>
      <w:rFonts w:ascii="Wingdings" w:hAnsi="Wingdings" w:cs="StarSymbol"/>
      <w:sz w:val="18"/>
      <w:szCs w:val="18"/>
    </w:rPr>
  </w:style>
  <w:style w:type="character" w:styleId="1528" w:customStyle="1">
    <w:name w:val="Bid_正文 Char"/>
    <w:uiPriority w:val="0"/>
    <w:qFormat/>
    <w:rPr>
      <w:sz w:val="24"/>
    </w:rPr>
  </w:style>
  <w:style w:type="character" w:styleId="1529" w:customStyle="1">
    <w:name w:val="WW8Num13z0"/>
    <w:uiPriority w:val="0"/>
    <w:qFormat/>
    <w:rPr>
      <w:rFonts w:ascii="Wingdings" w:hAnsi="Wingdings" w:cs="StarSymbol"/>
      <w:sz w:val="18"/>
      <w:szCs w:val="18"/>
    </w:rPr>
  </w:style>
  <w:style w:type="character" w:styleId="1530" w:customStyle="1">
    <w:name w:val="WW8Num37z0"/>
    <w:uiPriority w:val="0"/>
    <w:qFormat/>
    <w:rPr>
      <w:rFonts w:ascii="Wingdings" w:hAnsi="Wingdings" w:cs="StarSymbol"/>
      <w:sz w:val="18"/>
      <w:szCs w:val="18"/>
    </w:rPr>
  </w:style>
  <w:style w:type="character" w:styleId="1531" w:customStyle="1">
    <w:name w:val="WW8Num37z1"/>
    <w:uiPriority w:val="0"/>
    <w:qFormat/>
    <w:rPr>
      <w:rFonts w:ascii="Wingdings 2" w:hAnsi="Wingdings 2" w:cs="StarSymbol"/>
      <w:sz w:val="18"/>
      <w:szCs w:val="18"/>
    </w:rPr>
  </w:style>
  <w:style w:type="character" w:styleId="1532" w:customStyle="1">
    <w:name w:val="WW8Num34z0"/>
    <w:uiPriority w:val="0"/>
    <w:qFormat/>
    <w:rPr>
      <w:rFonts w:ascii="Wingdings" w:hAnsi="Wingdings" w:cs="StarSymbol"/>
      <w:sz w:val="18"/>
      <w:szCs w:val="18"/>
    </w:rPr>
  </w:style>
  <w:style w:type="character" w:styleId="1533" w:customStyle="1">
    <w:name w:val="WW8Num17z0"/>
    <w:uiPriority w:val="0"/>
    <w:qFormat/>
    <w:rPr>
      <w:rFonts w:ascii="Wingdings" w:hAnsi="Wingdings"/>
    </w:rPr>
  </w:style>
  <w:style w:type="character" w:styleId="1534" w:customStyle="1">
    <w:name w:val="WW8Num15z0"/>
    <w:uiPriority w:val="0"/>
    <w:qFormat/>
    <w:rPr>
      <w:rFonts w:ascii="Wingdings" w:hAnsi="Wingdings" w:cs="StarSymbol"/>
      <w:sz w:val="18"/>
      <w:szCs w:val="18"/>
    </w:rPr>
  </w:style>
  <w:style w:type="character" w:styleId="1535" w:customStyle="1">
    <w:name w:val="WW8Num28z1"/>
    <w:uiPriority w:val="0"/>
    <w:qFormat/>
    <w:rPr>
      <w:rFonts w:ascii="Wingdings 2" w:hAnsi="Wingdings 2" w:cs="StarSymbol"/>
      <w:sz w:val="18"/>
      <w:szCs w:val="18"/>
    </w:rPr>
  </w:style>
  <w:style w:type="character" w:styleId="1536" w:customStyle="1">
    <w:name w:val="WW8Num4z0"/>
    <w:uiPriority w:val="0"/>
    <w:qFormat/>
    <w:rPr>
      <w:rFonts w:ascii="Wingdings" w:hAnsi="Wingdings" w:cs="StarSymbol"/>
      <w:sz w:val="18"/>
      <w:szCs w:val="18"/>
    </w:rPr>
  </w:style>
  <w:style w:type="character" w:styleId="1537" w:customStyle="1">
    <w:name w:val="style101"/>
    <w:uiPriority w:val="0"/>
    <w:qFormat/>
    <w:rPr>
      <w:rFonts w:hint="eastAsia" w:ascii="宋体" w:hAnsi="宋体" w:eastAsia="宋体"/>
      <w:b/>
      <w:bCs/>
      <w:color w:val="ffffff"/>
      <w:sz w:val="21"/>
      <w:szCs w:val="21"/>
      <w:lang w:val="en-US" w:eastAsia="zh-CN" w:bidi="ar-SA"/>
    </w:rPr>
  </w:style>
  <w:style w:type="character" w:styleId="1538" w:customStyle="1">
    <w:name w:val="WW8Num5z0"/>
    <w:uiPriority w:val="0"/>
    <w:qFormat/>
    <w:rPr>
      <w:rFonts w:ascii="Wingdings" w:hAnsi="Wingdings" w:cs="StarSymbol"/>
      <w:sz w:val="18"/>
      <w:szCs w:val="18"/>
    </w:rPr>
  </w:style>
  <w:style w:type="character" w:styleId="1539" w:customStyle="1">
    <w:name w:val="无首行缩进正文 Char"/>
    <w:uiPriority w:val="0"/>
    <w:qFormat/>
  </w:style>
  <w:style w:type="character" w:styleId="1540" w:customStyle="1">
    <w:name w:val="批注框文本 Char2"/>
    <w:uiPriority w:val="0"/>
    <w:qFormat/>
    <w:rPr>
      <w:rFonts w:ascii="Times New Roman" w:hAnsi="Times New Roman" w:eastAsia="方正仿宋_GBK" w:cs="Times New Roman"/>
      <w:sz w:val="18"/>
      <w:szCs w:val="18"/>
    </w:rPr>
  </w:style>
  <w:style w:type="character" w:styleId="1541" w:customStyle="1">
    <w:name w:val="WW8Num29z2"/>
    <w:uiPriority w:val="0"/>
    <w:qFormat/>
    <w:rPr>
      <w:rFonts w:ascii="StarSymbol" w:hAnsi="StarSymbol" w:cs="StarSymbol"/>
      <w:sz w:val="18"/>
      <w:szCs w:val="18"/>
    </w:rPr>
  </w:style>
  <w:style w:type="character" w:styleId="1542" w:customStyle="1">
    <w:name w:val="WW8Num23z2"/>
    <w:uiPriority w:val="0"/>
    <w:qFormat/>
    <w:rPr>
      <w:rFonts w:ascii="StarSymbol" w:hAnsi="StarSymbol" w:cs="StarSymbol"/>
      <w:sz w:val="18"/>
      <w:szCs w:val="18"/>
    </w:rPr>
  </w:style>
  <w:style w:type="character" w:styleId="1543" w:customStyle="1">
    <w:name w:val="WW8Num19z0"/>
    <w:uiPriority w:val="0"/>
    <w:qFormat/>
    <w:rPr>
      <w:rFonts w:ascii="Wingdings" w:hAnsi="Wingdings" w:cs="StarSymbol"/>
      <w:sz w:val="18"/>
      <w:szCs w:val="18"/>
    </w:rPr>
  </w:style>
  <w:style w:type="character" w:styleId="1544" w:customStyle="1">
    <w:name w:val="WW8Num22z2"/>
    <w:uiPriority w:val="0"/>
    <w:qFormat/>
    <w:rPr>
      <w:rFonts w:ascii="StarSymbol" w:hAnsi="StarSymbol" w:cs="StarSymbol"/>
      <w:sz w:val="18"/>
      <w:szCs w:val="18"/>
    </w:rPr>
  </w:style>
  <w:style w:type="character" w:styleId="1545" w:customStyle="1">
    <w:name w:val="WW8Num24z1"/>
    <w:uiPriority w:val="0"/>
    <w:qFormat/>
    <w:rPr>
      <w:rFonts w:ascii="Wingdings 2" w:hAnsi="Wingdings 2" w:cs="StarSymbol"/>
      <w:sz w:val="18"/>
      <w:szCs w:val="18"/>
    </w:rPr>
  </w:style>
  <w:style w:type="character" w:styleId="1546" w:customStyle="1">
    <w:name w:val="标题 7 字符1"/>
    <w:uiPriority w:val="9"/>
    <w:qFormat/>
    <w:rPr>
      <w:rFonts w:ascii="Times New Roman" w:hAnsi="Times New Roman" w:eastAsia="方正仿宋_GBK" w:cs="Times New Roman"/>
      <w:b/>
      <w:bCs/>
      <w:sz w:val="24"/>
      <w:szCs w:val="24"/>
    </w:rPr>
  </w:style>
  <w:style w:type="character" w:styleId="1547" w:customStyle="1">
    <w:name w:val="标题 6 字符1"/>
    <w:uiPriority w:val="9"/>
    <w:qFormat/>
    <w:rPr>
      <w:rFonts w:ascii="仿宋" w:hAnsi="仿宋" w:eastAsia="仿宋"/>
      <w:bCs/>
      <w:sz w:val="32"/>
      <w:szCs w:val="32"/>
    </w:rPr>
  </w:style>
  <w:style w:type="character" w:styleId="1548" w:customStyle="1">
    <w:name w:val="WW8Num39z1"/>
    <w:uiPriority w:val="0"/>
    <w:qFormat/>
    <w:rPr>
      <w:rFonts w:ascii="Wingdings 2" w:hAnsi="Wingdings 2" w:cs="StarSymbol"/>
      <w:sz w:val="18"/>
      <w:szCs w:val="18"/>
    </w:rPr>
  </w:style>
  <w:style w:type="character" w:styleId="1549" w:customStyle="1">
    <w:name w:val="apple-style-span"/>
    <w:uiPriority w:val="0"/>
    <w:qFormat/>
  </w:style>
  <w:style w:type="character" w:styleId="1550" w:customStyle="1">
    <w:name w:val="注×： Char"/>
    <w:link w:val="1551"/>
    <w:uiPriority w:val="0"/>
    <w:qFormat/>
    <w:rPr>
      <w:rFonts w:ascii="宋体" w:hAnsi="等线" w:eastAsia="Arial" w:cs="Arial"/>
      <w:sz w:val="18"/>
    </w:rPr>
  </w:style>
  <w:style w:type="paragraph" w:styleId="1551" w:customStyle="1">
    <w:name w:val="注×："/>
    <w:link w:val="1550"/>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552" w:customStyle="1">
    <w:name w:val="附录公式 Char"/>
    <w:link w:val="1553"/>
    <w:uiPriority w:val="0"/>
    <w:qFormat/>
    <w:rPr>
      <w:rFonts w:ascii="宋体"/>
    </w:rPr>
  </w:style>
  <w:style w:type="paragraph" w:styleId="1553" w:customStyle="1">
    <w:name w:val="附录公式"/>
    <w:basedOn w:val="1101"/>
    <w:next w:val="1101"/>
    <w:link w:val="1552"/>
    <w:uiPriority w:val="0"/>
    <w:qFormat/>
    <w:pPr>
      <w:ind w:firstLine="420"/>
      <w:tabs>
        <w:tab w:val="center" w:pos="4201" w:leader="none"/>
        <w:tab w:val="right" w:pos="9298" w:leader="dot"/>
      </w:tabs>
    </w:pPr>
    <w:rPr>
      <w:rFonts w:hAnsiTheme="minorHAnsi" w:eastAsiaTheme="minorEastAsia" w:cstheme="minorBidi"/>
      <w:szCs w:val="22"/>
    </w:rPr>
  </w:style>
  <w:style w:type="character" w:styleId="1554" w:customStyle="1">
    <w:name w:val="附录图标题 Char"/>
    <w:link w:val="1555"/>
    <w:uiPriority w:val="0"/>
    <w:qFormat/>
    <w:rPr>
      <w:rFonts w:ascii="黑体" w:hAnsi="等线" w:eastAsia="黑体" w:cs="Arial"/>
    </w:rPr>
  </w:style>
  <w:style w:type="paragraph" w:styleId="1555" w:customStyle="1">
    <w:name w:val="附录图标题"/>
    <w:next w:val="1101"/>
    <w:link w:val="1554"/>
    <w:uiPriority w:val="0"/>
    <w:qFormat/>
    <w:pPr>
      <w:jc w:val="center"/>
    </w:pPr>
    <w:rPr>
      <w:rFonts w:ascii="黑体" w:hAnsi="等线" w:eastAsia="黑体" w:cs="Arial"/>
      <w:sz w:val="21"/>
      <w:szCs w:val="22"/>
      <w:lang w:val="en-US" w:eastAsia="zh-CN" w:bidi="ar-SA"/>
    </w:rPr>
  </w:style>
  <w:style w:type="character" w:styleId="1556" w:customStyle="1">
    <w:name w:val="附录章标题 Char"/>
    <w:link w:val="1557"/>
    <w:uiPriority w:val="0"/>
    <w:qFormat/>
    <w:rPr>
      <w:rFonts w:ascii="黑体" w:hAnsi="等线" w:eastAsia="黑体" w:cs="Arial"/>
    </w:rPr>
  </w:style>
  <w:style w:type="paragraph" w:styleId="1557" w:customStyle="1">
    <w:name w:val="附录章标题"/>
    <w:next w:val="1101"/>
    <w:link w:val="1556"/>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558" w:customStyle="1">
    <w:name w:val="附录一级条标题 Char"/>
    <w:link w:val="1559"/>
    <w:uiPriority w:val="0"/>
    <w:qFormat/>
    <w:rPr>
      <w:rFonts w:ascii="黑体" w:eastAsia="黑体"/>
    </w:rPr>
  </w:style>
  <w:style w:type="paragraph" w:styleId="1559" w:customStyle="1">
    <w:name w:val="附录一级条标题"/>
    <w:basedOn w:val="1557"/>
    <w:next w:val="1101"/>
    <w:link w:val="1558"/>
    <w:uiPriority w:val="0"/>
    <w:qFormat/>
    <w:pPr>
      <w:ind w:left="0" w:firstLine="0"/>
      <w:outlineLvl w:val="2"/>
    </w:pPr>
    <w:rPr>
      <w:rFonts w:hAnsiTheme="minorHAnsi" w:cstheme="minorBidi"/>
    </w:rPr>
  </w:style>
  <w:style w:type="character" w:styleId="1560" w:customStyle="1">
    <w:name w:val="首示例 Char"/>
    <w:link w:val="1561"/>
    <w:uiPriority w:val="0"/>
    <w:qFormat/>
    <w:rPr>
      <w:rFonts w:ascii="宋体" w:hAnsi="宋体" w:eastAsia="Arial" w:cs="Arial"/>
      <w:sz w:val="18"/>
      <w:szCs w:val="18"/>
    </w:rPr>
  </w:style>
  <w:style w:type="paragraph" w:styleId="1561" w:customStyle="1">
    <w:name w:val="首示例"/>
    <w:next w:val="1101"/>
    <w:link w:val="1560"/>
    <w:uiPriority w:val="0"/>
    <w:qFormat/>
    <w:pPr>
      <w:ind w:left="900"/>
      <w:tabs>
        <w:tab w:val="left" w:pos="360" w:leader="none"/>
      </w:tabs>
    </w:pPr>
    <w:rPr>
      <w:rFonts w:ascii="宋体" w:hAnsi="宋体" w:eastAsia="Arial" w:cs="Arial"/>
      <w:sz w:val="18"/>
      <w:szCs w:val="18"/>
      <w:lang w:val="en-US" w:eastAsia="zh-CN" w:bidi="ar-SA"/>
    </w:rPr>
  </w:style>
  <w:style w:type="character" w:styleId="1562" w:customStyle="1">
    <w:name w:val="无间隔 字符"/>
    <w:link w:val="1563"/>
    <w:uiPriority w:val="0"/>
    <w:qFormat/>
    <w:rPr>
      <w:rFonts w:ascii="Calibri" w:hAnsi="Calibri" w:eastAsia="Arial" w:cs="Arial"/>
    </w:rPr>
  </w:style>
  <w:style w:type="paragraph" w:styleId="1563" w:customStyle="1">
    <w:name w:val="无间隔111"/>
    <w:link w:val="1562"/>
    <w:uiPriority w:val="0"/>
    <w:qFormat/>
    <w:pPr>
      <w:jc w:val="both"/>
      <w:widowControl w:val="off"/>
    </w:pPr>
    <w:rPr>
      <w:rFonts w:ascii="Calibri" w:hAnsi="Calibri" w:eastAsia="Arial" w:cs="Arial"/>
      <w:sz w:val="21"/>
      <w:szCs w:val="22"/>
      <w:lang w:val="en-US" w:eastAsia="zh-CN" w:bidi="ar-SA"/>
    </w:rPr>
  </w:style>
  <w:style w:type="paragraph" w:styleId="1564" w:customStyle="1">
    <w:name w:val="xl199"/>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5" w:customStyle="1">
    <w:name w:val="xl194"/>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6" w:customStyle="1">
    <w:name w:val="标准书眉一"/>
    <w:uiPriority w:val="0"/>
    <w:qFormat/>
    <w:pPr>
      <w:jc w:val="both"/>
    </w:pPr>
    <w:rPr>
      <w:rFonts w:ascii="Times New Roman" w:hAnsi="Times New Roman" w:eastAsia="宋体" w:cs="Times New Roman"/>
      <w:lang w:val="en-US" w:eastAsia="zh-CN" w:bidi="ar-SA"/>
    </w:rPr>
  </w:style>
  <w:style w:type="paragraph" w:styleId="1567" w:customStyle="1">
    <w:name w:val="xl257"/>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8" w:customStyle="1">
    <w:name w:val="hands-on正文"/>
    <w:basedOn w:val="678"/>
    <w:uiPriority w:val="0"/>
    <w:qFormat/>
    <w:pPr>
      <w:ind w:firstLine="420"/>
      <w:jc w:val="left"/>
      <w:spacing w:before="40" w:after="80" w:line="320" w:lineRule="exact"/>
    </w:pPr>
    <w:rPr>
      <w:rFonts w:ascii="宋体" w:hAnsi="宋体" w:eastAsia="宋体" w:cs="宋体"/>
      <w:color w:val="000000"/>
      <w:szCs w:val="20"/>
    </w:rPr>
  </w:style>
  <w:style w:type="paragraph" w:styleId="1569" w:customStyle="1">
    <w:name w:val="标题3"/>
    <w:basedOn w:val="681"/>
    <w:uiPriority w:val="0"/>
    <w:qFormat/>
    <w:pPr>
      <w:keepLines w:val="0"/>
      <w:keepNext w:val="0"/>
      <w:spacing w:before="0" w:after="0" w:line="360" w:lineRule="auto"/>
    </w:pPr>
    <w:rPr>
      <w:rFonts w:eastAsia="仿宋_GB2312"/>
      <w:b w:val="0"/>
      <w:bCs/>
      <w:sz w:val="30"/>
      <w:szCs w:val="32"/>
    </w:rPr>
  </w:style>
  <w:style w:type="paragraph" w:styleId="1570" w:customStyle="1">
    <w:name w:val="xl195"/>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71" w:customStyle="1">
    <w:name w:val="三级无标题条"/>
    <w:basedOn w:val="678"/>
    <w:uiPriority w:val="0"/>
    <w:qFormat/>
    <w:pPr>
      <w:ind w:hanging="420"/>
    </w:pPr>
    <w:rPr>
      <w:rFonts w:ascii="Times New Roman" w:hAnsi="Times New Roman" w:eastAsia="宋体" w:cs="Times New Roman"/>
      <w:szCs w:val="24"/>
    </w:rPr>
  </w:style>
  <w:style w:type="paragraph" w:styleId="1572" w:customStyle="1">
    <w:name w:val="列出段落3"/>
    <w:basedOn w:val="678"/>
    <w:uiPriority w:val="99"/>
    <w:qFormat/>
    <w:pPr>
      <w:ind w:firstLine="420"/>
    </w:pPr>
    <w:rPr>
      <w:rFonts w:ascii="Calibri" w:hAnsi="Calibri" w:eastAsia="宋体" w:cs="Times New Roman"/>
    </w:rPr>
  </w:style>
  <w:style w:type="paragraph" w:styleId="1573" w:customStyle="1">
    <w:name w:val="参考文献、索引标题"/>
    <w:basedOn w:val="1574"/>
    <w:next w:val="678"/>
    <w:uiPriority w:val="0"/>
    <w:qFormat/>
    <w:pPr>
      <w:spacing w:after="200"/>
      <w:tabs>
        <w:tab w:val="left" w:pos="425" w:leader="none"/>
      </w:tabs>
    </w:pPr>
    <w:rPr>
      <w:sz w:val="21"/>
    </w:rPr>
  </w:style>
  <w:style w:type="paragraph" w:styleId="1574" w:customStyle="1">
    <w:name w:val="前言、引言标题"/>
    <w:next w:val="678"/>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75" w:customStyle="1">
    <w:name w:val="xl281"/>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76" w:customStyle="1">
    <w:name w:val="小四缩进"/>
    <w:basedOn w:val="678"/>
    <w:uiPriority w:val="0"/>
    <w:qFormat/>
    <w:pPr>
      <w:ind w:firstLine="480"/>
      <w:spacing w:line="360" w:lineRule="auto"/>
    </w:pPr>
    <w:rPr>
      <w:rFonts w:ascii="Times New Roman" w:hAnsi="Times New Roman" w:eastAsia="宋体" w:cs="Times New Roman"/>
      <w:sz w:val="24"/>
      <w:szCs w:val="24"/>
    </w:rPr>
  </w:style>
  <w:style w:type="paragraph" w:styleId="1577" w:customStyle="1">
    <w:name w:val="xl154"/>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78" w:customStyle="1">
    <w:name w:val="示例"/>
    <w:next w:val="1101"/>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79" w:customStyle="1">
    <w:name w:val="xl47"/>
    <w:basedOn w:val="678"/>
    <w:uiPriority w:val="0"/>
    <w:qFormat/>
    <w:pPr>
      <w:jc w:val="center"/>
      <w:spacing w:before="100" w:beforeAutospacing="1" w:after="100" w:afterAutospacing="1"/>
      <w:widowControl/>
    </w:pPr>
    <w:rPr>
      <w:rFonts w:hint="eastAsia" w:ascii="黑体" w:hAnsi="Arial Unicode MS" w:eastAsia="黑体" w:cs="Times New Roman"/>
      <w:b/>
      <w:bCs/>
      <w:sz w:val="24"/>
      <w:szCs w:val="24"/>
    </w:rPr>
  </w:style>
  <w:style w:type="paragraph" w:styleId="1580" w:customStyle="1">
    <w:name w:val="xl169"/>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1" w:customStyle="1">
    <w:name w:val="xl180"/>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2" w:customStyle="1">
    <w:name w:val="xl58"/>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583" w:customStyle="1">
    <w:name w:val="xl215"/>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4" w:customStyle="1">
    <w:name w:val="可研正文"/>
    <w:basedOn w:val="678"/>
    <w:uiPriority w:val="0"/>
    <w:qFormat/>
    <w:pPr>
      <w:ind w:left="750" w:hanging="750"/>
      <w:spacing w:line="360" w:lineRule="auto"/>
      <w:tabs>
        <w:tab w:val="left" w:pos="987" w:leader="none"/>
      </w:tabs>
    </w:pPr>
    <w:rPr>
      <w:rFonts w:ascii="仿宋_GB2312" w:hAnsi="宋体" w:eastAsia="仿宋_GB2312" w:cs="Times New Roman"/>
      <w:bCs/>
      <w:sz w:val="28"/>
      <w:szCs w:val="28"/>
      <w:lang w:eastAsia="en-US"/>
    </w:rPr>
  </w:style>
  <w:style w:type="paragraph" w:styleId="1585" w:customStyle="1">
    <w:name w:val="正文文本 31"/>
    <w:basedOn w:val="678"/>
    <w:uiPriority w:val="0"/>
    <w:qFormat/>
    <w:rPr>
      <w:rFonts w:ascii="仿宋_GB2312" w:hAnsi="Arial" w:eastAsia="仿宋_GB2312" w:cs="Times New Roman"/>
      <w:sz w:val="32"/>
      <w:szCs w:val="20"/>
    </w:rPr>
  </w:style>
  <w:style w:type="paragraph" w:styleId="1586" w:customStyle="1">
    <w:name w:val="xl171"/>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7" w:customStyle="1">
    <w:name w:val="实施日期"/>
    <w:basedOn w:val="1588"/>
    <w:uiPriority w:val="0"/>
    <w:qFormat/>
    <w:pPr>
      <w:ind w:left="2580" w:hanging="420"/>
      <w:jc w:val="right"/>
      <w:framePr w:hSpace="0" w:wrap="around" w:xAlign="right"/>
    </w:pPr>
  </w:style>
  <w:style w:type="paragraph" w:styleId="1588"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89" w:customStyle="1">
    <w:name w:val="xl30"/>
    <w:basedOn w:val="678"/>
    <w:uiPriority w:val="0"/>
    <w:qFormat/>
    <w:pPr>
      <w:jc w:val="left"/>
      <w:spacing w:before="100" w:beforeAutospacing="1" w:after="100" w:afterAutospacing="1"/>
      <w:widowControl/>
    </w:pPr>
    <w:rPr>
      <w:rFonts w:ascii="Tahoma" w:hAnsi="Tahoma" w:eastAsia="Arial Unicode MS" w:cs="Tahoma"/>
      <w:sz w:val="16"/>
      <w:szCs w:val="16"/>
    </w:rPr>
  </w:style>
  <w:style w:type="paragraph" w:styleId="1590" w:customStyle="1">
    <w:name w:val="xl309"/>
    <w:basedOn w:val="67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591" w:customStyle="1">
    <w:name w:val="xl28"/>
    <w:basedOn w:val="678"/>
    <w:uiPriority w:val="0"/>
    <w:qFormat/>
    <w:pPr>
      <w:jc w:val="left"/>
      <w:spacing w:before="100" w:beforeAutospacing="1" w:after="100" w:afterAutospacing="1"/>
      <w:widowControl/>
    </w:pPr>
    <w:rPr>
      <w:rFonts w:ascii="Tahoma" w:hAnsi="Tahoma" w:eastAsia="Arial Unicode MS" w:cs="Tahoma"/>
      <w:sz w:val="16"/>
      <w:szCs w:val="16"/>
    </w:rPr>
  </w:style>
  <w:style w:type="paragraph" w:styleId="1592" w:customStyle="1">
    <w:name w:val="xl285"/>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93" w:customStyle="1">
    <w:name w:val="我的标题1"/>
    <w:basedOn w:val="678"/>
    <w:uiPriority w:val="99"/>
    <w:qFormat/>
    <w:pPr>
      <w:ind w:left="425" w:right="80" w:hanging="425"/>
      <w:jc w:val="left"/>
      <w:spacing w:before="20" w:after="20"/>
      <w:tabs>
        <w:tab w:val="left" w:pos="425" w:leader="none"/>
      </w:tabs>
    </w:pPr>
    <w:rPr>
      <w:rFonts w:ascii="宋体" w:hAnsi="宋体" w:eastAsia="宋体" w:cs="Microsoft Sans Serif"/>
      <w:b/>
      <w:bCs/>
      <w:sz w:val="24"/>
      <w:szCs w:val="24"/>
    </w:rPr>
  </w:style>
  <w:style w:type="paragraph" w:styleId="1594" w:customStyle="1">
    <w:name w:val="无间隔11"/>
    <w:next w:val="1563"/>
    <w:uiPriority w:val="1"/>
    <w:qFormat/>
    <w:rPr>
      <w:rFonts w:ascii="Calibri" w:hAnsi="Calibri" w:eastAsia="宋体" w:cs="Times New Roman"/>
      <w:sz w:val="22"/>
      <w:szCs w:val="22"/>
      <w:lang w:val="en-US" w:eastAsia="zh-CN" w:bidi="ar-SA"/>
    </w:rPr>
  </w:style>
  <w:style w:type="paragraph" w:styleId="1595" w:customStyle="1">
    <w:name w:val="标准"/>
    <w:basedOn w:val="678"/>
    <w:uiPriority w:val="0"/>
    <w:qFormat/>
    <w:pPr>
      <w:spacing w:line="240" w:lineRule="atLeast"/>
    </w:pPr>
    <w:rPr>
      <w:rFonts w:ascii="Times New Roman" w:hAnsi="Times New Roman" w:eastAsia="楷体_GB2312" w:cs="Times New Roman"/>
      <w:sz w:val="24"/>
      <w:szCs w:val="20"/>
    </w:rPr>
  </w:style>
  <w:style w:type="paragraph" w:styleId="1596" w:customStyle="1">
    <w:name w:val="xl184"/>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97" w:customStyle="1">
    <w:name w:val="四级条标题"/>
    <w:basedOn w:val="1449"/>
    <w:next w:val="1101"/>
    <w:uiPriority w:val="0"/>
    <w:qFormat/>
    <w:pPr>
      <w:ind w:left="2520" w:hanging="420"/>
      <w:outlineLvl w:val="5"/>
    </w:pPr>
  </w:style>
  <w:style w:type="paragraph" w:styleId="1598"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99" w:customStyle="1">
    <w:name w:val="xl276"/>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0" w:customStyle="1">
    <w:name w:val="xl315"/>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1" w:customStyle="1">
    <w:name w:val="xl73"/>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02" w:customStyle="1">
    <w:name w:val="xl242"/>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03" w:customStyle="1">
    <w:name w:val="xl48"/>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604"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05" w:customStyle="1">
    <w:name w:val="正文(首行缩进)"/>
    <w:basedOn w:val="678"/>
    <w:uiPriority w:val="0"/>
    <w:qFormat/>
    <w:pPr>
      <w:ind w:firstLine="480"/>
      <w:jc w:val="left"/>
      <w:spacing w:line="360" w:lineRule="auto"/>
    </w:pPr>
    <w:rPr>
      <w:rFonts w:ascii="楷体_GB2312" w:hAnsi="宋体" w:eastAsia="楷体_GB2312" w:cs="Times New Roman"/>
      <w:color w:val="000000"/>
      <w:sz w:val="24"/>
      <w:szCs w:val="24"/>
    </w:rPr>
  </w:style>
  <w:style w:type="paragraph" w:styleId="1606" w:customStyle="1">
    <w:name w:val="批注主题2"/>
    <w:basedOn w:val="789"/>
    <w:next w:val="789"/>
    <w:uiPriority w:val="0"/>
    <w:qFormat/>
    <w:rPr>
      <w:b/>
      <w:bCs/>
    </w:rPr>
  </w:style>
  <w:style w:type="paragraph" w:styleId="1607" w:customStyle="1">
    <w:name w:val="xl32"/>
    <w:basedOn w:val="678"/>
    <w:uiPriority w:val="0"/>
    <w:qFormat/>
    <w:pPr>
      <w:jc w:val="left"/>
      <w:spacing w:before="100" w:beforeAutospacing="1" w:after="100" w:afterAutospacing="1"/>
      <w:widowControl/>
    </w:pPr>
    <w:rPr>
      <w:rFonts w:ascii="Tahoma" w:hAnsi="Tahoma" w:eastAsia="Arial Unicode MS" w:cs="Tahoma"/>
      <w:sz w:val="16"/>
      <w:szCs w:val="16"/>
    </w:rPr>
  </w:style>
  <w:style w:type="paragraph" w:styleId="1608" w:customStyle="1">
    <w:name w:val="普通(网站)2"/>
    <w:basedOn w:val="678"/>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609" w:customStyle="1">
    <w:name w:val="xl227"/>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0" w:customStyle="1">
    <w:name w:val="条文脚注"/>
    <w:basedOn w:val="832"/>
    <w:uiPriority w:val="0"/>
    <w:qFormat/>
    <w:pPr>
      <w:ind w:left="780" w:hanging="360"/>
      <w:jc w:val="both"/>
    </w:pPr>
    <w:rPr>
      <w:rFonts w:ascii="宋体"/>
    </w:rPr>
  </w:style>
  <w:style w:type="paragraph" w:styleId="1611" w:customStyle="1">
    <w:name w:val="22h222heading2hiddenhead"/>
    <w:basedOn w:val="678"/>
    <w:uiPriority w:val="0"/>
    <w:qFormat/>
    <w:pPr>
      <w:jc w:val="left"/>
      <w:spacing w:before="100" w:beforeAutospacing="1" w:after="100" w:afterAutospacing="1"/>
      <w:widowControl/>
    </w:pPr>
    <w:rPr>
      <w:rFonts w:ascii="宋体" w:hAnsi="宋体" w:eastAsia="宋体" w:cs="宋体"/>
      <w:sz w:val="24"/>
      <w:szCs w:val="24"/>
    </w:rPr>
  </w:style>
  <w:style w:type="paragraph" w:styleId="1612" w:customStyle="1">
    <w:name w:val="xl244"/>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13" w:customStyle="1">
    <w:name w:val="xl284"/>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14" w:customStyle="1">
    <w:name w:val="xl234"/>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5" w:customStyle="1">
    <w:name w:val="正文·"/>
    <w:basedOn w:val="678"/>
    <w:uiPriority w:val="0"/>
    <w:qFormat/>
    <w:pPr>
      <w:ind w:left="1679"/>
      <w:keepLines/>
      <w:keepNext/>
      <w:spacing w:after="290" w:line="0" w:lineRule="atLeast"/>
      <w:tabs>
        <w:tab w:val="left" w:pos="360" w:leader="none"/>
        <w:tab w:val="left" w:pos="1140" w:leader="none"/>
        <w:tab w:val="left" w:pos="1200" w:leader="none"/>
        <w:tab w:val="left" w:pos="1680" w:leader="none"/>
      </w:tabs>
    </w:pPr>
    <w:rPr>
      <w:rFonts w:ascii="Times New Roman" w:hAnsi="Times New Roman" w:eastAsia="宋体" w:cs="Times New Roman"/>
      <w:color w:val="000000"/>
      <w:sz w:val="24"/>
      <w:szCs w:val="20"/>
    </w:rPr>
  </w:style>
  <w:style w:type="paragraph" w:styleId="1616" w:customStyle="1">
    <w:name w:val="标题4"/>
    <w:basedOn w:val="681"/>
    <w:uiPriority w:val="0"/>
    <w:qFormat/>
    <w:pPr>
      <w:jc w:val="center"/>
      <w:spacing w:before="120" w:after="120" w:line="415" w:lineRule="auto"/>
    </w:pPr>
    <w:rPr>
      <w:rFonts w:eastAsia="仿宋_GB2312"/>
    </w:rPr>
  </w:style>
  <w:style w:type="paragraph" w:styleId="1617" w:customStyle="1">
    <w:name w:val="xl164"/>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8" w:customStyle="1">
    <w:name w:val="font0"/>
    <w:basedOn w:val="678"/>
    <w:uiPriority w:val="0"/>
    <w:qFormat/>
    <w:pPr>
      <w:jc w:val="left"/>
      <w:spacing w:before="100" w:beforeAutospacing="1" w:after="100" w:afterAutospacing="1"/>
      <w:widowControl/>
    </w:pPr>
    <w:rPr>
      <w:rFonts w:hint="eastAsia" w:ascii="宋体" w:hAnsi="宋体" w:eastAsia="宋体" w:cs="Times New Roman"/>
      <w:sz w:val="24"/>
      <w:szCs w:val="24"/>
    </w:rPr>
  </w:style>
  <w:style w:type="paragraph" w:styleId="1619"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20" w:customStyle="1">
    <w:name w:val="xl237"/>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21" w:customStyle="1">
    <w:name w:val="xl162"/>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2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23" w:customStyle="1">
    <w:name w:val="font13"/>
    <w:basedOn w:val="678"/>
    <w:uiPriority w:val="0"/>
    <w:qFormat/>
    <w:pPr>
      <w:jc w:val="left"/>
      <w:spacing w:before="100" w:beforeAutospacing="1" w:after="100" w:afterAutospacing="1"/>
      <w:widowControl/>
    </w:pPr>
    <w:rPr>
      <w:rFonts w:hint="eastAsia" w:ascii="宋体" w:hAnsi="宋体" w:eastAsia="宋体" w:cs="Times New Roman"/>
      <w:b/>
      <w:bCs/>
      <w:sz w:val="20"/>
      <w:szCs w:val="20"/>
    </w:rPr>
  </w:style>
  <w:style w:type="paragraph" w:styleId="1624" w:customStyle="1">
    <w:name w:val="样式4"/>
    <w:basedOn w:val="678"/>
    <w:uiPriority w:val="0"/>
    <w:qFormat/>
    <w:pPr>
      <w:ind w:left="-2"/>
      <w:spacing w:line="440" w:lineRule="exact"/>
    </w:pPr>
    <w:rPr>
      <w:rFonts w:ascii="宋体" w:hAnsi="宋体" w:eastAsia="宋体" w:cs="Times New Roman"/>
      <w:sz w:val="28"/>
      <w:szCs w:val="24"/>
    </w:rPr>
  </w:style>
  <w:style w:type="paragraph" w:styleId="1625" w:customStyle="1">
    <w:name w:val="Char2"/>
    <w:basedOn w:val="678"/>
    <w:uiPriority w:val="0"/>
    <w:qFormat/>
    <w:pPr>
      <w:tabs>
        <w:tab w:val="left" w:pos="360" w:leader="none"/>
      </w:tabs>
    </w:pPr>
    <w:rPr>
      <w:rFonts w:ascii="Times New Roman" w:hAnsi="Times New Roman" w:eastAsia="宋体" w:cs="Times New Roman"/>
      <w:sz w:val="24"/>
      <w:szCs w:val="24"/>
    </w:rPr>
  </w:style>
  <w:style w:type="paragraph" w:styleId="1626" w:customStyle="1">
    <w:name w:val="正文文本缩进1"/>
    <w:basedOn w:val="678"/>
    <w:uiPriority w:val="0"/>
    <w:qFormat/>
    <w:pPr>
      <w:ind w:firstLine="645"/>
    </w:pPr>
    <w:rPr>
      <w:rFonts w:ascii="楷体_GB2312" w:hAnsi="Times New Roman" w:eastAsia="楷体_GB2312" w:cs="Times New Roman"/>
      <w:sz w:val="32"/>
      <w:szCs w:val="20"/>
    </w:rPr>
  </w:style>
  <w:style w:type="paragraph" w:styleId="1627" w:customStyle="1">
    <w:name w:val="xl253"/>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28" w:customStyle="1">
    <w:name w:val="xl246"/>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29" w:customStyle="1">
    <w:name w:val="列表2"/>
    <w:basedOn w:val="678"/>
    <w:uiPriority w:val="0"/>
    <w:qFormat/>
    <w:pPr>
      <w:ind w:left="200" w:hanging="200"/>
    </w:pPr>
    <w:rPr>
      <w:rFonts w:ascii="Times New Roman" w:hAnsi="Times New Roman" w:eastAsia="宋体" w:cs="Times New Roman"/>
      <w:szCs w:val="24"/>
    </w:rPr>
  </w:style>
  <w:style w:type="paragraph" w:styleId="1630" w:customStyle="1">
    <w:name w:val="Char Char1 Char Char Char Char Char Char Char Char"/>
    <w:basedOn w:val="678"/>
    <w:uiPriority w:val="0"/>
    <w:qFormat/>
    <w:pPr>
      <w:spacing w:line="360" w:lineRule="auto"/>
    </w:pPr>
    <w:rPr>
      <w:rFonts w:ascii="Times New Roman" w:hAnsi="Times New Roman" w:eastAsia="宋体" w:cs="Times New Roman"/>
      <w:szCs w:val="24"/>
    </w:rPr>
  </w:style>
  <w:style w:type="paragraph" w:styleId="1631" w:customStyle="1">
    <w:name w:val="正文4"/>
    <w:basedOn w:val="678"/>
    <w:uiPriority w:val="0"/>
    <w:qFormat/>
    <w:pPr>
      <w:ind w:firstLine="480"/>
      <w:spacing w:line="360" w:lineRule="auto"/>
    </w:pPr>
    <w:rPr>
      <w:rFonts w:ascii="楷体_GB2312" w:hAnsi="宋体" w:eastAsia="楷体_GB2312" w:cs="Times New Roman"/>
      <w:sz w:val="24"/>
      <w:szCs w:val="20"/>
    </w:rPr>
  </w:style>
  <w:style w:type="paragraph" w:styleId="1632" w:customStyle="1">
    <w:name w:val="封面标准号2"/>
    <w:basedOn w:val="1622"/>
    <w:uiPriority w:val="0"/>
    <w:qFormat/>
    <w:pPr>
      <w:spacing w:before="357" w:line="280" w:lineRule="exact"/>
      <w:framePr w:w="9138" w:h="1244" w:wrap="around" w:vAnchor="page" w:hAnchor="margin" w:y="2908" w:hRule="exact"/>
    </w:pPr>
  </w:style>
  <w:style w:type="paragraph" w:styleId="1633" w:customStyle="1">
    <w:name w:val="xl264"/>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34" w:customStyle="1">
    <w:name w:val="日期3"/>
    <w:basedOn w:val="678"/>
    <w:next w:val="678"/>
    <w:uiPriority w:val="0"/>
    <w:qFormat/>
    <w:pPr>
      <w:ind w:left="100"/>
    </w:pPr>
    <w:rPr>
      <w:rFonts w:ascii="仿宋_GB2312" w:hAnsi="Times New Roman" w:eastAsia="仿宋_GB2312" w:cs="Times New Roman"/>
      <w:b/>
      <w:sz w:val="36"/>
      <w:szCs w:val="24"/>
    </w:rPr>
  </w:style>
  <w:style w:type="paragraph" w:styleId="1635" w:customStyle="1">
    <w:name w:val="xl214"/>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6" w:customStyle="1">
    <w:name w:val="xl267"/>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37" w:customStyle="1">
    <w:name w:val="批注主题1"/>
    <w:basedOn w:val="789"/>
    <w:next w:val="789"/>
    <w:uiPriority w:val="0"/>
    <w:qFormat/>
    <w:rPr>
      <w:b/>
      <w:bCs/>
    </w:rPr>
  </w:style>
  <w:style w:type="paragraph" w:styleId="1638" w:customStyle="1">
    <w:name w:val="xl77"/>
    <w:basedOn w:val="67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39"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40" w:customStyle="1">
    <w:name w:val="xl64"/>
    <w:basedOn w:val="67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41" w:customStyle="1">
    <w:name w:val="xl228"/>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2" w:customStyle="1">
    <w:name w:val="列出段落11"/>
    <w:basedOn w:val="678"/>
    <w:uiPriority w:val="0"/>
    <w:qFormat/>
    <w:pPr>
      <w:ind w:firstLine="420"/>
    </w:pPr>
    <w:rPr>
      <w:rFonts w:ascii="Times New Roman" w:hAnsi="Times New Roman" w:eastAsia="宋体" w:cs="Times New Roman"/>
      <w:szCs w:val="24"/>
    </w:rPr>
  </w:style>
  <w:style w:type="paragraph" w:styleId="1643" w:customStyle="1">
    <w:name w:val="Style Heading 2 节 + Before:  0.35 line After:  0.35 line"/>
    <w:basedOn w:val="1644"/>
    <w:uiPriority w:val="0"/>
    <w:qFormat/>
    <w:pPr>
      <w:ind w:left="0" w:firstLine="0"/>
      <w:tabs>
        <w:tab w:val="left" w:pos="576" w:leader="none"/>
      </w:tabs>
    </w:pPr>
    <w:rPr>
      <w:szCs w:val="20"/>
    </w:rPr>
  </w:style>
  <w:style w:type="paragraph" w:styleId="1644" w:customStyle="1">
    <w:name w:val="Heading 2 节"/>
    <w:next w:val="678"/>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45" w:customStyle="1">
    <w:name w:val="正文文本 32"/>
    <w:basedOn w:val="678"/>
    <w:uiPriority w:val="0"/>
    <w:qFormat/>
    <w:rPr>
      <w:rFonts w:ascii="仿宋_GB2312" w:hAnsi="Arial" w:eastAsia="仿宋_GB2312" w:cs="Times New Roman"/>
      <w:sz w:val="32"/>
      <w:szCs w:val="20"/>
    </w:rPr>
  </w:style>
  <w:style w:type="paragraph" w:styleId="1646" w:customStyle="1">
    <w:name w:val="xl183"/>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47" w:customStyle="1">
    <w:name w:val="xl279"/>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8" w:customStyle="1">
    <w:name w:val="xl50"/>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649" w:customStyle="1">
    <w:name w:val="xl166"/>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0" w:customStyle="1">
    <w:name w:val="TOC 标题11"/>
    <w:basedOn w:val="679"/>
    <w:next w:val="67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1" w:customStyle="1">
    <w:name w:val="xl145"/>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2" w:customStyle="1">
    <w:name w:val="xl200"/>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3" w:customStyle="1">
    <w:name w:val="GP正文(首行缩进)"/>
    <w:basedOn w:val="678"/>
    <w:uiPriority w:val="0"/>
    <w:qFormat/>
    <w:pPr>
      <w:ind w:firstLine="200"/>
      <w:jc w:val="left"/>
      <w:spacing w:line="360" w:lineRule="auto"/>
    </w:pPr>
    <w:rPr>
      <w:rFonts w:ascii="Times New Roman" w:hAnsi="Times New Roman" w:eastAsia="宋体" w:cs="Times New Roman"/>
      <w:sz w:val="24"/>
      <w:szCs w:val="21"/>
    </w:rPr>
  </w:style>
  <w:style w:type="paragraph" w:styleId="1654" w:customStyle="1">
    <w:name w:val="xl261"/>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55" w:customStyle="1">
    <w:name w:val="xl53"/>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56" w:customStyle="1">
    <w:name w:val="xl216"/>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7" w:customStyle="1">
    <w:name w:val="font9"/>
    <w:basedOn w:val="678"/>
    <w:uiPriority w:val="0"/>
    <w:qFormat/>
    <w:pPr>
      <w:jc w:val="left"/>
      <w:spacing w:before="100" w:beforeAutospacing="1" w:after="100" w:afterAutospacing="1"/>
      <w:widowControl/>
    </w:pPr>
    <w:rPr>
      <w:rFonts w:ascii="Times New Roman" w:hAnsi="Times New Roman" w:eastAsia="Arial Unicode MS" w:cs="Times New Roman"/>
      <w:sz w:val="20"/>
      <w:szCs w:val="20"/>
    </w:rPr>
  </w:style>
  <w:style w:type="paragraph" w:styleId="1658" w:customStyle="1">
    <w:name w:val="xl35"/>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59" w:customStyle="1">
    <w:name w:val="正文文本 21"/>
    <w:basedOn w:val="678"/>
    <w:uiPriority w:val="0"/>
    <w:qFormat/>
    <w:pPr>
      <w:spacing w:after="120" w:line="480" w:lineRule="auto"/>
    </w:pPr>
    <w:rPr>
      <w:rFonts w:ascii="Times New Roman" w:hAnsi="Times New Roman" w:eastAsia="宋体" w:cs="Times New Roman"/>
      <w:szCs w:val="24"/>
    </w:rPr>
  </w:style>
  <w:style w:type="paragraph" w:styleId="1660" w:customStyle="1">
    <w:name w:val="五级条标题"/>
    <w:basedOn w:val="1597"/>
    <w:next w:val="1101"/>
    <w:uiPriority w:val="0"/>
    <w:qFormat/>
    <w:pPr>
      <w:ind w:left="1276" w:hanging="1276"/>
      <w:tabs>
        <w:tab w:val="left" w:pos="1800" w:leader="none"/>
      </w:tabs>
      <w:outlineLvl w:val="6"/>
    </w:pPr>
  </w:style>
  <w:style w:type="paragraph" w:styleId="1661" w:customStyle="1">
    <w:name w:val="xl303"/>
    <w:basedOn w:val="67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662" w:customStyle="1">
    <w:name w:val="xl270"/>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3" w:customStyle="1">
    <w:name w:val="正文编号"/>
    <w:basedOn w:val="678"/>
    <w:uiPriority w:val="0"/>
    <w:qFormat/>
    <w:pPr>
      <w:ind w:left="195" w:hanging="51"/>
      <w:spacing w:line="360" w:lineRule="auto"/>
      <w:tabs>
        <w:tab w:val="left" w:pos="0" w:leader="none"/>
        <w:tab w:val="left" w:pos="1380" w:leader="none"/>
      </w:tabs>
    </w:pPr>
    <w:rPr>
      <w:rFonts w:ascii="Book Antiqua" w:hAnsi="Book Antiqua" w:eastAsia="宋体" w:cs="Times New Roman"/>
      <w:sz w:val="24"/>
      <w:szCs w:val="20"/>
    </w:rPr>
  </w:style>
  <w:style w:type="paragraph" w:styleId="1664" w:customStyle="1">
    <w:name w:val="xl301"/>
    <w:basedOn w:val="67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665" w:customStyle="1">
    <w:name w:val="xl61"/>
    <w:basedOn w:val="67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66" w:customStyle="1">
    <w:name w:val="xl287"/>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67" w:customStyle="1">
    <w:name w:val="xl282"/>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68" w:customStyle="1">
    <w:name w:val="封面正文"/>
    <w:uiPriority w:val="0"/>
    <w:qFormat/>
    <w:pPr>
      <w:jc w:val="both"/>
    </w:pPr>
    <w:rPr>
      <w:rFonts w:ascii="Times New Roman" w:hAnsi="Times New Roman" w:eastAsia="宋体" w:cs="Times New Roman"/>
      <w:lang w:val="en-US" w:eastAsia="zh-CN" w:bidi="ar-SA"/>
    </w:rPr>
  </w:style>
  <w:style w:type="paragraph" w:styleId="1669" w:customStyle="1">
    <w:name w:val="xl211"/>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70" w:customStyle="1">
    <w:name w:val="制作人文字"/>
    <w:basedOn w:val="678"/>
    <w:uiPriority w:val="0"/>
    <w:qFormat/>
    <w:rPr>
      <w:rFonts w:ascii="Arial" w:hAnsi="Arial" w:eastAsia="仿宋_GB2312" w:cs="Times New Roman"/>
      <w:bCs/>
      <w:sz w:val="28"/>
      <w:szCs w:val="20"/>
    </w:rPr>
  </w:style>
  <w:style w:type="paragraph" w:styleId="1671" w:customStyle="1">
    <w:name w:val="xl5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672" w:customStyle="1">
    <w:name w:val="xl258"/>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73" w:customStyle="1">
    <w:name w:val="xl39"/>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2"/>
    </w:rPr>
  </w:style>
  <w:style w:type="paragraph" w:styleId="1674" w:customStyle="1">
    <w:name w:val="font10"/>
    <w:basedOn w:val="678"/>
    <w:uiPriority w:val="0"/>
    <w:qFormat/>
    <w:pPr>
      <w:jc w:val="left"/>
      <w:spacing w:before="100" w:beforeAutospacing="1" w:after="100" w:afterAutospacing="1"/>
      <w:widowControl/>
    </w:pPr>
    <w:rPr>
      <w:rFonts w:ascii="Times New Roman" w:hAnsi="Times New Roman" w:eastAsia="Arial Unicode MS" w:cs="Times New Roman"/>
      <w:color w:val="000000"/>
      <w:sz w:val="20"/>
      <w:szCs w:val="20"/>
    </w:rPr>
  </w:style>
  <w:style w:type="paragraph" w:styleId="1675" w:customStyle="1">
    <w:name w:val="纯文本2"/>
    <w:basedOn w:val="678"/>
    <w:uiPriority w:val="0"/>
    <w:qFormat/>
    <w:rPr>
      <w:rFonts w:ascii="宋体" w:hAnsi="Courier New" w:eastAsia="宋体" w:cs="Times New Roman"/>
      <w:szCs w:val="21"/>
    </w:rPr>
  </w:style>
  <w:style w:type="paragraph" w:styleId="1676" w:customStyle="1">
    <w:name w:val="font12"/>
    <w:basedOn w:val="678"/>
    <w:uiPriority w:val="0"/>
    <w:qFormat/>
    <w:pPr>
      <w:jc w:val="left"/>
      <w:spacing w:before="100" w:beforeAutospacing="1" w:after="100" w:afterAutospacing="1"/>
      <w:widowControl/>
    </w:pPr>
    <w:rPr>
      <w:rFonts w:ascii="Times New Roman" w:hAnsi="Times New Roman" w:eastAsia="Arial Unicode MS" w:cs="Times New Roman"/>
      <w:b/>
      <w:bCs/>
      <w:sz w:val="20"/>
      <w:szCs w:val="20"/>
    </w:rPr>
  </w:style>
  <w:style w:type="paragraph" w:styleId="1677" w:customStyle="1">
    <w:name w:val="xl319"/>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78" w:customStyle="1">
    <w:name w:val="xl67"/>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79" w:customStyle="1">
    <w:name w:val="xl312"/>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80" w:customStyle="1">
    <w:name w:val="xl63"/>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81" w:customStyle="1">
    <w:name w:val="xl291"/>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82" w:customStyle="1">
    <w:name w:val="附录标识"/>
    <w:basedOn w:val="1574"/>
    <w:uiPriority w:val="0"/>
    <w:qFormat/>
    <w:pPr>
      <w:ind w:left="780" w:hanging="360"/>
      <w:spacing w:after="200"/>
      <w:tabs>
        <w:tab w:val="left" w:pos="780" w:leader="none"/>
        <w:tab w:val="left" w:pos="6405" w:leader="none"/>
      </w:tabs>
    </w:pPr>
    <w:rPr>
      <w:sz w:val="21"/>
    </w:rPr>
  </w:style>
  <w:style w:type="paragraph" w:styleId="1683" w:customStyle="1">
    <w:name w:val="xl34"/>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84" w:customStyle="1">
    <w:name w:val="xl220"/>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85" w:customStyle="1">
    <w:name w:val="font5"/>
    <w:basedOn w:val="678"/>
    <w:uiPriority w:val="0"/>
    <w:qFormat/>
    <w:pPr>
      <w:jc w:val="left"/>
      <w:spacing w:before="100" w:beforeAutospacing="1" w:after="100" w:afterAutospacing="1"/>
      <w:widowControl/>
    </w:pPr>
    <w:rPr>
      <w:rFonts w:ascii="Tahoma" w:hAnsi="Tahoma" w:eastAsia="Arial Unicode MS" w:cs="Tahoma"/>
      <w:sz w:val="20"/>
      <w:szCs w:val="20"/>
    </w:rPr>
  </w:style>
  <w:style w:type="paragraph" w:styleId="1686" w:customStyle="1">
    <w:name w:val="xl190"/>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87" w:customStyle="1">
    <w:name w:val="xl72"/>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88" w:customStyle="1">
    <w:name w:val="_Style 5"/>
    <w:basedOn w:val="678"/>
    <w:uiPriority w:val="34"/>
    <w:qFormat/>
    <w:rPr>
      <w:rFonts w:ascii="Times New Roman" w:hAnsi="Times New Roman" w:eastAsia="宋体" w:cs="Times New Roman"/>
      <w:szCs w:val="24"/>
    </w:rPr>
  </w:style>
  <w:style w:type="paragraph" w:styleId="1689" w:customStyle="1">
    <w:name w:val="xl219"/>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0" w:customStyle="1">
    <w:name w:val="font6"/>
    <w:basedOn w:val="678"/>
    <w:uiPriority w:val="0"/>
    <w:qFormat/>
    <w:pPr>
      <w:jc w:val="left"/>
      <w:spacing w:before="100" w:beforeAutospacing="1" w:after="100" w:afterAutospacing="1"/>
      <w:widowControl/>
    </w:pPr>
    <w:rPr>
      <w:rFonts w:hint="eastAsia" w:ascii="黑体" w:hAnsi="Arial Unicode MS" w:eastAsia="黑体" w:cs="Times New Roman"/>
      <w:b/>
      <w:bCs/>
      <w:sz w:val="20"/>
      <w:szCs w:val="20"/>
    </w:rPr>
  </w:style>
  <w:style w:type="paragraph" w:styleId="1691" w:customStyle="1">
    <w:name w:val="xl300"/>
    <w:basedOn w:val="67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692" w:customStyle="1">
    <w:name w:val="样式1111"/>
    <w:basedOn w:val="678"/>
    <w:uiPriority w:val="0"/>
    <w:qFormat/>
    <w:pPr>
      <w:ind w:firstLine="200"/>
      <w:jc w:val="left"/>
      <w:spacing w:line="360" w:lineRule="auto"/>
    </w:pPr>
    <w:rPr>
      <w:rFonts w:ascii="Times New Roman" w:hAnsi="Times New Roman" w:eastAsia="宋体" w:cs="Times New Roman"/>
      <w:sz w:val="24"/>
      <w:szCs w:val="24"/>
    </w:rPr>
  </w:style>
  <w:style w:type="paragraph" w:styleId="1693" w:customStyle="1">
    <w:name w:val="xl75"/>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94" w:customStyle="1">
    <w:name w:val="xl313"/>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695" w:customStyle="1">
    <w:name w:val="xl247"/>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6" w:customStyle="1">
    <w:name w:val="xl3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97" w:customStyle="1">
    <w:name w:val="TOC 标题21"/>
    <w:basedOn w:val="679"/>
    <w:next w:val="67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98" w:customStyle="1">
    <w:name w:val="样式 样式 标题 3H3Heading 3 - oldh3sect1.2.3BOD 0level_3PIM 3Leve... +..."/>
    <w:basedOn w:val="678"/>
    <w:uiPriority w:val="0"/>
    <w:qFormat/>
    <w:pPr>
      <w:ind w:left="709" w:hanging="709"/>
      <w:spacing w:line="300" w:lineRule="auto"/>
      <w:tabs>
        <w:tab w:val="left" w:pos="709" w:leader="none"/>
      </w:tabs>
    </w:pPr>
    <w:rPr>
      <w:rFonts w:ascii="Times New Roman" w:hAnsi="Times New Roman" w:eastAsia="宋体" w:cs="Times New Roman"/>
      <w:szCs w:val="24"/>
    </w:rPr>
  </w:style>
  <w:style w:type="paragraph" w:styleId="1699" w:customStyle="1">
    <w:name w:val="Char11"/>
    <w:basedOn w:val="678"/>
    <w:uiPriority w:val="0"/>
    <w:qFormat/>
    <w:rPr>
      <w:rFonts w:ascii="Tahoma" w:hAnsi="Tahoma" w:eastAsia="宋体" w:cs="Times New Roman"/>
      <w:sz w:val="24"/>
      <w:szCs w:val="20"/>
    </w:rPr>
  </w:style>
  <w:style w:type="paragraph" w:styleId="1700" w:customStyle="1">
    <w:name w:val="xl174"/>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1" w:customStyle="1">
    <w:name w:val="xl207"/>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2" w:customStyle="1">
    <w:name w:val="我的表格文字"/>
    <w:basedOn w:val="678"/>
    <w:uiPriority w:val="0"/>
    <w:qFormat/>
    <w:pPr>
      <w:jc w:val="left"/>
      <w:widowControl/>
    </w:pPr>
    <w:rPr>
      <w:rFonts w:ascii="Arial" w:hAnsi="Arial" w:eastAsia="宋体" w:cs="Microsoft Sans Serif"/>
      <w:sz w:val="24"/>
      <w:szCs w:val="18"/>
    </w:rPr>
  </w:style>
  <w:style w:type="paragraph" w:styleId="1703" w:customStyle="1">
    <w:name w:val="xl24"/>
    <w:basedOn w:val="67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4" w:customStyle="1">
    <w:name w:val="正文文本 22"/>
    <w:basedOn w:val="678"/>
    <w:uiPriority w:val="0"/>
    <w:qFormat/>
    <w:pPr>
      <w:spacing w:after="120" w:line="480" w:lineRule="auto"/>
    </w:pPr>
    <w:rPr>
      <w:rFonts w:ascii="Times New Roman" w:hAnsi="Times New Roman" w:eastAsia="宋体" w:cs="Times New Roman"/>
      <w:szCs w:val="24"/>
    </w:rPr>
  </w:style>
  <w:style w:type="paragraph" w:styleId="1705" w:customStyle="1">
    <w:name w:val="xl37"/>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706" w:customStyle="1">
    <w:name w:val="xl293"/>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7" w:customStyle="1">
    <w:name w:val="xl296"/>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08" w:customStyle="1">
    <w:name w:val="附录二级条标题"/>
    <w:basedOn w:val="1559"/>
    <w:next w:val="1101"/>
    <w:uiPriority w:val="0"/>
    <w:qFormat/>
    <w:pPr>
      <w:ind w:left="1779" w:hanging="1069"/>
      <w:outlineLvl w:val="3"/>
    </w:pPr>
  </w:style>
  <w:style w:type="paragraph" w:styleId="1709" w:customStyle="1">
    <w:name w:val="xl60"/>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Cs w:val="21"/>
    </w:rPr>
  </w:style>
  <w:style w:type="paragraph" w:styleId="1710" w:customStyle="1">
    <w:name w:val="xl189"/>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1" w:customStyle="1">
    <w:name w:val="FA正文+标号"/>
    <w:basedOn w:val="67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cs="Times New Roman"/>
      <w:sz w:val="24"/>
      <w:szCs w:val="24"/>
    </w:rPr>
  </w:style>
  <w:style w:type="paragraph" w:styleId="1712" w:customStyle="1">
    <w:name w:val="xl69"/>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713" w:customStyle="1">
    <w:name w:val="xl156"/>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4" w:customStyle="1">
    <w:name w:val="附录三级条标题"/>
    <w:basedOn w:val="1708"/>
    <w:next w:val="1101"/>
    <w:uiPriority w:val="0"/>
    <w:qFormat/>
    <w:pPr>
      <w:ind w:left="851" w:hanging="851"/>
      <w:outlineLvl w:val="4"/>
    </w:pPr>
  </w:style>
  <w:style w:type="paragraph" w:styleId="1715" w:customStyle="1">
    <w:name w:val="xl29"/>
    <w:basedOn w:val="678"/>
    <w:uiPriority w:val="0"/>
    <w:qFormat/>
    <w:pPr>
      <w:jc w:val="left"/>
      <w:spacing w:before="100" w:beforeAutospacing="1" w:after="100" w:afterAutospacing="1"/>
      <w:widowControl/>
    </w:pPr>
    <w:rPr>
      <w:rFonts w:ascii="Tahoma" w:hAnsi="Tahoma" w:eastAsia="Arial Unicode MS" w:cs="Tahoma"/>
      <w:sz w:val="16"/>
      <w:szCs w:val="16"/>
    </w:rPr>
  </w:style>
  <w:style w:type="paragraph" w:styleId="1716" w:customStyle="1">
    <w:name w:val="文档结构图2"/>
    <w:basedOn w:val="678"/>
    <w:uiPriority w:val="0"/>
    <w:qFormat/>
    <w:rPr>
      <w:rFonts w:ascii="宋体" w:hAnsi="Times New Roman" w:eastAsia="宋体" w:cs="Times New Roman"/>
      <w:sz w:val="18"/>
      <w:szCs w:val="18"/>
    </w:rPr>
  </w:style>
  <w:style w:type="paragraph" w:styleId="1717" w:customStyle="1">
    <w:name w:val="xl59"/>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718" w:customStyle="1">
    <w:name w:val="xl206"/>
    <w:basedOn w:val="678"/>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719" w:customStyle="1">
    <w:name w:val="xl320"/>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20" w:customStyle="1">
    <w:name w:val="xl38"/>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2"/>
    </w:rPr>
  </w:style>
  <w:style w:type="paragraph" w:styleId="1721" w:customStyle="1">
    <w:name w:val="附录四级条标题"/>
    <w:basedOn w:val="1714"/>
    <w:next w:val="1101"/>
    <w:uiPriority w:val="0"/>
    <w:qFormat/>
    <w:pPr>
      <w:ind w:left="992" w:hanging="992"/>
      <w:outlineLvl w:val="5"/>
    </w:pPr>
  </w:style>
  <w:style w:type="paragraph" w:styleId="1722" w:customStyle="1">
    <w:name w:val="font8"/>
    <w:basedOn w:val="678"/>
    <w:uiPriority w:val="0"/>
    <w:qFormat/>
    <w:pPr>
      <w:jc w:val="left"/>
      <w:spacing w:before="100" w:beforeAutospacing="1" w:after="100" w:afterAutospacing="1"/>
      <w:widowControl/>
    </w:pPr>
    <w:rPr>
      <w:rFonts w:hint="eastAsia" w:ascii="宋体" w:hAnsi="宋体" w:eastAsia="宋体" w:cs="Times New Roman"/>
      <w:color w:val="000000"/>
      <w:sz w:val="20"/>
      <w:szCs w:val="20"/>
    </w:rPr>
  </w:style>
  <w:style w:type="paragraph" w:styleId="1723" w:customStyle="1">
    <w:name w:val="xl187"/>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4" w:customStyle="1">
    <w:name w:val="xl280"/>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5" w:customStyle="1">
    <w:name w:val="正文符号编号"/>
    <w:basedOn w:val="678"/>
    <w:uiPriority w:val="0"/>
    <w:qFormat/>
    <w:pPr>
      <w:ind w:left="1395" w:hanging="600"/>
      <w:spacing w:line="360" w:lineRule="auto"/>
      <w:tabs>
        <w:tab w:val="left" w:pos="1395" w:leader="none"/>
      </w:tabs>
    </w:pPr>
    <w:rPr>
      <w:rFonts w:ascii="Times New Roman" w:hAnsi="Times New Roman" w:eastAsia="宋体" w:cs="Times New Roman"/>
      <w:sz w:val="24"/>
      <w:szCs w:val="20"/>
    </w:rPr>
  </w:style>
  <w:style w:type="paragraph" w:styleId="1726" w:customStyle="1">
    <w:name w:val="xl310"/>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27" w:customStyle="1">
    <w:name w:val="xl252"/>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8" w:customStyle="1">
    <w:name w:val="正文 + 四号"/>
    <w:basedOn w:val="678"/>
    <w:uiPriority w:val="0"/>
    <w:qFormat/>
    <w:pPr>
      <w:spacing w:line="480" w:lineRule="exact"/>
    </w:pPr>
    <w:rPr>
      <w:rFonts w:ascii="Times New Roman" w:hAnsi="Times New Roman" w:eastAsia="宋体" w:cs="Times New Roman"/>
      <w:sz w:val="28"/>
      <w:szCs w:val="20"/>
    </w:rPr>
  </w:style>
  <w:style w:type="paragraph" w:styleId="1729" w:customStyle="1">
    <w:name w:val="xl157"/>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0" w:customStyle="1">
    <w:name w:val="Char1 Char Char Char"/>
    <w:basedOn w:val="678"/>
    <w:uiPriority w:val="99"/>
    <w:qFormat/>
    <w:rPr>
      <w:rFonts w:ascii="Tahoma" w:hAnsi="Tahoma" w:eastAsia="宋体" w:cs="Times New Roman"/>
      <w:sz w:val="24"/>
      <w:szCs w:val="20"/>
    </w:rPr>
  </w:style>
  <w:style w:type="paragraph" w:styleId="1731" w:customStyle="1">
    <w:name w:val="xl51"/>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732" w:customStyle="1">
    <w:name w:val="xl295"/>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33" w:customStyle="1">
    <w:name w:val="附录五级条标题"/>
    <w:basedOn w:val="1721"/>
    <w:next w:val="1101"/>
    <w:uiPriority w:val="0"/>
    <w:qFormat/>
    <w:pPr>
      <w:ind w:left="2940" w:hanging="420"/>
      <w:tabs>
        <w:tab w:val="left" w:pos="780" w:leader="none"/>
        <w:tab w:val="left" w:pos="1800" w:leader="none"/>
      </w:tabs>
      <w:outlineLvl w:val="6"/>
    </w:pPr>
  </w:style>
  <w:style w:type="paragraph" w:styleId="1734" w:customStyle="1">
    <w:name w:val="font11"/>
    <w:basedOn w:val="678"/>
    <w:uiPriority w:val="0"/>
    <w:qFormat/>
    <w:pPr>
      <w:jc w:val="left"/>
      <w:spacing w:before="100" w:beforeAutospacing="1" w:after="100" w:afterAutospacing="1"/>
      <w:widowControl/>
    </w:pPr>
    <w:rPr>
      <w:rFonts w:hint="eastAsia" w:ascii="宋体" w:hAnsi="宋体" w:eastAsia="宋体" w:cs="Times New Roman"/>
      <w:sz w:val="20"/>
      <w:szCs w:val="20"/>
    </w:rPr>
  </w:style>
  <w:style w:type="paragraph" w:styleId="1735" w:customStyle="1">
    <w:name w:val="xl173"/>
    <w:basedOn w:val="67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6" w:customStyle="1">
    <w:name w:val="图表目录1"/>
    <w:basedOn w:val="812"/>
    <w:uiPriority w:val="0"/>
    <w:qFormat/>
    <w:pPr>
      <w:jc w:val="center"/>
      <w:spacing w:after="120" w:line="360" w:lineRule="auto"/>
    </w:pPr>
    <w:rPr>
      <w:rFonts w:ascii="楷体"/>
      <w:sz w:val="28"/>
    </w:rPr>
  </w:style>
  <w:style w:type="paragraph" w:styleId="1737" w:customStyle="1">
    <w:name w:val="xl299"/>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38" w:customStyle="1">
    <w:name w:val="xl259"/>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9" w:customStyle="1">
    <w:name w:val="xl46"/>
    <w:basedOn w:val="678"/>
    <w:uiPriority w:val="0"/>
    <w:qFormat/>
    <w:pPr>
      <w:jc w:val="left"/>
      <w:spacing w:before="100" w:beforeAutospacing="1" w:after="100" w:afterAutospacing="1"/>
      <w:widowControl/>
    </w:pPr>
    <w:rPr>
      <w:rFonts w:ascii="Arial Unicode MS" w:hAnsi="Arial Unicode MS" w:eastAsia="Arial Unicode MS" w:cs="Times New Roman"/>
      <w:sz w:val="24"/>
      <w:szCs w:val="24"/>
    </w:rPr>
  </w:style>
  <w:style w:type="paragraph" w:styleId="1740" w:customStyle="1">
    <w:name w:val="xl71"/>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b/>
      <w:bCs/>
      <w:sz w:val="20"/>
      <w:szCs w:val="20"/>
    </w:rPr>
  </w:style>
  <w:style w:type="paragraph" w:styleId="1741" w:customStyle="1">
    <w:name w:val="xl226"/>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2" w:customStyle="1">
    <w:name w:val="xl217"/>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3" w:customStyle="1">
    <w:name w:val="表格1"/>
    <w:basedOn w:val="678"/>
    <w:uiPriority w:val="0"/>
    <w:qFormat/>
    <w:rPr>
      <w:rFonts w:ascii="宋体" w:hAnsi="Times New Roman" w:eastAsia="宋体" w:cs="Times New Roman"/>
      <w:szCs w:val="21"/>
    </w:rPr>
  </w:style>
  <w:style w:type="paragraph" w:styleId="1744" w:customStyle="1">
    <w:name w:val="TOC 51"/>
    <w:basedOn w:val="678"/>
    <w:next w:val="678"/>
    <w:uiPriority w:val="39"/>
    <w:qFormat/>
    <w:pPr>
      <w:ind w:left="1680"/>
    </w:pPr>
    <w:rPr>
      <w:rFonts w:ascii="Calibri" w:hAnsi="Calibri" w:eastAsia="宋体" w:cs="Times New Roman"/>
    </w:rPr>
  </w:style>
  <w:style w:type="paragraph" w:styleId="1745" w:customStyle="1">
    <w:name w:val="xl172"/>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6" w:customStyle="1">
    <w:name w:val="Style Heading 3H31.1.1标题 3Level 3 Headlevel_3PIM 3h3sect1.2...."/>
    <w:basedOn w:val="681"/>
    <w:uiPriority w:val="0"/>
    <w:qFormat/>
    <w:pPr>
      <w:ind w:left="720" w:hanging="720"/>
      <w:spacing w:before="120" w:after="120" w:line="360" w:lineRule="auto"/>
    </w:pPr>
    <w:rPr>
      <w:rFonts w:eastAsia="黑体"/>
      <w:bCs/>
      <w:sz w:val="24"/>
    </w:rPr>
  </w:style>
  <w:style w:type="paragraph" w:styleId="1747" w:customStyle="1">
    <w:name w:val="xl256"/>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8" w:customStyle="1">
    <w:name w:val="xl26"/>
    <w:basedOn w:val="67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9" w:customStyle="1">
    <w:name w:val="xl302"/>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50"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51" w:customStyle="1">
    <w:name w:val="Char1"/>
    <w:basedOn w:val="678"/>
    <w:uiPriority w:val="0"/>
    <w:qFormat/>
    <w:pPr>
      <w:ind w:left="840" w:hanging="420"/>
      <w:tabs>
        <w:tab w:val="left" w:pos="840" w:leader="none"/>
      </w:tabs>
    </w:pPr>
    <w:rPr>
      <w:rFonts w:ascii="Times New Roman" w:hAnsi="Times New Roman" w:eastAsia="宋体" w:cs="Times New Roman"/>
      <w:sz w:val="24"/>
      <w:szCs w:val="24"/>
    </w:rPr>
  </w:style>
  <w:style w:type="paragraph" w:styleId="1752" w:customStyle="1">
    <w:name w:val="xl255"/>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53" w:customStyle="1">
    <w:name w:val="font14"/>
    <w:basedOn w:val="678"/>
    <w:uiPriority w:val="0"/>
    <w:qFormat/>
    <w:pPr>
      <w:jc w:val="left"/>
      <w:spacing w:before="100" w:beforeAutospacing="1" w:after="100" w:afterAutospacing="1"/>
      <w:widowControl/>
    </w:pPr>
    <w:rPr>
      <w:rFonts w:ascii="宋体" w:hAnsi="宋体" w:eastAsia="宋体" w:cs="宋体"/>
      <w:sz w:val="20"/>
      <w:szCs w:val="20"/>
    </w:rPr>
  </w:style>
  <w:style w:type="paragraph" w:styleId="1754" w:customStyle="1">
    <w:name w:val="font7"/>
    <w:basedOn w:val="678"/>
    <w:uiPriority w:val="0"/>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755" w:customStyle="1">
    <w:name w:val="xl222"/>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6" w:customStyle="1">
    <w:name w:val="xl236"/>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7" w:customStyle="1">
    <w:name w:val="TOC 81"/>
    <w:basedOn w:val="678"/>
    <w:next w:val="678"/>
    <w:uiPriority w:val="39"/>
    <w:qFormat/>
    <w:pPr>
      <w:ind w:left="2940"/>
    </w:pPr>
    <w:rPr>
      <w:rFonts w:ascii="Calibri" w:hAnsi="Calibri" w:eastAsia="宋体" w:cs="Times New Roman"/>
    </w:rPr>
  </w:style>
  <w:style w:type="paragraph" w:styleId="1758" w:customStyle="1">
    <w:name w:val="xl292"/>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59" w:customStyle="1">
    <w:name w:val="标准标志"/>
    <w:next w:val="678"/>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60" w:customStyle="1">
    <w:name w:val="xl45"/>
    <w:basedOn w:val="678"/>
    <w:uiPriority w:val="0"/>
    <w:qFormat/>
    <w:pPr>
      <w:jc w:val="left"/>
      <w:spacing w:before="100" w:beforeAutospacing="1" w:after="100" w:afterAutospacing="1"/>
      <w:widowControl/>
    </w:pPr>
    <w:rPr>
      <w:rFonts w:hint="eastAsia" w:ascii="黑体" w:hAnsi="Arial Unicode MS" w:eastAsia="黑体" w:cs="Times New Roman"/>
      <w:b/>
      <w:bCs/>
      <w:sz w:val="24"/>
      <w:szCs w:val="24"/>
    </w:rPr>
  </w:style>
  <w:style w:type="paragraph" w:styleId="1761" w:customStyle="1">
    <w:name w:val="xl198"/>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2"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63" w:customStyle="1">
    <w:name w:val="xl159"/>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4" w:customStyle="1">
    <w:name w:val="TOC 标题121"/>
    <w:basedOn w:val="679"/>
    <w:next w:val="67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5" w:customStyle="1">
    <w:name w:val="标准称谓"/>
    <w:next w:val="678"/>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66" w:customStyle="1">
    <w:name w:val="xl170"/>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7" w:customStyle="1">
    <w:name w:val="文本块2"/>
    <w:basedOn w:val="678"/>
    <w:uiPriority w:val="0"/>
    <w:qFormat/>
    <w:pPr>
      <w:ind w:left="630" w:right="630"/>
      <w:jc w:val="center"/>
    </w:pPr>
    <w:rPr>
      <w:rFonts w:ascii="宋体" w:hAnsi="Times New Roman" w:eastAsia="宋体" w:cs="Times New Roman"/>
      <w:b/>
      <w:sz w:val="32"/>
      <w:szCs w:val="24"/>
    </w:rPr>
  </w:style>
  <w:style w:type="paragraph" w:styleId="1768" w:customStyle="1">
    <w:name w:val="正文格式"/>
    <w:basedOn w:val="678"/>
    <w:uiPriority w:val="0"/>
    <w:qFormat/>
    <w:pPr>
      <w:ind w:firstLine="482"/>
      <w:spacing w:line="400" w:lineRule="exact"/>
      <w:widowControl/>
    </w:pPr>
    <w:rPr>
      <w:rFonts w:ascii="Arial" w:hAnsi="Arial" w:eastAsia="新宋体" w:cs="Times New Roman"/>
      <w:sz w:val="24"/>
      <w:szCs w:val="20"/>
    </w:rPr>
  </w:style>
  <w:style w:type="paragraph" w:styleId="1769" w:customStyle="1">
    <w:name w:val="xl191"/>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0" w:customStyle="1">
    <w:name w:val="xl193"/>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1" w:customStyle="1">
    <w:name w:val="TOC 41"/>
    <w:basedOn w:val="678"/>
    <w:next w:val="678"/>
    <w:uiPriority w:val="39"/>
    <w:qFormat/>
    <w:pPr>
      <w:ind w:left="1260"/>
    </w:pPr>
    <w:rPr>
      <w:rFonts w:ascii="Calibri" w:hAnsi="Calibri" w:eastAsia="宋体" w:cs="Times New Roman"/>
    </w:rPr>
  </w:style>
  <w:style w:type="paragraph" w:styleId="1772" w:customStyle="1">
    <w:name w:val="xl262"/>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73" w:customStyle="1">
    <w:name w:val="目次、标准名称标题"/>
    <w:basedOn w:val="1574"/>
    <w:next w:val="1101"/>
    <w:uiPriority w:val="0"/>
    <w:qFormat/>
    <w:pPr>
      <w:spacing w:line="460" w:lineRule="exact"/>
    </w:pPr>
  </w:style>
  <w:style w:type="paragraph" w:styleId="1774" w:customStyle="1">
    <w:name w:val="xl68"/>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75" w:customStyle="1">
    <w:name w:val="xl167"/>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6" w:customStyle="1">
    <w:name w:val="xl182"/>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78" w:customStyle="1">
    <w:name w:val="xl49"/>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779" w:customStyle="1">
    <w:name w:val="xl298"/>
    <w:basedOn w:val="67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780" w:customStyle="1">
    <w:name w:val="xl221"/>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1" w:customStyle="1">
    <w:name w:val="普通正文"/>
    <w:basedOn w:val="678"/>
    <w:uiPriority w:val="0"/>
    <w:qFormat/>
    <w:pPr>
      <w:ind w:firstLine="480"/>
      <w:jc w:val="left"/>
      <w:spacing w:before="120" w:after="120" w:line="360" w:lineRule="auto"/>
    </w:pPr>
    <w:rPr>
      <w:rFonts w:ascii="Arial" w:hAnsi="Arial" w:eastAsia="宋体" w:cs="Times New Roman"/>
      <w:sz w:val="24"/>
      <w:szCs w:val="24"/>
    </w:rPr>
  </w:style>
  <w:style w:type="paragraph" w:styleId="1782" w:customStyle="1">
    <w:name w:val="TOC 61"/>
    <w:basedOn w:val="678"/>
    <w:next w:val="678"/>
    <w:uiPriority w:val="39"/>
    <w:qFormat/>
    <w:pPr>
      <w:ind w:left="2100"/>
    </w:pPr>
    <w:rPr>
      <w:rFonts w:ascii="Calibri" w:hAnsi="Calibri" w:eastAsia="宋体" w:cs="Times New Roman"/>
    </w:rPr>
  </w:style>
  <w:style w:type="paragraph" w:styleId="1783" w:customStyle="1">
    <w:name w:val="xl239"/>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84"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85" w:customStyle="1">
    <w:name w:val="样式 标题 2市检方案标题2第一层条h22章标题节标题第一章 标题 2Heading 2 HiddenHead..."/>
    <w:basedOn w:val="680"/>
    <w:uiPriority w:val="0"/>
    <w:qFormat/>
    <w:pPr>
      <w:jc w:val="left"/>
      <w:spacing w:before="120" w:after="120" w:line="264" w:lineRule="auto"/>
    </w:pPr>
    <w:rPr>
      <w:rFonts w:ascii="楷体_GB2312" w:hAnsi="楷体" w:cs="宋体"/>
      <w:color w:val="000000"/>
      <w:sz w:val="28"/>
      <w:szCs w:val="28"/>
    </w:rPr>
  </w:style>
  <w:style w:type="paragraph" w:styleId="1786" w:customStyle="1">
    <w:name w:val="xl288"/>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7" w:customStyle="1">
    <w:name w:val="Item List in Table"/>
    <w:basedOn w:val="678"/>
    <w:uiPriority w:val="0"/>
    <w:qFormat/>
    <w:pPr>
      <w:ind w:left="885" w:hanging="885"/>
      <w:jc w:val="left"/>
      <w:spacing w:before="80" w:after="80" w:line="240" w:lineRule="atLeast"/>
      <w:widowControl/>
      <w:tabs>
        <w:tab w:val="left" w:pos="284" w:leader="none"/>
        <w:tab w:val="left" w:pos="885" w:leader="none"/>
      </w:tabs>
    </w:pPr>
    <w:rPr>
      <w:rFonts w:hint="eastAsia" w:ascii="Times New Roman" w:hAnsi="Times New Roman" w:eastAsia="宋体" w:cs="Arial"/>
      <w:szCs w:val="21"/>
    </w:rPr>
  </w:style>
  <w:style w:type="paragraph" w:styleId="1788" w:customStyle="1">
    <w:name w:val="Char Char1"/>
    <w:basedOn w:val="678"/>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1789" w:customStyle="1">
    <w:name w:val="xl6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sz w:val="20"/>
      <w:szCs w:val="20"/>
    </w:rPr>
  </w:style>
  <w:style w:type="paragraph" w:styleId="1790" w:customStyle="1">
    <w:name w:val="日期2"/>
    <w:basedOn w:val="678"/>
    <w:next w:val="678"/>
    <w:uiPriority w:val="0"/>
    <w:qFormat/>
    <w:pPr>
      <w:ind w:left="100"/>
    </w:pPr>
    <w:rPr>
      <w:rFonts w:ascii="仿宋_GB2312" w:hAnsi="Times New Roman" w:eastAsia="仿宋_GB2312" w:cs="Times New Roman"/>
      <w:b/>
      <w:sz w:val="36"/>
      <w:szCs w:val="24"/>
    </w:rPr>
  </w:style>
  <w:style w:type="paragraph" w:styleId="1791" w:customStyle="1">
    <w:name w:val="xl33"/>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792" w:customStyle="1">
    <w:name w:val="xl201"/>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3" w:customStyle="1">
    <w:name w:val="xl271"/>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94" w:customStyle="1">
    <w:name w:val="样式4 Char"/>
    <w:basedOn w:val="678"/>
    <w:uiPriority w:val="0"/>
    <w:qFormat/>
    <w:pPr>
      <w:ind w:firstLine="480"/>
      <w:jc w:val="left"/>
      <w:spacing w:line="360" w:lineRule="auto"/>
      <w:widowControl/>
    </w:pPr>
    <w:rPr>
      <w:rFonts w:ascii="Times New Roman" w:hAnsi="Times New Roman" w:eastAsia="宋体" w:cs="Times New Roman"/>
      <w:color w:val="000000"/>
      <w:sz w:val="24"/>
      <w:szCs w:val="24"/>
    </w:rPr>
  </w:style>
  <w:style w:type="paragraph" w:styleId="1795" w:customStyle="1">
    <w:name w:val="xl57"/>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796" w:customStyle="1">
    <w:name w:val="xl203"/>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7" w:customStyle="1">
    <w:name w:val="xl31"/>
    <w:basedOn w:val="678"/>
    <w:uiPriority w:val="0"/>
    <w:qFormat/>
    <w:pPr>
      <w:jc w:val="left"/>
      <w:spacing w:before="100" w:beforeAutospacing="1" w:after="100" w:afterAutospacing="1"/>
      <w:widowControl/>
    </w:pPr>
    <w:rPr>
      <w:rFonts w:ascii="Tahoma" w:hAnsi="Tahoma" w:eastAsia="Arial Unicode MS" w:cs="Tahoma"/>
      <w:sz w:val="16"/>
      <w:szCs w:val="16"/>
    </w:rPr>
  </w:style>
  <w:style w:type="paragraph" w:styleId="1798" w:customStyle="1">
    <w:name w:val="xl297"/>
    <w:basedOn w:val="67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799" w:customStyle="1">
    <w:name w:val="xl150"/>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0" w:customStyle="1">
    <w:name w:val="xl225"/>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801" w:customStyle="1">
    <w:name w:val="xl27"/>
    <w:basedOn w:val="678"/>
    <w:uiPriority w:val="0"/>
    <w:qFormat/>
    <w:pPr>
      <w:jc w:val="left"/>
      <w:spacing w:before="100" w:beforeAutospacing="1" w:after="100" w:afterAutospacing="1"/>
      <w:widowControl/>
    </w:pPr>
    <w:rPr>
      <w:rFonts w:ascii="Tahoma" w:hAnsi="Tahoma" w:eastAsia="Arial Unicode MS" w:cs="Tahoma"/>
      <w:sz w:val="16"/>
      <w:szCs w:val="16"/>
    </w:rPr>
  </w:style>
  <w:style w:type="paragraph" w:styleId="1802" w:customStyle="1">
    <w:name w:val="xl269"/>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3" w:customStyle="1">
    <w:name w:val="xl306"/>
    <w:basedOn w:val="67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804" w:customStyle="1">
    <w:name w:val="标准书眉_偶数页"/>
    <w:basedOn w:val="1805"/>
    <w:next w:val="678"/>
    <w:uiPriority w:val="0"/>
    <w:qFormat/>
    <w:pPr>
      <w:jc w:val="left"/>
      <w:tabs>
        <w:tab w:val="center" w:pos="4154" w:leader="none"/>
        <w:tab w:val="right" w:pos="8306" w:leader="none"/>
      </w:tabs>
    </w:pPr>
  </w:style>
  <w:style w:type="paragraph" w:styleId="1805" w:customStyle="1">
    <w:name w:val="标准书眉_奇数页"/>
    <w:next w:val="678"/>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06" w:customStyle="1">
    <w:name w:val="xl55"/>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07" w:customStyle="1">
    <w:name w:val="xl192"/>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8" w:customStyle="1">
    <w:name w:val="xl153"/>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09" w:customStyle="1">
    <w:name w:val="内容标题"/>
    <w:basedOn w:val="678"/>
    <w:uiPriority w:val="0"/>
    <w:qFormat/>
    <w:pPr>
      <w:shd w:val="clear" w:color="auto" w:fill="000080"/>
    </w:pPr>
    <w:rPr>
      <w:rFonts w:ascii="Tahoma" w:hAnsi="Tahoma" w:eastAsia="宋体" w:cs="Times New Roman"/>
      <w:sz w:val="24"/>
      <w:szCs w:val="24"/>
      <w:shd w:val="clear" w:color="auto" w:fill="000080"/>
    </w:rPr>
  </w:style>
  <w:style w:type="paragraph" w:styleId="1810" w:customStyle="1">
    <w:name w:val="xl197"/>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1" w:customStyle="1">
    <w:name w:val="xl235"/>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2" w:customStyle="1">
    <w:name w:val="样式2"/>
    <w:basedOn w:val="678"/>
    <w:uiPriority w:val="0"/>
    <w:qFormat/>
    <w:pPr>
      <w:ind w:left="624" w:hanging="720"/>
    </w:pPr>
    <w:rPr>
      <w:rFonts w:ascii="黑体" w:hAnsi="Times New Roman" w:eastAsia="黑体" w:cs="Times New Roman"/>
      <w:b/>
      <w:sz w:val="30"/>
      <w:szCs w:val="24"/>
    </w:rPr>
  </w:style>
  <w:style w:type="paragraph" w:styleId="1813" w:customStyle="1">
    <w:name w:val="xl163"/>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4" w:customStyle="1">
    <w:name w:val="xl147"/>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5" w:customStyle="1">
    <w:name w:val="默认段落字体 Para Char Char Char Char Char Char Char"/>
    <w:basedOn w:val="678"/>
    <w:uiPriority w:val="0"/>
    <w:qFormat/>
    <w:pPr>
      <w:ind w:left="200"/>
      <w:jc w:val="left"/>
      <w:spacing w:line="360" w:lineRule="auto"/>
    </w:pPr>
    <w:rPr>
      <w:rFonts w:ascii="宋体" w:hAnsi="宋体" w:eastAsia="宋体" w:cs="Times New Roman"/>
      <w:color w:val="000000"/>
      <w:sz w:val="24"/>
      <w:szCs w:val="20"/>
    </w:rPr>
  </w:style>
  <w:style w:type="paragraph" w:styleId="1816" w:customStyle="1">
    <w:name w:val="xl146"/>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17" w:customStyle="1">
    <w:name w:val="xl76"/>
    <w:basedOn w:val="67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818" w:customStyle="1">
    <w:name w:val="xl186"/>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9" w:customStyle="1">
    <w:name w:val="表格文字"/>
    <w:basedOn w:val="678"/>
    <w:uiPriority w:val="0"/>
    <w:qFormat/>
    <w:pPr>
      <w:jc w:val="center"/>
      <w:tabs>
        <w:tab w:val="left" w:pos="7740" w:leader="none"/>
      </w:tabs>
    </w:pPr>
    <w:rPr>
      <w:rFonts w:ascii="宋体" w:hAnsi="宋体" w:eastAsia="宋体" w:cs="Times New Roman"/>
      <w:sz w:val="24"/>
      <w:szCs w:val="20"/>
    </w:rPr>
  </w:style>
  <w:style w:type="paragraph" w:styleId="1820" w:customStyle="1">
    <w:name w:val="xl213"/>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1" w:customStyle="1">
    <w:name w:val="xl196"/>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2" w:customStyle="1">
    <w:name w:val="表格文本"/>
    <w:basedOn w:val="678"/>
    <w:uiPriority w:val="0"/>
    <w:qFormat/>
    <w:pPr>
      <w:jc w:val="left"/>
      <w:tabs>
        <w:tab w:val="decimal" w:pos="0" w:leader="none"/>
      </w:tabs>
    </w:pPr>
    <w:rPr>
      <w:rFonts w:ascii="Arial" w:hAnsi="Arial" w:eastAsia="宋体" w:cs="Times New Roman"/>
      <w:szCs w:val="21"/>
    </w:rPr>
  </w:style>
  <w:style w:type="paragraph" w:styleId="1823" w:customStyle="1">
    <w:name w:val="xl307"/>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82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25" w:customStyle="1">
    <w:name w:val="xl179"/>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6" w:customStyle="1">
    <w:name w:val="tabletext"/>
    <w:basedOn w:val="678"/>
    <w:uiPriority w:val="0"/>
    <w:qFormat/>
    <w:pPr>
      <w:jc w:val="left"/>
      <w:spacing w:before="100" w:beforeAutospacing="1" w:after="100" w:afterAutospacing="1" w:line="284" w:lineRule="atLeast"/>
      <w:widowControl/>
    </w:pPr>
    <w:rPr>
      <w:rFonts w:ascii="宋体" w:hAnsi="宋体" w:eastAsia="宋体" w:cs="宋体"/>
      <w:szCs w:val="21"/>
    </w:rPr>
  </w:style>
  <w:style w:type="paragraph" w:styleId="1827" w:customStyle="1">
    <w:name w:val="xl241"/>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8" w:customStyle="1">
    <w:name w:val="Style First line:  2 ch"/>
    <w:basedOn w:val="678"/>
    <w:uiPriority w:val="0"/>
    <w:qFormat/>
    <w:pPr>
      <w:ind w:firstLine="200"/>
      <w:spacing w:line="440" w:lineRule="exact"/>
    </w:pPr>
    <w:rPr>
      <w:rFonts w:ascii="Times New Roman" w:hAnsi="Times New Roman" w:eastAsia="宋体" w:cs="Times New Roman"/>
      <w:sz w:val="24"/>
      <w:szCs w:val="24"/>
    </w:rPr>
  </w:style>
  <w:style w:type="paragraph" w:styleId="1829" w:customStyle="1">
    <w:name w:val="xl160"/>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0" w:customStyle="1">
    <w:name w:val="正文４"/>
    <w:basedOn w:val="678"/>
    <w:uiPriority w:val="0"/>
    <w:qFormat/>
    <w:pPr>
      <w:ind w:firstLine="480"/>
      <w:spacing w:line="360" w:lineRule="auto"/>
    </w:pPr>
    <w:rPr>
      <w:rFonts w:ascii="Times New Roman" w:hAnsi="Times New Roman" w:eastAsia="宋体" w:cs="Times New Roman"/>
      <w:sz w:val="24"/>
      <w:szCs w:val="20"/>
    </w:rPr>
  </w:style>
  <w:style w:type="paragraph" w:styleId="1831" w:customStyle="1">
    <w:name w:val="普通(网站)1"/>
    <w:basedOn w:val="678"/>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832" w:customStyle="1">
    <w:name w:val="图表脚注"/>
    <w:next w:val="1101"/>
    <w:uiPriority w:val="0"/>
    <w:qFormat/>
    <w:pPr>
      <w:ind w:left="300" w:hanging="100"/>
      <w:jc w:val="both"/>
    </w:pPr>
    <w:rPr>
      <w:rFonts w:ascii="宋体" w:hAnsi="Times New Roman" w:eastAsia="宋体" w:cs="Times New Roman"/>
      <w:sz w:val="18"/>
      <w:lang w:val="en-US" w:eastAsia="zh-CN" w:bidi="ar-SA"/>
    </w:rPr>
  </w:style>
  <w:style w:type="paragraph" w:styleId="1833" w:customStyle="1">
    <w:name w:val="无标题条"/>
    <w:next w:val="1101"/>
    <w:uiPriority w:val="0"/>
    <w:qFormat/>
    <w:pPr>
      <w:jc w:val="both"/>
    </w:pPr>
    <w:rPr>
      <w:rFonts w:ascii="Times New Roman" w:hAnsi="Times New Roman" w:eastAsia="宋体" w:cs="Times New Roman"/>
      <w:sz w:val="21"/>
      <w:lang w:val="en-US" w:eastAsia="zh-CN" w:bidi="ar-SA"/>
    </w:rPr>
  </w:style>
  <w:style w:type="paragraph" w:styleId="1834" w:customStyle="1">
    <w:name w:val="xl177"/>
    <w:basedOn w:val="67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5" w:customStyle="1">
    <w:name w:val="注示头"/>
    <w:basedOn w:val="678"/>
    <w:uiPriority w:val="0"/>
    <w:qFormat/>
    <w:pPr>
      <w:pBdr>
        <w:top w:val="single" w:color="000000" w:sz="4" w:space="1"/>
      </w:pBdr>
    </w:pPr>
    <w:rPr>
      <w:rFonts w:ascii="Arial" w:hAnsi="Arial" w:eastAsia="黑体" w:cs="Times New Roman"/>
      <w:sz w:val="18"/>
      <w:szCs w:val="20"/>
    </w:rPr>
  </w:style>
  <w:style w:type="paragraph" w:styleId="1836" w:customStyle="1">
    <w:name w:val="xl204"/>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38" w:customStyle="1">
    <w:name w:val="xl25"/>
    <w:basedOn w:val="67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9" w:customStyle="1">
    <w:name w:val="xl238"/>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40" w:customStyle="1">
    <w:name w:val="xl52"/>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41" w:customStyle="1">
    <w:name w:val="DLP3.4.4"/>
    <w:basedOn w:val="678"/>
    <w:uiPriority w:val="0"/>
    <w:qFormat/>
    <w:pPr>
      <w:ind w:left="1069" w:hanging="709"/>
      <w:keepLines/>
      <w:keepNext/>
      <w:spacing w:before="260" w:after="260" w:line="416" w:lineRule="auto"/>
      <w:tabs>
        <w:tab w:val="left" w:pos="1069" w:leader="none"/>
      </w:tabs>
      <w:outlineLvl w:val="2"/>
    </w:pPr>
    <w:rPr>
      <w:rFonts w:ascii="Times New Roman" w:hAnsi="Times New Roman" w:eastAsia="宋体" w:cs="Times New Roman"/>
      <w:b/>
      <w:sz w:val="30"/>
      <w:szCs w:val="24"/>
    </w:rPr>
  </w:style>
  <w:style w:type="paragraph" w:styleId="1842"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43" w:customStyle="1">
    <w:name w:val="纯文本1"/>
    <w:basedOn w:val="678"/>
    <w:link w:val="1844"/>
    <w:uiPriority w:val="0"/>
    <w:qFormat/>
    <w:rPr>
      <w:rFonts w:ascii="宋体" w:hAnsi="Courier New" w:eastAsia="宋体" w:cs="Times New Roman"/>
      <w:szCs w:val="21"/>
    </w:rPr>
  </w:style>
  <w:style w:type="character" w:styleId="1844" w:customStyle="1">
    <w:name w:val="纯文本 Char1"/>
    <w:link w:val="1843"/>
    <w:uiPriority w:val="0"/>
    <w:qFormat/>
    <w:rPr>
      <w:rFonts w:ascii="宋体" w:hAnsi="Courier New" w:eastAsia="宋体" w:cs="Times New Roman"/>
      <w:szCs w:val="21"/>
    </w:rPr>
  </w:style>
  <w:style w:type="paragraph" w:styleId="1845" w:customStyle="1">
    <w:name w:val="列出段落2"/>
    <w:basedOn w:val="678"/>
    <w:uiPriority w:val="0"/>
    <w:qFormat/>
    <w:pPr>
      <w:ind w:firstLine="420"/>
    </w:pPr>
    <w:rPr>
      <w:rFonts w:ascii="Calibri" w:hAnsi="Calibri" w:eastAsia="仿宋_GB2312" w:cs="Times New Roman"/>
      <w:sz w:val="24"/>
    </w:rPr>
  </w:style>
  <w:style w:type="paragraph" w:styleId="1846" w:customStyle="1">
    <w:name w:val="图5"/>
    <w:basedOn w:val="678"/>
    <w:uiPriority w:val="0"/>
    <w:qFormat/>
    <w:pPr>
      <w:jc w:val="center"/>
      <w:spacing w:line="220" w:lineRule="exact"/>
    </w:pPr>
    <w:rPr>
      <w:rFonts w:ascii="仿宋_GB2312" w:hAnsi="Times New Roman" w:eastAsia="仿宋_GB2312" w:cs="Times New Roman"/>
      <w:szCs w:val="20"/>
    </w:rPr>
  </w:style>
  <w:style w:type="paragraph" w:styleId="1847"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48" w:customStyle="1">
    <w:name w:val="xl70"/>
    <w:basedOn w:val="67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49" w:customStyle="1">
    <w:name w:val="xl161"/>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50" w:customStyle="1">
    <w:name w:val="正文缩进2"/>
    <w:basedOn w:val="678"/>
    <w:uiPriority w:val="0"/>
    <w:qFormat/>
    <w:pPr>
      <w:ind w:firstLine="420"/>
    </w:pPr>
    <w:rPr>
      <w:rFonts w:ascii="Times New Roman" w:hAnsi="Times New Roman" w:eastAsia="宋体" w:cs="Times New Roman"/>
      <w:szCs w:val="20"/>
    </w:rPr>
  </w:style>
  <w:style w:type="paragraph" w:styleId="1851" w:customStyle="1">
    <w:name w:val="xl176"/>
    <w:basedOn w:val="67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52" w:customStyle="1">
    <w:name w:val="xl151"/>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53" w:customStyle="1">
    <w:name w:val="xl152"/>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54" w:customStyle="1">
    <w:name w:val="xl62"/>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855" w:customStyle="1">
    <w:name w:val="xl233"/>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56" w:customStyle="1">
    <w:name w:val="xl266"/>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57" w:customStyle="1">
    <w:name w:val="Heading 1 前言"/>
    <w:next w:val="678"/>
    <w:uiPriority w:val="0"/>
    <w:qFormat/>
    <w:pPr>
      <w:jc w:val="center"/>
    </w:pPr>
    <w:rPr>
      <w:rFonts w:ascii="黑体" w:hAnsi="黑体" w:eastAsia="黑体" w:cs="Times New Roman"/>
      <w:b/>
      <w:bCs/>
      <w:sz w:val="32"/>
      <w:lang w:val="en-US" w:eastAsia="zh-CN" w:bidi="ar-SA"/>
    </w:rPr>
  </w:style>
  <w:style w:type="paragraph" w:styleId="1858" w:customStyle="1">
    <w:name w:val="xl286"/>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59" w:customStyle="1">
    <w:name w:val="xl74"/>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60" w:customStyle="1">
    <w:name w:val="列表1"/>
    <w:basedOn w:val="678"/>
    <w:uiPriority w:val="0"/>
    <w:qFormat/>
    <w:pPr>
      <w:ind w:left="200" w:hanging="200"/>
    </w:pPr>
    <w:rPr>
      <w:rFonts w:ascii="Times New Roman" w:hAnsi="Times New Roman" w:eastAsia="宋体" w:cs="Times New Roman"/>
      <w:szCs w:val="24"/>
    </w:rPr>
  </w:style>
  <w:style w:type="paragraph" w:styleId="1861" w:customStyle="1">
    <w:name w:val="xl289"/>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2" w:customStyle="1">
    <w:name w:val="xl268"/>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3" w:customStyle="1">
    <w:name w:val="Char1 Char Char Char11"/>
    <w:basedOn w:val="678"/>
    <w:uiPriority w:val="0"/>
    <w:qFormat/>
    <w:rPr>
      <w:rFonts w:ascii="Tahoma" w:hAnsi="Tahoma" w:eastAsia="宋体" w:cs="Times New Roman"/>
      <w:sz w:val="24"/>
      <w:szCs w:val="20"/>
    </w:rPr>
  </w:style>
  <w:style w:type="paragraph" w:styleId="1864" w:customStyle="1">
    <w:name w:val="xl308"/>
    <w:basedOn w:val="67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865" w:customStyle="1">
    <w:name w:val="日期1"/>
    <w:basedOn w:val="678"/>
    <w:next w:val="678"/>
    <w:uiPriority w:val="0"/>
    <w:qFormat/>
    <w:pPr>
      <w:jc w:val="right"/>
      <w:spacing w:line="312" w:lineRule="atLeast"/>
    </w:pPr>
    <w:rPr>
      <w:rFonts w:ascii="黑体" w:hAnsi="Times New Roman" w:eastAsia="黑体" w:cs="Times New Roman"/>
      <w:b/>
      <w:sz w:val="32"/>
      <w:szCs w:val="20"/>
    </w:rPr>
  </w:style>
  <w:style w:type="paragraph" w:styleId="1866" w:customStyle="1">
    <w:name w:val="xl317"/>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67" w:customStyle="1">
    <w:name w:val="Char"/>
    <w:basedOn w:val="678"/>
    <w:uiPriority w:val="99"/>
    <w:qFormat/>
    <w:pPr>
      <w:spacing w:line="360" w:lineRule="auto"/>
    </w:pPr>
    <w:rPr>
      <w:rFonts w:ascii="Times New Roman" w:hAnsi="Times New Roman" w:eastAsia="宋体" w:cs="Times New Roman"/>
      <w:sz w:val="24"/>
      <w:szCs w:val="20"/>
    </w:rPr>
  </w:style>
  <w:style w:type="paragraph" w:styleId="1868" w:customStyle="1">
    <w:name w:val="文档结构图1"/>
    <w:basedOn w:val="678"/>
    <w:uiPriority w:val="0"/>
    <w:qFormat/>
    <w:rPr>
      <w:rFonts w:ascii="宋体" w:hAnsi="Times New Roman" w:eastAsia="宋体" w:cs="Times New Roman"/>
      <w:sz w:val="18"/>
      <w:szCs w:val="18"/>
    </w:rPr>
  </w:style>
  <w:style w:type="paragraph" w:styleId="1869" w:customStyle="1">
    <w:name w:val="表格正文"/>
    <w:basedOn w:val="678"/>
    <w:uiPriority w:val="0"/>
    <w:qFormat/>
    <w:pPr>
      <w:jc w:val="center"/>
    </w:pPr>
    <w:rPr>
      <w:rFonts w:ascii="Times New Roman" w:hAnsi="Times New Roman" w:eastAsia="仿宋_GB2312" w:cs="Times New Roman"/>
      <w:szCs w:val="24"/>
    </w:rPr>
  </w:style>
  <w:style w:type="paragraph" w:styleId="1870" w:customStyle="1">
    <w:name w:val="xl54"/>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71" w:customStyle="1">
    <w:name w:val="xl205"/>
    <w:basedOn w:val="678"/>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872" w:customStyle="1">
    <w:name w:val="xl305"/>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873" w:customStyle="1">
    <w:name w:val="Birdseed"/>
    <w:basedOn w:val="678"/>
    <w:uiPriority w:val="0"/>
    <w:qFormat/>
    <w:pPr>
      <w:jc w:val="left"/>
      <w:widowControl/>
    </w:pPr>
    <w:rPr>
      <w:rFonts w:ascii="Palatino Linotype" w:hAnsi="Palatino Linotype" w:eastAsia="宋体" w:cs="Times New Roman"/>
      <w:sz w:val="18"/>
      <w:szCs w:val="20"/>
    </w:rPr>
  </w:style>
  <w:style w:type="paragraph" w:styleId="1874" w:customStyle="1">
    <w:name w:val="TOC 91"/>
    <w:basedOn w:val="678"/>
    <w:next w:val="678"/>
    <w:uiPriority w:val="39"/>
    <w:qFormat/>
    <w:pPr>
      <w:ind w:left="3360"/>
    </w:pPr>
    <w:rPr>
      <w:rFonts w:ascii="Calibri" w:hAnsi="Calibri" w:eastAsia="宋体" w:cs="Times New Roman"/>
    </w:rPr>
  </w:style>
  <w:style w:type="paragraph" w:styleId="1875" w:customStyle="1">
    <w:name w:val="xl249"/>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76" w:customStyle="1">
    <w:name w:val="xl65"/>
    <w:basedOn w:val="67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77" w:customStyle="1">
    <w:name w:val="xl158"/>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78" w:customStyle="1">
    <w:name w:val="正文--表格内正文"/>
    <w:basedOn w:val="678"/>
    <w:uiPriority w:val="0"/>
    <w:qFormat/>
    <w:pPr>
      <w:jc w:val="center"/>
      <w:spacing w:line="0" w:lineRule="atLeast"/>
    </w:pPr>
    <w:rPr>
      <w:rFonts w:ascii="宋体" w:hAnsi="宋体" w:eastAsia="宋体" w:cs="Times New Roman"/>
      <w:sz w:val="24"/>
      <w:szCs w:val="24"/>
    </w:rPr>
  </w:style>
  <w:style w:type="paragraph" w:styleId="1879" w:customStyle="1">
    <w:name w:val="xl265"/>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0" w:customStyle="1">
    <w:name w:val="样式 行距: 1.5 倍行距"/>
    <w:basedOn w:val="678"/>
    <w:uiPriority w:val="0"/>
    <w:qFormat/>
    <w:pPr>
      <w:spacing w:line="360" w:lineRule="auto"/>
    </w:pPr>
    <w:rPr>
      <w:rFonts w:ascii="宋体" w:hAnsi="宋体" w:eastAsia="宋体" w:cs="Times New Roman"/>
      <w:bCs/>
      <w:sz w:val="28"/>
      <w:szCs w:val="20"/>
    </w:rPr>
  </w:style>
  <w:style w:type="paragraph" w:styleId="1881" w:customStyle="1">
    <w:name w:val="正文首行缩进2"/>
    <w:basedOn w:val="678"/>
    <w:uiPriority w:val="0"/>
    <w:qFormat/>
    <w:pPr>
      <w:ind w:firstLine="420"/>
      <w:spacing w:line="360" w:lineRule="auto"/>
    </w:pPr>
    <w:rPr>
      <w:rFonts w:ascii="Arial" w:hAnsi="Arial" w:eastAsia="宋体" w:cs="Times New Roman"/>
      <w:sz w:val="20"/>
      <w:szCs w:val="21"/>
    </w:rPr>
  </w:style>
  <w:style w:type="paragraph" w:styleId="1882" w:customStyle="1">
    <w:name w:val="Table Paragraph"/>
    <w:basedOn w:val="1883"/>
    <w:uiPriority w:val="0"/>
    <w:qFormat/>
    <w:pPr>
      <w:jc w:val="left"/>
    </w:pPr>
    <w:rPr>
      <w:rFonts w:cs="黑体"/>
      <w:sz w:val="22"/>
      <w:lang w:eastAsia="en-US"/>
    </w:rPr>
  </w:style>
  <w:style w:type="paragraph" w:styleId="1883"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884" w:customStyle="1">
    <w:name w:val="列出段落4"/>
    <w:basedOn w:val="678"/>
    <w:uiPriority w:val="0"/>
    <w:qFormat/>
    <w:pPr>
      <w:ind w:firstLine="420"/>
    </w:pPr>
    <w:rPr>
      <w:rFonts w:ascii="Calibri" w:hAnsi="Calibri" w:eastAsia="宋体" w:cs="Times New Roman"/>
    </w:rPr>
  </w:style>
  <w:style w:type="paragraph" w:styleId="1885" w:customStyle="1">
    <w:name w:val="其他发布部门"/>
    <w:basedOn w:val="1886"/>
    <w:uiPriority w:val="0"/>
    <w:qFormat/>
    <w:pPr>
      <w:spacing w:line="0" w:lineRule="atLeast"/>
      <w:framePr w:wrap="around"/>
    </w:pPr>
    <w:rPr>
      <w:rFonts w:ascii="黑体" w:eastAsia="黑体"/>
      <w:b w:val="0"/>
    </w:rPr>
  </w:style>
  <w:style w:type="paragraph" w:styleId="1886" w:customStyle="1">
    <w:name w:val="发布部门"/>
    <w:next w:val="1101"/>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87" w:customStyle="1">
    <w:name w:val="xl103"/>
    <w:basedOn w:val="67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88" w:customStyle="1">
    <w:name w:val="二级无标题条"/>
    <w:basedOn w:val="678"/>
    <w:uiPriority w:val="0"/>
    <w:qFormat/>
    <w:pPr>
      <w:ind w:hanging="420"/>
    </w:pPr>
    <w:rPr>
      <w:rFonts w:ascii="Times New Roman" w:hAnsi="Times New Roman" w:eastAsia="宋体" w:cs="Times New Roman"/>
      <w:szCs w:val="24"/>
    </w:rPr>
  </w:style>
  <w:style w:type="paragraph" w:styleId="1889" w:customStyle="1">
    <w:name w:val="表格文字1"/>
    <w:basedOn w:val="678"/>
    <w:uiPriority w:val="0"/>
    <w:qFormat/>
    <w:pPr>
      <w:jc w:val="center"/>
    </w:pPr>
    <w:rPr>
      <w:rFonts w:ascii="宋体" w:hAnsi="宋体" w:eastAsia="宋体" w:cs="Times New Roman"/>
      <w:szCs w:val="21"/>
      <w:shd w:val="clear" w:color="auto" w:fill="ffffff"/>
    </w:rPr>
  </w:style>
  <w:style w:type="paragraph" w:styleId="1890" w:customStyle="1">
    <w:name w:val="xl165"/>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1" w:customStyle="1">
    <w:name w:val="xl316"/>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92" w:customStyle="1">
    <w:name w:val="正文文本缩进2"/>
    <w:basedOn w:val="678"/>
    <w:uiPriority w:val="0"/>
    <w:qFormat/>
    <w:pPr>
      <w:ind w:firstLine="645"/>
    </w:pPr>
    <w:rPr>
      <w:rFonts w:ascii="楷体_GB2312" w:hAnsi="Times New Roman" w:eastAsia="楷体_GB2312" w:cs="Times New Roman"/>
      <w:sz w:val="32"/>
      <w:szCs w:val="20"/>
    </w:rPr>
  </w:style>
  <w:style w:type="paragraph" w:styleId="1893" w:customStyle="1">
    <w:name w:val="xl223"/>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95" w:customStyle="1">
    <w:name w:val="xl311"/>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96" w:customStyle="1">
    <w:name w:val="xl144"/>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7" w:customStyle="1">
    <w:name w:val="一级无标题条"/>
    <w:basedOn w:val="678"/>
    <w:uiPriority w:val="0"/>
    <w:qFormat/>
    <w:pPr>
      <w:ind w:left="3420" w:hanging="420"/>
    </w:pPr>
    <w:rPr>
      <w:rFonts w:ascii="Times New Roman" w:hAnsi="Times New Roman" w:eastAsia="宋体" w:cs="Times New Roman"/>
      <w:szCs w:val="24"/>
    </w:rPr>
  </w:style>
  <w:style w:type="paragraph" w:styleId="1898" w:customStyle="1">
    <w:name w:val="xl273"/>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99" w:customStyle="1">
    <w:name w:val="_Style 6"/>
    <w:basedOn w:val="678"/>
    <w:uiPriority w:val="34"/>
    <w:qFormat/>
    <w:pPr>
      <w:ind w:firstLine="420"/>
    </w:pPr>
    <w:rPr>
      <w:rFonts w:ascii="Times New Roman" w:hAnsi="Times New Roman" w:eastAsia="宋体" w:cs="Times New Roman"/>
      <w:szCs w:val="24"/>
    </w:rPr>
  </w:style>
  <w:style w:type="paragraph" w:styleId="1900" w:customStyle="1">
    <w:name w:val="列出段落12"/>
    <w:basedOn w:val="678"/>
    <w:uiPriority w:val="0"/>
    <w:qFormat/>
    <w:pPr>
      <w:ind w:firstLine="420"/>
    </w:pPr>
    <w:rPr>
      <w:rFonts w:ascii="Times New Roman" w:hAnsi="Times New Roman" w:eastAsia="宋体" w:cs="Times New Roman"/>
      <w:szCs w:val="24"/>
    </w:rPr>
  </w:style>
  <w:style w:type="paragraph" w:styleId="1901" w:customStyle="1">
    <w:name w:val="样式 首行缩进:  0 字符"/>
    <w:basedOn w:val="678"/>
    <w:uiPriority w:val="0"/>
    <w:qFormat/>
    <w:pPr>
      <w:ind w:firstLine="200"/>
      <w:spacing w:line="360" w:lineRule="auto"/>
    </w:pPr>
    <w:rPr>
      <w:rFonts w:ascii="Times New Roman" w:hAnsi="Times New Roman" w:eastAsia="宋体" w:cs="宋体"/>
      <w:sz w:val="24"/>
      <w:szCs w:val="20"/>
    </w:rPr>
  </w:style>
  <w:style w:type="paragraph" w:styleId="1902" w:customStyle="1">
    <w:name w:val="xl137"/>
    <w:basedOn w:val="67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32"/>
      <w:szCs w:val="32"/>
    </w:rPr>
  </w:style>
  <w:style w:type="paragraph" w:styleId="1903" w:customStyle="1">
    <w:name w:val="xl105"/>
    <w:basedOn w:val="67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04" w:customStyle="1">
    <w:name w:val="xl178"/>
    <w:basedOn w:val="67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05" w:customStyle="1">
    <w:name w:val="xl139"/>
    <w:basedOn w:val="67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rPr>
  </w:style>
  <w:style w:type="paragraph" w:styleId="1906" w:customStyle="1">
    <w:name w:val="xl107"/>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907" w:customStyle="1">
    <w:name w:val="正文段"/>
    <w:basedOn w:val="678"/>
    <w:uiPriority w:val="0"/>
    <w:qFormat/>
    <w:pPr>
      <w:ind w:firstLine="454"/>
      <w:spacing w:after="240" w:line="360" w:lineRule="atLeast"/>
      <w:widowControl/>
    </w:pPr>
    <w:rPr>
      <w:rFonts w:ascii="宋体" w:hAnsi="Times New Roman" w:eastAsia="宋体" w:cs="Times New Roman"/>
      <w:sz w:val="24"/>
      <w:szCs w:val="20"/>
    </w:rPr>
  </w:style>
  <w:style w:type="paragraph" w:styleId="1908" w:customStyle="1">
    <w:name w:val="xl224"/>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09" w:customStyle="1">
    <w:name w:val="xl140"/>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10" w:customStyle="1">
    <w:name w:val="xl108"/>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11" w:customStyle="1">
    <w:name w:val="文档正文"/>
    <w:basedOn w:val="678"/>
    <w:uiPriority w:val="99"/>
    <w:qFormat/>
    <w:pPr>
      <w:ind w:firstLine="567"/>
      <w:spacing w:line="312" w:lineRule="atLeast"/>
    </w:pPr>
    <w:rPr>
      <w:rFonts w:ascii="长城仿宋" w:hAnsi="Times New Roman" w:eastAsia="长城仿宋" w:cs="Times New Roman"/>
      <w:sz w:val="28"/>
      <w:szCs w:val="20"/>
    </w:rPr>
  </w:style>
  <w:style w:type="paragraph" w:styleId="1912" w:customStyle="1">
    <w:name w:val="Char Char 字元 字元 字元 Char Char Char Char"/>
    <w:basedOn w:val="678"/>
    <w:uiPriority w:val="99"/>
    <w:unhideWhenUsed/>
    <w:qFormat/>
    <w:pPr>
      <w:spacing w:line="360" w:lineRule="auto"/>
    </w:pPr>
    <w:rPr>
      <w:rFonts w:hint="eastAsia" w:ascii="Times New Roman" w:hAnsi="Times New Roman" w:eastAsia="宋体" w:cs="Times New Roman"/>
      <w:szCs w:val="24"/>
    </w:rPr>
  </w:style>
  <w:style w:type="paragraph" w:styleId="1913" w:customStyle="1">
    <w:name w:val="xl218"/>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14" w:customStyle="1">
    <w:name w:val="xl141"/>
    <w:basedOn w:val="67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15" w:customStyle="1">
    <w:name w:val="xl109"/>
    <w:basedOn w:val="67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16" w:customStyle="1">
    <w:name w:val="xl78"/>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17" w:customStyle="1">
    <w:name w:val="xl111"/>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8" w:customStyle="1">
    <w:name w:val="xl79"/>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9" w:customStyle="1">
    <w:name w:val="xl112"/>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20" w:customStyle="1">
    <w:name w:val="xl80"/>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1" w:customStyle="1">
    <w:name w:val="xl113"/>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22" w:customStyle="1">
    <w:name w:val="xl81"/>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23" w:customStyle="1">
    <w:name w:val="xl208"/>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24" w:customStyle="1">
    <w:name w:val="技术方案正文样式"/>
    <w:basedOn w:val="678"/>
    <w:uiPriority w:val="0"/>
    <w:qFormat/>
    <w:pPr>
      <w:ind w:firstLine="480"/>
      <w:spacing w:line="400" w:lineRule="exact"/>
    </w:pPr>
    <w:rPr>
      <w:rFonts w:ascii="宋体" w:hAnsi="宋体" w:eastAsia="宋体" w:cs="宋体"/>
      <w:sz w:val="24"/>
      <w:szCs w:val="21"/>
    </w:rPr>
  </w:style>
  <w:style w:type="paragraph" w:styleId="1925" w:customStyle="1">
    <w:name w:val="xl114"/>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宋体" w:cs="Arial"/>
      <w:sz w:val="20"/>
      <w:szCs w:val="20"/>
    </w:rPr>
  </w:style>
  <w:style w:type="paragraph" w:styleId="1926" w:customStyle="1">
    <w:name w:val="xl82"/>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27" w:customStyle="1">
    <w:name w:val="xl231"/>
    <w:basedOn w:val="678"/>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928" w:customStyle="1">
    <w:name w:val="xl115"/>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9" w:customStyle="1">
    <w:name w:val="xl83"/>
    <w:basedOn w:val="67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30" w:customStyle="1">
    <w:name w:val="xl240"/>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31" w:customStyle="1">
    <w:name w:val="xl11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2" w:customStyle="1">
    <w:name w:val="xl84"/>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33" w:customStyle="1">
    <w:name w:val="xl232"/>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34" w:customStyle="1">
    <w:name w:val="xl117"/>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35" w:customStyle="1">
    <w:name w:val="xl85"/>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36" w:customStyle="1">
    <w:name w:val="xl185"/>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37" w:customStyle="1">
    <w:name w:val="Char Char2 Char"/>
    <w:basedOn w:val="678"/>
    <w:uiPriority w:val="0"/>
    <w:qFormat/>
    <w:pPr>
      <w:ind w:left="390" w:hanging="390"/>
      <w:keepLines/>
      <w:keepNext/>
      <w:pageBreakBefore/>
      <w:tabs>
        <w:tab w:val="left" w:pos="390" w:leader="none"/>
      </w:tabs>
    </w:pPr>
    <w:rPr>
      <w:rFonts w:ascii="Times New Roman" w:hAnsi="Times New Roman" w:eastAsia="宋体" w:cs="Times New Roman"/>
      <w:szCs w:val="20"/>
    </w:rPr>
  </w:style>
  <w:style w:type="paragraph" w:styleId="1938" w:customStyle="1">
    <w:name w:val="xl118"/>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9" w:customStyle="1">
    <w:name w:val="xl86"/>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40" w:customStyle="1">
    <w:name w:val="xl275"/>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41" w:customStyle="1">
    <w:name w:val="xl119"/>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2" w:customStyle="1">
    <w:name w:val="xl87"/>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43" w:customStyle="1">
    <w:name w:val="xl212"/>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44" w:customStyle="1">
    <w:name w:val="样式 首行缩进:  2.25 字符"/>
    <w:basedOn w:val="678"/>
    <w:uiPriority w:val="0"/>
    <w:qFormat/>
    <w:pPr>
      <w:ind w:firstLine="225"/>
      <w:spacing w:line="360" w:lineRule="auto"/>
    </w:pPr>
    <w:rPr>
      <w:rFonts w:ascii="Times New Roman" w:hAnsi="Times New Roman" w:eastAsia="宋体" w:cs="宋体"/>
      <w:sz w:val="24"/>
      <w:szCs w:val="20"/>
    </w:rPr>
  </w:style>
  <w:style w:type="paragraph" w:styleId="1945" w:customStyle="1">
    <w:name w:val="xl120"/>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6" w:customStyle="1">
    <w:name w:val="xl88"/>
    <w:basedOn w:val="67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47" w:customStyle="1">
    <w:name w:val="xl251"/>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48" w:customStyle="1">
    <w:name w:val="xl121"/>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49" w:customStyle="1">
    <w:name w:val="xl89"/>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0" w:customStyle="1">
    <w:name w:val="一级标题"/>
    <w:basedOn w:val="679"/>
    <w:uiPriority w:val="0"/>
    <w:qFormat/>
    <w:pPr>
      <w:jc w:val="center"/>
      <w:keepNext w:val="0"/>
      <w:spacing w:line="360" w:lineRule="auto"/>
    </w:pPr>
    <w:rPr>
      <w:rFonts w:ascii="宋体" w:hAnsi="宋体" w:eastAsia="宋体"/>
      <w:b/>
      <w:sz w:val="32"/>
      <w:szCs w:val="28"/>
    </w:rPr>
  </w:style>
  <w:style w:type="paragraph" w:styleId="1951" w:customStyle="1">
    <w:name w:val="xl122"/>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2" w:customStyle="1">
    <w:name w:val="xl90"/>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53" w:customStyle="1">
    <w:name w:val="二级标题"/>
    <w:basedOn w:val="68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4" w:customStyle="1">
    <w:name w:val="xl123"/>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55" w:customStyle="1">
    <w:name w:val="xl91"/>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6" w:customStyle="1">
    <w:name w:val="04-标书-标题4"/>
    <w:basedOn w:val="678"/>
    <w:uiPriority w:val="0"/>
    <w:qFormat/>
    <w:pPr>
      <w:ind w:left="851" w:firstLine="480"/>
      <w:spacing w:line="360" w:lineRule="auto"/>
      <w:widowControl/>
      <w:tabs>
        <w:tab w:val="left" w:pos="360" w:leader="none"/>
        <w:tab w:val="left" w:pos="1080" w:leader="none"/>
      </w:tabs>
    </w:pPr>
    <w:rPr>
      <w:rFonts w:ascii="宋体" w:hAnsi="宋体" w:eastAsia="黑体" w:cs="Times New Roman"/>
      <w:color w:val="000000"/>
      <w:sz w:val="24"/>
      <w:szCs w:val="21"/>
    </w:rPr>
  </w:style>
  <w:style w:type="paragraph" w:styleId="1957" w:customStyle="1">
    <w:name w:val="xl124"/>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8" w:customStyle="1">
    <w:name w:val="xl92"/>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59" w:customStyle="1">
    <w:name w:val="xl125"/>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60" w:customStyle="1">
    <w:name w:val="xl93"/>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61" w:customStyle="1">
    <w:name w:val="xl12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62" w:customStyle="1">
    <w:name w:val="xl94"/>
    <w:basedOn w:val="67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63" w:customStyle="1">
    <w:name w:val="xl127"/>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64" w:customStyle="1">
    <w:name w:val="xl95"/>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65" w:customStyle="1">
    <w:name w:val="xl128"/>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66" w:customStyle="1">
    <w:name w:val="xl9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67" w:customStyle="1">
    <w:name w:val="xl129"/>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68" w:customStyle="1">
    <w:name w:val="xl97"/>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69" w:customStyle="1">
    <w:name w:val="缺省文本"/>
    <w:basedOn w:val="678"/>
    <w:uiPriority w:val="0"/>
    <w:qFormat/>
    <w:pPr>
      <w:ind w:firstLine="200"/>
      <w:jc w:val="left"/>
      <w:spacing w:line="360" w:lineRule="auto"/>
    </w:pPr>
    <w:rPr>
      <w:rFonts w:ascii="Times New Roman" w:hAnsi="Times New Roman" w:eastAsia="宋体" w:cs="Times New Roman"/>
      <w:sz w:val="24"/>
      <w:szCs w:val="24"/>
    </w:rPr>
  </w:style>
  <w:style w:type="paragraph" w:styleId="1970" w:customStyle="1">
    <w:name w:val="xl130"/>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71" w:customStyle="1">
    <w:name w:val="xl98"/>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72" w:customStyle="1">
    <w:name w:val="reader-word-layer"/>
    <w:basedOn w:val="678"/>
    <w:uiPriority w:val="0"/>
    <w:qFormat/>
    <w:pPr>
      <w:jc w:val="left"/>
      <w:spacing w:before="100" w:beforeAutospacing="1" w:after="100" w:afterAutospacing="1"/>
      <w:widowControl/>
    </w:pPr>
    <w:rPr>
      <w:rFonts w:ascii="宋体" w:hAnsi="宋体" w:eastAsia="宋体" w:cs="宋体"/>
      <w:sz w:val="24"/>
      <w:szCs w:val="24"/>
    </w:rPr>
  </w:style>
  <w:style w:type="paragraph" w:styleId="1973" w:customStyle="1">
    <w:name w:val="xl131"/>
    <w:basedOn w:val="678"/>
    <w:uiPriority w:val="0"/>
    <w:qFormat/>
    <w:pPr>
      <w:jc w:val="left"/>
      <w:spacing w:before="100" w:beforeAutospacing="1" w:after="100" w:afterAutospacing="1"/>
      <w:widowControl/>
    </w:pPr>
    <w:rPr>
      <w:rFonts w:ascii="宋体" w:hAnsi="宋体" w:eastAsia="宋体" w:cs="宋体"/>
      <w:sz w:val="24"/>
      <w:szCs w:val="24"/>
    </w:rPr>
  </w:style>
  <w:style w:type="paragraph" w:styleId="1974" w:customStyle="1">
    <w:name w:val="xl99"/>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75" w:customStyle="1">
    <w:name w:val="xl132"/>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76" w:customStyle="1">
    <w:name w:val="xl100"/>
    <w:basedOn w:val="67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77" w:customStyle="1">
    <w:name w:val="xl133"/>
    <w:basedOn w:val="67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978" w:customStyle="1">
    <w:name w:val="xl101"/>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79" w:customStyle="1">
    <w:name w:val="正文 首行缩进:  2 字符 Char"/>
    <w:basedOn w:val="678"/>
    <w:uiPriority w:val="0"/>
    <w:qFormat/>
    <w:pPr>
      <w:ind w:firstLine="480"/>
      <w:spacing w:line="360" w:lineRule="auto"/>
    </w:pPr>
    <w:rPr>
      <w:rFonts w:ascii="Times New Roman" w:hAnsi="Times New Roman" w:eastAsia="宋体" w:cs="宋体"/>
      <w:sz w:val="24"/>
      <w:szCs w:val="20"/>
    </w:rPr>
  </w:style>
  <w:style w:type="paragraph" w:styleId="1980" w:customStyle="1">
    <w:name w:val="xl134"/>
    <w:basedOn w:val="67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981" w:customStyle="1">
    <w:name w:val="xl102"/>
    <w:basedOn w:val="67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82" w:customStyle="1">
    <w:name w:val="xl136"/>
    <w:basedOn w:val="67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83" w:customStyle="1">
    <w:name w:val="xl104"/>
    <w:basedOn w:val="67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84" w:customStyle="1">
    <w:name w:val="xl248"/>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5" w:customStyle="1">
    <w:name w:val="xl138"/>
    <w:basedOn w:val="67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86" w:customStyle="1">
    <w:name w:val="xl10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87" w:customStyle="1">
    <w:name w:val="xl175"/>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8" w:customStyle="1">
    <w:name w:val="_Style 1"/>
    <w:basedOn w:val="678"/>
    <w:uiPriority w:val="99"/>
    <w:qFormat/>
    <w:pPr>
      <w:ind w:firstLine="420"/>
      <w:jc w:val="left"/>
      <w:spacing w:line="400" w:lineRule="exact"/>
    </w:pPr>
    <w:rPr>
      <w:rFonts w:ascii="Calibri" w:hAnsi="Calibri" w:eastAsia="仿宋_GB2312" w:cs="Times New Roman"/>
      <w:sz w:val="24"/>
    </w:rPr>
  </w:style>
  <w:style w:type="paragraph" w:styleId="1989" w:customStyle="1">
    <w:name w:val="xl110"/>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90" w:customStyle="1">
    <w:name w:val="xl283"/>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91" w:customStyle="1">
    <w:name w:val="xl135"/>
    <w:basedOn w:val="67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992" w:customStyle="1">
    <w:name w:val="xl188"/>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3"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94" w:customStyle="1">
    <w:name w:val="表头"/>
    <w:basedOn w:val="678"/>
    <w:uiPriority w:val="0"/>
    <w:qFormat/>
    <w:pPr>
      <w:jc w:val="center"/>
      <w:spacing w:line="360" w:lineRule="auto"/>
    </w:pPr>
    <w:rPr>
      <w:rFonts w:ascii="Calibri" w:hAnsi="Calibri" w:eastAsia="宋体" w:cs="宋体"/>
      <w:b/>
      <w:bCs/>
      <w:color w:val="000000"/>
      <w:szCs w:val="20"/>
    </w:rPr>
  </w:style>
  <w:style w:type="paragraph" w:styleId="1995" w:customStyle="1">
    <w:name w:val="样式 标题 2标题 2 Char Char子子系统子系统1子系统2子系统3子系统4子系统11子系统21子系统..."/>
    <w:basedOn w:val="680"/>
    <w:uiPriority w:val="0"/>
    <w:qFormat/>
    <w:pPr>
      <w:ind w:left="786" w:hanging="360"/>
      <w:jc w:val="both"/>
      <w:spacing w:before="0" w:after="0" w:line="240" w:lineRule="auto"/>
      <w:tabs>
        <w:tab w:val="left" w:pos="360" w:leader="none"/>
      </w:tabs>
    </w:pPr>
    <w:rPr>
      <w:rFonts w:ascii="Arial" w:eastAsia="黑体"/>
      <w:sz w:val="30"/>
    </w:rPr>
  </w:style>
  <w:style w:type="paragraph" w:styleId="1996" w:customStyle="1">
    <w:name w:val="居中图片"/>
    <w:basedOn w:val="678"/>
    <w:uiPriority w:val="0"/>
    <w:qFormat/>
    <w:pPr>
      <w:jc w:val="center"/>
    </w:pPr>
    <w:rPr>
      <w:rFonts w:ascii="Calibri" w:hAnsi="Calibri" w:eastAsia="仿宋" w:cs="Times New Roman"/>
      <w:sz w:val="28"/>
      <w:szCs w:val="21"/>
    </w:rPr>
  </w:style>
  <w:style w:type="paragraph" w:styleId="1997" w:customStyle="1">
    <w:name w:val="01-标书-标题1"/>
    <w:next w:val="678"/>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9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9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00" w:customStyle="1">
    <w:name w:val="xl304"/>
    <w:basedOn w:val="67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2001" w:customStyle="1">
    <w:name w:val="正文文本缩进 32"/>
    <w:basedOn w:val="678"/>
    <w:uiPriority w:val="0"/>
    <w:qFormat/>
    <w:pPr>
      <w:ind w:left="520" w:firstLine="425"/>
      <w:jc w:val="center"/>
    </w:pPr>
    <w:rPr>
      <w:rFonts w:ascii="Arial Unicode MS" w:hAnsi="Arial" w:eastAsia="Arial Unicode MS" w:cs="Times New Roman"/>
      <w:sz w:val="36"/>
      <w:szCs w:val="20"/>
    </w:rPr>
  </w:style>
  <w:style w:type="paragraph" w:styleId="2002" w:customStyle="1">
    <w:name w:val="xl202"/>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3" w:customStyle="1">
    <w:name w:val="正文文本缩进 21"/>
    <w:basedOn w:val="678"/>
    <w:uiPriority w:val="0"/>
    <w:qFormat/>
    <w:pPr>
      <w:ind w:firstLine="560"/>
      <w:spacing w:line="520" w:lineRule="exact"/>
    </w:pPr>
    <w:rPr>
      <w:rFonts w:ascii="楷体_GB2312" w:hAnsi="Times New Roman" w:eastAsia="楷体_GB2312" w:cs="Times New Roman"/>
      <w:sz w:val="28"/>
      <w:szCs w:val="28"/>
    </w:rPr>
  </w:style>
  <w:style w:type="paragraph" w:styleId="2004" w:customStyle="1">
    <w:name w:val="Char Char3 Char Char Char Char"/>
    <w:basedOn w:val="678"/>
    <w:uiPriority w:val="0"/>
    <w:qFormat/>
    <w:pPr>
      <w:jc w:val="left"/>
      <w:spacing w:after="160" w:line="240" w:lineRule="exact"/>
      <w:widowControl/>
    </w:pPr>
    <w:rPr>
      <w:rFonts w:ascii="Verdana" w:hAnsi="Verdana" w:eastAsia="宋体" w:cs="Times New Roman"/>
      <w:sz w:val="20"/>
      <w:szCs w:val="20"/>
      <w:lang w:eastAsia="en-US"/>
    </w:rPr>
  </w:style>
  <w:style w:type="paragraph" w:styleId="2005" w:customStyle="1">
    <w:name w:val="目录标题"/>
    <w:next w:val="1207"/>
    <w:uiPriority w:val="0"/>
    <w:qFormat/>
    <w:pPr>
      <w:jc w:val="center"/>
      <w:spacing w:before="240" w:after="120"/>
    </w:pPr>
    <w:rPr>
      <w:rFonts w:ascii="Calibri" w:hAnsi="Calibri" w:eastAsia="华文新魏" w:cs="Times New Roman"/>
      <w:sz w:val="44"/>
      <w:szCs w:val="24"/>
      <w:lang w:val="en-US" w:eastAsia="zh-CN" w:bidi="ar-SA"/>
    </w:rPr>
  </w:style>
  <w:style w:type="paragraph" w:styleId="2006" w:customStyle="1">
    <w:name w:val="xl168"/>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7" w:customStyle="1">
    <w:name w:val="封面标准代替信息"/>
    <w:basedOn w:val="1632"/>
    <w:uiPriority w:val="0"/>
    <w:qFormat/>
    <w:pPr>
      <w:spacing w:before="57"/>
      <w:framePr w:wrap="around"/>
    </w:pPr>
    <w:rPr>
      <w:rFonts w:ascii="宋体"/>
      <w:sz w:val="21"/>
    </w:rPr>
  </w:style>
  <w:style w:type="paragraph" w:styleId="2008" w:customStyle="1">
    <w:name w:val="xl245"/>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9"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2010" w:customStyle="1">
    <w:name w:val="xl254"/>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1" w:customStyle="1">
    <w:name w:val="xl181"/>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2" w:customStyle="1">
    <w:name w:val="xl290"/>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3" w:customStyle="1">
    <w:name w:val="样式 小四 首行缩进:  0.74 厘米"/>
    <w:basedOn w:val="678"/>
    <w:uiPriority w:val="0"/>
    <w:qFormat/>
    <w:pPr>
      <w:ind w:firstLine="420"/>
      <w:spacing w:line="360" w:lineRule="auto"/>
    </w:pPr>
    <w:rPr>
      <w:rFonts w:ascii="Times New Roman" w:hAnsi="Times New Roman" w:eastAsia="宋体" w:cs="宋体"/>
      <w:sz w:val="24"/>
      <w:szCs w:val="20"/>
    </w:rPr>
  </w:style>
  <w:style w:type="paragraph" w:styleId="2014" w:customStyle="1">
    <w:name w:val="正文文本缩进 22"/>
    <w:basedOn w:val="678"/>
    <w:uiPriority w:val="0"/>
    <w:qFormat/>
    <w:pPr>
      <w:ind w:firstLine="560"/>
      <w:spacing w:line="520" w:lineRule="exact"/>
    </w:pPr>
    <w:rPr>
      <w:rFonts w:ascii="楷体_GB2312" w:hAnsi="Times New Roman" w:eastAsia="楷体_GB2312" w:cs="Times New Roman"/>
      <w:sz w:val="28"/>
      <w:szCs w:val="28"/>
    </w:rPr>
  </w:style>
  <w:style w:type="paragraph" w:styleId="2015" w:customStyle="1">
    <w:name w:val="xl260"/>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16" w:customStyle="1">
    <w:name w:val="正文文本缩进 31"/>
    <w:basedOn w:val="678"/>
    <w:uiPriority w:val="0"/>
    <w:qFormat/>
    <w:pPr>
      <w:ind w:left="520" w:firstLine="425"/>
      <w:jc w:val="center"/>
    </w:pPr>
    <w:rPr>
      <w:rFonts w:ascii="Arial Unicode MS" w:hAnsi="Arial" w:eastAsia="Arial Unicode MS" w:cs="Times New Roman"/>
      <w:sz w:val="36"/>
      <w:szCs w:val="20"/>
    </w:rPr>
  </w:style>
  <w:style w:type="paragraph" w:styleId="2017" w:customStyle="1">
    <w:name w:val="DLP正文"/>
    <w:basedOn w:val="678"/>
    <w:uiPriority w:val="0"/>
    <w:qFormat/>
    <w:pPr>
      <w:ind w:firstLine="473"/>
    </w:pPr>
    <w:rPr>
      <w:rFonts w:ascii="Times New Roman" w:hAnsi="宋体" w:eastAsia="宋体" w:cs="Times New Roman"/>
    </w:rPr>
  </w:style>
  <w:style w:type="paragraph" w:styleId="2018" w:customStyle="1">
    <w:name w:val="xl142"/>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9" w:customStyle="1">
    <w:name w:val="xl149"/>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2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21" w:customStyle="1">
    <w:name w:val="xl294"/>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22" w:customStyle="1">
    <w:name w:val="xl250"/>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23" w:customStyle="1">
    <w:name w:val="正文图标题"/>
    <w:next w:val="1101"/>
    <w:uiPriority w:val="0"/>
    <w:qFormat/>
    <w:pPr>
      <w:jc w:val="center"/>
    </w:pPr>
    <w:rPr>
      <w:rFonts w:ascii="黑体" w:hAnsi="Times New Roman" w:eastAsia="黑体" w:cs="Times New Roman"/>
      <w:sz w:val="21"/>
      <w:lang w:val="en-US" w:eastAsia="zh-CN" w:bidi="ar-SA"/>
    </w:rPr>
  </w:style>
  <w:style w:type="paragraph" w:styleId="2024" w:customStyle="1">
    <w:name w:val="文本块1"/>
    <w:basedOn w:val="678"/>
    <w:uiPriority w:val="0"/>
    <w:qFormat/>
    <w:pPr>
      <w:ind w:left="630" w:right="630"/>
      <w:jc w:val="center"/>
    </w:pPr>
    <w:rPr>
      <w:rFonts w:ascii="宋体" w:hAnsi="Times New Roman" w:eastAsia="宋体" w:cs="Times New Roman"/>
      <w:b/>
      <w:sz w:val="32"/>
      <w:szCs w:val="24"/>
    </w:rPr>
  </w:style>
  <w:style w:type="paragraph" w:styleId="2025" w:customStyle="1">
    <w:name w:val="xl277"/>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26" w:customStyle="1">
    <w:name w:val="xl263"/>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27" w:customStyle="1">
    <w:name w:val="xl243"/>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28" w:customStyle="1">
    <w:name w:val="xl229"/>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29" w:customStyle="1">
    <w:name w:val="_Style 2"/>
    <w:basedOn w:val="678"/>
    <w:uiPriority w:val="34"/>
    <w:qFormat/>
    <w:pPr>
      <w:ind w:firstLine="420"/>
    </w:pPr>
    <w:rPr>
      <w:rFonts w:ascii="Calibri" w:hAnsi="Calibri" w:eastAsia="宋体" w:cs="Times New Roman"/>
    </w:rPr>
  </w:style>
  <w:style w:type="paragraph" w:styleId="2030" w:customStyle="1">
    <w:name w:val="xl318"/>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31" w:customStyle="1">
    <w:name w:val="li_正文"/>
    <w:basedOn w:val="678"/>
    <w:uiPriority w:val="0"/>
    <w:qFormat/>
    <w:pPr>
      <w:ind w:firstLine="560"/>
      <w:spacing w:line="360" w:lineRule="auto"/>
    </w:pPr>
    <w:rPr>
      <w:rFonts w:ascii="仿宋_GB2312" w:hAnsi="Times New Roman" w:eastAsia="仿宋_GB2312" w:cs="Times New Roman"/>
      <w:sz w:val="28"/>
      <w:szCs w:val="28"/>
    </w:rPr>
  </w:style>
  <w:style w:type="paragraph" w:styleId="2032" w:customStyle="1">
    <w:name w:val="xl209"/>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3" w:customStyle="1">
    <w:name w:val="xl274"/>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4" w:customStyle="1">
    <w:name w:val="xl272"/>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5" w:customStyle="1">
    <w:name w:val="附录表标题"/>
    <w:next w:val="1101"/>
    <w:uiPriority w:val="0"/>
    <w:qFormat/>
    <w:pPr>
      <w:jc w:val="center"/>
    </w:pPr>
    <w:rPr>
      <w:rFonts w:ascii="黑体" w:hAnsi="Times New Roman" w:eastAsia="黑体" w:cs="Times New Roman"/>
      <w:sz w:val="21"/>
      <w:lang w:val="en-US" w:eastAsia="zh-CN" w:bidi="ar-SA"/>
    </w:rPr>
  </w:style>
  <w:style w:type="paragraph" w:styleId="2036" w:customStyle="1">
    <w:name w:val="xl148"/>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7" w:customStyle="1">
    <w:name w:val="xl155"/>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8" w:customStyle="1">
    <w:name w:val="xl210"/>
    <w:basedOn w:val="678"/>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2039" w:customStyle="1">
    <w:name w:val="xl278"/>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40" w:customStyle="1">
    <w:name w:val="TOC 标题12"/>
    <w:basedOn w:val="679"/>
    <w:next w:val="67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1" w:customStyle="1">
    <w:name w:val="xl143"/>
    <w:basedOn w:val="67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42" w:customStyle="1">
    <w:name w:val="xl314"/>
    <w:basedOn w:val="67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2043" w:customStyle="1">
    <w:name w:val="Char Char Char"/>
    <w:basedOn w:val="678"/>
    <w:uiPriority w:val="0"/>
    <w:qFormat/>
    <w:pPr>
      <w:ind w:hanging="425"/>
      <w:keepNext/>
      <w:spacing w:before="80" w:after="80"/>
      <w:widowControl/>
      <w:tabs>
        <w:tab w:val="left" w:pos="425" w:leader="none"/>
      </w:tabs>
    </w:pPr>
    <w:rPr>
      <w:rFonts w:ascii="Arial" w:hAnsi="Arial" w:eastAsia="宋体" w:cs="Arial"/>
      <w:sz w:val="20"/>
      <w:szCs w:val="20"/>
    </w:rPr>
  </w:style>
  <w:style w:type="paragraph" w:styleId="2044" w:customStyle="1">
    <w:name w:val="xl230"/>
    <w:basedOn w:val="67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45" w:customStyle="1">
    <w:name w:val="四号正文"/>
    <w:basedOn w:val="678"/>
    <w:uiPriority w:val="0"/>
    <w:qFormat/>
    <w:pPr>
      <w:ind w:firstLine="560"/>
      <w:spacing w:line="360" w:lineRule="auto"/>
    </w:pPr>
    <w:rPr>
      <w:rFonts w:ascii="Times New Roman" w:hAnsi="Times New Roman" w:eastAsia="宋体" w:cs="Times New Roman"/>
      <w:sz w:val="28"/>
      <w:szCs w:val="28"/>
    </w:rPr>
  </w:style>
  <w:style w:type="paragraph" w:styleId="2046" w:customStyle="1">
    <w:name w:val="标题1"/>
    <w:basedOn w:val="678"/>
    <w:next w:val="67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2047" w:customStyle="1">
    <w:name w:val="五号字体"/>
    <w:basedOn w:val="678"/>
    <w:uiPriority w:val="0"/>
    <w:qFormat/>
    <w:pPr>
      <w:jc w:val="center"/>
    </w:pPr>
    <w:rPr>
      <w:rFonts w:ascii="Times New Roman" w:hAnsi="Times New Roman" w:eastAsia="宋体" w:cs="Times New Roman"/>
      <w:szCs w:val="24"/>
    </w:rPr>
  </w:style>
  <w:style w:type="paragraph" w:styleId="2048"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49" w:customStyle="1">
    <w:name w:val="msonormal"/>
    <w:basedOn w:val="678"/>
    <w:uiPriority w:val="0"/>
    <w:qFormat/>
    <w:pPr>
      <w:jc w:val="left"/>
      <w:spacing w:before="100" w:beforeAutospacing="1" w:after="100" w:afterAutospacing="1" w:line="360" w:lineRule="auto"/>
      <w:widowControl/>
    </w:pPr>
    <w:rPr>
      <w:rFonts w:ascii="宋体" w:hAnsi="宋体" w:eastAsia="宋体" w:cs="宋体"/>
      <w:sz w:val="24"/>
      <w:szCs w:val="24"/>
    </w:rPr>
  </w:style>
  <w:style w:type="paragraph" w:styleId="2050" w:customStyle="1">
    <w:name w:val="简单回函地址"/>
    <w:basedOn w:val="678"/>
    <w:uiPriority w:val="0"/>
    <w:qFormat/>
    <w:pPr>
      <w:tabs>
        <w:tab w:val="left" w:pos="1140" w:leader="none"/>
      </w:tabs>
    </w:pPr>
    <w:rPr>
      <w:rFonts w:ascii="Times New Roman" w:hAnsi="Times New Roman" w:eastAsia="宋体" w:cs="Times New Roman"/>
      <w:szCs w:val="24"/>
    </w:rPr>
  </w:style>
  <w:style w:type="paragraph" w:styleId="2051" w:customStyle="1">
    <w:name w:val="TOC 标题111"/>
    <w:basedOn w:val="679"/>
    <w:next w:val="67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2" w:customStyle="1">
    <w:name w:val="Char Char111"/>
    <w:basedOn w:val="678"/>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2053" w:customStyle="1">
    <w:name w:val="TOC 71"/>
    <w:basedOn w:val="678"/>
    <w:next w:val="678"/>
    <w:uiPriority w:val="39"/>
    <w:qFormat/>
    <w:pPr>
      <w:ind w:left="2520"/>
    </w:pPr>
    <w:rPr>
      <w:rFonts w:ascii="Calibri" w:hAnsi="Calibri" w:eastAsia="宋体" w:cs="Times New Roman"/>
    </w:rPr>
  </w:style>
  <w:style w:type="paragraph" w:styleId="2054" w:customStyle="1">
    <w:name w:val="paragraphindent"/>
    <w:basedOn w:val="678"/>
    <w:uiPriority w:val="0"/>
    <w:qFormat/>
    <w:pPr>
      <w:ind w:firstLine="480"/>
      <w:jc w:val="left"/>
      <w:spacing w:before="100" w:beforeAutospacing="1" w:after="100" w:afterAutospacing="1"/>
      <w:widowControl/>
    </w:pPr>
    <w:rPr>
      <w:rFonts w:ascii="宋体" w:hAnsi="宋体" w:eastAsia="宋体" w:cs="宋体"/>
      <w:sz w:val="24"/>
      <w:szCs w:val="24"/>
    </w:rPr>
  </w:style>
  <w:style w:type="paragraph" w:styleId="2055" w:customStyle="1">
    <w:name w:val="助手文本"/>
    <w:basedOn w:val="678"/>
    <w:uiPriority w:val="0"/>
    <w:qFormat/>
    <w:pPr>
      <w:ind w:left="14" w:firstLine="434"/>
      <w:spacing w:line="360" w:lineRule="auto"/>
    </w:pPr>
    <w:rPr>
      <w:rFonts w:ascii="楷体_GB2312" w:hAnsi="Times New Roman" w:eastAsia="楷体_GB2312" w:cs="Times New Roman"/>
      <w:sz w:val="24"/>
      <w:szCs w:val="20"/>
      <w:u w:val="single"/>
    </w:rPr>
  </w:style>
  <w:style w:type="paragraph" w:styleId="2056" w:customStyle="1">
    <w:name w:val="正文无缩进"/>
    <w:basedOn w:val="678"/>
    <w:uiPriority w:val="0"/>
    <w:qFormat/>
    <w:pPr>
      <w:jc w:val="center"/>
      <w:spacing w:line="300" w:lineRule="auto"/>
    </w:pPr>
    <w:rPr>
      <w:rFonts w:ascii="宋体" w:hAnsi="宋体" w:eastAsia="宋体" w:cs="Times New Roman"/>
      <w:sz w:val="24"/>
      <w:szCs w:val="24"/>
    </w:rPr>
  </w:style>
  <w:style w:type="paragraph" w:styleId="2057" w:customStyle="1">
    <w:name w:val="Char Char1 Char Char Char Char Char Char"/>
    <w:basedOn w:val="678"/>
    <w:uiPriority w:val="0"/>
    <w:qFormat/>
    <w:pPr>
      <w:jc w:val="left"/>
      <w:spacing w:after="160" w:line="240" w:lineRule="exact"/>
      <w:widowControl/>
    </w:pPr>
    <w:rPr>
      <w:rFonts w:ascii="Verdana" w:hAnsi="Verdana" w:eastAsia="仿宋_GB2312" w:cs="Times New Roman"/>
      <w:sz w:val="24"/>
      <w:szCs w:val="20"/>
      <w:lang w:eastAsia="en-US"/>
    </w:rPr>
  </w:style>
  <w:style w:type="paragraph" w:styleId="2058" w:customStyle="1">
    <w:name w:val="È±Ê¡ÎÄ±¾"/>
    <w:basedOn w:val="678"/>
    <w:uiPriority w:val="0"/>
    <w:qFormat/>
    <w:pPr>
      <w:jc w:val="left"/>
      <w:widowControl/>
    </w:pPr>
    <w:rPr>
      <w:rFonts w:ascii="Times New Roman" w:hAnsi="Times New Roman" w:eastAsia="宋体" w:cs="Times New Roman"/>
      <w:sz w:val="24"/>
      <w:szCs w:val="20"/>
    </w:rPr>
  </w:style>
  <w:style w:type="paragraph" w:styleId="2059" w:customStyle="1">
    <w:name w:val="14_black"/>
    <w:basedOn w:val="678"/>
    <w:uiPriority w:val="0"/>
    <w:qFormat/>
    <w:pPr>
      <w:jc w:val="left"/>
      <w:spacing w:before="100" w:beforeAutospacing="1" w:after="100" w:afterAutospacing="1"/>
      <w:widowControl/>
    </w:pPr>
    <w:rPr>
      <w:rFonts w:ascii="宋体" w:hAnsi="宋体" w:eastAsia="宋体" w:cs="宋体"/>
      <w:color w:val="000000"/>
      <w:sz w:val="23"/>
      <w:szCs w:val="23"/>
    </w:rPr>
  </w:style>
  <w:style w:type="paragraph" w:styleId="2060" w:customStyle="1">
    <w:name w:val="Char Char Char Char"/>
    <w:basedOn w:val="787"/>
    <w:uiPriority w:val="0"/>
    <w:qFormat/>
    <w:pPr>
      <w:ind w:firstLine="454"/>
      <w:jc w:val="left"/>
      <w:shd w:val="clear" w:color="auto" w:fill="000080"/>
      <w:widowControl/>
    </w:pPr>
    <w:rPr>
      <w:rFonts w:ascii="Tahoma" w:hAnsi="Tahoma" w:cs="宋体"/>
      <w:sz w:val="21"/>
      <w:szCs w:val="20"/>
    </w:rPr>
  </w:style>
  <w:style w:type="paragraph" w:styleId="2061"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62"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63"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64" w:customStyle="1">
    <w:name w:val="四级无标题条"/>
    <w:basedOn w:val="678"/>
    <w:uiPriority w:val="0"/>
    <w:qFormat/>
    <w:pPr>
      <w:ind w:left="2520" w:hanging="420"/>
    </w:pPr>
    <w:rPr>
      <w:rFonts w:ascii="Times New Roman" w:hAnsi="Times New Roman" w:eastAsia="宋体" w:cs="Times New Roman"/>
      <w:szCs w:val="24"/>
    </w:rPr>
  </w:style>
  <w:style w:type="paragraph" w:styleId="2065" w:customStyle="1">
    <w:name w:val="五级无标题条"/>
    <w:basedOn w:val="678"/>
    <w:uiPriority w:val="0"/>
    <w:qFormat/>
    <w:pPr>
      <w:ind w:left="2940" w:hanging="420"/>
    </w:pPr>
    <w:rPr>
      <w:rFonts w:ascii="Times New Roman" w:hAnsi="Times New Roman" w:eastAsia="宋体" w:cs="Times New Roman"/>
      <w:szCs w:val="24"/>
    </w:rPr>
  </w:style>
  <w:style w:type="paragraph" w:styleId="2066" w:customStyle="1">
    <w:name w:val="正文表标题"/>
    <w:next w:val="1101"/>
    <w:uiPriority w:val="0"/>
    <w:qFormat/>
    <w:pPr>
      <w:ind w:left="1740" w:hanging="420"/>
      <w:jc w:val="center"/>
    </w:pPr>
    <w:rPr>
      <w:rFonts w:ascii="黑体" w:hAnsi="Times New Roman" w:eastAsia="黑体" w:cs="Times New Roman"/>
      <w:sz w:val="21"/>
      <w:lang w:val="en-US" w:eastAsia="zh-CN" w:bidi="ar-SA"/>
    </w:rPr>
  </w:style>
  <w:style w:type="paragraph" w:styleId="2067" w:customStyle="1">
    <w:name w:val="我的图片"/>
    <w:basedOn w:val="678"/>
    <w:next w:val="1395"/>
    <w:uiPriority w:val="0"/>
    <w:qFormat/>
    <w:pPr>
      <w:jc w:val="center"/>
      <w:spacing w:line="360" w:lineRule="auto"/>
      <w:widowControl/>
    </w:pPr>
    <w:rPr>
      <w:rFonts w:ascii="Arial" w:hAnsi="Arial" w:eastAsia="楷体_GB2312" w:cs="Times New Roman"/>
      <w:sz w:val="24"/>
      <w:szCs w:val="24"/>
    </w:rPr>
  </w:style>
  <w:style w:type="paragraph" w:styleId="2068" w:customStyle="1">
    <w:name w:val="1 Char Char Char Char"/>
    <w:basedOn w:val="678"/>
    <w:uiPriority w:val="0"/>
    <w:qFormat/>
    <w:rPr>
      <w:rFonts w:ascii="Tahoma" w:hAnsi="Tahoma" w:eastAsia="宋体" w:cs="Times New Roman"/>
      <w:sz w:val="24"/>
      <w:szCs w:val="20"/>
    </w:rPr>
  </w:style>
  <w:style w:type="paragraph" w:styleId="2069" w:customStyle="1">
    <w:name w:val="NAP Normal"/>
    <w:basedOn w:val="678"/>
    <w:uiPriority w:val="0"/>
    <w:qFormat/>
    <w:pPr>
      <w:spacing w:line="240" w:lineRule="exact"/>
    </w:pPr>
    <w:rPr>
      <w:rFonts w:ascii="Times New Roman" w:hAnsi="Times New Roman" w:eastAsia="宋体" w:cs="Times New Roman"/>
      <w:sz w:val="22"/>
      <w:szCs w:val="20"/>
    </w:rPr>
  </w:style>
  <w:style w:type="paragraph" w:styleId="2070" w:customStyle="1">
    <w:name w:val="样式 标题 2第一章 标题 2Heading 2 HiddenHeading 2 CCBSH2h22nd level..."/>
    <w:basedOn w:val="68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1" w:customStyle="1">
    <w:name w:val="Char Char Char Char Char Char Char Char Char Char"/>
    <w:basedOn w:val="683"/>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72" w:customStyle="1">
    <w:name w:val="zn4"/>
    <w:basedOn w:val="1472"/>
    <w:next w:val="682"/>
    <w:uiPriority w:val="0"/>
    <w:qFormat/>
    <w:pPr>
      <w:ind w:left="851" w:hanging="851"/>
      <w:tabs>
        <w:tab w:val="clear" w:pos="1069" w:leader="none"/>
        <w:tab w:val="left" w:pos="1080" w:leader="none"/>
      </w:tabs>
      <w:outlineLvl w:val="3"/>
    </w:pPr>
    <w:rPr>
      <w:lang w:val="zh-CN"/>
    </w:rPr>
  </w:style>
  <w:style w:type="paragraph" w:styleId="2073" w:customStyle="1">
    <w:name w:val="图表"/>
    <w:basedOn w:val="678"/>
    <w:uiPriority w:val="99"/>
    <w:qFormat/>
    <w:pPr>
      <w:ind w:firstLine="200"/>
      <w:jc w:val="center"/>
      <w:spacing w:line="360" w:lineRule="auto"/>
    </w:pPr>
    <w:rPr>
      <w:rFonts w:ascii="方正仿宋_GBK" w:hAnsi="方正仿宋_GBK" w:eastAsia="方正仿宋_GBK" w:cs="Times New Roman"/>
      <w:sz w:val="32"/>
    </w:rPr>
  </w:style>
  <w:style w:type="paragraph" w:styleId="2074" w:customStyle="1">
    <w:name w:val="图释"/>
    <w:basedOn w:val="678"/>
    <w:uiPriority w:val="99"/>
    <w:qFormat/>
    <w:pPr>
      <w:ind w:firstLine="200"/>
      <w:jc w:val="center"/>
      <w:spacing w:line="560" w:lineRule="exact"/>
    </w:pPr>
    <w:rPr>
      <w:rFonts w:ascii="方正仿宋_GBK" w:hAnsi="方正仿宋_GBK" w:eastAsia="方正楷体_GBK" w:cs="Times New Roman"/>
      <w:sz w:val="28"/>
    </w:rPr>
  </w:style>
  <w:style w:type="paragraph" w:styleId="2075" w:customStyle="1">
    <w:name w:val="修订1"/>
    <w:uiPriority w:val="99"/>
    <w:semiHidden/>
    <w:qFormat/>
    <w:rPr>
      <w:rFonts w:ascii="Times New Roman" w:hAnsi="Times New Roman" w:eastAsia="仿宋" w:cs="Times New Roman"/>
      <w:sz w:val="28"/>
      <w:szCs w:val="24"/>
      <w:lang w:val="en-US" w:eastAsia="zh-CN" w:bidi="ar-SA"/>
    </w:rPr>
  </w:style>
  <w:style w:type="paragraph" w:styleId="2076" w:customStyle="1">
    <w:name w:val="五号正文项目（标准）"/>
    <w:basedOn w:val="678"/>
    <w:uiPriority w:val="0"/>
    <w:qFormat/>
    <w:pPr>
      <w:ind w:left="840" w:hanging="420"/>
      <w:jc w:val="left"/>
      <w:spacing w:line="400" w:lineRule="exact"/>
      <w:tabs>
        <w:tab w:val="left" w:pos="420" w:leader="none"/>
        <w:tab w:val="left" w:pos="840" w:leader="none"/>
      </w:tabs>
    </w:pPr>
    <w:rPr>
      <w:rFonts w:ascii="宋体" w:hAnsi="宋体" w:eastAsia="宋体" w:cs="Times New Roman"/>
      <w:color w:val="000000"/>
      <w:szCs w:val="20"/>
    </w:rPr>
  </w:style>
  <w:style w:type="paragraph" w:styleId="2077" w:customStyle="1">
    <w:name w:val="序列1"/>
    <w:basedOn w:val="678"/>
    <w:uiPriority w:val="0"/>
    <w:qFormat/>
    <w:pPr>
      <w:ind w:left="432" w:hanging="432"/>
      <w:spacing w:line="440" w:lineRule="atLeast"/>
      <w:tabs>
        <w:tab w:val="left" w:pos="432" w:leader="none"/>
        <w:tab w:val="left" w:pos="960" w:leader="none"/>
        <w:tab w:val="left" w:pos="1260" w:leader="none"/>
      </w:tabs>
    </w:pPr>
    <w:rPr>
      <w:rFonts w:ascii="Times New Roman" w:hAnsi="Times New Roman" w:eastAsia="楷体_GB2312" w:cs="Times New Roman"/>
      <w:sz w:val="24"/>
      <w:szCs w:val="24"/>
    </w:rPr>
  </w:style>
  <w:style w:type="paragraph" w:styleId="2078" w:customStyle="1">
    <w:name w:val="标题8"/>
    <w:basedOn w:val="684"/>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79" w:customStyle="1">
    <w:name w:val="wx正文+标号"/>
    <w:basedOn w:val="678"/>
    <w:uiPriority w:val="0"/>
    <w:semiHidden/>
    <w:qFormat/>
    <w:pPr>
      <w:ind w:left="510" w:hanging="340"/>
      <w:spacing w:line="360" w:lineRule="auto"/>
      <w:tabs>
        <w:tab w:val="left" w:pos="510" w:leader="none"/>
      </w:tabs>
    </w:pPr>
    <w:rPr>
      <w:rFonts w:ascii="Times New Roman" w:hAnsi="Times New Roman" w:eastAsia="宋体" w:cs="宋体"/>
      <w:sz w:val="24"/>
      <w:szCs w:val="20"/>
    </w:rPr>
  </w:style>
  <w:style w:type="paragraph" w:styleId="2080" w:customStyle="1">
    <w:name w:val="text-center"/>
    <w:basedOn w:val="678"/>
    <w:uiPriority w:val="0"/>
    <w:qFormat/>
    <w:pPr>
      <w:jc w:val="center"/>
      <w:spacing w:after="150"/>
      <w:widowControl/>
    </w:pPr>
    <w:rPr>
      <w:rFonts w:ascii="宋体" w:hAnsi="宋体" w:eastAsia="宋体" w:cs="宋体"/>
      <w:sz w:val="24"/>
      <w:szCs w:val="24"/>
    </w:rPr>
  </w:style>
  <w:style w:type="paragraph" w:styleId="2081" w:customStyle="1">
    <w:name w:val="faqa"/>
    <w:basedOn w:val="678"/>
    <w:uiPriority w:val="0"/>
    <w:qFormat/>
    <w:pPr>
      <w:jc w:val="left"/>
      <w:spacing w:after="150"/>
      <w:widowControl/>
    </w:pPr>
    <w:rPr>
      <w:rFonts w:ascii="微软雅黑" w:hAnsi="微软雅黑" w:eastAsia="微软雅黑" w:cs="宋体"/>
      <w:b/>
      <w:bCs/>
      <w:sz w:val="27"/>
      <w:szCs w:val="27"/>
    </w:rPr>
  </w:style>
  <w:style w:type="paragraph" w:styleId="2082" w:customStyle="1">
    <w:name w:val="样式 标题 55l4H5h5Second Subheading + 段前: 0.5 行 段后: 0.5 行 行距:..."/>
    <w:basedOn w:val="68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83" w:customStyle="1">
    <w:name w:val="Test2"/>
    <w:basedOn w:val="68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4" w:customStyle="1">
    <w:name w:val="正文编号项"/>
    <w:basedOn w:val="797"/>
    <w:uiPriority w:val="0"/>
    <w:qFormat/>
    <w:pPr>
      <w:ind w:left="200" w:firstLine="200"/>
      <w:jc w:val="left"/>
      <w:spacing w:line="360" w:lineRule="auto"/>
      <w:tabs>
        <w:tab w:val="left" w:pos="360" w:leader="none"/>
      </w:tabs>
    </w:pPr>
    <w:rPr>
      <w:color w:val="000000"/>
      <w:sz w:val="24"/>
    </w:rPr>
  </w:style>
  <w:style w:type="paragraph" w:styleId="2085" w:customStyle="1">
    <w:name w:val="正文文本2"/>
    <w:basedOn w:val="678"/>
    <w:uiPriority w:val="99"/>
    <w:qFormat/>
    <w:pPr>
      <w:jc w:val="left"/>
      <w:spacing w:after="120" w:line="288" w:lineRule="auto"/>
      <w:widowControl/>
    </w:pPr>
    <w:rPr>
      <w:rFonts w:ascii="Verdana" w:hAnsi="Verdana" w:eastAsia="宋体" w:cs="Times New Roman"/>
      <w:sz w:val="24"/>
      <w:szCs w:val="20"/>
      <w:lang w:eastAsia="en-US"/>
    </w:rPr>
  </w:style>
  <w:style w:type="paragraph" w:styleId="2086" w:customStyle="1">
    <w:name w:val="Char21"/>
    <w:basedOn w:val="678"/>
    <w:uiPriority w:val="0"/>
    <w:qFormat/>
    <w:rPr>
      <w:rFonts w:ascii="仿宋_GB2312" w:hAnsi="Times New Roman" w:eastAsia="仿宋_GB2312" w:cs="Times New Roman"/>
      <w:b/>
      <w:sz w:val="32"/>
      <w:szCs w:val="32"/>
    </w:rPr>
  </w:style>
  <w:style w:type="paragraph" w:styleId="2087" w:customStyle="1">
    <w:name w:val="Char1 Char Char Char21"/>
    <w:basedOn w:val="678"/>
    <w:uiPriority w:val="0"/>
    <w:qFormat/>
    <w:rPr>
      <w:rFonts w:ascii="Tahoma" w:hAnsi="Tahoma" w:eastAsia="宋体" w:cs="Times New Roman"/>
      <w:sz w:val="24"/>
      <w:szCs w:val="20"/>
    </w:rPr>
  </w:style>
  <w:style w:type="paragraph" w:styleId="2088" w:customStyle="1">
    <w:name w:val="Char Char12"/>
    <w:basedOn w:val="678"/>
    <w:uiPriority w:val="0"/>
    <w:qFormat/>
    <w:pPr>
      <w:jc w:val="left"/>
      <w:spacing w:after="160" w:line="240" w:lineRule="exact"/>
      <w:widowControl/>
    </w:pPr>
    <w:rPr>
      <w:rFonts w:ascii="Verdana" w:hAnsi="Verdana" w:eastAsia="宋体" w:cs="Times New Roman"/>
      <w:sz w:val="20"/>
      <w:szCs w:val="24"/>
      <w:lang w:eastAsia="en-US"/>
    </w:rPr>
  </w:style>
  <w:style w:type="paragraph" w:styleId="2089" w:customStyle="1">
    <w:name w:val="Normal (Web)1"/>
    <w:basedOn w:val="678"/>
    <w:uiPriority w:val="0"/>
    <w:qFormat/>
    <w:pPr>
      <w:jc w:val="left"/>
      <w:spacing w:before="100" w:beforeAutospacing="1" w:after="100" w:afterAutospacing="1"/>
      <w:widowControl/>
    </w:pPr>
    <w:rPr>
      <w:rFonts w:ascii="宋体" w:hAnsi="宋体" w:eastAsia="宋体" w:cs="宋体"/>
      <w:sz w:val="24"/>
      <w:szCs w:val="24"/>
    </w:rPr>
  </w:style>
  <w:style w:type="paragraph" w:styleId="2090" w:customStyle="1">
    <w:name w:val="_Style 171"/>
    <w:basedOn w:val="678"/>
    <w:next w:val="678"/>
    <w:uiPriority w:val="0"/>
    <w:qFormat/>
    <w:pPr>
      <w:ind w:firstLine="560"/>
      <w:spacing w:line="500" w:lineRule="exact"/>
    </w:pPr>
    <w:rPr>
      <w:rFonts w:ascii="Cambria" w:hAnsi="Cambria" w:eastAsia="仿宋" w:cs="Times New Roman"/>
      <w:color w:val="000000"/>
      <w:sz w:val="28"/>
      <w:szCs w:val="20"/>
    </w:rPr>
  </w:style>
  <w:style w:type="paragraph" w:styleId="2091" w:customStyle="1">
    <w:name w:val="中等深浅底纹 1 - 着色 11"/>
    <w:next w:val="2092"/>
    <w:uiPriority w:val="0"/>
    <w:qFormat/>
    <w:pPr>
      <w:widowControl w:val="off"/>
    </w:pPr>
    <w:rPr>
      <w:rFonts w:ascii="宋体" w:hAnsi="Calibri" w:eastAsia="宋体" w:cs="Times New Roman"/>
      <w:sz w:val="21"/>
      <w:szCs w:val="22"/>
      <w:lang w:val="en-US" w:eastAsia="zh-CN" w:bidi="ar-SA"/>
    </w:rPr>
  </w:style>
  <w:style w:type="paragraph" w:styleId="2092" w:customStyle="1">
    <w:name w:val="D表"/>
    <w:basedOn w:val="678"/>
    <w:next w:val="787"/>
    <w:uiPriority w:val="0"/>
    <w:qFormat/>
    <w:pPr>
      <w:ind w:hanging="2"/>
      <w:spacing w:line="500" w:lineRule="exact"/>
    </w:pPr>
    <w:rPr>
      <w:rFonts w:ascii="Calibri" w:hAnsi="Calibri" w:eastAsia="仿宋" w:cs="Times New Roman"/>
      <w:sz w:val="18"/>
      <w:szCs w:val="18"/>
    </w:rPr>
  </w:style>
  <w:style w:type="paragraph" w:styleId="2093" w:customStyle="1">
    <w:name w:val="金宏发行正文 Char Char"/>
    <w:basedOn w:val="678"/>
    <w:next w:val="2064"/>
    <w:uiPriority w:val="0"/>
    <w:qFormat/>
    <w:pPr>
      <w:ind w:firstLine="560"/>
      <w:spacing w:line="500" w:lineRule="exact"/>
    </w:pPr>
    <w:rPr>
      <w:rFonts w:ascii="Calibri" w:hAnsi="Calibri" w:eastAsia="仿宋_GB2312" w:cs="宋体"/>
      <w:sz w:val="28"/>
      <w:szCs w:val="20"/>
    </w:rPr>
  </w:style>
  <w:style w:type="paragraph" w:styleId="2094" w:customStyle="1">
    <w:name w:val="Char1 Char Char Char2"/>
    <w:basedOn w:val="678"/>
    <w:uiPriority w:val="0"/>
    <w:qFormat/>
    <w:pPr>
      <w:ind w:firstLine="560"/>
      <w:spacing w:line="500" w:lineRule="exact"/>
    </w:pPr>
    <w:rPr>
      <w:rFonts w:ascii="Tahoma" w:hAnsi="Tahoma" w:eastAsia="仿宋" w:cs="Times New Roman"/>
      <w:sz w:val="28"/>
      <w:szCs w:val="20"/>
    </w:rPr>
  </w:style>
  <w:style w:type="paragraph" w:styleId="2095" w:customStyle="1">
    <w:name w:val="Char Char Char Char2"/>
    <w:basedOn w:val="678"/>
    <w:uiPriority w:val="0"/>
    <w:qFormat/>
    <w:pPr>
      <w:ind w:firstLine="560"/>
      <w:spacing w:line="500" w:lineRule="exact"/>
    </w:pPr>
    <w:rPr>
      <w:rFonts w:ascii="Calibri" w:hAnsi="Calibri" w:eastAsia="仿宋" w:cs="Times New Roman"/>
      <w:sz w:val="28"/>
      <w:szCs w:val="24"/>
    </w:rPr>
  </w:style>
  <w:style w:type="paragraph" w:styleId="2096" w:customStyle="1">
    <w:name w:val="Heading"/>
    <w:basedOn w:val="678"/>
    <w:next w:val="797"/>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97" w:customStyle="1">
    <w:name w:val="Char Char Char Char1"/>
    <w:basedOn w:val="678"/>
    <w:uiPriority w:val="0"/>
    <w:qFormat/>
    <w:pPr>
      <w:ind w:firstLine="560"/>
      <w:spacing w:line="500" w:lineRule="exact"/>
    </w:pPr>
    <w:rPr>
      <w:rFonts w:ascii="Calibri" w:hAnsi="Calibri" w:eastAsia="仿宋" w:cs="Times New Roman"/>
      <w:sz w:val="28"/>
      <w:szCs w:val="24"/>
    </w:rPr>
  </w:style>
  <w:style w:type="paragraph" w:styleId="2098" w:customStyle="1">
    <w:name w:val="Char Char Char Char Char Char Char Char Char Char Char Char Char Char Char Char Char Char Char Char"/>
    <w:basedOn w:val="678"/>
    <w:next w:val="678"/>
    <w:uiPriority w:val="0"/>
    <w:qFormat/>
    <w:pPr>
      <w:ind w:left="420" w:hanging="420"/>
      <w:spacing w:line="360" w:lineRule="auto"/>
      <w:tabs>
        <w:tab w:val="left" w:pos="851" w:leader="none"/>
      </w:tabs>
    </w:pPr>
    <w:rPr>
      <w:rFonts w:ascii="Calibri" w:hAnsi="Calibri" w:eastAsia="仿宋" w:cs="Times New Roman"/>
      <w:sz w:val="28"/>
      <w:szCs w:val="24"/>
    </w:rPr>
  </w:style>
  <w:style w:type="paragraph" w:styleId="2099" w:customStyle="1">
    <w:name w:val="中等深浅网格 1 - 着色 21"/>
    <w:basedOn w:val="678"/>
    <w:uiPriority w:val="34"/>
    <w:qFormat/>
    <w:pPr>
      <w:ind w:firstLine="420"/>
    </w:pPr>
    <w:rPr>
      <w:rFonts w:ascii="Calibri" w:hAnsi="Calibri" w:eastAsia="仿宋" w:cs="Times New Roman"/>
      <w:sz w:val="28"/>
    </w:rPr>
  </w:style>
  <w:style w:type="paragraph" w:styleId="2100" w:customStyle="1">
    <w:name w:val="注意事项"/>
    <w:basedOn w:val="678"/>
    <w:uiPriority w:val="0"/>
    <w:qFormat/>
    <w:pPr>
      <w:ind w:firstLine="200"/>
      <w:spacing w:before="60" w:after="60" w:line="360" w:lineRule="auto"/>
    </w:pPr>
    <w:rPr>
      <w:rFonts w:ascii="仿宋" w:hAnsi="仿宋" w:eastAsia="宋体" w:cs="Times New Roman"/>
      <w:b/>
      <w:bCs/>
      <w:sz w:val="28"/>
      <w:szCs w:val="24"/>
      <w:lang w:eastAsia="ar-SA"/>
    </w:rPr>
  </w:style>
  <w:style w:type="paragraph" w:styleId="2101"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02" w:customStyle="1">
    <w:name w:val="无编号标题"/>
    <w:basedOn w:val="678"/>
    <w:next w:val="1622"/>
    <w:uiPriority w:val="0"/>
    <w:qFormat/>
    <w:pPr>
      <w:ind w:firstLine="560"/>
      <w:jc w:val="center"/>
      <w:pageBreakBefore/>
      <w:spacing w:line="480" w:lineRule="auto"/>
      <w:suppressLineNumbers/>
    </w:pPr>
    <w:rPr>
      <w:rFonts w:ascii="宋体" w:hAnsi="宋体" w:eastAsia="仿宋" w:cs="Times New Roman"/>
      <w:b/>
      <w:sz w:val="36"/>
      <w:szCs w:val="44"/>
    </w:rPr>
  </w:style>
  <w:style w:type="paragraph" w:styleId="2103" w:customStyle="1">
    <w:name w:val="Bid_正文"/>
    <w:basedOn w:val="691"/>
    <w:next w:val="2104"/>
    <w:uiPriority w:val="0"/>
    <w:qFormat/>
    <w:pPr>
      <w:ind w:firstLine="200"/>
      <w:jc w:val="left"/>
      <w:spacing w:line="590" w:lineRule="atLeast"/>
      <w:widowControl/>
    </w:pPr>
    <w:rPr>
      <w:rFonts w:ascii="方正仿宋_GBK" w:hAnsi="Calibri" w:eastAsia="仿宋"/>
      <w:spacing w:val="-25"/>
      <w:sz w:val="32"/>
      <w:szCs w:val="20"/>
    </w:rPr>
  </w:style>
  <w:style w:type="paragraph" w:styleId="2104" w:customStyle="1">
    <w:name w:val="p1"/>
    <w:basedOn w:val="678"/>
    <w:next w:val="778"/>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05" w:customStyle="1">
    <w:name w:val="正文首行缩进 Char3"/>
    <w:basedOn w:val="678"/>
    <w:uiPriority w:val="0"/>
    <w:qFormat/>
    <w:pPr>
      <w:ind w:firstLine="560"/>
      <w:spacing w:line="500" w:lineRule="exact"/>
    </w:pPr>
    <w:rPr>
      <w:rFonts w:ascii="Calibri" w:hAnsi="Calibri" w:eastAsia="仿宋" w:cs="Times New Roman"/>
      <w:sz w:val="28"/>
      <w:szCs w:val="20"/>
    </w:rPr>
  </w:style>
  <w:style w:type="paragraph" w:styleId="2106" w:customStyle="1">
    <w:name w:val="表格内容"/>
    <w:basedOn w:val="678"/>
    <w:next w:val="1886"/>
    <w:uiPriority w:val="0"/>
    <w:qFormat/>
    <w:pPr>
      <w:ind w:firstLine="560"/>
      <w:jc w:val="left"/>
      <w:spacing w:line="360" w:lineRule="auto"/>
    </w:pPr>
    <w:rPr>
      <w:rFonts w:ascii="微软雅黑" w:hAnsi="微软雅黑" w:eastAsia="微软雅黑" w:cs="Times New Roman"/>
      <w:sz w:val="18"/>
      <w:szCs w:val="24"/>
      <w:lang w:val="en-GB"/>
    </w:rPr>
  </w:style>
  <w:style w:type="paragraph" w:styleId="2107" w:customStyle="1">
    <w:name w:val="文章正文"/>
    <w:basedOn w:val="678"/>
    <w:next w:val="2108"/>
    <w:uiPriority w:val="0"/>
    <w:qFormat/>
    <w:pPr>
      <w:ind w:firstLine="482"/>
      <w:spacing w:line="360" w:lineRule="auto"/>
    </w:pPr>
    <w:rPr>
      <w:rFonts w:ascii="Calibri" w:hAnsi="Calibri" w:eastAsia="仿宋" w:cs="Times New Roman"/>
      <w:szCs w:val="24"/>
    </w:rPr>
  </w:style>
  <w:style w:type="paragraph" w:styleId="2108" w:customStyle="1">
    <w:name w:val="我的图表标题"/>
    <w:basedOn w:val="678"/>
    <w:next w:val="1103"/>
    <w:uiPriority w:val="0"/>
    <w:qFormat/>
    <w:pPr>
      <w:ind w:firstLine="560"/>
      <w:jc w:val="center"/>
      <w:spacing w:line="360" w:lineRule="auto"/>
    </w:pPr>
    <w:rPr>
      <w:rFonts w:ascii="Cambria" w:hAnsi="Cambria" w:eastAsia="黑体" w:cs="宋体"/>
      <w:sz w:val="28"/>
      <w:szCs w:val="20"/>
    </w:rPr>
  </w:style>
  <w:style w:type="paragraph" w:styleId="2109" w:customStyle="1">
    <w:name w:val="11111"/>
    <w:basedOn w:val="678"/>
    <w:next w:val="2110"/>
    <w:uiPriority w:val="0"/>
    <w:qFormat/>
    <w:pPr>
      <w:ind w:firstLine="200"/>
      <w:spacing w:after="120" w:line="360" w:lineRule="auto"/>
    </w:pPr>
    <w:rPr>
      <w:rFonts w:ascii="宋体" w:hAnsi="Calibri" w:eastAsia="仿宋" w:cs="宋体"/>
      <w:color w:val="000000"/>
      <w:sz w:val="28"/>
      <w:szCs w:val="24"/>
      <w:lang w:val="zh-CN"/>
    </w:rPr>
  </w:style>
  <w:style w:type="paragraph" w:styleId="2110" w:customStyle="1">
    <w:name w:val="Char Char Char Char Char Char Char Char Char Char Char Char Char"/>
    <w:basedOn w:val="678"/>
    <w:next w:val="691"/>
    <w:uiPriority w:val="0"/>
    <w:qFormat/>
    <w:pPr>
      <w:jc w:val="left"/>
      <w:spacing w:after="160" w:line="240" w:lineRule="exact"/>
      <w:widowControl/>
    </w:pPr>
    <w:rPr>
      <w:rFonts w:ascii="Verdana" w:hAnsi="Verdana" w:eastAsia="仿宋_GB2312" w:cs="Times New Roman"/>
      <w:sz w:val="28"/>
      <w:szCs w:val="20"/>
      <w:lang w:eastAsia="en-US"/>
    </w:rPr>
  </w:style>
  <w:style w:type="paragraph" w:styleId="2111" w:customStyle="1">
    <w:name w:val="标题 41"/>
    <w:basedOn w:val="681"/>
    <w:next w:val="79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2" w:customStyle="1">
    <w:name w:val="Char Char Char Char Char Char Char Char Char1 Char Char Char Char Char Char Char Char Char Char"/>
    <w:basedOn w:val="678"/>
    <w:next w:val="2113"/>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113" w:customStyle="1">
    <w:name w:val="样式3"/>
    <w:basedOn w:val="678"/>
    <w:uiPriority w:val="0"/>
    <w:qFormat/>
    <w:pPr>
      <w:ind w:firstLine="420"/>
      <w:spacing w:line="360" w:lineRule="auto"/>
      <w:tabs>
        <w:tab w:val="left" w:pos="695" w:leader="none"/>
      </w:tabs>
    </w:pPr>
    <w:rPr>
      <w:rFonts w:ascii="Calibri" w:hAnsi="Calibri" w:eastAsia="仿宋" w:cs="Times New Roman"/>
      <w:sz w:val="28"/>
      <w:szCs w:val="24"/>
    </w:rPr>
  </w:style>
  <w:style w:type="paragraph" w:styleId="2114" w:customStyle="1">
    <w:name w:val="正文Normal"/>
    <w:basedOn w:val="678"/>
    <w:next w:val="1030"/>
    <w:uiPriority w:val="0"/>
    <w:qFormat/>
    <w:pPr>
      <w:ind w:firstLine="480"/>
      <w:spacing w:after="120" w:line="360" w:lineRule="auto"/>
    </w:pPr>
    <w:rPr>
      <w:rFonts w:ascii="Arial" w:hAnsi="Arial" w:eastAsia="仿宋" w:cs="Arial"/>
      <w:sz w:val="28"/>
      <w:szCs w:val="24"/>
    </w:rPr>
  </w:style>
  <w:style w:type="paragraph" w:styleId="2115" w:customStyle="1">
    <w:name w:val="标准正文"/>
    <w:basedOn w:val="678"/>
    <w:next w:val="687"/>
    <w:uiPriority w:val="0"/>
    <w:qFormat/>
    <w:pPr>
      <w:ind w:firstLine="560"/>
      <w:spacing w:line="500" w:lineRule="exact"/>
    </w:pPr>
    <w:rPr>
      <w:rFonts w:ascii="Calibri" w:hAnsi="Calibri" w:eastAsia="仿宋" w:cs="Times New Roman"/>
      <w:sz w:val="28"/>
      <w:szCs w:val="24"/>
      <w:lang w:val="en-GB"/>
    </w:rPr>
  </w:style>
  <w:style w:type="paragraph" w:styleId="2116" w:customStyle="1">
    <w:name w:val="_Style 62"/>
    <w:next w:val="841"/>
    <w:uiPriority w:val="0"/>
    <w:qFormat/>
    <w:pPr>
      <w:jc w:val="both"/>
      <w:widowControl w:val="off"/>
    </w:pPr>
    <w:rPr>
      <w:rFonts w:ascii="Calibri" w:hAnsi="Calibri" w:eastAsia="宋体" w:cs="Times New Roman"/>
      <w:sz w:val="21"/>
      <w:szCs w:val="22"/>
      <w:lang w:val="en-US" w:eastAsia="zh-CN" w:bidi="ar-SA"/>
    </w:rPr>
  </w:style>
  <w:style w:type="paragraph" w:styleId="2117" w:customStyle="1">
    <w:name w:val="_Style 54"/>
    <w:next w:val="1555"/>
    <w:uiPriority w:val="0"/>
    <w:qFormat/>
    <w:rPr>
      <w:rFonts w:ascii="Calibri" w:hAnsi="Calibri" w:eastAsia="宋体" w:cs="Times New Roman"/>
      <w:sz w:val="24"/>
      <w:szCs w:val="24"/>
      <w:lang w:val="en-US" w:eastAsia="zh-CN" w:bidi="ar-SA"/>
    </w:rPr>
  </w:style>
  <w:style w:type="paragraph" w:styleId="2118" w:customStyle="1">
    <w:name w:val="样式 标题 2 + 行距: 最小值 12 磅"/>
    <w:basedOn w:val="680"/>
    <w:next w:val="68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19" w:customStyle="1">
    <w:name w:val="ABC_正文"/>
    <w:basedOn w:val="678"/>
    <w:uiPriority w:val="0"/>
    <w:qFormat/>
    <w:pPr>
      <w:ind w:firstLine="200"/>
      <w:widowControl/>
    </w:pPr>
    <w:rPr>
      <w:rFonts w:ascii="Calibri" w:hAnsi="宋体" w:eastAsia="Times New Roman" w:cs="Times New Roman"/>
      <w:sz w:val="20"/>
      <w:szCs w:val="20"/>
    </w:rPr>
  </w:style>
  <w:style w:type="paragraph" w:styleId="2120" w:customStyle="1">
    <w:name w:val="InfoBlue"/>
    <w:basedOn w:val="678"/>
    <w:uiPriority w:val="0"/>
    <w:qFormat/>
    <w:pPr>
      <w:ind w:left="720" w:firstLine="560"/>
      <w:jc w:val="left"/>
      <w:spacing w:after="120" w:line="360" w:lineRule="auto"/>
    </w:pPr>
    <w:rPr>
      <w:rFonts w:ascii="Calibri" w:hAnsi="Calibri" w:eastAsia="仿宋" w:cs="Times New Roman"/>
      <w:color w:val="0000ff"/>
      <w:szCs w:val="20"/>
    </w:rPr>
  </w:style>
  <w:style w:type="paragraph" w:styleId="2121" w:customStyle="1">
    <w:name w:val="样式 标题 3"/>
    <w:basedOn w:val="681"/>
    <w:next w:val="80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2"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23" w:customStyle="1">
    <w:name w:val="Char Char Char Char Char Char Char Char Char Char Char Char Char Char Char1 Char"/>
    <w:basedOn w:val="678"/>
    <w:next w:val="799"/>
    <w:uiPriority w:val="0"/>
    <w:qFormat/>
    <w:pPr>
      <w:ind w:firstLine="560"/>
      <w:jc w:val="left"/>
      <w:spacing w:after="160" w:line="240" w:lineRule="exact"/>
      <w:widowControl/>
    </w:pPr>
    <w:rPr>
      <w:rFonts w:ascii="Verdana" w:hAnsi="Verdana" w:eastAsia="仿宋" w:cs="Times New Roman"/>
      <w:sz w:val="20"/>
      <w:szCs w:val="20"/>
      <w:lang w:eastAsia="en-US"/>
    </w:rPr>
  </w:style>
  <w:style w:type="paragraph" w:styleId="2124" w:customStyle="1">
    <w:name w:val="无首行缩进正文"/>
    <w:basedOn w:val="2108"/>
    <w:next w:val="2060"/>
    <w:uiPriority w:val="0"/>
    <w:qFormat/>
    <w:pPr>
      <w:ind w:firstLine="0"/>
      <w:jc w:val="both"/>
    </w:pPr>
    <w:rPr>
      <w:rFonts w:ascii="Calibri" w:hAnsi="Calibri" w:eastAsia="方正仿宋_GBK" w:cs="Times New Roman"/>
      <w:sz w:val="21"/>
      <w:szCs w:val="24"/>
    </w:rPr>
  </w:style>
  <w:style w:type="paragraph" w:styleId="2125" w:customStyle="1">
    <w:name w:val="Plain Text1"/>
    <w:basedOn w:val="678"/>
    <w:next w:val="779"/>
    <w:uiPriority w:val="0"/>
    <w:qFormat/>
    <w:pPr>
      <w:ind w:firstLine="560"/>
      <w:spacing w:line="360" w:lineRule="auto"/>
    </w:pPr>
    <w:rPr>
      <w:rFonts w:ascii="宋体" w:hAnsi="宋体" w:eastAsia="仿宋" w:cs="Times New Roman"/>
      <w:sz w:val="28"/>
      <w:szCs w:val="20"/>
    </w:rPr>
  </w:style>
  <w:style w:type="paragraph" w:styleId="2126" w:customStyle="1">
    <w:name w:val="Char Char Char Char Char Char Char Char Char Char Char Char Char1"/>
    <w:basedOn w:val="678"/>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127" w:customStyle="1">
    <w:name w:val="样式 Tabletext + 五号 加粗 居中 段后: 0 磅 行距: 1.5 倍行距"/>
    <w:basedOn w:val="678"/>
    <w:uiPriority w:val="0"/>
    <w:qFormat/>
    <w:pPr>
      <w:ind w:firstLine="560"/>
      <w:spacing w:line="500" w:lineRule="exact"/>
    </w:pPr>
    <w:rPr>
      <w:rFonts w:ascii="Calibri" w:hAnsi="Calibri" w:eastAsia="仿宋" w:cs="Times New Roman"/>
      <w:sz w:val="28"/>
      <w:szCs w:val="20"/>
    </w:rPr>
  </w:style>
  <w:style w:type="paragraph" w:styleId="2128" w:customStyle="1">
    <w:name w:val="Subject"/>
    <w:basedOn w:val="678"/>
    <w:uiPriority w:val="0"/>
    <w:qFormat/>
    <w:pPr>
      <w:jc w:val="center"/>
      <w:widowControl/>
    </w:pPr>
    <w:rPr>
      <w:rFonts w:ascii="Calibri" w:hAnsi="Calibri" w:eastAsia="黑体" w:cs="Times New Roman"/>
      <w:b/>
      <w:sz w:val="48"/>
      <w:szCs w:val="24"/>
    </w:rPr>
  </w:style>
  <w:style w:type="paragraph" w:styleId="2129" w:customStyle="1">
    <w:name w:val="题注1"/>
    <w:basedOn w:val="678"/>
    <w:uiPriority w:val="0"/>
    <w:qFormat/>
    <w:pPr>
      <w:ind w:firstLine="720"/>
      <w:spacing w:before="120" w:after="120" w:line="360" w:lineRule="auto"/>
      <w:suppressLineNumbers/>
    </w:pPr>
    <w:rPr>
      <w:rFonts w:ascii="仿宋" w:hAnsi="仿宋" w:eastAsia="宋体" w:cs="Times New Roman"/>
      <w:i/>
      <w:iCs/>
      <w:sz w:val="28"/>
      <w:szCs w:val="24"/>
      <w:lang w:eastAsia="ar-SA"/>
    </w:rPr>
  </w:style>
  <w:style w:type="paragraph" w:styleId="2130" w:customStyle="1">
    <w:name w:val="默认段落字体 Para Char Char Char Char"/>
    <w:basedOn w:val="678"/>
    <w:next w:val="809"/>
    <w:uiPriority w:val="0"/>
    <w:qFormat/>
    <w:pPr>
      <w:ind w:firstLine="560"/>
      <w:spacing w:line="360" w:lineRule="auto"/>
    </w:pPr>
    <w:rPr>
      <w:rFonts w:ascii="Calibri" w:hAnsi="Calibri" w:eastAsia="仿宋" w:cs="Times New Roman"/>
      <w:sz w:val="28"/>
      <w:szCs w:val="20"/>
    </w:rPr>
  </w:style>
  <w:style w:type="paragraph" w:styleId="2131" w:customStyle="1">
    <w:name w:val="样式 标题 1 + 行距: 最小值 12 磅"/>
    <w:basedOn w:val="679"/>
    <w:next w:val="212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2" w:customStyle="1">
    <w:name w:val="_Style 224"/>
    <w:basedOn w:val="678"/>
    <w:next w:val="678"/>
    <w:uiPriority w:val="39"/>
    <w:unhideWhenUsed/>
    <w:qFormat/>
    <w:pPr>
      <w:ind w:left="2100"/>
      <w:jc w:val="left"/>
      <w:widowControl/>
    </w:pPr>
    <w:rPr>
      <w:rFonts w:ascii="Calibri" w:hAnsi="Calibri" w:eastAsia="宋体" w:cs="Times New Roman"/>
    </w:rPr>
  </w:style>
  <w:style w:type="paragraph" w:styleId="2133" w:customStyle="1">
    <w:name w:val="图中文字"/>
    <w:basedOn w:val="678"/>
    <w:next w:val="1557"/>
    <w:uiPriority w:val="0"/>
    <w:qFormat/>
    <w:pPr>
      <w:ind w:firstLine="560"/>
      <w:jc w:val="center"/>
      <w:spacing w:line="500" w:lineRule="exact"/>
      <w:widowControl/>
    </w:pPr>
    <w:rPr>
      <w:rFonts w:ascii="Calibri" w:hAnsi="Calibri" w:eastAsia="仿宋_GB2312" w:cs="Times New Roman"/>
      <w:sz w:val="28"/>
      <w:szCs w:val="20"/>
    </w:rPr>
  </w:style>
  <w:style w:type="paragraph" w:styleId="2134" w:customStyle="1">
    <w:name w:val="标题 11"/>
    <w:basedOn w:val="678"/>
    <w:next w:val="678"/>
    <w:uiPriority w:val="0"/>
    <w:qFormat/>
    <w:pPr>
      <w:keepLines/>
      <w:keepNext/>
      <w:spacing w:line="590" w:lineRule="exact"/>
      <w:outlineLvl w:val="0"/>
    </w:pPr>
    <w:rPr>
      <w:rFonts w:ascii="Calibri" w:hAnsi="Calibri" w:eastAsia="方正黑体_GBK" w:cs="Times New Roman"/>
      <w:bCs/>
      <w:sz w:val="32"/>
      <w:szCs w:val="44"/>
    </w:rPr>
  </w:style>
  <w:style w:type="paragraph" w:styleId="2135" w:customStyle="1">
    <w:name w:val="样式 标题 + 右"/>
    <w:basedOn w:val="783"/>
    <w:next w:val="2023"/>
    <w:uiPriority w:val="0"/>
    <w:qFormat/>
    <w:pPr>
      <w:ind w:left="0" w:firstLine="560"/>
      <w:jc w:val="right"/>
      <w:spacing w:line="500" w:lineRule="exact"/>
    </w:pPr>
    <w:rPr>
      <w:rFonts w:ascii="宋体" w:hAnsi="Calibri" w:eastAsia="方正小标宋_GBK" w:cs="宋体"/>
      <w:color w:val="000000"/>
      <w:sz w:val="28"/>
      <w:szCs w:val="20"/>
    </w:rPr>
  </w:style>
  <w:style w:type="paragraph" w:styleId="2136" w:customStyle="1">
    <w:name w:val="表号"/>
    <w:basedOn w:val="678"/>
    <w:next w:val="1098"/>
    <w:uiPriority w:val="0"/>
    <w:qFormat/>
    <w:pPr>
      <w:ind w:left="5102" w:hanging="1700"/>
      <w:jc w:val="center"/>
      <w:keepLines/>
      <w:keepNext/>
      <w:spacing w:line="360" w:lineRule="auto"/>
      <w:tabs>
        <w:tab w:val="left" w:pos="5102" w:leader="none"/>
      </w:tabs>
    </w:pPr>
    <w:rPr>
      <w:rFonts w:ascii="Arial" w:hAnsi="Arial" w:eastAsia="仿宋" w:cs="Times New Roman"/>
      <w:b/>
      <w:sz w:val="18"/>
      <w:szCs w:val="18"/>
    </w:rPr>
  </w:style>
  <w:style w:type="paragraph" w:styleId="2137" w:customStyle="1">
    <w:name w:val="表头样式"/>
    <w:basedOn w:val="678"/>
    <w:uiPriority w:val="0"/>
    <w:qFormat/>
    <w:pPr>
      <w:ind w:firstLine="560"/>
      <w:jc w:val="center"/>
      <w:keepNext/>
      <w:spacing w:line="500" w:lineRule="exact"/>
    </w:pPr>
    <w:rPr>
      <w:rFonts w:ascii="Arial" w:hAnsi="Arial" w:eastAsia="仿宋" w:cs="Times New Roman"/>
      <w:b/>
      <w:szCs w:val="21"/>
    </w:rPr>
  </w:style>
  <w:style w:type="paragraph" w:styleId="2138" w:customStyle="1">
    <w:name w:val="评估表"/>
    <w:basedOn w:val="678"/>
    <w:uiPriority w:val="0"/>
    <w:qFormat/>
    <w:pPr>
      <w:spacing w:line="240" w:lineRule="exact"/>
    </w:pPr>
    <w:rPr>
      <w:rFonts w:ascii="方正仿宋_GBK" w:hAnsi="方正仿宋_GBK" w:eastAsia="方正仿宋_GBK" w:cs="Times New Roman"/>
      <w:sz w:val="18"/>
      <w:szCs w:val="18"/>
    </w:rPr>
  </w:style>
  <w:style w:type="paragraph" w:styleId="2139" w:customStyle="1">
    <w:name w:val="Table Contents"/>
    <w:basedOn w:val="678"/>
    <w:uiPriority w:val="0"/>
    <w:qFormat/>
    <w:pPr>
      <w:ind w:firstLine="720"/>
      <w:spacing w:line="360" w:lineRule="auto"/>
      <w:suppressLineNumbers/>
    </w:pPr>
    <w:rPr>
      <w:rFonts w:ascii="仿宋" w:hAnsi="仿宋" w:eastAsia="宋体" w:cs="Times New Roman"/>
      <w:sz w:val="28"/>
      <w:szCs w:val="24"/>
      <w:lang w:eastAsia="ar-SA"/>
    </w:rPr>
  </w:style>
  <w:style w:type="paragraph" w:styleId="2140" w:customStyle="1">
    <w:name w:val="Paragraph1"/>
    <w:basedOn w:val="678"/>
    <w:next w:val="1784"/>
    <w:uiPriority w:val="0"/>
    <w:qFormat/>
    <w:pPr>
      <w:ind w:firstLine="560"/>
      <w:spacing w:before="80" w:line="500" w:lineRule="exact"/>
    </w:pPr>
    <w:rPr>
      <w:rFonts w:ascii="宋体" w:hAnsi="Calibri" w:eastAsia="仿宋" w:cs="Times New Roman"/>
      <w:sz w:val="20"/>
      <w:szCs w:val="20"/>
    </w:rPr>
  </w:style>
  <w:style w:type="paragraph" w:styleId="2141" w:customStyle="1">
    <w:name w:val="Tabletext"/>
    <w:basedOn w:val="678"/>
    <w:next w:val="1699"/>
    <w:uiPriority w:val="0"/>
    <w:qFormat/>
    <w:pPr>
      <w:ind w:firstLine="560"/>
      <w:jc w:val="left"/>
      <w:keepLines/>
      <w:spacing w:after="120" w:line="240" w:lineRule="atLeast"/>
    </w:pPr>
    <w:rPr>
      <w:rFonts w:ascii="Calibri" w:hAnsi="Calibri" w:eastAsia="仿宋" w:cs="Times New Roman"/>
      <w:sz w:val="28"/>
      <w:szCs w:val="20"/>
      <w:lang w:eastAsia="en-US"/>
    </w:rPr>
  </w:style>
  <w:style w:type="paragraph" w:styleId="2142" w:customStyle="1">
    <w:name w:val="编写建议"/>
    <w:basedOn w:val="678"/>
    <w:next w:val="797"/>
    <w:uiPriority w:val="0"/>
    <w:qFormat/>
    <w:pPr>
      <w:ind w:firstLine="420"/>
      <w:jc w:val="left"/>
      <w:spacing w:line="360" w:lineRule="auto"/>
    </w:pPr>
    <w:rPr>
      <w:rFonts w:ascii="Arial" w:hAnsi="Arial" w:eastAsia="宋体" w:cs="宋体"/>
      <w:i/>
      <w:iCs/>
      <w:color w:val="0000ff"/>
      <w:sz w:val="28"/>
      <w:szCs w:val="24"/>
      <w:lang w:eastAsia="ar-SA"/>
    </w:rPr>
  </w:style>
  <w:style w:type="paragraph" w:styleId="2143" w:customStyle="1">
    <w:name w:val="引用 Char2"/>
    <w:basedOn w:val="678"/>
    <w:uiPriority w:val="0"/>
    <w:qFormat/>
    <w:pPr>
      <w:ind w:firstLine="560"/>
      <w:spacing w:line="500" w:lineRule="exact"/>
    </w:pPr>
    <w:rPr>
      <w:rFonts w:ascii="Calibri" w:hAnsi="Calibri" w:eastAsia="仿宋" w:cs="Times New Roman"/>
      <w:sz w:val="28"/>
      <w:szCs w:val="20"/>
    </w:rPr>
  </w:style>
  <w:style w:type="paragraph" w:styleId="2144" w:customStyle="1">
    <w:name w:val="文档名称"/>
    <w:basedOn w:val="678"/>
    <w:uiPriority w:val="0"/>
    <w:qFormat/>
    <w:pPr>
      <w:ind w:firstLine="720"/>
      <w:jc w:val="center"/>
      <w:spacing w:line="360" w:lineRule="auto"/>
    </w:pPr>
    <w:rPr>
      <w:rFonts w:ascii="仿宋" w:hAnsi="仿宋" w:eastAsia="黑体" w:cs="Times New Roman"/>
      <w:b/>
      <w:sz w:val="48"/>
      <w:szCs w:val="48"/>
      <w:lang w:eastAsia="ar-SA"/>
    </w:rPr>
  </w:style>
  <w:style w:type="paragraph" w:styleId="2145" w:customStyle="1">
    <w:name w:val="explanation"/>
    <w:basedOn w:val="678"/>
    <w:next w:val="1754"/>
    <w:uiPriority w:val="0"/>
    <w:qFormat/>
    <w:pPr>
      <w:ind w:firstLine="560"/>
      <w:spacing w:line="500" w:lineRule="exact"/>
    </w:pPr>
    <w:rPr>
      <w:rFonts w:ascii="Calibri" w:hAnsi="Calibri" w:eastAsia="仿宋" w:cs="Times New Roman"/>
      <w:sz w:val="28"/>
      <w:szCs w:val="24"/>
    </w:rPr>
  </w:style>
  <w:style w:type="paragraph" w:styleId="2146" w:customStyle="1">
    <w:name w:val="左对齐的表内文字"/>
    <w:basedOn w:val="678"/>
    <w:next w:val="840"/>
    <w:uiPriority w:val="0"/>
    <w:qFormat/>
    <w:pPr>
      <w:ind w:firstLine="560"/>
      <w:spacing w:line="500" w:lineRule="exact"/>
    </w:pPr>
    <w:rPr>
      <w:rFonts w:ascii="Calibri" w:hAnsi="Calibri" w:eastAsia="仿宋_GB2312" w:cs="宋体"/>
      <w:sz w:val="28"/>
      <w:szCs w:val="20"/>
    </w:rPr>
  </w:style>
  <w:style w:type="paragraph" w:styleId="2147" w:customStyle="1">
    <w:name w:val="_Style 44"/>
    <w:next w:val="678"/>
    <w:uiPriority w:val="0"/>
    <w:qFormat/>
    <w:pPr>
      <w:jc w:val="both"/>
      <w:widowControl w:val="off"/>
    </w:pPr>
    <w:rPr>
      <w:rFonts w:ascii="Calibri" w:hAnsi="Calibri" w:eastAsia="宋体" w:cs="Times New Roman"/>
      <w:sz w:val="24"/>
      <w:szCs w:val="24"/>
      <w:lang w:val="en-US" w:eastAsia="zh-CN" w:bidi="ar-SA"/>
    </w:rPr>
  </w:style>
  <w:style w:type="paragraph" w:styleId="2148" w:customStyle="1">
    <w:name w:val="样式 标题 3 + 非加粗 倾斜"/>
    <w:basedOn w:val="681"/>
    <w:next w:val="214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49" w:customStyle="1">
    <w:name w:val="样式 标题 2 + 五号"/>
    <w:basedOn w:val="680"/>
    <w:next w:val="85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0" w:customStyle="1">
    <w:name w:val="版权申明"/>
    <w:basedOn w:val="678"/>
    <w:uiPriority w:val="0"/>
    <w:qFormat/>
    <w:pPr>
      <w:ind w:firstLine="720"/>
      <w:jc w:val="center"/>
      <w:spacing w:line="360" w:lineRule="auto"/>
    </w:pPr>
    <w:rPr>
      <w:rFonts w:ascii="宋体" w:hAnsi="宋体" w:eastAsia="宋体" w:cs="宋体"/>
      <w:b/>
      <w:bCs/>
      <w:color w:val="000000"/>
      <w:sz w:val="28"/>
      <w:szCs w:val="20"/>
      <w:lang w:eastAsia="ar-SA"/>
    </w:rPr>
  </w:style>
  <w:style w:type="paragraph" w:styleId="2151" w:customStyle="1">
    <w:name w:val="标题G"/>
    <w:basedOn w:val="783"/>
    <w:next w:val="213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2" w:customStyle="1">
    <w:name w:val="标题5"/>
    <w:basedOn w:val="678"/>
    <w:uiPriority w:val="0"/>
    <w:qFormat/>
    <w:pPr>
      <w:ind w:firstLine="560"/>
      <w:jc w:val="center"/>
      <w:spacing w:line="500" w:lineRule="exact"/>
    </w:pPr>
    <w:rPr>
      <w:rFonts w:ascii="宋体" w:hAnsi="宋体" w:eastAsia="仿宋" w:cs="Times New Roman"/>
      <w:b/>
      <w:sz w:val="52"/>
    </w:rPr>
  </w:style>
  <w:style w:type="paragraph" w:styleId="2153" w:customStyle="1">
    <w:name w:val="修订11"/>
    <w:uiPriority w:val="99"/>
    <w:qFormat/>
    <w:rPr>
      <w:rFonts w:ascii="宋体" w:hAnsi="Calibri" w:eastAsia="宋体" w:cs="Times New Roman"/>
      <w:sz w:val="21"/>
      <w:lang w:val="en-US" w:eastAsia="zh-CN" w:bidi="ar-SA"/>
    </w:rPr>
  </w:style>
  <w:style w:type="paragraph" w:styleId="2154"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55" w:customStyle="1">
    <w:name w:val="目录标题2"/>
    <w:basedOn w:val="679"/>
    <w:next w:val="67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6" w:customStyle="1">
    <w:name w:val="Char1 Char Char Char1"/>
    <w:basedOn w:val="678"/>
    <w:uiPriority w:val="0"/>
    <w:qFormat/>
    <w:pPr>
      <w:ind w:firstLine="560"/>
      <w:spacing w:line="500" w:lineRule="exact"/>
    </w:pPr>
    <w:rPr>
      <w:rFonts w:ascii="Tahoma" w:hAnsi="Tahoma" w:eastAsia="仿宋" w:cs="Times New Roman"/>
      <w:sz w:val="28"/>
      <w:szCs w:val="20"/>
    </w:rPr>
  </w:style>
  <w:style w:type="paragraph" w:styleId="2157" w:customStyle="1">
    <w:name w:val="Bullet Text"/>
    <w:basedOn w:val="678"/>
    <w:next w:val="2121"/>
    <w:uiPriority w:val="0"/>
    <w:qFormat/>
    <w:pPr>
      <w:ind w:left="360" w:hanging="360"/>
      <w:jc w:val="left"/>
      <w:spacing w:after="60" w:line="500" w:lineRule="exact"/>
    </w:pPr>
    <w:rPr>
      <w:rFonts w:ascii="Arial" w:hAnsi="Arial" w:eastAsia="仿宋" w:cs="Times New Roman"/>
      <w:sz w:val="20"/>
      <w:szCs w:val="20"/>
    </w:rPr>
  </w:style>
  <w:style w:type="paragraph" w:styleId="2158" w:customStyle="1">
    <w:name w:val="_Style 47"/>
    <w:basedOn w:val="678"/>
    <w:next w:val="1070"/>
    <w:uiPriority w:val="0"/>
    <w:qFormat/>
    <w:pPr>
      <w:ind w:firstLine="420"/>
      <w:jc w:val="left"/>
      <w:spacing w:line="360" w:lineRule="auto"/>
    </w:pPr>
    <w:rPr>
      <w:rFonts w:ascii="宋体" w:hAnsi="Calibri" w:eastAsia="宋体" w:cs="Times New Roman"/>
      <w:szCs w:val="20"/>
    </w:rPr>
  </w:style>
  <w:style w:type="paragraph" w:styleId="2159" w:customStyle="1">
    <w:name w:val="_Style 196"/>
    <w:basedOn w:val="678"/>
    <w:next w:val="678"/>
    <w:uiPriority w:val="0"/>
    <w:qFormat/>
    <w:pPr>
      <w:ind w:firstLine="560"/>
      <w:spacing w:line="500" w:lineRule="exact"/>
    </w:pPr>
    <w:rPr>
      <w:rFonts w:ascii="Calibri Light" w:hAnsi="Calibri Light" w:eastAsia="仿宋" w:cs="Times New Roman"/>
      <w:color w:val="000000"/>
      <w:sz w:val="28"/>
      <w:szCs w:val="20"/>
    </w:rPr>
  </w:style>
  <w:style w:type="paragraph" w:styleId="2160" w:customStyle="1">
    <w:name w:val="Contents 10"/>
    <w:basedOn w:val="2161"/>
    <w:uiPriority w:val="0"/>
    <w:qFormat/>
    <w:pPr>
      <w:ind w:left="2547"/>
      <w:tabs>
        <w:tab w:val="right" w:pos="24919" w:leader="dot"/>
      </w:tabs>
    </w:pPr>
  </w:style>
  <w:style w:type="paragraph" w:styleId="2161" w:customStyle="1">
    <w:name w:val="Index"/>
    <w:basedOn w:val="678"/>
    <w:uiPriority w:val="0"/>
    <w:qFormat/>
    <w:pPr>
      <w:ind w:firstLine="720"/>
      <w:spacing w:line="360" w:lineRule="auto"/>
      <w:suppressLineNumbers/>
    </w:pPr>
    <w:rPr>
      <w:rFonts w:ascii="仿宋" w:hAnsi="仿宋" w:eastAsia="宋体" w:cs="Times New Roman"/>
      <w:sz w:val="28"/>
      <w:szCs w:val="24"/>
      <w:lang w:eastAsia="ar-SA"/>
    </w:rPr>
  </w:style>
  <w:style w:type="paragraph" w:styleId="2162" w:customStyle="1">
    <w:name w:val="subhead1"/>
    <w:basedOn w:val="678"/>
    <w:next w:val="817"/>
    <w:uiPriority w:val="0"/>
    <w:qFormat/>
    <w:pPr>
      <w:ind w:firstLine="560"/>
      <w:jc w:val="left"/>
      <w:spacing w:line="500" w:lineRule="exact"/>
    </w:pPr>
    <w:rPr>
      <w:rFonts w:ascii="Arial" w:hAnsi="Arial" w:eastAsia="仿宋" w:cs="Times New Roman"/>
      <w:b/>
      <w:sz w:val="28"/>
      <w:szCs w:val="20"/>
    </w:rPr>
  </w:style>
  <w:style w:type="paragraph" w:styleId="2163" w:customStyle="1">
    <w:name w:val="txt"/>
    <w:basedOn w:val="678"/>
    <w:next w:val="166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4" w:customStyle="1">
    <w:name w:val="目录标题1"/>
    <w:basedOn w:val="679"/>
    <w:next w:val="67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5" w:customStyle="1">
    <w:name w:val="Header Odd"/>
    <w:basedOn w:val="2166"/>
    <w:next w:val="1721"/>
    <w:uiPriority w:val="0"/>
    <w:qFormat/>
    <w:pPr>
      <w:jc w:val="right"/>
      <w:widowControl/>
      <w:pBdr>
        <w:bottom w:val="single" w:color="4F81BD" w:sz="4" w:space="1"/>
      </w:pBdr>
    </w:pPr>
    <w:rPr>
      <w:b/>
      <w:bCs/>
      <w:color w:val="1f497d"/>
      <w:sz w:val="20"/>
      <w:szCs w:val="23"/>
    </w:rPr>
  </w:style>
  <w:style w:type="paragraph" w:styleId="2166"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67" w:customStyle="1">
    <w:name w:val="样式 两端对齐"/>
    <w:basedOn w:val="678"/>
    <w:next w:val="2127"/>
    <w:uiPriority w:val="0"/>
    <w:qFormat/>
    <w:pPr>
      <w:ind w:firstLine="560"/>
      <w:spacing w:line="360" w:lineRule="auto"/>
    </w:pPr>
    <w:rPr>
      <w:rFonts w:ascii="宋体" w:hAnsi="Calibri" w:eastAsia="仿宋" w:cs="宋体"/>
      <w:sz w:val="28"/>
      <w:szCs w:val="20"/>
    </w:rPr>
  </w:style>
  <w:style w:type="paragraph" w:styleId="2168" w:customStyle="1">
    <w:name w:val="样式 行距: 固定值 20 磅 首行缩进:  2 字符"/>
    <w:basedOn w:val="678"/>
    <w:next w:val="2102"/>
    <w:uiPriority w:val="0"/>
    <w:qFormat/>
    <w:pPr>
      <w:ind w:firstLine="200"/>
      <w:jc w:val="left"/>
      <w:spacing w:line="360" w:lineRule="auto"/>
    </w:pPr>
    <w:rPr>
      <w:rFonts w:ascii="宋体" w:hAnsi="Calibri" w:eastAsia="仿宋" w:cs="宋体"/>
      <w:sz w:val="28"/>
      <w:szCs w:val="20"/>
    </w:rPr>
  </w:style>
  <w:style w:type="paragraph" w:styleId="2169" w:customStyle="1">
    <w:name w:val="_Style 3"/>
    <w:basedOn w:val="678"/>
    <w:uiPriority w:val="34"/>
    <w:qFormat/>
    <w:pPr>
      <w:jc w:val="left"/>
      <w:spacing w:before="100" w:beforeAutospacing="1" w:after="100" w:afterAutospacing="1"/>
      <w:widowControl/>
    </w:pPr>
    <w:rPr>
      <w:rFonts w:ascii="宋体" w:hAnsi="宋体" w:eastAsia="宋体" w:cs="宋体"/>
      <w:sz w:val="28"/>
      <w:szCs w:val="24"/>
    </w:rPr>
  </w:style>
  <w:style w:type="paragraph" w:styleId="2170" w:customStyle="1">
    <w:name w:val="文头"/>
    <w:basedOn w:val="67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71" w:customStyle="1">
    <w:name w:val="日期 Char2"/>
    <w:basedOn w:val="678"/>
    <w:uiPriority w:val="0"/>
    <w:qFormat/>
    <w:pPr>
      <w:ind w:firstLine="560"/>
      <w:spacing w:line="500" w:lineRule="exact"/>
    </w:pPr>
    <w:rPr>
      <w:rFonts w:ascii="Calibri" w:hAnsi="Calibri" w:eastAsia="仿宋" w:cs="Times New Roman"/>
      <w:sz w:val="28"/>
      <w:szCs w:val="20"/>
    </w:rPr>
  </w:style>
  <w:style w:type="paragraph" w:styleId="2172" w:customStyle="1">
    <w:name w:val="样式 正文内容 + 左侧:  0.74 厘米 首行缩进:  0.85 厘米"/>
    <w:basedOn w:val="678"/>
    <w:uiPriority w:val="0"/>
    <w:qFormat/>
    <w:pPr>
      <w:ind w:left="420" w:firstLine="480"/>
      <w:spacing w:line="380" w:lineRule="exact"/>
    </w:pPr>
    <w:rPr>
      <w:rFonts w:ascii="宋体" w:hAnsi="宋体" w:eastAsia="宋体" w:cs="宋体"/>
      <w:sz w:val="28"/>
      <w:szCs w:val="20"/>
      <w:lang w:eastAsia="ar-SA"/>
    </w:rPr>
  </w:style>
  <w:style w:type="paragraph" w:styleId="2173" w:customStyle="1">
    <w:name w:val="标题11"/>
    <w:basedOn w:val="678"/>
    <w:next w:val="678"/>
    <w:uiPriority w:val="0"/>
    <w:qFormat/>
    <w:pPr>
      <w:ind w:firstLine="560"/>
      <w:jc w:val="center"/>
      <w:spacing w:line="700" w:lineRule="atLeast"/>
      <w:tabs>
        <w:tab w:val="left" w:pos="9193" w:leader="none"/>
        <w:tab w:val="left" w:pos="9827" w:leader="none"/>
      </w:tabs>
    </w:pPr>
    <w:rPr>
      <w:rFonts w:ascii="方正小标宋_GBK" w:hAnsi="Calibri" w:eastAsia="方正小标宋_GBK" w:cs="Times New Roman"/>
      <w:sz w:val="44"/>
      <w:szCs w:val="20"/>
    </w:rPr>
  </w:style>
  <w:style w:type="paragraph" w:styleId="2174" w:customStyle="1">
    <w:name w:val="正文3"/>
    <w:basedOn w:val="678"/>
    <w:uiPriority w:val="0"/>
    <w:qFormat/>
    <w:pPr>
      <w:ind w:firstLine="560"/>
      <w:spacing w:line="500" w:lineRule="exact"/>
      <w:widowControl/>
    </w:pPr>
    <w:rPr>
      <w:rFonts w:ascii="Calibri" w:hAnsi="Calibri" w:eastAsia="仿宋" w:cs="Times New Roman"/>
      <w:sz w:val="28"/>
      <w:szCs w:val="20"/>
    </w:rPr>
  </w:style>
  <w:style w:type="paragraph" w:styleId="2175" w:customStyle="1">
    <w:name w:val="正文文本 Char2"/>
    <w:basedOn w:val="678"/>
    <w:uiPriority w:val="0"/>
    <w:qFormat/>
    <w:pPr>
      <w:ind w:firstLine="560"/>
      <w:spacing w:line="500" w:lineRule="exact"/>
    </w:pPr>
    <w:rPr>
      <w:rFonts w:ascii="Calibri" w:hAnsi="Calibri" w:eastAsia="仿宋" w:cs="Times New Roman"/>
      <w:sz w:val="28"/>
      <w:szCs w:val="20"/>
    </w:rPr>
  </w:style>
  <w:style w:type="paragraph" w:styleId="2176"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77" w:customStyle="1">
    <w:name w:val="样式 InfoBlue + 倾斜"/>
    <w:basedOn w:val="2148"/>
    <w:next w:val="2112"/>
    <w:uiPriority w:val="0"/>
    <w:qFormat/>
    <w:pPr>
      <w:ind w:left="720" w:firstLine="560"/>
      <w:keepNext w:val="0"/>
      <w:spacing w:after="120" w:line="360" w:lineRule="auto"/>
      <w:outlineLvl w:val="9"/>
    </w:pPr>
    <w:rPr>
      <w:bCs w:val="0"/>
      <w:iCs w:val="0"/>
      <w:color w:val="0000ff"/>
      <w:sz w:val="21"/>
      <w:szCs w:val="20"/>
    </w:rPr>
  </w:style>
  <w:style w:type="paragraph" w:styleId="2178" w:customStyle="1">
    <w:name w:val="Char Char Char Char Char Char Char Char Char Char Char Char Char2"/>
    <w:basedOn w:val="678"/>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179" w:customStyle="1">
    <w:name w:val="样式 正文文本缩进 + 左侧:  2 字符 行距: 固定值 20 磅 首行缩进:  2 字符"/>
    <w:basedOn w:val="789"/>
    <w:next w:val="1566"/>
    <w:uiPriority w:val="0"/>
    <w:qFormat/>
    <w:pPr>
      <w:ind w:left="400" w:firstLine="400"/>
      <w:jc w:val="both"/>
      <w:spacing w:line="360" w:lineRule="auto"/>
    </w:pPr>
    <w:rPr>
      <w:rFonts w:cs="宋体"/>
      <w:szCs w:val="20"/>
    </w:rPr>
  </w:style>
  <w:style w:type="paragraph" w:styleId="2180" w:customStyle="1">
    <w:name w:val="正文文本4"/>
    <w:basedOn w:val="678"/>
    <w:uiPriority w:val="99"/>
    <w:qFormat/>
    <w:pPr>
      <w:jc w:val="left"/>
      <w:spacing w:after="120" w:line="288" w:lineRule="auto"/>
      <w:widowControl/>
    </w:pPr>
    <w:rPr>
      <w:rFonts w:ascii="Verdana" w:hAnsi="Verdana" w:eastAsia="宋体" w:cs="Times New Roman"/>
      <w:sz w:val="24"/>
      <w:szCs w:val="20"/>
      <w:lang w:eastAsia="en-US"/>
    </w:rPr>
  </w:style>
  <w:style w:type="paragraph" w:styleId="2181" w:customStyle="1">
    <w:name w:val="Char1 Char Char Char3"/>
    <w:basedOn w:val="678"/>
    <w:uiPriority w:val="0"/>
    <w:qFormat/>
    <w:rPr>
      <w:rFonts w:ascii="Tahoma" w:hAnsi="Tahoma" w:eastAsia="宋体" w:cs="Times New Roman"/>
      <w:sz w:val="24"/>
      <w:szCs w:val="20"/>
    </w:rPr>
  </w:style>
  <w:style w:type="paragraph" w:styleId="2182" w:customStyle="1">
    <w:name w:val="Char Char112"/>
    <w:basedOn w:val="678"/>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183" w:customStyle="1">
    <w:name w:val="TOC Heading1"/>
    <w:basedOn w:val="679"/>
    <w:next w:val="67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4" w:customStyle="1">
    <w:name w:val="一级项目符号"/>
    <w:basedOn w:val="678"/>
    <w:next w:val="678"/>
    <w:uiPriority w:val="99"/>
    <w:qFormat/>
    <w:pPr>
      <w:ind w:left="720"/>
      <w:spacing w:before="60" w:after="60"/>
      <w:widowControl/>
      <w:tabs>
        <w:tab w:val="left" w:pos="0" w:leader="none"/>
        <w:tab w:val="left" w:pos="1140" w:leader="none"/>
      </w:tabs>
    </w:pPr>
    <w:rPr>
      <w:rFonts w:ascii="微软雅黑" w:hAnsi="微软雅黑" w:eastAsia="微软雅黑" w:cs="Times New Roman"/>
      <w:sz w:val="18"/>
      <w:szCs w:val="20"/>
    </w:rPr>
  </w:style>
  <w:style w:type="paragraph" w:styleId="2185" w:customStyle="1">
    <w:name w:val="正文排列"/>
    <w:basedOn w:val="678"/>
    <w:uiPriority w:val="0"/>
    <w:qFormat/>
    <w:pPr>
      <w:ind w:left="902"/>
      <w:tabs>
        <w:tab w:val="left" w:pos="902" w:leader="none"/>
      </w:tabs>
    </w:pPr>
    <w:rPr>
      <w:rFonts w:ascii="Times New Roman" w:hAnsi="Times New Roman" w:eastAsia="仿宋" w:cs="Times New Roman"/>
      <w:sz w:val="28"/>
      <w:szCs w:val="20"/>
    </w:rPr>
  </w:style>
  <w:style w:type="paragraph" w:styleId="2186" w:customStyle="1">
    <w:name w:val="H2 List Num cont"/>
    <w:basedOn w:val="67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cs="Times New Roman"/>
      <w:bCs/>
      <w:iCs/>
      <w:sz w:val="22"/>
      <w:szCs w:val="20"/>
      <w:lang w:eastAsia="en-US"/>
    </w:rPr>
  </w:style>
  <w:style w:type="paragraph" w:styleId="2187" w:customStyle="1">
    <w:name w:val="number0"/>
    <w:basedOn w:val="797"/>
    <w:uiPriority w:val="0"/>
    <w:qFormat/>
    <w:pPr>
      <w:ind w:left="1259"/>
      <w:spacing w:line="360" w:lineRule="auto"/>
      <w:widowControl/>
      <w:tabs>
        <w:tab w:val="left" w:pos="1320" w:leader="none"/>
        <w:tab w:val="left" w:pos="1440" w:leader="none"/>
      </w:tabs>
    </w:pPr>
    <w:rPr>
      <w:sz w:val="24"/>
    </w:rPr>
  </w:style>
  <w:style w:type="paragraph" w:styleId="2188" w:customStyle="1">
    <w:name w:val="文件标题1.1"/>
    <w:basedOn w:val="678"/>
    <w:uiPriority w:val="0"/>
    <w:qFormat/>
    <w:pPr>
      <w:ind w:left="1680"/>
      <w:jc w:val="left"/>
      <w:spacing w:line="360" w:lineRule="auto"/>
      <w:tabs>
        <w:tab w:val="left" w:pos="840" w:leader="none"/>
        <w:tab w:val="left" w:pos="1680" w:leader="none"/>
      </w:tabs>
      <w:outlineLvl w:val="1"/>
    </w:pPr>
    <w:rPr>
      <w:rFonts w:ascii="等线" w:hAnsi="等线" w:eastAsia="仿宋_GB2312" w:cs="Times New Roman"/>
      <w:b/>
      <w:sz w:val="24"/>
      <w:szCs w:val="24"/>
    </w:rPr>
  </w:style>
  <w:style w:type="paragraph" w:styleId="2189" w:customStyle="1">
    <w:name w:val="编号1-2"/>
    <w:basedOn w:val="678"/>
    <w:next w:val="678"/>
    <w:uiPriority w:val="0"/>
    <w:qFormat/>
    <w:pPr>
      <w:ind w:left="1260" w:firstLine="200"/>
      <w:spacing w:line="360" w:lineRule="auto"/>
      <w:widowControl/>
      <w:tabs>
        <w:tab w:val="left" w:pos="720" w:leader="none"/>
        <w:tab w:val="left" w:pos="1260" w:leader="none"/>
      </w:tabs>
    </w:pPr>
    <w:rPr>
      <w:rFonts w:ascii="Times New Roman" w:hAnsi="Times New Roman" w:eastAsia="仿宋_GB2312" w:cs="宋体"/>
      <w:sz w:val="28"/>
      <w:szCs w:val="20"/>
    </w:rPr>
  </w:style>
  <w:style w:type="paragraph" w:styleId="2190" w:customStyle="1">
    <w:name w:val="章正文 Char"/>
    <w:basedOn w:val="678"/>
    <w:uiPriority w:val="0"/>
    <w:qFormat/>
    <w:pPr>
      <w:ind w:firstLine="504"/>
      <w:spacing w:line="380" w:lineRule="exact"/>
      <w:widowControl/>
      <w:tabs>
        <w:tab w:val="left" w:pos="780" w:leader="none"/>
      </w:tabs>
    </w:pPr>
    <w:rPr>
      <w:rFonts w:ascii="宋体" w:hAnsi="宋体" w:eastAsia="仿宋_GB2312" w:cs="Times New Roman"/>
      <w:spacing w:val="6"/>
      <w:sz w:val="24"/>
      <w:szCs w:val="24"/>
    </w:rPr>
  </w:style>
  <w:style w:type="paragraph" w:styleId="2191" w:customStyle="1">
    <w:name w:val="ordinary-output"/>
    <w:basedOn w:val="678"/>
    <w:uiPriority w:val="0"/>
    <w:qFormat/>
    <w:pPr>
      <w:jc w:val="left"/>
      <w:spacing w:before="100" w:beforeAutospacing="1" w:after="100" w:afterAutospacing="1" w:line="330" w:lineRule="atLeast"/>
      <w:widowControl/>
    </w:pPr>
    <w:rPr>
      <w:rFonts w:ascii="宋体" w:hAnsi="宋体" w:eastAsia="宋体" w:cs="宋体"/>
      <w:color w:val="333333"/>
      <w:sz w:val="24"/>
      <w:szCs w:val="24"/>
    </w:rPr>
  </w:style>
  <w:style w:type="paragraph" w:styleId="2192"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93" w:customStyle="1">
    <w:name w:val="Char Char11"/>
    <w:basedOn w:val="678"/>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194"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95"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96"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97" w:customStyle="1">
    <w:name w:val="列项◆（三级）"/>
    <w:basedOn w:val="678"/>
    <w:uiPriority w:val="0"/>
    <w:qFormat/>
    <w:pPr>
      <w:ind w:left="1680" w:hanging="420"/>
    </w:pPr>
    <w:rPr>
      <w:rFonts w:ascii="宋体" w:hAnsi="Times New Roman" w:eastAsia="宋体" w:cs="Times New Roman"/>
      <w:szCs w:val="21"/>
    </w:rPr>
  </w:style>
  <w:style w:type="paragraph" w:styleId="2198"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99" w:customStyle="1">
    <w:name w:val="示例×："/>
    <w:basedOn w:val="1126"/>
    <w:uiPriority w:val="0"/>
    <w:qFormat/>
    <w:pPr>
      <w:ind w:left="842" w:hanging="420"/>
      <w:tabs>
        <w:tab w:val="left" w:pos="360" w:leader="none"/>
      </w:tabs>
      <w:outlineLvl w:val="9"/>
    </w:pPr>
    <w:rPr>
      <w:rFonts w:ascii="宋体" w:eastAsia="宋体"/>
      <w:sz w:val="18"/>
      <w:szCs w:val="18"/>
    </w:rPr>
  </w:style>
  <w:style w:type="paragraph" w:styleId="2200" w:customStyle="1">
    <w:name w:val="二级无"/>
    <w:basedOn w:val="1124"/>
    <w:uiPriority w:val="0"/>
    <w:qFormat/>
    <w:pPr>
      <w:ind w:left="0" w:firstLine="0"/>
      <w:jc w:val="left"/>
    </w:pPr>
    <w:rPr>
      <w:rFonts w:ascii="宋体" w:eastAsia="宋体"/>
      <w:szCs w:val="21"/>
      <w:lang w:val="zh-CN"/>
    </w:rPr>
  </w:style>
  <w:style w:type="paragraph" w:styleId="2201" w:customStyle="1">
    <w:name w:val="注：（正文）"/>
    <w:basedOn w:val="1453"/>
    <w:next w:val="1101"/>
    <w:uiPriority w:val="0"/>
    <w:qFormat/>
    <w:pPr>
      <w:ind w:left="425" w:hanging="425"/>
      <w:tabs>
        <w:tab w:val="left" w:pos="425" w:leader="none"/>
      </w:tabs>
    </w:pPr>
    <w:rPr>
      <w:szCs w:val="18"/>
    </w:rPr>
  </w:style>
  <w:style w:type="paragraph" w:styleId="2202"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03" w:customStyle="1">
    <w:name w:val="参考文献"/>
    <w:basedOn w:val="678"/>
    <w:next w:val="1101"/>
    <w:uiPriority w:val="0"/>
    <w:qFormat/>
    <w:pPr>
      <w:jc w:val="center"/>
      <w:keepNext/>
      <w:pageBreakBefore/>
      <w:spacing w:before="640" w:after="200"/>
      <w:shd w:val="clear" w:color="ffffff" w:fill="ffffff"/>
      <w:widowControl/>
      <w:outlineLvl w:val="0"/>
    </w:pPr>
    <w:rPr>
      <w:rFonts w:ascii="黑体" w:hAnsi="Times New Roman" w:eastAsia="黑体" w:cs="Times New Roman"/>
      <w:szCs w:val="20"/>
    </w:rPr>
  </w:style>
  <w:style w:type="paragraph" w:styleId="2204" w:customStyle="1">
    <w:name w:val="附录标题"/>
    <w:basedOn w:val="1101"/>
    <w:next w:val="1101"/>
    <w:uiPriority w:val="0"/>
    <w:qFormat/>
    <w:pPr>
      <w:ind w:firstLine="0"/>
      <w:jc w:val="center"/>
      <w:tabs>
        <w:tab w:val="center" w:pos="4201" w:leader="none"/>
        <w:tab w:val="right" w:pos="9298" w:leader="dot"/>
      </w:tabs>
    </w:pPr>
    <w:rPr>
      <w:rFonts w:ascii="黑体" w:eastAsia="黑体"/>
    </w:rPr>
  </w:style>
  <w:style w:type="paragraph" w:styleId="2205" w:customStyle="1">
    <w:name w:val="附录表标号"/>
    <w:basedOn w:val="678"/>
    <w:next w:val="1101"/>
    <w:uiPriority w:val="0"/>
    <w:qFormat/>
    <w:pPr>
      <w:ind w:left="811" w:hanging="448"/>
      <w:jc w:val="center"/>
      <w:spacing w:line="14" w:lineRule="exact"/>
      <w:outlineLvl w:val="0"/>
    </w:pPr>
    <w:rPr>
      <w:rFonts w:ascii="Times New Roman" w:hAnsi="Times New Roman" w:eastAsia="宋体" w:cs="Times New Roman"/>
      <w:color w:val="ffffff"/>
      <w:szCs w:val="24"/>
    </w:rPr>
  </w:style>
  <w:style w:type="paragraph" w:styleId="2206" w:customStyle="1">
    <w:name w:val="附录二级无"/>
    <w:basedOn w:val="1708"/>
    <w:uiPriority w:val="0"/>
    <w:qFormat/>
    <w:pPr>
      <w:ind w:left="851" w:hanging="851"/>
      <w:tabs>
        <w:tab w:val="left" w:pos="360" w:leader="none"/>
      </w:tabs>
    </w:pPr>
    <w:rPr>
      <w:rFonts w:ascii="宋体" w:eastAsia="宋体"/>
      <w:szCs w:val="21"/>
    </w:rPr>
  </w:style>
  <w:style w:type="paragraph" w:styleId="2207" w:customStyle="1">
    <w:name w:val="附录公式编号制表符"/>
    <w:basedOn w:val="678"/>
    <w:next w:val="1101"/>
    <w:uiPriority w:val="0"/>
    <w:qFormat/>
    <w:pPr>
      <w:widowControl/>
      <w:tabs>
        <w:tab w:val="center" w:pos="4201" w:leader="none"/>
        <w:tab w:val="right" w:pos="9298" w:leader="dot"/>
      </w:tabs>
    </w:pPr>
    <w:rPr>
      <w:rFonts w:ascii="宋体" w:hAnsi="Times New Roman" w:eastAsia="宋体" w:cs="Times New Roman"/>
      <w:szCs w:val="20"/>
    </w:rPr>
  </w:style>
  <w:style w:type="paragraph" w:styleId="2208" w:customStyle="1">
    <w:name w:val="附录三级无"/>
    <w:basedOn w:val="1714"/>
    <w:uiPriority w:val="0"/>
    <w:qFormat/>
    <w:pPr>
      <w:ind w:left="992" w:hanging="992"/>
      <w:tabs>
        <w:tab w:val="left" w:pos="360" w:leader="none"/>
      </w:tabs>
    </w:pPr>
    <w:rPr>
      <w:rFonts w:ascii="宋体" w:eastAsia="宋体"/>
      <w:szCs w:val="21"/>
    </w:rPr>
  </w:style>
  <w:style w:type="paragraph" w:styleId="2209"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10" w:customStyle="1">
    <w:name w:val="附录四级无"/>
    <w:basedOn w:val="1721"/>
    <w:uiPriority w:val="0"/>
    <w:qFormat/>
    <w:pPr>
      <w:ind w:left="1134" w:hanging="1134"/>
      <w:tabs>
        <w:tab w:val="left" w:pos="360" w:leader="none"/>
      </w:tabs>
    </w:pPr>
    <w:rPr>
      <w:rFonts w:ascii="宋体" w:eastAsia="宋体"/>
      <w:szCs w:val="21"/>
    </w:rPr>
  </w:style>
  <w:style w:type="paragraph" w:styleId="2211" w:customStyle="1">
    <w:name w:val="附录图标号"/>
    <w:basedOn w:val="678"/>
    <w:uiPriority w:val="0"/>
    <w:qFormat/>
    <w:pPr>
      <w:ind w:firstLine="363"/>
      <w:jc w:val="center"/>
      <w:keepNext/>
      <w:pageBreakBefore/>
      <w:spacing w:line="14" w:lineRule="exact"/>
      <w:widowControl/>
      <w:outlineLvl w:val="0"/>
    </w:pPr>
    <w:rPr>
      <w:rFonts w:ascii="Times New Roman" w:hAnsi="Times New Roman" w:eastAsia="宋体" w:cs="Times New Roman"/>
      <w:color w:val="ffffff"/>
      <w:szCs w:val="24"/>
    </w:rPr>
  </w:style>
  <w:style w:type="paragraph" w:styleId="2212" w:customStyle="1">
    <w:name w:val="附录五级无"/>
    <w:basedOn w:val="1733"/>
    <w:uiPriority w:val="0"/>
    <w:qFormat/>
    <w:pPr>
      <w:ind w:left="980"/>
      <w:tabs>
        <w:tab w:val="left" w:pos="360" w:leader="none"/>
      </w:tabs>
    </w:pPr>
    <w:rPr>
      <w:rFonts w:ascii="宋体" w:eastAsia="宋体"/>
      <w:szCs w:val="21"/>
    </w:rPr>
  </w:style>
  <w:style w:type="paragraph" w:styleId="2213" w:customStyle="1">
    <w:name w:val="附录一级无"/>
    <w:basedOn w:val="1559"/>
    <w:uiPriority w:val="0"/>
    <w:qFormat/>
    <w:pPr>
      <w:ind w:left="1779" w:hanging="1069"/>
      <w:tabs>
        <w:tab w:val="left" w:pos="360" w:leader="none"/>
      </w:tabs>
    </w:pPr>
    <w:rPr>
      <w:rFonts w:ascii="宋体" w:eastAsia="宋体"/>
      <w:szCs w:val="21"/>
    </w:rPr>
  </w:style>
  <w:style w:type="paragraph" w:styleId="2214"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15" w:customStyle="1">
    <w:name w:val="列项说明"/>
    <w:basedOn w:val="678"/>
    <w:uiPriority w:val="0"/>
    <w:qFormat/>
    <w:pPr>
      <w:ind w:left="400" w:hanging="200"/>
      <w:jc w:val="left"/>
      <w:spacing w:line="320" w:lineRule="exact"/>
    </w:pPr>
    <w:rPr>
      <w:rFonts w:ascii="宋体" w:hAnsi="Times New Roman" w:eastAsia="宋体" w:cs="Times New Roman"/>
      <w:szCs w:val="20"/>
    </w:rPr>
  </w:style>
  <w:style w:type="paragraph" w:styleId="2216"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17" w:customStyle="1">
    <w:name w:val="其他标准标志"/>
    <w:basedOn w:val="1759"/>
    <w:uiPriority w:val="0"/>
    <w:qFormat/>
    <w:pPr>
      <w:framePr w:w="6101" w:h="1389" w:vSpace="181" w:hSpace="181" w:wrap="around" w:vAnchor="page" w:hAnchor="page" w:x="4673" w:y="942" w:hRule="exact"/>
    </w:pPr>
    <w:rPr>
      <w:szCs w:val="96"/>
    </w:rPr>
  </w:style>
  <w:style w:type="paragraph" w:styleId="2218" w:customStyle="1">
    <w:name w:val="三级无"/>
    <w:basedOn w:val="1449"/>
    <w:uiPriority w:val="0"/>
    <w:qFormat/>
    <w:pPr>
      <w:jc w:val="left"/>
    </w:pPr>
    <w:rPr>
      <w:rFonts w:ascii="宋体" w:eastAsia="宋体"/>
      <w:szCs w:val="21"/>
      <w:lang w:val="zh-CN"/>
    </w:rPr>
  </w:style>
  <w:style w:type="paragraph" w:styleId="2219" w:customStyle="1">
    <w:name w:val="示例后文字"/>
    <w:basedOn w:val="1101"/>
    <w:next w:val="1101"/>
    <w:uiPriority w:val="0"/>
    <w:qFormat/>
    <w:pPr>
      <w:ind w:firstLine="360"/>
      <w:tabs>
        <w:tab w:val="center" w:pos="4201" w:leader="none"/>
        <w:tab w:val="right" w:pos="9298" w:leader="dot"/>
      </w:tabs>
    </w:pPr>
    <w:rPr>
      <w:sz w:val="18"/>
    </w:rPr>
  </w:style>
  <w:style w:type="paragraph" w:styleId="2220" w:customStyle="1">
    <w:name w:val="四级无"/>
    <w:basedOn w:val="1597"/>
    <w:uiPriority w:val="0"/>
    <w:qFormat/>
    <w:pPr>
      <w:jc w:val="left"/>
    </w:pPr>
    <w:rPr>
      <w:rFonts w:ascii="宋体" w:eastAsia="宋体"/>
      <w:szCs w:val="21"/>
      <w:lang w:val="zh-CN"/>
    </w:rPr>
  </w:style>
  <w:style w:type="paragraph" w:styleId="2221" w:customStyle="1">
    <w:name w:val="图标脚注说明"/>
    <w:basedOn w:val="1101"/>
    <w:uiPriority w:val="0"/>
    <w:qFormat/>
    <w:pPr>
      <w:ind w:left="840" w:hanging="420"/>
      <w:tabs>
        <w:tab w:val="center" w:pos="4201" w:leader="none"/>
        <w:tab w:val="right" w:pos="9298" w:leader="dot"/>
      </w:tabs>
    </w:pPr>
    <w:rPr>
      <w:sz w:val="18"/>
      <w:szCs w:val="18"/>
    </w:rPr>
  </w:style>
  <w:style w:type="paragraph" w:styleId="2222" w:customStyle="1">
    <w:name w:val="图表脚注说明"/>
    <w:basedOn w:val="678"/>
    <w:uiPriority w:val="0"/>
    <w:qFormat/>
    <w:pPr>
      <w:ind w:left="811" w:hanging="448"/>
    </w:pPr>
    <w:rPr>
      <w:rFonts w:ascii="宋体" w:hAnsi="Times New Roman" w:eastAsia="宋体" w:cs="Times New Roman"/>
      <w:sz w:val="18"/>
      <w:szCs w:val="18"/>
    </w:rPr>
  </w:style>
  <w:style w:type="paragraph" w:styleId="2223" w:customStyle="1">
    <w:name w:val="图的脚注"/>
    <w:next w:val="1101"/>
    <w:uiPriority w:val="0"/>
    <w:qFormat/>
    <w:pPr>
      <w:ind w:left="840" w:hanging="420"/>
      <w:jc w:val="both"/>
      <w:widowControl w:val="off"/>
    </w:pPr>
    <w:rPr>
      <w:rFonts w:ascii="宋体" w:hAnsi="Times New Roman" w:eastAsia="宋体" w:cs="Times New Roman"/>
      <w:sz w:val="18"/>
      <w:lang w:val="en-US" w:eastAsia="zh-CN" w:bidi="ar-SA"/>
    </w:rPr>
  </w:style>
  <w:style w:type="paragraph" w:styleId="2224" w:customStyle="1">
    <w:name w:val="五级无"/>
    <w:basedOn w:val="1660"/>
    <w:uiPriority w:val="0"/>
    <w:qFormat/>
    <w:pPr>
      <w:jc w:val="left"/>
    </w:pPr>
    <w:rPr>
      <w:rFonts w:ascii="宋体" w:eastAsia="宋体"/>
      <w:szCs w:val="21"/>
      <w:lang w:val="zh-CN"/>
    </w:rPr>
  </w:style>
  <w:style w:type="paragraph" w:styleId="2225" w:customStyle="1">
    <w:name w:val="一级无"/>
    <w:basedOn w:val="1125"/>
    <w:uiPriority w:val="0"/>
    <w:qFormat/>
    <w:pPr>
      <w:ind w:left="0" w:firstLine="0"/>
      <w:jc w:val="left"/>
    </w:pPr>
    <w:rPr>
      <w:rFonts w:ascii="宋体" w:eastAsia="宋体"/>
      <w:szCs w:val="21"/>
    </w:rPr>
  </w:style>
  <w:style w:type="paragraph" w:styleId="2226" w:customStyle="1">
    <w:name w:val="正文公式编号制表符"/>
    <w:basedOn w:val="1101"/>
    <w:next w:val="1101"/>
    <w:uiPriority w:val="0"/>
    <w:qFormat/>
    <w:pPr>
      <w:ind w:firstLine="0"/>
      <w:tabs>
        <w:tab w:val="center" w:pos="4201" w:leader="none"/>
        <w:tab w:val="right" w:pos="9298" w:leader="dot"/>
      </w:tabs>
    </w:pPr>
  </w:style>
  <w:style w:type="paragraph" w:styleId="2227" w:customStyle="1">
    <w:name w:val="终结线"/>
    <w:basedOn w:val="678"/>
    <w:uiPriority w:val="0"/>
    <w:qFormat/>
    <w:pPr>
      <w:framePr w:vSpace="181" w:hSpace="181" w:wrap="around" w:vAnchor="text" w:hAnchor="margin" w:xAlign="center" w:y="285"/>
    </w:pPr>
    <w:rPr>
      <w:rFonts w:ascii="Times New Roman" w:hAnsi="Times New Roman" w:eastAsia="宋体" w:cs="Times New Roman"/>
      <w:szCs w:val="24"/>
    </w:rPr>
  </w:style>
  <w:style w:type="paragraph" w:styleId="2228" w:customStyle="1">
    <w:name w:val="其他发布日期"/>
    <w:basedOn w:val="1588"/>
    <w:uiPriority w:val="0"/>
    <w:qFormat/>
    <w:pPr>
      <w:framePr w:w="3997" w:h="471" w:vSpace="181" w:hSpace="0" w:wrap="around" w:vAnchor="page" w:hAnchor="page" w:x="1419" w:y="14097" w:hRule="exact"/>
    </w:pPr>
  </w:style>
  <w:style w:type="paragraph" w:styleId="2229" w:customStyle="1">
    <w:name w:val="其他实施日期"/>
    <w:basedOn w:val="1587"/>
    <w:uiPriority w:val="0"/>
    <w:qFormat/>
    <w:pPr>
      <w:ind w:left="0" w:firstLine="0"/>
      <w:framePr w:w="3997" w:h="471" w:vSpace="181" w:wrap="around" w:vAnchor="page" w:hAnchor="page" w:x="7089" w:y="14097" w:hRule="exact"/>
    </w:pPr>
  </w:style>
  <w:style w:type="paragraph" w:styleId="2230" w:customStyle="1">
    <w:name w:val="封面标准名称2"/>
    <w:basedOn w:val="1837"/>
    <w:uiPriority w:val="0"/>
    <w:qFormat/>
    <w:pPr>
      <w:framePr w:w="9639" w:wrap="around" w:vAnchor="page" w:hAnchor="page" w:y="4469"/>
    </w:pPr>
  </w:style>
  <w:style w:type="paragraph" w:styleId="2231" w:customStyle="1">
    <w:name w:val="封面标准英文名称2"/>
    <w:basedOn w:val="1639"/>
    <w:uiPriority w:val="0"/>
    <w:qFormat/>
    <w:pPr>
      <w:framePr w:w="9639" w:h="6917" w:wrap="around" w:vAnchor="page" w:hAnchor="page" w:xAlign="center" w:y="4469" w:hRule="exact"/>
    </w:pPr>
    <w:rPr>
      <w:rFonts w:eastAsia="黑体"/>
      <w:szCs w:val="28"/>
    </w:rPr>
  </w:style>
  <w:style w:type="paragraph" w:styleId="2232" w:customStyle="1">
    <w:name w:val="封面一致性程度标识2"/>
    <w:basedOn w:val="2020"/>
    <w:uiPriority w:val="0"/>
    <w:qFormat/>
    <w:pPr>
      <w:widowControl w:val="off"/>
      <w:framePr w:w="9639" w:h="6917" w:wrap="around" w:vAnchor="page" w:hAnchor="page" w:xAlign="center" w:y="4469" w:hRule="exact"/>
    </w:pPr>
    <w:rPr>
      <w:szCs w:val="28"/>
    </w:rPr>
  </w:style>
  <w:style w:type="paragraph" w:styleId="2233" w:customStyle="1">
    <w:name w:val="封面标准文稿类别2"/>
    <w:basedOn w:val="1894"/>
    <w:uiPriority w:val="0"/>
    <w:qFormat/>
    <w:pPr>
      <w:spacing w:after="160" w:line="240" w:lineRule="auto"/>
      <w:widowControl w:val="off"/>
      <w:framePr w:w="9639" w:h="6917" w:wrap="around" w:vAnchor="page" w:hAnchor="page" w:xAlign="center" w:y="4469" w:hRule="exact"/>
    </w:pPr>
    <w:rPr>
      <w:szCs w:val="28"/>
    </w:rPr>
  </w:style>
  <w:style w:type="paragraph" w:styleId="2234" w:customStyle="1">
    <w:name w:val="封面标准文稿编辑信息2"/>
    <w:basedOn w:val="2061"/>
    <w:uiPriority w:val="0"/>
    <w:qFormat/>
    <w:pPr>
      <w:spacing w:after="160"/>
      <w:widowControl w:val="off"/>
      <w:framePr w:w="9639" w:h="6917" w:wrap="around" w:vAnchor="page" w:hAnchor="page" w:xAlign="center" w:y="4469" w:hRule="exact"/>
    </w:pPr>
    <w:rPr>
      <w:szCs w:val="28"/>
    </w:rPr>
  </w:style>
  <w:style w:type="paragraph" w:styleId="2235"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36" w:customStyle="1">
    <w:name w:val="封面正文内容"/>
    <w:basedOn w:val="678"/>
    <w:next w:val="678"/>
    <w:uiPriority w:val="0"/>
    <w:qFormat/>
    <w:rPr>
      <w:rFonts w:ascii="宋体" w:hAnsi="宋体" w:eastAsia="宋体" w:cs="宋体"/>
      <w:sz w:val="30"/>
      <w:szCs w:val="30"/>
    </w:rPr>
  </w:style>
  <w:style w:type="paragraph" w:styleId="2237" w:customStyle="1">
    <w:name w:val="a"/>
    <w:basedOn w:val="678"/>
    <w:uiPriority w:val="0"/>
    <w:qFormat/>
    <w:pPr>
      <w:jc w:val="left"/>
      <w:spacing w:before="100" w:beforeAutospacing="1" w:after="100" w:afterAutospacing="1"/>
      <w:widowControl/>
    </w:pPr>
    <w:rPr>
      <w:rFonts w:ascii="宋体" w:hAnsi="宋体" w:eastAsia="宋体" w:cs="宋体"/>
      <w:sz w:val="24"/>
      <w:szCs w:val="24"/>
    </w:rPr>
  </w:style>
  <w:style w:type="paragraph" w:styleId="2238" w:customStyle="1">
    <w:name w:val="方框下的ABC标题"/>
    <w:basedOn w:val="678"/>
    <w:uiPriority w:val="0"/>
    <w:qFormat/>
    <w:pPr>
      <w:spacing w:line="360" w:lineRule="auto"/>
    </w:pPr>
    <w:rPr>
      <w:rFonts w:ascii="Times New Roman" w:hAnsi="宋体" w:eastAsia="宋体" w:cs="Times New Roman"/>
      <w:szCs w:val="24"/>
    </w:rPr>
  </w:style>
  <w:style w:type="paragraph" w:styleId="2239" w:customStyle="1">
    <w:name w:val="SUR-方框下的ABC标题"/>
    <w:basedOn w:val="678"/>
    <w:uiPriority w:val="0"/>
    <w:qFormat/>
    <w:pPr>
      <w:ind w:left="726" w:hanging="363"/>
      <w:jc w:val="left"/>
      <w:spacing w:line="360" w:lineRule="auto"/>
      <w:tabs>
        <w:tab w:val="left" w:pos="1140" w:leader="none"/>
      </w:tabs>
    </w:pPr>
    <w:rPr>
      <w:rFonts w:ascii="Times New Roman" w:hAnsi="Times New Roman" w:eastAsia="宋体" w:cs="Times New Roman"/>
      <w:szCs w:val="20"/>
      <w:lang w:eastAsia="en-US"/>
    </w:rPr>
  </w:style>
  <w:style w:type="paragraph" w:styleId="2240"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41" w:customStyle="1">
    <w:name w:val="D标题二"/>
    <w:basedOn w:val="2240"/>
    <w:next w:val="2240"/>
    <w:uiPriority w:val="0"/>
    <w:qFormat/>
    <w:rPr>
      <w:rFonts w:eastAsia="黑体"/>
    </w:rPr>
  </w:style>
  <w:style w:type="paragraph" w:styleId="2242" w:customStyle="1">
    <w:name w:val="点对点应答文字"/>
    <w:basedOn w:val="678"/>
    <w:uiPriority w:val="0"/>
    <w:qFormat/>
    <w:pPr>
      <w:jc w:val="left"/>
      <w:spacing w:line="360" w:lineRule="auto"/>
    </w:pPr>
    <w:rPr>
      <w:rFonts w:ascii="Times New Roman" w:hAnsi="Times New Roman" w:eastAsia="宋体" w:cs="Times New Roman"/>
      <w:i/>
      <w:color w:val="0000ff"/>
      <w:szCs w:val="20"/>
      <w:lang w:eastAsia="en-US"/>
    </w:rPr>
  </w:style>
  <w:style w:type="paragraph" w:styleId="2243" w:customStyle="1">
    <w:name w:val="SUR-方框标题"/>
    <w:basedOn w:val="678"/>
    <w:uiPriority w:val="0"/>
    <w:qFormat/>
    <w:pPr>
      <w:jc w:val="left"/>
      <w:spacing w:line="360" w:lineRule="auto"/>
    </w:pPr>
    <w:rPr>
      <w:rFonts w:ascii="Times New Roman" w:hAnsi="Times New Roman" w:eastAsia="宋体" w:cs="Times New Roman"/>
      <w:szCs w:val="20"/>
      <w:lang w:eastAsia="en-US"/>
    </w:rPr>
  </w:style>
  <w:style w:type="paragraph" w:styleId="2244" w:customStyle="1">
    <w:name w:val="表内文字"/>
    <w:uiPriority w:val="0"/>
    <w:qFormat/>
    <w:rPr>
      <w:rFonts w:ascii="Times New Roman" w:hAnsi="Times New Roman" w:eastAsia="宋体" w:cs="Times New Roman"/>
      <w:sz w:val="21"/>
      <w:lang w:val="en-US" w:eastAsia="zh-CN" w:bidi="ar-SA"/>
    </w:rPr>
  </w:style>
  <w:style w:type="paragraph" w:styleId="2245" w:customStyle="1">
    <w:name w:val="示意图说明"/>
    <w:basedOn w:val="678"/>
    <w:next w:val="691"/>
    <w:uiPriority w:val="0"/>
    <w:qFormat/>
    <w:pPr>
      <w:jc w:val="center"/>
      <w:spacing w:line="360" w:lineRule="auto"/>
    </w:pPr>
    <w:rPr>
      <w:rFonts w:ascii="Times New Roman" w:hAnsi="Times New Roman" w:eastAsia="黑体" w:cs="Times New Roman"/>
      <w:szCs w:val="20"/>
      <w:lang w:eastAsia="en-US"/>
    </w:rPr>
  </w:style>
  <w:style w:type="paragraph" w:styleId="2246" w:customStyle="1">
    <w:name w:val="方框标题"/>
    <w:basedOn w:val="678"/>
    <w:next w:val="678"/>
    <w:uiPriority w:val="0"/>
    <w:qFormat/>
    <w:pPr>
      <w:ind w:firstLine="397"/>
      <w:spacing w:line="360" w:lineRule="auto"/>
      <w:tabs>
        <w:tab w:val="left" w:pos="420" w:leader="none"/>
      </w:tabs>
    </w:pPr>
    <w:rPr>
      <w:rFonts w:ascii="Times New Roman" w:hAnsi="Times New Roman" w:eastAsia="黑体" w:cs="Times New Roman"/>
      <w:szCs w:val="24"/>
    </w:rPr>
  </w:style>
  <w:style w:type="paragraph" w:styleId="2247"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48" w:customStyle="1">
    <w:name w:val="MM Topic 1"/>
    <w:basedOn w:val="67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49" w:customStyle="1">
    <w:name w:val="MM Topic 3"/>
    <w:basedOn w:val="681"/>
    <w:uiPriority w:val="0"/>
    <w:qFormat/>
    <w:pPr>
      <w:ind w:left="420" w:hanging="420"/>
      <w:tabs>
        <w:tab w:val="left" w:pos="0" w:leader="none"/>
      </w:tabs>
    </w:pPr>
    <w:rPr>
      <w:rFonts w:ascii="Calibri" w:hAnsi="Calibri"/>
      <w:bCs/>
      <w:szCs w:val="32"/>
      <w:lang w:val="zh-CN"/>
    </w:rPr>
  </w:style>
  <w:style w:type="paragraph" w:styleId="2250" w:customStyle="1">
    <w:name w:val="p15"/>
    <w:basedOn w:val="678"/>
    <w:uiPriority w:val="0"/>
    <w:qFormat/>
    <w:pPr>
      <w:jc w:val="left"/>
      <w:spacing w:before="156" w:after="156"/>
      <w:widowControl/>
    </w:pPr>
    <w:rPr>
      <w:rFonts w:ascii="黑体" w:hAnsi="黑体" w:eastAsia="黑体" w:cs="宋体"/>
      <w:szCs w:val="21"/>
    </w:rPr>
  </w:style>
  <w:style w:type="paragraph" w:styleId="2251" w:customStyle="1">
    <w:name w:val="p16"/>
    <w:basedOn w:val="678"/>
    <w:uiPriority w:val="0"/>
    <w:qFormat/>
    <w:pPr>
      <w:ind w:firstLine="420"/>
      <w:widowControl/>
    </w:pPr>
    <w:rPr>
      <w:rFonts w:ascii="宋体" w:hAnsi="宋体" w:eastAsia="宋体" w:cs="宋体"/>
      <w:sz w:val="20"/>
      <w:szCs w:val="20"/>
    </w:rPr>
  </w:style>
  <w:style w:type="paragraph" w:styleId="2252" w:customStyle="1">
    <w:name w:val="p17"/>
    <w:basedOn w:val="678"/>
    <w:uiPriority w:val="0"/>
    <w:qFormat/>
    <w:pPr>
      <w:jc w:val="center"/>
      <w:spacing w:before="156" w:after="156"/>
      <w:widowControl/>
    </w:pPr>
    <w:rPr>
      <w:rFonts w:ascii="黑体" w:hAnsi="黑体" w:eastAsia="黑体" w:cs="宋体"/>
      <w:szCs w:val="21"/>
    </w:rPr>
  </w:style>
  <w:style w:type="paragraph" w:styleId="2253" w:customStyle="1">
    <w:name w:val="0-投标正文"/>
    <w:basedOn w:val="67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4" w:customStyle="1">
    <w:name w:val="网格型1"/>
    <w:basedOn w:val="776"/>
    <w:uiPriority w:val="39"/>
    <w:qFormat/>
    <w:tblPr>
      <w:tblCellMar>
        <w:left w:w="0" w:type="dxa"/>
        <w:top w:w="0" w:type="dxa"/>
        <w:right w:w="0" w:type="dxa"/>
        <w:bottom w:w="0" w:type="dxa"/>
      </w:tblCellMar>
    </w:tblPr>
  </w:style>
  <w:style w:type="table" w:styleId="2255" w:customStyle="1">
    <w:name w:val="网格型2"/>
    <w:basedOn w:val="776"/>
    <w:uiPriority w:val="39"/>
    <w:qFormat/>
    <w:tblPr>
      <w:tblCellMar>
        <w:left w:w="0" w:type="dxa"/>
        <w:top w:w="0" w:type="dxa"/>
        <w:right w:w="0" w:type="dxa"/>
        <w:bottom w:w="0" w:type="dxa"/>
      </w:tblCellMar>
    </w:tblPr>
  </w:style>
  <w:style w:type="table" w:styleId="2256" w:customStyle="1">
    <w:name w:val="网格型11"/>
    <w:basedOn w:val="776"/>
    <w:uiPriority w:val="39"/>
    <w:qFormat/>
    <w:pPr>
      <w:jc w:val="both"/>
      <w:widowControl w:val="off"/>
    </w:pPr>
    <w:tblPr>
      <w:tblCellMar>
        <w:left w:w="0" w:type="dxa"/>
        <w:top w:w="0" w:type="dxa"/>
        <w:right w:w="0" w:type="dxa"/>
        <w:bottom w:w="0" w:type="dxa"/>
      </w:tblCellMar>
    </w:tblPr>
  </w:style>
  <w:style w:type="table" w:styleId="2257" w:customStyle="1">
    <w:name w:val="网格型21"/>
    <w:basedOn w:val="776"/>
    <w:uiPriority w:val="39"/>
    <w:qFormat/>
    <w:pPr>
      <w:jc w:val="both"/>
      <w:widowControl w:val="off"/>
    </w:pPr>
    <w:tblPr>
      <w:tblCellMar>
        <w:left w:w="0" w:type="dxa"/>
        <w:top w:w="0" w:type="dxa"/>
        <w:right w:w="0" w:type="dxa"/>
        <w:bottom w:w="0" w:type="dxa"/>
      </w:tblCellMar>
    </w:tblPr>
  </w:style>
  <w:style w:type="table" w:styleId="2258" w:customStyle="1">
    <w:name w:val="网格型3"/>
    <w:basedOn w:val="776"/>
    <w:uiPriority w:val="59"/>
    <w:qFormat/>
    <w:tblPr>
      <w:tblCellMar>
        <w:left w:w="0" w:type="dxa"/>
        <w:top w:w="0" w:type="dxa"/>
        <w:right w:w="0" w:type="dxa"/>
        <w:bottom w:w="0" w:type="dxa"/>
      </w:tblCellMar>
    </w:tblPr>
  </w:style>
  <w:style w:type="table" w:styleId="2259" w:customStyle="1">
    <w:name w:val="网格型12"/>
    <w:basedOn w:val="776"/>
    <w:uiPriority w:val="39"/>
    <w:qFormat/>
    <w:pPr>
      <w:jc w:val="both"/>
      <w:widowControl w:val="off"/>
    </w:pPr>
    <w:tblPr>
      <w:tblCellMar>
        <w:left w:w="0" w:type="dxa"/>
        <w:top w:w="0" w:type="dxa"/>
        <w:right w:w="0" w:type="dxa"/>
        <w:bottom w:w="0" w:type="dxa"/>
      </w:tblCellMar>
    </w:tblPr>
  </w:style>
  <w:style w:type="table" w:styleId="2260" w:customStyle="1">
    <w:name w:val="网格型22"/>
    <w:basedOn w:val="776"/>
    <w:uiPriority w:val="39"/>
    <w:qFormat/>
    <w:pPr>
      <w:jc w:val="both"/>
      <w:widowControl w:val="off"/>
    </w:pPr>
    <w:tblPr>
      <w:tblCellMar>
        <w:left w:w="0" w:type="dxa"/>
        <w:top w:w="0" w:type="dxa"/>
        <w:right w:w="0" w:type="dxa"/>
        <w:bottom w:w="0" w:type="dxa"/>
      </w:tblCellMar>
    </w:tblPr>
  </w:style>
  <w:style w:type="table" w:styleId="2261" w:customStyle="1">
    <w:name w:val="网格型4"/>
    <w:basedOn w:val="776"/>
    <w:uiPriority w:val="59"/>
    <w:qFormat/>
    <w:tblPr>
      <w:tblCellMar>
        <w:left w:w="0" w:type="dxa"/>
        <w:top w:w="0" w:type="dxa"/>
        <w:right w:w="0" w:type="dxa"/>
        <w:bottom w:w="0" w:type="dxa"/>
      </w:tblCellMar>
    </w:tblPr>
  </w:style>
  <w:style w:type="table" w:styleId="2262" w:customStyle="1">
    <w:name w:val="网格型13"/>
    <w:basedOn w:val="776"/>
    <w:uiPriority w:val="39"/>
    <w:qFormat/>
    <w:pPr>
      <w:jc w:val="both"/>
      <w:widowControl w:val="off"/>
    </w:pPr>
    <w:tblPr>
      <w:tblCellMar>
        <w:left w:w="0" w:type="dxa"/>
        <w:top w:w="0" w:type="dxa"/>
        <w:right w:w="0" w:type="dxa"/>
        <w:bottom w:w="0" w:type="dxa"/>
      </w:tblCellMar>
    </w:tblPr>
  </w:style>
  <w:style w:type="table" w:styleId="2263" w:customStyle="1">
    <w:name w:val="网格型23"/>
    <w:basedOn w:val="776"/>
    <w:uiPriority w:val="39"/>
    <w:qFormat/>
    <w:pPr>
      <w:jc w:val="both"/>
      <w:widowControl w:val="off"/>
    </w:pPr>
    <w:tblPr>
      <w:tblCellMar>
        <w:left w:w="0" w:type="dxa"/>
        <w:top w:w="0" w:type="dxa"/>
        <w:right w:w="0" w:type="dxa"/>
        <w:bottom w:w="0" w:type="dxa"/>
      </w:tblCellMar>
    </w:tblPr>
  </w:style>
  <w:style w:type="table" w:styleId="2264" w:customStyle="1">
    <w:name w:val="网格型5"/>
    <w:basedOn w:val="776"/>
    <w:uiPriority w:val="59"/>
    <w:qFormat/>
    <w:tblPr>
      <w:tblCellMar>
        <w:left w:w="0" w:type="dxa"/>
        <w:top w:w="0" w:type="dxa"/>
        <w:right w:w="0" w:type="dxa"/>
        <w:bottom w:w="0" w:type="dxa"/>
      </w:tblCellMar>
    </w:tblPr>
  </w:style>
  <w:style w:type="table" w:styleId="2265" w:customStyle="1">
    <w:name w:val="网格型6"/>
    <w:basedOn w:val="776"/>
    <w:uiPriority w:val="59"/>
    <w:qFormat/>
    <w:tblPr>
      <w:tblCellMar>
        <w:left w:w="0" w:type="dxa"/>
        <w:top w:w="0" w:type="dxa"/>
        <w:right w:w="0" w:type="dxa"/>
        <w:bottom w:w="0" w:type="dxa"/>
      </w:tblCellMar>
    </w:tblPr>
  </w:style>
  <w:style w:type="table" w:styleId="2266" w:customStyle="1">
    <w:name w:val="网格型14"/>
    <w:basedOn w:val="776"/>
    <w:uiPriority w:val="39"/>
    <w:qFormat/>
    <w:pPr>
      <w:jc w:val="both"/>
      <w:widowControl w:val="off"/>
    </w:pPr>
    <w:tblPr>
      <w:tblCellMar>
        <w:left w:w="0" w:type="dxa"/>
        <w:top w:w="0" w:type="dxa"/>
        <w:right w:w="0" w:type="dxa"/>
        <w:bottom w:w="0" w:type="dxa"/>
      </w:tblCellMar>
    </w:tblPr>
  </w:style>
  <w:style w:type="table" w:styleId="2267" w:customStyle="1">
    <w:name w:val="网格型24"/>
    <w:basedOn w:val="776"/>
    <w:uiPriority w:val="39"/>
    <w:qFormat/>
    <w:pPr>
      <w:jc w:val="both"/>
      <w:widowControl w:val="off"/>
    </w:pPr>
    <w:tblPr>
      <w:tblCellMar>
        <w:left w:w="0" w:type="dxa"/>
        <w:top w:w="0" w:type="dxa"/>
        <w:right w:w="0" w:type="dxa"/>
        <w:bottom w:w="0" w:type="dxa"/>
      </w:tblCellMar>
    </w:tblPr>
  </w:style>
  <w:style w:type="table" w:styleId="2268" w:customStyle="1">
    <w:name w:val="网格型7"/>
    <w:basedOn w:val="776"/>
    <w:uiPriority w:val="59"/>
    <w:qFormat/>
    <w:tblPr>
      <w:tblCellMar>
        <w:left w:w="0" w:type="dxa"/>
        <w:top w:w="0" w:type="dxa"/>
        <w:right w:w="0" w:type="dxa"/>
        <w:bottom w:w="0" w:type="dxa"/>
      </w:tblCellMar>
    </w:tblPr>
  </w:style>
  <w:style w:type="table" w:styleId="2269" w:customStyle="1">
    <w:name w:val="网格型8"/>
    <w:basedOn w:val="776"/>
    <w:uiPriority w:val="59"/>
    <w:qFormat/>
    <w:rPr>
      <w:rFonts w:ascii="Calibri" w:hAnsi="Calibri"/>
    </w:rPr>
    <w:tblPr>
      <w:tblCellMar>
        <w:left w:w="0" w:type="dxa"/>
        <w:top w:w="0" w:type="dxa"/>
        <w:right w:w="0" w:type="dxa"/>
        <w:bottom w:w="0" w:type="dxa"/>
      </w:tblCellMar>
    </w:tblPr>
  </w:style>
  <w:style w:type="character" w:styleId="2270" w:customStyle="1">
    <w:name w:val="普通(网站) Char"/>
    <w:uiPriority w:val="0"/>
    <w:qFormat/>
    <w:rPr>
      <w:rFonts w:ascii="宋体" w:hAnsi="宋体" w:cs="宋体"/>
      <w:color w:val="000000"/>
      <w:sz w:val="24"/>
      <w:szCs w:val="24"/>
    </w:rPr>
  </w:style>
  <w:style w:type="character" w:styleId="2271" w:customStyle="1">
    <w:name w:val="正文缩进 Char"/>
    <w:uiPriority w:val="0"/>
    <w:qFormat/>
    <w:rPr>
      <w:rFonts w:eastAsia="宋体"/>
      <w:sz w:val="21"/>
      <w:lang w:val="en-US" w:eastAsia="zh-CN" w:bidi="ar-SA"/>
    </w:rPr>
  </w:style>
  <w:style w:type="paragraph" w:styleId="2272" w:customStyle="1">
    <w:name w:val="Andy_正文格式"/>
    <w:basedOn w:val="678"/>
    <w:uiPriority w:val="0"/>
    <w:qFormat/>
    <w:pPr>
      <w:ind w:firstLine="560"/>
      <w:jc w:val="left"/>
    </w:pPr>
    <w:rPr>
      <w:rFonts w:ascii="仿宋_GB2312" w:hAnsi="Times New Roman" w:eastAsia="仿宋_GB2312" w:cs="Times New Roman"/>
      <w:sz w:val="28"/>
      <w:szCs w:val="28"/>
    </w:rPr>
  </w:style>
  <w:style w:type="character" w:styleId="2273" w:customStyle="1">
    <w:name w:val="p141"/>
    <w:uiPriority w:val="0"/>
    <w:qFormat/>
    <w:rPr>
      <w:sz w:val="21"/>
      <w:szCs w:val="21"/>
    </w:rPr>
  </w:style>
  <w:style w:type="paragraph" w:styleId="227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75" w:customStyle="1">
    <w:name w:val="px_10"/>
    <w:uiPriority w:val="0"/>
    <w:qFormat/>
  </w:style>
  <w:style w:type="paragraph" w:styleId="2276"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77" w:customStyle="1">
    <w:name w:val="text-tag"/>
    <w:basedOn w:val="678"/>
    <w:uiPriority w:val="99"/>
    <w:semiHidden/>
    <w:qFormat/>
    <w:pPr>
      <w:jc w:val="left"/>
      <w:spacing w:before="100" w:beforeAutospacing="1" w:after="100" w:afterAutospacing="1"/>
      <w:widowControl/>
    </w:pPr>
    <w:rPr>
      <w:rFonts w:ascii="宋体" w:hAnsi="宋体" w:eastAsia="宋体" w:cs="宋体"/>
      <w:sz w:val="24"/>
      <w:szCs w:val="24"/>
    </w:rPr>
  </w:style>
  <w:style w:type="paragraph" w:styleId="2278" w:customStyle="1">
    <w:name w:val="_Style 1379"/>
    <w:basedOn w:val="678"/>
    <w:next w:val="678"/>
    <w:uiPriority w:val="0"/>
    <w:qFormat/>
    <w:pPr>
      <w:jc w:val="center"/>
      <w:pBdr>
        <w:bottom w:val="single" w:color="000000" w:sz="6" w:space="1"/>
      </w:pBdr>
    </w:pPr>
    <w:rPr>
      <w:rFonts w:ascii="Arial" w:hAnsi="Times New Roman" w:eastAsia="宋体" w:cs="Times New Roman"/>
      <w:vanish/>
      <w:sz w:val="16"/>
      <w:szCs w:val="24"/>
    </w:rPr>
  </w:style>
  <w:style w:type="paragraph" w:styleId="2279" w:customStyle="1">
    <w:name w:val="_Style 1380"/>
    <w:basedOn w:val="678"/>
    <w:next w:val="678"/>
    <w:uiPriority w:val="0"/>
    <w:qFormat/>
    <w:pPr>
      <w:jc w:val="center"/>
      <w:pBdr>
        <w:top w:val="single" w:color="000000" w:sz="6" w:space="1"/>
      </w:pBdr>
    </w:pPr>
    <w:rPr>
      <w:rFonts w:ascii="Arial" w:hAnsi="Times New Roman" w:eastAsia="宋体" w:cs="Times New Roman"/>
      <w:vanish/>
      <w:sz w:val="16"/>
      <w:szCs w:val="24"/>
    </w:rPr>
  </w:style>
  <w:style w:type="paragraph" w:styleId="2280"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281" w:customStyle="1">
    <w:name w:val="索引 11"/>
    <w:basedOn w:val="678"/>
    <w:next w:val="678"/>
    <w:uiPriority w:val="99"/>
    <w:qFormat/>
    <w:pPr>
      <w:spacing w:line="360" w:lineRule="auto"/>
    </w:pPr>
    <w:rPr>
      <w:rFonts w:ascii="仿宋_GB2312" w:hAnsi="Times New Roman" w:eastAsia="仿宋_GB2312" w:cs="Times New Roman"/>
      <w:sz w:val="24"/>
      <w:szCs w:val="20"/>
    </w:rPr>
  </w:style>
  <w:style w:type="paragraph" w:styleId="2282" w:customStyle="1">
    <w:name w:val="修订2"/>
    <w:uiPriority w:val="99"/>
    <w:unhideWhenUsed/>
    <w:qFormat/>
    <w:rPr>
      <w:rFonts w:ascii="Times New Roman" w:hAnsi="Times New Roman" w:eastAsia="宋体" w:cs="Times New Roman"/>
      <w:sz w:val="21"/>
      <w:szCs w:val="24"/>
      <w:lang w:val="en-US" w:eastAsia="zh-CN" w:bidi="ar-SA"/>
    </w:rPr>
  </w:style>
  <w:style w:type="paragraph" w:styleId="2283" w:customStyle="1">
    <w:name w:val="Normal_6"/>
    <w:uiPriority w:val="0"/>
    <w:qFormat/>
    <w:rPr>
      <w:rFonts w:ascii="Times New Roman" w:hAnsi="Times New Roman" w:eastAsia="Times New Roman" w:cs="Times New Roman"/>
      <w:sz w:val="24"/>
      <w:szCs w:val="24"/>
      <w:lang w:val="en-US" w:eastAsia="zh-CN" w:bidi="ar-SA"/>
    </w:rPr>
  </w:style>
  <w:style w:type="paragraph" w:styleId="2284" w:customStyle="1">
    <w:name w:val="Normal_4"/>
    <w:uiPriority w:val="0"/>
    <w:qFormat/>
    <w:rPr>
      <w:rFonts w:ascii="Times New Roman" w:hAnsi="Times New Roman" w:eastAsia="Times New Roman" w:cs="Times New Roman"/>
      <w:sz w:val="24"/>
      <w:szCs w:val="24"/>
      <w:lang w:val="en-US" w:eastAsia="zh-CN" w:bidi="ar-SA"/>
    </w:rPr>
  </w:style>
  <w:style w:type="paragraph" w:styleId="2285" w:customStyle="1">
    <w:name w:val="Normal_5"/>
    <w:uiPriority w:val="0"/>
    <w:qFormat/>
    <w:rPr>
      <w:rFonts w:ascii="Times New Roman" w:hAnsi="Times New Roman" w:eastAsia="Times New Roman" w:cs="Times New Roman"/>
      <w:sz w:val="24"/>
      <w:szCs w:val="24"/>
      <w:lang w:val="en-US" w:eastAsia="zh-CN" w:bidi="ar-SA"/>
    </w:rPr>
  </w:style>
  <w:style w:type="paragraph" w:styleId="2286" w:customStyle="1">
    <w:name w:val="Normal_1"/>
    <w:uiPriority w:val="0"/>
    <w:qFormat/>
    <w:rPr>
      <w:rFonts w:ascii="Times New Roman" w:hAnsi="Times New Roman" w:eastAsia="Times New Roman" w:cs="Times New Roman"/>
      <w:sz w:val="24"/>
      <w:szCs w:val="24"/>
      <w:lang w:val="en-US" w:eastAsia="zh-CN" w:bidi="ar-SA"/>
    </w:rPr>
  </w:style>
  <w:style w:type="paragraph" w:styleId="2287"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28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2289"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290" w:customStyle="1">
    <w:name w:val="Normal_0"/>
    <w:uiPriority w:val="0"/>
    <w:qFormat/>
    <w:rPr>
      <w:rFonts w:ascii="Times New Roman" w:hAnsi="Times New Roman" w:eastAsia="Times New Roman" w:cs="Times New Roman"/>
      <w:sz w:val="24"/>
      <w:szCs w:val="24"/>
      <w:lang w:val="en-US" w:eastAsia="zh-CN" w:bidi="ar-SA"/>
    </w:rPr>
  </w:style>
  <w:style w:type="paragraph" w:styleId="2291"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292"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character" w:styleId="2293" w:customStyle="1">
    <w:name w:val="mini-textbox-border11"/>
    <w:uiPriority w:val="0"/>
    <w:qFormat/>
    <w:rPr>
      <w:rFonts w:ascii="Times New Roman" w:hAnsi="Times New Roman" w:eastAsia="宋体"/>
      <w:shd w:val="clear" w:color="auto" w:fill="e6f0f9"/>
    </w:rPr>
  </w:style>
  <w:style w:type="paragraph" w:styleId="2294"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295" w:customStyle="1">
    <w:name w:val="正文文本_0"/>
    <w:basedOn w:val="2288"/>
    <w:uiPriority w:val="99"/>
    <w:qFormat/>
    <w:rPr>
      <w:sz w:val="20"/>
    </w:rPr>
  </w:style>
  <w:style w:type="paragraph" w:styleId="2296" w:customStyle="1">
    <w:name w:val="Normal_17"/>
    <w:uiPriority w:val="0"/>
    <w:qFormat/>
    <w:rPr>
      <w:rFonts w:ascii="Times New Roman" w:hAnsi="Times New Roman" w:eastAsia="Times New Roman" w:cs="Times New Roman"/>
      <w:sz w:val="24"/>
      <w:szCs w:val="24"/>
      <w:lang w:val="en-US" w:eastAsia="zh-CN" w:bidi="ar-SA"/>
    </w:rPr>
  </w:style>
  <w:style w:type="paragraph" w:styleId="2297"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298" w:customStyle="1">
    <w:name w:val="标题 51"/>
    <w:basedOn w:val="678"/>
    <w:uiPriority w:val="1"/>
    <w:qFormat/>
    <w:pPr>
      <w:ind w:left="121"/>
      <w:spacing w:before="148"/>
      <w:outlineLvl w:val="5"/>
    </w:pPr>
    <w:rPr>
      <w:rFonts w:ascii="楷体" w:hAnsi="楷体" w:eastAsia="楷体" w:cs="Times New Roman"/>
      <w:b/>
      <w:bCs/>
      <w:sz w:val="28"/>
      <w:szCs w:val="28"/>
    </w:rPr>
  </w:style>
  <w:style w:type="paragraph" w:styleId="2299" w:customStyle="1">
    <w:name w:val="标题 71"/>
    <w:basedOn w:val="678"/>
    <w:uiPriority w:val="1"/>
    <w:qFormat/>
    <w:pPr>
      <w:ind w:left="121"/>
      <w:spacing w:before="154"/>
      <w:outlineLvl w:val="7"/>
    </w:pPr>
    <w:rPr>
      <w:rFonts w:ascii="楷体" w:hAnsi="楷体" w:eastAsia="楷体" w:cs="Times New Roman"/>
      <w:b/>
      <w:bCs/>
      <w:sz w:val="24"/>
      <w:szCs w:val="24"/>
    </w:rPr>
  </w:style>
  <w:style w:type="paragraph" w:styleId="2300" w:customStyle="1">
    <w:name w:val="首行缩进"/>
    <w:basedOn w:val="678"/>
    <w:uiPriority w:val="0"/>
    <w:qFormat/>
    <w:pPr>
      <w:ind w:firstLine="480"/>
      <w:spacing w:line="360" w:lineRule="auto"/>
    </w:pPr>
    <w:rPr>
      <w:rFonts w:ascii="Calibri" w:hAnsi="Calibri" w:eastAsia="宋体" w:cs="Times New Roman"/>
      <w:sz w:val="24"/>
      <w:lang w:val="zh-CN"/>
    </w:rPr>
  </w:style>
  <w:style w:type="table" w:styleId="2301" w:customStyle="1">
    <w:name w:val="Table Normal_0"/>
    <w:uiPriority w:val="2"/>
    <w:unhideWhenUsed/>
    <w:qFormat/>
    <w:tblPr>
      <w:tblCellMar>
        <w:left w:w="0" w:type="dxa"/>
        <w:top w:w="0" w:type="dxa"/>
        <w:right w:w="0" w:type="dxa"/>
        <w:bottom w:w="0" w:type="dxa"/>
      </w:tblCellMar>
    </w:tblPr>
  </w:style>
  <w:style w:type="table" w:styleId="2302" w:customStyle="1">
    <w:name w:val="Table Normal"/>
    <w:uiPriority w:val="0"/>
    <w:semiHidden/>
    <w:qFormat/>
    <w:tblPr>
      <w:tblCellMar>
        <w:left w:w="0" w:type="dxa"/>
        <w:top w:w="0" w:type="dxa"/>
        <w:right w:w="0" w:type="dxa"/>
        <w:bottom w:w="0" w:type="dxa"/>
      </w:tblCellMar>
    </w:tblPr>
  </w:style>
  <w:style w:type="table" w:styleId="2303" w:customStyle="1">
    <w:name w:val="Table Normal1"/>
    <w:uiPriority w:val="0"/>
    <w:semiHidden/>
    <w:qFormat/>
    <w:tblPr>
      <w:tblCellMar>
        <w:left w:w="0" w:type="dxa"/>
        <w:top w:w="0" w:type="dxa"/>
        <w:right w:w="0" w:type="dxa"/>
        <w:bottom w:w="0" w:type="dxa"/>
      </w:tblCellMar>
    </w:tblPr>
  </w:style>
  <w:style w:type="paragraph" w:styleId="2304" w:customStyle="1">
    <w:name w:val="标题 31"/>
    <w:basedOn w:val="678"/>
    <w:next w:val="678"/>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30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2306" w:customStyle="1">
    <w:name w:val="Normal_16"/>
    <w:uiPriority w:val="0"/>
    <w:qFormat/>
    <w:rPr>
      <w:rFonts w:ascii="Times New Roman" w:hAnsi="Times New Roman" w:eastAsia="Times New Roman" w:cs="Times New Roman"/>
      <w:sz w:val="24"/>
      <w:szCs w:val="24"/>
      <w:lang w:val="en-US" w:eastAsia="zh-CN" w:bidi="ar-SA"/>
    </w:rPr>
  </w:style>
  <w:style w:type="paragraph" w:styleId="2307" w:customStyle="1">
    <w:name w:val="Normal_18"/>
    <w:uiPriority w:val="0"/>
    <w:qFormat/>
    <w:rPr>
      <w:rFonts w:ascii="Times New Roman" w:hAnsi="Times New Roman" w:eastAsia="Times New Roman" w:cs="Times New Roman"/>
      <w:sz w:val="24"/>
      <w:szCs w:val="24"/>
      <w:lang w:val="en-US" w:eastAsia="zh-CN" w:bidi="ar-SA"/>
    </w:rPr>
  </w:style>
  <w:style w:type="paragraph" w:styleId="2308" w:customStyle="1">
    <w:name w:val="Normal_26"/>
    <w:uiPriority w:val="0"/>
    <w:qFormat/>
    <w:rPr>
      <w:rFonts w:ascii="Times New Roman" w:hAnsi="Times New Roman" w:eastAsia="Times New Roman" w:cs="Times New Roman"/>
      <w:sz w:val="24"/>
      <w:szCs w:val="24"/>
      <w:lang w:val="en-US" w:eastAsia="zh-CN" w:bidi="ar-SA"/>
    </w:rPr>
  </w:style>
  <w:style w:type="paragraph" w:styleId="2309"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2310" w:customStyle="1">
    <w:name w:val="标题二、"/>
    <w:basedOn w:val="678"/>
    <w:uiPriority w:val="99"/>
    <w:qFormat/>
    <w:pPr>
      <w:ind w:firstLine="200"/>
      <w:spacing w:line="360" w:lineRule="auto"/>
      <w:outlineLvl w:val="2"/>
    </w:pPr>
    <w:rPr>
      <w:rFonts w:ascii="宋体" w:hAnsi="宋体" w:eastAsia="宋体" w:cs="Times New Roman"/>
      <w:b/>
      <w:szCs w:val="21"/>
    </w:rPr>
  </w:style>
  <w:style w:type="character" w:styleId="2311" w:customStyle="1">
    <w:name w:val="titlebody"/>
    <w:uiPriority w:val="0"/>
    <w:qFormat/>
    <w:rPr>
      <w:rFonts w:ascii="宋体" w:hAnsi="宋体" w:eastAsia="宋体" w:cs="宋体"/>
      <w:b/>
      <w:bCs/>
      <w:color w:val="000000"/>
      <w:sz w:val="24"/>
      <w:szCs w:val="24"/>
    </w:rPr>
  </w:style>
  <w:style w:type="paragraph" w:styleId="2312" w:customStyle="1">
    <w:name w:val="Footer11"/>
    <w:basedOn w:val="678"/>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2313" w:customStyle="1">
    <w:name w:val="页码11"/>
    <w:uiPriority w:val="0"/>
    <w:qFormat/>
    <w:rPr>
      <w:sz w:val="21"/>
      <w:szCs w:val="24"/>
      <w:lang w:val="en-US" w:eastAsia="zh-CN" w:bidi="ar-SA"/>
    </w:rPr>
  </w:style>
  <w:style w:type="paragraph" w:styleId="2314" w:customStyle="1">
    <w:name w:val="Normal_7"/>
    <w:uiPriority w:val="0"/>
    <w:qFormat/>
    <w:rPr>
      <w:rFonts w:ascii="Times New Roman" w:hAnsi="Times New Roman" w:eastAsia="Times New Roman" w:cs="Times New Roman"/>
      <w:sz w:val="24"/>
      <w:szCs w:val="24"/>
      <w:lang w:val="en-US" w:eastAsia="zh-CN" w:bidi="ar-SA"/>
    </w:rPr>
  </w:style>
  <w:style w:type="table" w:styleId="2315" w:customStyle="1">
    <w:name w:val="网格型9"/>
    <w:basedOn w:val="776"/>
    <w:uiPriority w:val="39"/>
    <w:qFormat/>
    <w:rPr>
      <w:rFonts w:ascii="等线" w:hAnsi="等线" w:eastAsia="等线"/>
    </w:rPr>
    <w:tblPr>
      <w:tblCellMar>
        <w:left w:w="0" w:type="dxa"/>
        <w:top w:w="0" w:type="dxa"/>
        <w:right w:w="0" w:type="dxa"/>
        <w:bottom w:w="0" w:type="dxa"/>
      </w:tblCellMar>
    </w:tblPr>
  </w:style>
  <w:style w:type="table" w:styleId="2316" w:customStyle="1">
    <w:name w:val="网格型10"/>
    <w:basedOn w:val="776"/>
    <w:uiPriority w:val="39"/>
    <w:qFormat/>
    <w:rPr>
      <w:rFonts w:ascii="等线" w:hAnsi="等线" w:eastAsia="等线"/>
    </w:rPr>
    <w:tblPr>
      <w:tblCellMar>
        <w:left w:w="0" w:type="dxa"/>
        <w:top w:w="0" w:type="dxa"/>
        <w:right w:w="0" w:type="dxa"/>
        <w:bottom w:w="0" w:type="dxa"/>
      </w:tblCellMar>
    </w:tblPr>
  </w:style>
  <w:style w:type="character" w:styleId="2317" w:customStyle="1">
    <w:name w:val="未处理的提及2"/>
    <w:basedOn w:val="688"/>
    <w:uiPriority w:val="99"/>
    <w:semiHidden/>
    <w:unhideWhenUsed/>
    <w:qFormat/>
    <w:rPr>
      <w:color w:val="605e5c"/>
      <w:shd w:val="clear" w:color="auto" w:fill="e1dfdd"/>
    </w:rPr>
  </w:style>
  <w:style w:type="character" w:styleId="2318" w:customStyle="1">
    <w:name w:val="正文文本 Char"/>
    <w:basedOn w:val="688"/>
    <w:link w:val="696"/>
    <w:uiPriority w:val="99"/>
    <w:semiHidden/>
    <w:qFormat/>
  </w:style>
  <w:style w:type="character" w:styleId="2319" w:customStyle="1">
    <w:name w:val="正文首行缩进 Char"/>
    <w:basedOn w:val="2318"/>
    <w:link w:val="715"/>
    <w:uiPriority w:val="99"/>
    <w:semiHidden/>
    <w:qFormat/>
  </w:style>
  <w:style w:type="paragraph" w:styleId="2320" w:customStyle="1">
    <w:name w:val="正文缩进111"/>
    <w:basedOn w:val="678"/>
    <w:uiPriority w:val="0"/>
    <w:unhideWhenUsed/>
    <w:qFormat/>
    <w:pPr>
      <w:ind w:firstLine="420"/>
    </w:pPr>
    <w:rPr>
      <w:sz w:val="20"/>
    </w:rPr>
  </w:style>
  <w:style w:type="paragraph" w:styleId="2321" w:customStyle="1">
    <w:name w:val="列出段落5"/>
    <w:basedOn w:val="678"/>
    <w:uiPriority w:val="34"/>
    <w:qFormat/>
    <w:pPr>
      <w:ind w:firstLine="420"/>
      <w:jc w:val="left"/>
      <w:widowControl/>
    </w:pPr>
    <w:rPr>
      <w:sz w:val="20"/>
      <w:szCs w:val="20"/>
      <w:lang w:eastAsia="en-US"/>
    </w:rPr>
  </w:style>
  <w:style w:type="character" w:styleId="2322" w:customStyle="1">
    <w:name w:val="批注框文本 Char"/>
    <w:basedOn w:val="688"/>
    <w:link w:val="701"/>
    <w:uiPriority w:val="99"/>
    <w:semiHidden/>
    <w:qFormat/>
    <w:rPr>
      <w:rFonts w:asciiTheme="minorHAnsi" w:hAnsiTheme="minorHAnsi" w:eastAsiaTheme="minorEastAsia" w:cstheme="minorBidi"/>
      <w:sz w:val="18"/>
      <w:szCs w:val="18"/>
    </w:rPr>
  </w:style>
  <w:style w:type="character" w:styleId="2323" w:customStyle="1">
    <w:name w:val="font151"/>
    <w:basedOn w:val="688"/>
    <w:uiPriority w:val="0"/>
    <w:qFormat/>
    <w:rPr>
      <w:rFonts w:ascii="微软雅黑" w:hAnsi="微软雅黑" w:eastAsia="微软雅黑" w:cs="微软雅黑"/>
      <w:b/>
      <w:bCs/>
      <w:color w:val="000000"/>
      <w:sz w:val="36"/>
      <w:szCs w:val="36"/>
      <w:u w:val="none"/>
    </w:rPr>
  </w:style>
  <w:style w:type="numbering" w:styleId="23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jp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王东</cp:lastModifiedBy>
  <cp:revision>3</cp:revision>
  <dcterms:created xsi:type="dcterms:W3CDTF">2025-03-10T02:36:00Z</dcterms:created>
  <dcterms:modified xsi:type="dcterms:W3CDTF">2026-07-06T07:29:15Z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eyJoZGlkIjoiOGMxYWJhY2UyNDczYTMwZDJkNGYxZjhlM2JiZjU5MzAiLCJ1c2VySWQiOiIxMjk1NDA4OCJ9</vt:lpwstr>
  </property>
  <property fmtid="{D5CDD505-2E9C-101B-9397-08002B2CF9AE}" pid="3" name="KSOProductBuildVer">
    <vt:lpwstr>2052-12.1.0.26895</vt:lpwstr>
  </property>
  <property fmtid="{D5CDD505-2E9C-101B-9397-08002B2CF9AE}" pid="4" name="ICV">
    <vt:lpwstr>6C14A1D9D051458A9EE9073F4B2DF863_13</vt:lpwstr>
  </property>
</Properties>
</file>