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50"/>
        <w:rPr>
          <w:rFonts w:hint="eastAsia"/>
          <w:color w:val="000000"/>
          <w:highlight w:val="none"/>
        </w:rPr>
      </w:pPr>
      <w:r>
        <w:rPr>
          <w:rFonts w:hint="eastAsia"/>
          <w:color w:val="000000"/>
          <w:highlight w:val="none"/>
        </w:rPr>
      </w:r>
      <w:r>
        <w:rPr>
          <w:rFonts w:hint="eastAsia"/>
          <w:color w:val="000000"/>
          <w:highlight w:val="none"/>
        </w:rPr>
      </w:r>
      <w:r/>
    </w:p>
    <w:p>
      <w:pPr>
        <w:pStyle w:val="950"/>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JSZC-320509-ZZHL-C2026-0022</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2026年同里镇乡村公路日常养护及应急保障项目</w:t>
      </w:r>
      <w:r>
        <w:rPr>
          <w:rFonts w:hint="eastAsia" w:ascii="宋体" w:hAnsi="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苏州市吴江区同里镇人民政府</w:t>
      </w:r>
      <w:r>
        <w:rPr>
          <w:rFonts w:hint="eastAsia" w:ascii="宋体" w:hAnsi="宋体" w:eastAsia="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1"/>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p>
    <w:p>
      <w:pPr>
        <w:pStyle w:val="911"/>
        <w:ind w:left="0" w:firstLine="0"/>
        <w:jc w:val="center"/>
        <w:rPr>
          <w:rFonts w:ascii="Arial" w:hAnsi="Arial" w:cs="Arial"/>
          <w:color w:val="000000"/>
          <w:sz w:val="28"/>
          <w:szCs w:val="28"/>
          <w:highlight w:val="none"/>
        </w:rPr>
      </w:pPr>
      <w:r>
        <w:rPr>
          <w:rFonts w:ascii="Arial" w:hAnsi="Arial" w:cs="Arial"/>
          <w:color w:val="000000"/>
          <w:sz w:val="28"/>
          <w:szCs w:val="28"/>
          <w:highlight w:val="none"/>
          <w:lang w:val="zh-CN"/>
        </w:rPr>
      </w:r>
      <w:r>
        <w:rPr>
          <w:rFonts w:ascii="Arial" w:hAnsi="Arial" w:cs="Arial"/>
          <w:color w:val="000000"/>
          <w:sz w:val="28"/>
          <w:szCs w:val="28"/>
          <w:highlight w:val="none"/>
        </w:rPr>
      </w:r>
    </w:p>
    <w:p>
      <w:pPr>
        <w:pStyle w:val="911"/>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631"/>
      <w:r/>
      <w:bookmarkStart w:id="1" w:name="_Toc35393800"/>
      <w:r/>
      <w:bookmarkStart w:id="2" w:name="OLE_LINK3"/>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2026年同里镇乡村公路日常养护及应急保障项目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2026年7月17日</w:t>
      </w:r>
      <w:r>
        <w:rPr>
          <w:rFonts w:hint="eastAsia" w:ascii="宋体" w:hAnsi="宋体" w:cs="宋体"/>
          <w:color w:val="000000"/>
          <w:sz w:val="24"/>
          <w:highlight w:val="none"/>
          <w:u w:val="single"/>
          <w:lang w:val="en-US" w:eastAsia="zh-CN"/>
        </w:rPr>
        <w:t xml:space="preserve">13点</w:t>
      </w:r>
      <w:r>
        <w:rPr>
          <w:rFonts w:hint="eastAsia" w:ascii="宋体" w:hAnsi="宋体" w:cs="宋体"/>
          <w:color w:val="000000"/>
          <w:sz w:val="24"/>
          <w:highlight w:val="none"/>
          <w:u w:val="single"/>
          <w:lang w:eastAsia="zh-CN"/>
        </w:rPr>
        <w:t xml:space="preserve">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2"/>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6"/>
      <w:r/>
      <w:bookmarkStart w:id="5" w:name="OLE_LINK1"/>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JSZC-320509-ZZHL-C2026-0022。</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2026年同里镇乡村公路日常养护及应急保障项目。</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额：人民币壹佰壹拾万圆整（￥：1100000.00）。</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w:t>
      </w:r>
      <w:r>
        <w:rPr>
          <w:rFonts w:hint="eastAsia" w:ascii="宋体" w:hAnsi="宋体" w:eastAsia="宋体" w:cs="宋体"/>
          <w:color w:val="000000"/>
          <w:sz w:val="24"/>
          <w:highlight w:val="none"/>
          <w:lang w:eastAsia="zh-CN"/>
        </w:rPr>
        <w:t xml:space="preserve">人民币壹佰</w:t>
      </w:r>
      <w:r>
        <w:rPr>
          <w:rFonts w:hint="eastAsia" w:ascii="宋体" w:hAnsi="宋体" w:eastAsia="宋体" w:cs="宋体"/>
          <w:color w:val="000000"/>
          <w:sz w:val="24"/>
          <w:highlight w:val="none"/>
          <w:lang w:val="en-US" w:eastAsia="zh-CN"/>
        </w:rPr>
        <w:t xml:space="preserve">零玖万玖千柒佰叁拾伍</w:t>
      </w:r>
      <w:r>
        <w:rPr>
          <w:rFonts w:hint="eastAsia" w:ascii="宋体" w:hAnsi="宋体" w:eastAsia="宋体" w:cs="宋体"/>
          <w:color w:val="000000"/>
          <w:sz w:val="24"/>
          <w:highlight w:val="none"/>
          <w:lang w:eastAsia="zh-CN"/>
        </w:rPr>
        <w:t xml:space="preserve">圆整（￥：1</w:t>
      </w:r>
      <w:r>
        <w:rPr>
          <w:rFonts w:hint="eastAsia" w:ascii="宋体" w:hAnsi="宋体" w:eastAsia="宋体" w:cs="宋体"/>
          <w:color w:val="000000"/>
          <w:sz w:val="24"/>
          <w:highlight w:val="none"/>
          <w:lang w:val="en-US" w:eastAsia="zh-CN"/>
        </w:rPr>
        <w:t xml:space="preserve">099735</w:t>
      </w:r>
      <w:r>
        <w:rPr>
          <w:rFonts w:hint="eastAsia" w:ascii="宋体" w:hAnsi="宋体" w:eastAsia="宋体" w:cs="宋体"/>
          <w:color w:val="000000"/>
          <w:sz w:val="24"/>
          <w:highlight w:val="none"/>
          <w:lang w:eastAsia="zh-CN"/>
        </w:rPr>
        <w:t xml:space="preserve">.00）。</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w:t>
      </w:r>
      <w:r>
        <w:rPr>
          <w:rFonts w:hint="eastAsia" w:ascii="宋体" w:hAnsi="宋体" w:eastAsia="宋体" w:cs="宋体"/>
          <w:color w:val="000000"/>
          <w:sz w:val="24"/>
          <w:highlight w:val="none"/>
          <w:lang w:eastAsia="zh-CN"/>
        </w:rPr>
        <w:t xml:space="preserve">需求：该项目养护范围覆盖约83.045公里农村道路及92座农村桥梁，同时兼顾应急保障需求(主要指涉及农村道路方面的，特殊天气的道路保通、临时任务的应急处置等)；具体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.合同履行期限：合同生效之日起一年或实际接结算金额达到最高限价为止（以先到为准）。</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成交单位数量：1家。</w:t>
      </w:r>
      <w:r>
        <w:rPr>
          <w:rFonts w:ascii="宋体" w:hAnsi="宋体" w:eastAsia="宋体" w:cs="宋体"/>
          <w:color w:val="000000"/>
          <w:sz w:val="24"/>
          <w:highlight w:val="none"/>
          <w:lang w:val="en-US"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2"/>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636"/>
      <w:r/>
      <w:bookmarkStart w:id="9" w:name="_Toc35393805"/>
      <w:r/>
      <w:bookmarkStart w:id="10" w:name="_Toc2835909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2026年7月17日</w:t>
      </w:r>
      <w:r>
        <w:rPr>
          <w:rFonts w:hint="eastAsia" w:ascii="宋体" w:hAnsi="宋体" w:eastAsia="宋体" w:cs="宋体"/>
          <w:color w:val="000000"/>
          <w:szCs w:val="24"/>
          <w:highlight w:val="none"/>
          <w:lang w:val="en-US" w:eastAsia="zh-CN"/>
        </w:rPr>
        <w:t xml:space="preserve">13点</w:t>
      </w:r>
      <w:r>
        <w:rPr>
          <w:rFonts w:hint="eastAsia" w:ascii="宋体" w:hAnsi="宋体" w:eastAsia="宋体" w:cs="宋体"/>
          <w:color w:val="000000"/>
          <w:szCs w:val="24"/>
          <w:highlight w:val="none"/>
          <w:lang w:eastAsia="zh-CN"/>
        </w:rPr>
        <w:t xml:space="preserve">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2026年7月17日</w:t>
      </w:r>
      <w:r>
        <w:rPr>
          <w:rFonts w:hint="eastAsia" w:ascii="宋体" w:hAnsi="宋体" w:cs="宋体"/>
          <w:color w:val="000000"/>
          <w:sz w:val="24"/>
          <w:highlight w:val="none"/>
          <w:lang w:val="en-US" w:eastAsia="zh-CN"/>
        </w:rPr>
        <w:t xml:space="preserve">13点</w:t>
      </w:r>
      <w:r>
        <w:rPr>
          <w:rFonts w:hint="eastAsia" w:ascii="宋体" w:hAnsi="宋体" w:cs="宋体"/>
          <w:color w:val="000000"/>
          <w:sz w:val="24"/>
          <w:highlight w:val="none"/>
          <w:lang w:eastAsia="zh-CN"/>
        </w:rPr>
        <w:t xml:space="preserve">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2"/>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922"/>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28359096"/>
      <w:r/>
      <w:bookmarkStart w:id="15" w:name="_Toc35393637"/>
      <w:r/>
      <w:bookmarkStart w:id="16" w:name="_Toc35393806"/>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称：苏州市吴江区同里镇人民政府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址：吴江区同里镇迎燕东路68号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崇子扬</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0512-63333695</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left"/>
        <w:tabs>
          <w:tab w:val="left" w:pos="550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tab/>
      </w:r>
      <w:r/>
    </w:p>
    <w:p>
      <w:pPr>
        <w:pStyle w:val="905"/>
      </w:pPr>
      <w:r/>
      <w:r/>
    </w:p>
    <w:p>
      <w:pPr>
        <w:pStyle w:val="905"/>
      </w:pPr>
      <w:r/>
      <w:r/>
    </w:p>
    <w:p>
      <w:pPr>
        <w:pStyle w:val="905"/>
      </w:pPr>
      <w:r/>
      <w:r/>
    </w:p>
    <w:p>
      <w:pPr>
        <w:pStyle w:val="905"/>
      </w:pPr>
      <w:r/>
      <w:r/>
    </w:p>
    <w:p>
      <w:pPr>
        <w:pStyle w:val="905"/>
      </w:pPr>
      <w:r/>
      <w:r/>
    </w:p>
    <w:p>
      <w:pPr>
        <w:pStyle w:val="905"/>
      </w:p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513029203"/>
      <w:r/>
      <w:bookmarkStart w:id="18" w:name="_Toc120614214"/>
      <w:r/>
      <w:bookmarkStart w:id="19" w:name="_Toc20823275"/>
      <w:r/>
      <w:bookmarkStart w:id="20" w:name="_Toc16938519"/>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513029204"/>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16938522"/>
      <w:r/>
      <w:bookmarkStart w:id="30" w:name="_Toc20823278"/>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20823279"/>
      <w:r/>
      <w:bookmarkStart w:id="32" w:name="_Toc513029207"/>
      <w:r/>
      <w:bookmarkStart w:id="33" w:name="_Toc462564067"/>
      <w:r/>
      <w:bookmarkStart w:id="34" w:name="_Toc16938523"/>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4.1 供应商应</w:t>
      </w:r>
      <w:r>
        <w:rPr>
          <w:rFonts w:hint="eastAsia" w:ascii="宋体" w:hAnsi="宋体" w:eastAsia="宋体" w:cs="宋体"/>
          <w:color w:val="000000"/>
          <w:sz w:val="24"/>
          <w:highlight w:val="none"/>
        </w:rPr>
        <w:t xml:space="preserve">自行承担所有与参加</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有关的费用，无论</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过程中的做法和结果如何，</w:t>
      </w:r>
      <w:r>
        <w:rPr>
          <w:rFonts w:hint="eastAsia" w:ascii="宋体" w:hAnsi="宋体" w:eastAsia="宋体" w:cs="宋体"/>
          <w:color w:val="000000"/>
          <w:sz w:val="24"/>
          <w:highlight w:val="none"/>
          <w:lang w:eastAsia="zh-CN"/>
        </w:rPr>
        <w:t xml:space="preserve">中招互连项目管理（苏州）有限公司</w:t>
      </w:r>
      <w:r>
        <w:rPr>
          <w:rFonts w:hint="eastAsia" w:ascii="宋体" w:hAnsi="宋体" w:eastAsia="宋体" w:cs="宋体"/>
          <w:color w:val="000000"/>
          <w:sz w:val="24"/>
          <w:highlight w:val="none"/>
        </w:rPr>
        <w:t xml:space="preserve">（以下简称采购代理机构）在任何情况下均无义务和责任承担这些费用。</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eastAsia="zh-CN"/>
        </w:rPr>
        <w:t xml:space="preserve">代理服务费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为便于预算管理，本项目代理服务费列入采购预算内，由成交供应商在领取成交通知书时付清，采购人通过吴江区和中介超市确定本项目代理服务费计算方式为：</w:t>
      </w:r>
      <w:r>
        <w:rPr>
          <w:rFonts w:hint="eastAsia" w:ascii="宋体" w:hAnsi="宋体" w:eastAsia="宋体" w:cs="宋体"/>
          <w:color w:val="00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预算金额100万元以下部分，费率为该部分预算金额的1.5%；</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预算金额100万元（含）－500万元部分，费率为该部分预算金额的1.1%；</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预算金额500万元（含）-1000万元部分，费率为该部分预算金额的0.8%；</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预算金额1000万元（含）-5000万元部分，费率为该部分预算金额的0.5%；</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预算金额5000万元以上部分，费率为该部分预算金额的0.25%。</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代理服务费以采购预算金额为基数依据，按以上规定的标准和差额定率累进法进行计算后</w:t>
      </w:r>
      <w:r>
        <w:rPr>
          <w:rFonts w:hint="eastAsia" w:ascii="宋体" w:hAnsi="宋体" w:eastAsia="宋体" w:cs="宋体"/>
          <w:color w:val="000000"/>
          <w:sz w:val="24"/>
          <w:highlight w:val="none"/>
          <w:lang w:val="en-US" w:eastAsia="zh-CN"/>
        </w:rPr>
        <w:t xml:space="preserve">打85折</w:t>
      </w:r>
      <w:r>
        <w:rPr>
          <w:rFonts w:hint="eastAsia" w:ascii="宋体" w:hAnsi="宋体" w:eastAsia="宋体" w:cs="宋体"/>
          <w:color w:val="000000"/>
          <w:sz w:val="24"/>
          <w:highlight w:val="none"/>
          <w:lang w:val="zh-CN" w:eastAsia="zh-CN"/>
        </w:rPr>
        <w:t xml:space="preserve">收取。</w:t>
      </w:r>
      <w:r>
        <w:rPr>
          <w:rFonts w:hint="eastAsia"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899"/>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color w:val="000000"/>
          <w:highlight w:val="none"/>
          <w:lang w:val="en-US"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513029209"/>
      <w:r/>
      <w:bookmarkStart w:id="37" w:name="_Toc20823281"/>
      <w:r/>
      <w:bookmarkStart w:id="38" w:name="_Toc120614215"/>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513029210"/>
      <w:r/>
      <w:bookmarkStart w:id="40" w:name="_Toc16938526"/>
      <w:r/>
      <w:bookmarkStart w:id="41" w:name="_Toc20823282"/>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462564070"/>
      <w:r/>
      <w:bookmarkStart w:id="43" w:name="_Toc513029211"/>
      <w:r/>
      <w:bookmarkStart w:id="44" w:name="_Toc20823283"/>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513029212"/>
      <w:r/>
      <w:bookmarkStart w:id="47" w:name="_Toc20823284"/>
      <w:r/>
      <w:bookmarkStart w:id="48" w:name="_Toc16938528"/>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462564072"/>
      <w:r/>
      <w:bookmarkStart w:id="51" w:name="_Toc513029213"/>
      <w:r/>
      <w:bookmarkStart w:id="52" w:name="_Toc16938529"/>
      <w:r/>
      <w:bookmarkStart w:id="53" w:name="_Toc120614216"/>
      <w:r/>
      <w:bookmarkStart w:id="54" w:name="_Toc2082328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513029214"/>
      <w:r/>
      <w:bookmarkStart w:id="56" w:name="_Toc20823286"/>
      <w:r/>
      <w:bookmarkStart w:id="57" w:name="_Toc462564073"/>
      <w:r/>
      <w:bookmarkStart w:id="58" w:name="_Toc16938530"/>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16938531"/>
      <w:r/>
      <w:bookmarkStart w:id="60" w:name="_Toc20823287"/>
      <w:r/>
      <w:bookmarkStart w:id="61" w:name="_Toc462564074"/>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cs="宋体"/>
          <w:b/>
          <w:color w:val="000000"/>
          <w:sz w:val="24"/>
          <w:szCs w:val="24"/>
          <w:highlight w:val="none"/>
          <w:lang w:val="en-US" w:eastAsia="zh-CN"/>
        </w:rPr>
        <w:t xml:space="preserve">填报优惠率项目无需提供</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8"/>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8"/>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如有，详见采购文件第一章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8"/>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8"/>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513029219"/>
      <w:r/>
      <w:bookmarkStart w:id="67" w:name="_Toc49090509"/>
      <w:r/>
      <w:bookmarkStart w:id="68" w:name="_Toc14577357"/>
      <w:r/>
      <w:bookmarkStart w:id="69" w:name="_Toc513029216"/>
      <w:r/>
      <w:bookmarkStart w:id="70" w:name="_Toc14577354"/>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954846"/>
      <w:r/>
      <w:bookmarkEnd w:id="74"/>
      <w:r/>
      <w:bookmarkStart w:id="75" w:name="_Hlt26954731"/>
      <w:r/>
      <w:bookmarkEnd w:id="75"/>
      <w:r/>
      <w:bookmarkStart w:id="76" w:name="_Hlt26954848"/>
      <w:r/>
      <w:bookmarkEnd w:id="76"/>
      <w:r/>
      <w:bookmarkStart w:id="77" w:name="_Hlt26670486"/>
      <w:r/>
      <w:bookmarkEnd w:id="77"/>
      <w:r/>
      <w:bookmarkStart w:id="78" w:name="_Hlt26670482"/>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20823296"/>
      <w:r/>
      <w:bookmarkStart w:id="86" w:name="_Toc16938540"/>
      <w:r/>
      <w:bookmarkStart w:id="87" w:name="_Toc513029224"/>
      <w:r/>
      <w:bookmarkStart w:id="88" w:name="_Toc120614217"/>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16938541"/>
      <w:r/>
      <w:bookmarkStart w:id="91" w:name="_Toc462564084"/>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16938543"/>
      <w:r/>
      <w:bookmarkStart w:id="97" w:name="_Toc20823299"/>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02" w:name="_Toc120614218"/>
      <w:r/>
      <w:bookmarkStart w:id="103" w:name="_Toc16938545"/>
      <w:r/>
      <w:bookmarkStart w:id="104" w:name="_Toc20823301"/>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6" w:name="_Toc20823302"/>
      <w:r/>
      <w:bookmarkStart w:id="107" w:name="_Toc16938546"/>
      <w:r/>
      <w:bookmarkStart w:id="108" w:name="_Toc513029230"/>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16938547"/>
      <w:r/>
      <w:bookmarkStart w:id="111" w:name="_Toc513029231"/>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20823304"/>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16938549"/>
      <w:r/>
      <w:bookmarkStart w:id="116" w:name="_Toc20823305"/>
      <w:r/>
      <w:bookmarkStart w:id="117" w:name="_Toc513029233"/>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bookmarkStart w:id="118" w:name="_Toc513029234"/>
      <w:r/>
      <w:bookmarkStart w:id="119" w:name="_Toc16938550"/>
      <w:r/>
      <w:bookmarkStart w:id="120" w:name="_Toc20823306"/>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 </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 </w:t>
      </w:r>
      <w:r>
        <w:rPr>
          <w:rFonts w:hint="eastAsia" w:ascii="宋体" w:hAnsi="宋体" w:eastAsia="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rPr>
          <w:rFonts w:hint="eastAsia" w:ascii="宋体" w:hAnsi="宋体" w:eastAsia="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29"/>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w:t>
      </w:r>
      <w:r>
        <w:rPr>
          <w:rFonts w:hint="eastAsia" w:ascii="宋体" w:hAnsi="宋体" w:eastAsia="宋体" w:cs="宋体"/>
          <w:color w:val="000000"/>
          <w:sz w:val="24"/>
          <w:highlight w:val="none"/>
          <w:lang w:eastAsia="zh-CN"/>
        </w:rPr>
        <w:t xml:space="preserve">无效响应处理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w:t>
      </w:r>
      <w:r>
        <w:rPr>
          <w:rFonts w:hint="eastAsia" w:ascii="宋体" w:hAnsi="宋体" w:eastAsia="宋体" w:cs="宋体"/>
          <w:color w:val="000000"/>
          <w:sz w:val="24"/>
          <w:highlight w:val="none"/>
          <w:lang w:eastAsia="zh-CN"/>
        </w:rPr>
        <w:t xml:space="preserve">成交价格</w:t>
      </w:r>
      <w:r>
        <w:rPr>
          <w:rFonts w:hint="eastAsia" w:ascii="宋体" w:hAnsi="宋体" w:eastAsia="宋体" w:cs="宋体"/>
          <w:color w:val="000000"/>
          <w:sz w:val="24"/>
          <w:highlight w:val="none"/>
        </w:rPr>
        <w:t xml:space="preserve">、类似产品市场价格水平、行业人工费用标准、国家有关部门指导行业协会发布的行业平均成本等相关信息资料提供便利。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3" w:name="_Toc20823307"/>
      <w:r/>
      <w:bookmarkStart w:id="124" w:name="_Toc16938551"/>
      <w:r/>
      <w:bookmarkStart w:id="125" w:name="_Toc513029235"/>
      <w:r/>
      <w:bookmarkStart w:id="126" w:name="_Toc120614219"/>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8"/>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8"/>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8"/>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20823308"/>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20823309"/>
      <w:r/>
      <w:bookmarkStart w:id="137"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3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2"/>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05"/>
      </w:pPr>
      <w:r/>
      <w:r/>
    </w:p>
    <w:p>
      <w:pPr>
        <w:pStyle w:val="89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苏州市吴江区同里镇人民政府</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2026年同里镇乡村公路日常养护及应急保障项目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firstLine="482"/>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JSZC-320509-ZZHL-C2026-0022</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2026年同里镇乡村公路日常养护及应急保障项目</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人民币壹佰壹拾万圆整（￥：1100000.00）</w:t>
      </w:r>
      <w:r>
        <w:rPr>
          <w:rFonts w:hint="eastAsia" w:ascii="宋体" w:hAnsi="宋体" w:eastAsia="宋体" w:cs="宋体"/>
          <w:b w:val="0"/>
          <w:bCs/>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人民币壹佰</w:t>
      </w:r>
      <w:r>
        <w:rPr>
          <w:rFonts w:hint="eastAsia" w:ascii="宋体" w:hAnsi="宋体" w:eastAsia="宋体" w:cs="宋体"/>
          <w:b w:val="0"/>
          <w:bCs/>
          <w:color w:val="000000"/>
          <w:sz w:val="24"/>
          <w:szCs w:val="24"/>
          <w:highlight w:val="none"/>
          <w:lang w:val="en-US" w:eastAsia="zh-CN"/>
        </w:rPr>
        <w:t xml:space="preserve">零玖万玖千柒佰叁拾伍</w:t>
      </w:r>
      <w:r>
        <w:rPr>
          <w:rFonts w:hint="eastAsia" w:ascii="宋体" w:hAnsi="宋体" w:eastAsia="宋体" w:cs="宋体"/>
          <w:b w:val="0"/>
          <w:bCs/>
          <w:color w:val="000000"/>
          <w:sz w:val="24"/>
          <w:szCs w:val="24"/>
          <w:highlight w:val="none"/>
          <w:lang w:eastAsia="zh-CN"/>
        </w:rPr>
        <w:t xml:space="preserve">圆整（￥：1</w:t>
      </w:r>
      <w:r>
        <w:rPr>
          <w:rFonts w:hint="eastAsia" w:ascii="宋体" w:hAnsi="宋体" w:eastAsia="宋体" w:cs="宋体"/>
          <w:b w:val="0"/>
          <w:bCs/>
          <w:color w:val="000000"/>
          <w:sz w:val="24"/>
          <w:szCs w:val="24"/>
          <w:highlight w:val="none"/>
          <w:lang w:val="en-US" w:eastAsia="zh-CN"/>
        </w:rPr>
        <w:t xml:space="preserve">099735</w:t>
      </w:r>
      <w:r>
        <w:rPr>
          <w:rFonts w:hint="eastAsia" w:ascii="宋体" w:hAnsi="宋体" w:eastAsia="宋体" w:cs="宋体"/>
          <w:b w:val="0"/>
          <w:bCs/>
          <w:color w:val="000000"/>
          <w:sz w:val="24"/>
          <w:szCs w:val="24"/>
          <w:highlight w:val="none"/>
          <w:lang w:eastAsia="zh-CN"/>
        </w:rPr>
        <w:t xml:space="preserve">.00）</w:t>
      </w:r>
      <w:r>
        <w:rPr>
          <w:rFonts w:hint="eastAsia" w:ascii="宋体" w:hAnsi="宋体" w:eastAsia="宋体" w:cs="宋体"/>
          <w:b w:val="0"/>
          <w:bCs/>
          <w:color w:val="000000"/>
          <w:sz w:val="24"/>
          <w:szCs w:val="24"/>
          <w:highlight w:val="none"/>
          <w:lang w:eastAsia="zh-CN"/>
        </w:rPr>
      </w:r>
      <w:r/>
    </w:p>
    <w:p>
      <w:pPr>
        <w:pStyle w:val="899"/>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1.项目概况</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该项目养护范围覆盖约83.045公里农村道路及92座农村桥梁，同时兼顾应急保障需求(主要指涉及农村道路方面的，特殊天气的道路保通、临时任务的应急处置等)。</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2.养护内容</w:t>
      </w:r>
      <w:r>
        <w:rPr>
          <w:rFonts w:ascii="宋体" w:hAnsi="宋体" w:eastAsia="宋体" w:cs="宋体"/>
          <w:b/>
          <w:bCs/>
          <w:color w:val="000000"/>
          <w:sz w:val="24"/>
          <w:szCs w:val="24"/>
          <w:highlight w:val="none"/>
          <w:lang w:val="en-US" w:eastAsia="zh-CN"/>
        </w:rPr>
      </w:r>
      <w:r/>
    </w:p>
    <w:tbl>
      <w:tblPr>
        <w:tblStyle w:val="92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78"/>
        <w:gridCol w:w="4417"/>
        <w:gridCol w:w="1148"/>
        <w:gridCol w:w="2010"/>
        <w:gridCol w:w="935"/>
      </w:tblGrid>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序号</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项目名称</w:t>
            </w:r>
            <w:r>
              <w:rPr>
                <w:rFonts w:hint="eastAsia" w:ascii="宋体" w:hAnsi="宋体" w:eastAsia="宋体" w:cs="宋体"/>
                <w:color w:val="000000"/>
                <w:spacing w:val="20"/>
                <w:sz w:val="24"/>
                <w:szCs w:val="24"/>
                <w:highlight w:val="none"/>
                <w:lang w:val="en-US" w:eastAsia="zh-CN"/>
              </w:rPr>
            </w:r>
            <w:r/>
          </w:p>
        </w:tc>
        <w:tc>
          <w:tcPr>
            <w:tcW w:w="114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单位</w:t>
            </w:r>
            <w:r>
              <w:rPr>
                <w:rFonts w:hint="eastAsia" w:ascii="宋体" w:hAnsi="宋体" w:eastAsia="宋体" w:cs="宋体"/>
                <w:color w:val="000000"/>
                <w:spacing w:val="20"/>
                <w:sz w:val="24"/>
                <w:szCs w:val="24"/>
                <w:highlight w:val="none"/>
                <w:lang w:val="en-US" w:eastAsia="zh-CN"/>
              </w:rPr>
            </w:r>
            <w:r/>
          </w:p>
        </w:tc>
        <w:tc>
          <w:tcPr>
            <w:tcW w:w="2010"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单价最高限价</w:t>
            </w:r>
            <w:r>
              <w:rPr>
                <w:rFonts w:hint="eastAsia" w:ascii="宋体" w:hAnsi="宋体" w:eastAsia="宋体" w:cs="宋体"/>
                <w:color w:val="000000"/>
                <w:spacing w:val="20"/>
                <w:sz w:val="24"/>
                <w:szCs w:val="24"/>
                <w:highlight w:val="none"/>
                <w:lang w:val="en-US" w:eastAsia="zh-CN"/>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备注</w:t>
            </w: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日常巡查（每周巡查一次，巡视里程84.116km,含沿线里程碑、百米桩、隔离墩等扶正）</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5800</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双排载货汽车</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台班</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574.93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临用工</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工日</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4</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抽水泵</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台班</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710.8</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5</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柴油发电机</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台班</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300.9</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6</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土方开挖（含外弃、弃方点及运距自行考虑）</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43.33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7</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混道渣垫层（外购）</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187.45</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8</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土路肩培土(含外购土方）</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42.42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9</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水泥稳定碎石（水泥含量约4.5%）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494.1</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10</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级配碎石垫层</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401.47</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11</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雨污水检查井井盖更换（D400级）</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463.43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12</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雨水边井篦子更换（450×680）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280.22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13</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井口升降（综合考虑）</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座</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351.59</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14</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边井清淤</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座</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35.16</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15</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修补裂缝封涂密封胶修补裂缝</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52.12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16</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修补裂缝灌注胶（注浆器注入）修补裂缝</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153.73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17</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修复破损、露筋砼修复（凿除松散混凝土、钢筋除锈、界面剂、环氧砂浆修复）</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481.55</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18</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支架满堂式轻型支架（按投影面积计）</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19</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施工平台水中施工平台（按投影面积计）</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301.5</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20</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植筋（植筋为φ16植入深度20cm）</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23.88</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21</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铝合金单柱标志（面板尺寸＜1m2，含基础、杆件及安装附属件）</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1587.31</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22</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二波形护栏板（厚3mm)</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95.74</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23</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更换端头板</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117.2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24</w:t>
            </w:r>
            <w:r>
              <w:rPr>
                <w:rFonts w:hint="eastAsia" w:ascii="宋体" w:hAnsi="宋体" w:eastAsia="宋体" w:cs="宋体"/>
                <w:color w:val="000000"/>
                <w:spacing w:val="20"/>
                <w:sz w:val="24"/>
                <w:szCs w:val="24"/>
                <w:highlight w:val="none"/>
                <w:lang w:val="en-US" w:eastAsia="zh-CN"/>
              </w:rPr>
            </w:r>
            <w:r/>
          </w:p>
        </w:tc>
        <w:tc>
          <w:tcPr>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护栏立柱(φ114钢管）</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274.34</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25</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护栏板螺丝、螺帽（含螺丝焊接）</w:t>
            </w:r>
            <w:r>
              <w:rPr>
                <w:rFonts w:hint="eastAsia" w:ascii="宋体" w:hAnsi="宋体" w:eastAsia="宋体" w:cs="宋体"/>
                <w:i w:val="0"/>
                <w:iCs w:val="0"/>
                <w:color w:val="000000"/>
                <w:sz w:val="24"/>
                <w:szCs w:val="24"/>
                <w:highlight w:val="none"/>
                <w:u w:val="none"/>
                <w:lang w:val="en-US" w:eastAsia="zh-CN" w:bidi="ar-SA"/>
              </w:rPr>
            </w:r>
            <w:r/>
          </w:p>
        </w:tc>
        <w:tc>
          <w:tcPr>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5.27</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26</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防阻块、托架</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23.44</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27</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旧端头贴膜</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265.71</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28</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里程碑更换</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203.81</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29</w:t>
            </w:r>
            <w:r>
              <w:rPr>
                <w:rFonts w:hint="eastAsia"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百米桩更换</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30.92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30</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1.2mφ114镀锌钢管（含基础、反光膜）</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175.23</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31</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PU反光弹力柱，黄色晶格膜（H750mm，底座直径20cm，重约1.5kg）</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41.02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32</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化学药剂清除</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117.2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33</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高压水枪清除</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58.6</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34</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2号标线（含玻璃微株）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45.46</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35</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震荡标线（含玻璃微株）</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124.62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r>
        <w:trPr>
          <w:trHeight w:val="476"/>
        </w:trPr>
        <w:tc>
          <w:tcPr>
            <w:tcW w:w="778"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t xml:space="preserve">36</w:t>
            </w:r>
            <w:r>
              <w:rPr>
                <w:rFonts w:ascii="宋体" w:hAnsi="宋体" w:eastAsia="宋体" w:cs="宋体"/>
                <w:color w:val="000000"/>
                <w:spacing w:val="20"/>
                <w:sz w:val="24"/>
                <w:szCs w:val="24"/>
                <w:highlight w:val="none"/>
                <w:lang w:val="en-US" w:eastAsia="zh-CN"/>
              </w:rPr>
            </w:r>
            <w:r/>
          </w:p>
        </w:tc>
        <w:tc>
          <w:tcPr>
            <w:shd w:val="clear" w:color="auto" w:fill="ffffff"/>
            <w:tcW w:w="4417"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减速驳（二级，50×38mm,原生橡胶）</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1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20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165.02</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pacing w:val="20"/>
                <w:sz w:val="24"/>
                <w:szCs w:val="24"/>
                <w:highlight w:val="none"/>
                <w:lang w:val="en-US" w:eastAsia="zh-CN"/>
              </w:rPr>
            </w:pPr>
            <w:r>
              <w:rPr>
                <w:rFonts w:hint="eastAsia" w:ascii="宋体" w:hAnsi="宋体" w:eastAsia="宋体" w:cs="宋体"/>
                <w:color w:val="000000"/>
                <w:spacing w:val="20"/>
                <w:sz w:val="24"/>
                <w:szCs w:val="24"/>
                <w:highlight w:val="none"/>
                <w:lang w:val="en-US" w:eastAsia="zh-CN"/>
              </w:rPr>
            </w:r>
            <w:r/>
          </w:p>
        </w:tc>
      </w:tr>
    </w:tbl>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注：本次</w:t>
      </w:r>
      <w:r>
        <w:rPr>
          <w:rFonts w:hint="eastAsia" w:ascii="宋体" w:hAnsi="宋体" w:eastAsia="宋体" w:cs="宋体"/>
          <w:b/>
          <w:bCs/>
          <w:color w:val="000000"/>
          <w:sz w:val="24"/>
          <w:szCs w:val="24"/>
          <w:highlight w:val="none"/>
          <w:lang w:eastAsia="zh-CN"/>
        </w:rPr>
        <w:t xml:space="preserve">响应报价</w:t>
      </w:r>
      <w:r>
        <w:rPr>
          <w:rFonts w:hint="eastAsia" w:ascii="宋体" w:hAnsi="宋体" w:eastAsia="宋体" w:cs="宋体"/>
          <w:b/>
          <w:bCs/>
          <w:color w:val="000000"/>
          <w:sz w:val="24"/>
          <w:szCs w:val="24"/>
          <w:highlight w:val="none"/>
        </w:rPr>
        <w:t xml:space="preserve">须根据“采购内容清单”中的“</w:t>
      </w:r>
      <w:r>
        <w:rPr>
          <w:rFonts w:hint="eastAsia" w:ascii="宋体" w:hAnsi="宋体" w:eastAsia="宋体" w:cs="宋体"/>
          <w:b/>
          <w:bCs/>
          <w:color w:val="000000"/>
          <w:sz w:val="24"/>
          <w:szCs w:val="24"/>
          <w:highlight w:val="none"/>
          <w:lang w:eastAsia="zh-CN"/>
        </w:rPr>
        <w:t xml:space="preserve">单价最高限价</w:t>
      </w:r>
      <w:r>
        <w:rPr>
          <w:rFonts w:hint="eastAsia" w:ascii="宋体" w:hAnsi="宋体" w:eastAsia="宋体" w:cs="宋体"/>
          <w:b/>
          <w:bCs/>
          <w:color w:val="000000"/>
          <w:sz w:val="24"/>
          <w:szCs w:val="24"/>
          <w:highlight w:val="none"/>
        </w:rPr>
        <w:t xml:space="preserve">”基础上报统一</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w:t>
      </w:r>
      <w:r>
        <w:rPr>
          <w:rFonts w:hint="eastAsia" w:ascii="宋体" w:hAnsi="宋体" w:eastAsia="宋体" w:cs="宋体"/>
          <w:b/>
          <w:bCs/>
          <w:color w:val="000000"/>
          <w:sz w:val="24"/>
          <w:szCs w:val="24"/>
          <w:highlight w:val="none"/>
          <w:lang w:val="en-US" w:eastAsia="zh-CN"/>
        </w:rPr>
        <w:t xml:space="preserve">优惠率为10</w:t>
      </w:r>
      <w:r>
        <w:rPr>
          <w:rFonts w:hint="eastAsia" w:ascii="宋体" w:hAnsi="宋体" w:eastAsia="宋体" w:cs="宋体"/>
          <w:b/>
          <w:bCs/>
          <w:color w:val="000000"/>
          <w:sz w:val="24"/>
          <w:szCs w:val="24"/>
          <w:highlight w:val="none"/>
        </w:rPr>
        <w:t xml:space="preserve">％，则表示结算单价在“</w:t>
      </w:r>
      <w:r>
        <w:rPr>
          <w:rFonts w:hint="eastAsia" w:ascii="宋体" w:hAnsi="宋体" w:eastAsia="宋体" w:cs="宋体"/>
          <w:b/>
          <w:bCs/>
          <w:color w:val="000000"/>
          <w:sz w:val="24"/>
          <w:szCs w:val="24"/>
          <w:highlight w:val="none"/>
          <w:lang w:eastAsia="zh-CN"/>
        </w:rPr>
        <w:t xml:space="preserve">单价最高限价</w:t>
      </w:r>
      <w:r>
        <w:rPr>
          <w:rFonts w:hint="eastAsia" w:ascii="宋体" w:hAnsi="宋体" w:eastAsia="宋体" w:cs="宋体"/>
          <w:b/>
          <w:bCs/>
          <w:color w:val="000000"/>
          <w:sz w:val="24"/>
          <w:szCs w:val="24"/>
          <w:highlight w:val="none"/>
        </w:rPr>
        <w:t xml:space="preserve">”的基础上</w:t>
      </w:r>
      <w:r>
        <w:rPr>
          <w:rFonts w:hint="eastAsia" w:ascii="宋体" w:hAnsi="宋体" w:eastAsia="宋体" w:cs="宋体"/>
          <w:b/>
          <w:bCs/>
          <w:color w:val="000000"/>
          <w:sz w:val="24"/>
          <w:szCs w:val="24"/>
          <w:highlight w:val="none"/>
          <w:lang w:val="en-US" w:eastAsia="zh-CN"/>
        </w:rPr>
        <w:t xml:space="preserve">×(1-10%)（即9折）】</w:t>
      </w:r>
      <w:r>
        <w:rPr>
          <w:rFonts w:hint="eastAsia" w:ascii="宋体" w:hAnsi="宋体" w:eastAsia="宋体" w:cs="宋体"/>
          <w:b/>
          <w:bCs/>
          <w:color w:val="000000"/>
          <w:sz w:val="24"/>
          <w:szCs w:val="24"/>
          <w:highlight w:val="none"/>
        </w:rPr>
        <w:t xml:space="preserve">，供应商应自行考虑项目实施期间的风险，具体费用根据成交单价及实际工作量结算。</w:t>
      </w:r>
      <w:r>
        <w:rPr>
          <w:rFonts w:hint="eastAsia" w:ascii="宋体" w:hAnsi="宋体" w:eastAsia="宋体" w:cs="宋体"/>
          <w:b/>
          <w:bCs/>
          <w:color w:val="000000"/>
          <w:sz w:val="24"/>
          <w:szCs w:val="24"/>
          <w:highlight w:val="none"/>
          <w:lang w:eastAsia="zh-CN"/>
        </w:rPr>
        <w:t xml:space="preserve">响应优惠率</w:t>
      </w:r>
      <w:r>
        <w:rPr>
          <w:rFonts w:hint="eastAsia" w:ascii="宋体" w:hAnsi="宋体" w:eastAsia="宋体" w:cs="宋体"/>
          <w:b/>
          <w:bCs/>
          <w:color w:val="000000"/>
          <w:sz w:val="24"/>
          <w:szCs w:val="24"/>
          <w:highlight w:val="none"/>
        </w:rPr>
        <w:t xml:space="preserve">取整数，不得出现小数。</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终以实际发生工作量为准，通过采购人及采购人验收方可确认为实际工作量，过程需要留存相关的影像资料。上述单价最高限价表中的单价为综合单价，包含为完成对应工作内容所产生的一切费用，包括但不限于人工、设备、机械、差旅、管理、利润、规费、税金、风险等等。</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养护基本要求</w:t>
      </w:r>
      <w:r>
        <w:rPr>
          <w:rFonts w:hint="eastAsia" w:ascii="宋体" w:hAnsi="宋体" w:eastAsia="宋体" w:cs="宋体"/>
          <w:b/>
          <w:bCs/>
          <w:color w:val="000000"/>
          <w:sz w:val="24"/>
          <w:szCs w:val="24"/>
          <w:highlight w:val="none"/>
          <w:lang w:val="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 </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合同生效之日起一年或实际接结算金额达到最高限价为止（以先到为准）。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完成</w:t>
      </w:r>
      <w:r>
        <w:rPr>
          <w:rFonts w:hint="eastAsia" w:ascii="宋体" w:hAnsi="宋体" w:eastAsia="宋体" w:cs="宋体"/>
          <w:color w:val="000000"/>
          <w:sz w:val="24"/>
          <w:szCs w:val="24"/>
          <w:highlight w:val="none"/>
          <w:lang w:eastAsia="zh-CN"/>
        </w:rPr>
        <w:t xml:space="preserve">养护内容中</w:t>
      </w:r>
      <w:r>
        <w:rPr>
          <w:rFonts w:hint="eastAsia" w:ascii="宋体" w:hAnsi="宋体" w:eastAsia="宋体" w:cs="宋体"/>
          <w:color w:val="000000"/>
          <w:sz w:val="24"/>
          <w:szCs w:val="24"/>
          <w:highlight w:val="none"/>
        </w:rPr>
        <w:t xml:space="preserve">各项工作内容，具体根据采购单位要求，最终以实际完成工作量及审计结果进行结算。</w:t>
      </w:r>
      <w:r>
        <w:rPr>
          <w:rFonts w:hint="eastAsia" w:ascii="宋体" w:hAnsi="宋体" w:eastAsia="宋体" w:cs="宋体"/>
          <w:color w:val="000000"/>
          <w:sz w:val="24"/>
          <w:szCs w:val="24"/>
          <w:highlight w:val="none"/>
          <w:lang w:eastAsia="zh-CN"/>
        </w:rPr>
        <w:t xml:space="preserve">养护内容中</w:t>
      </w:r>
      <w:r>
        <w:rPr>
          <w:rFonts w:hint="eastAsia" w:ascii="宋体" w:hAnsi="宋体" w:eastAsia="宋体" w:cs="宋体"/>
          <w:color w:val="000000"/>
          <w:sz w:val="24"/>
          <w:szCs w:val="24"/>
          <w:highlight w:val="none"/>
        </w:rPr>
        <w:t xml:space="preserve">未出现的维修项目，工作量与单价以审计为准。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日常养护作业内容：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路面部分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3.3.1.1</w:t>
      </w:r>
      <w:r>
        <w:rPr>
          <w:rFonts w:hint="eastAsia" w:ascii="宋体" w:hAnsi="宋体" w:eastAsia="宋体" w:cs="宋体"/>
          <w:color w:val="000000"/>
          <w:sz w:val="24"/>
          <w:szCs w:val="24"/>
          <w:highlight w:val="none"/>
        </w:rPr>
        <w:t xml:space="preserve">路面坑洼、下沉的填补翻修；</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3.3.1.2</w:t>
      </w:r>
      <w:r>
        <w:rPr>
          <w:rFonts w:hint="eastAsia" w:ascii="宋体" w:hAnsi="宋体" w:eastAsia="宋体" w:cs="宋体"/>
          <w:color w:val="000000"/>
          <w:sz w:val="24"/>
          <w:szCs w:val="24"/>
          <w:highlight w:val="none"/>
        </w:rPr>
        <w:t xml:space="preserve">麻面、拥包、龟裂、角裂、啃边、翻浆、纵横缝等病害的处理；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3.3.1.3</w:t>
      </w:r>
      <w:r>
        <w:rPr>
          <w:rFonts w:hint="eastAsia" w:ascii="宋体" w:hAnsi="宋体" w:eastAsia="宋体" w:cs="宋体"/>
          <w:color w:val="000000"/>
          <w:sz w:val="24"/>
          <w:szCs w:val="24"/>
          <w:highlight w:val="none"/>
        </w:rPr>
        <w:t xml:space="preserve">路面伸缩缝和其它裂缝的清理，并做好灌、封处理及重新灌注填缝料工作。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人行道与侧平石</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3.3.2.1</w:t>
      </w:r>
      <w:r>
        <w:rPr>
          <w:rFonts w:hint="eastAsia" w:ascii="宋体" w:hAnsi="宋体" w:eastAsia="宋体" w:cs="宋体"/>
          <w:color w:val="000000"/>
          <w:sz w:val="24"/>
          <w:szCs w:val="24"/>
          <w:highlight w:val="none"/>
        </w:rPr>
        <w:t xml:space="preserve">人行道板的缺损、塌陷、松翘等，保持道板面平整无积水；</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3.3.2.2</w:t>
      </w:r>
      <w:r>
        <w:rPr>
          <w:rFonts w:hint="eastAsia" w:ascii="宋体" w:hAnsi="宋体" w:eastAsia="宋体" w:cs="宋体"/>
          <w:color w:val="000000"/>
          <w:sz w:val="24"/>
          <w:szCs w:val="24"/>
          <w:highlight w:val="none"/>
        </w:rPr>
        <w:t xml:space="preserve">侧平石（含绿化侧平石）损坏、水毁塌后的更换修补，零星缺失的补缺工作；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3.3.2.3</w:t>
      </w:r>
      <w:r>
        <w:rPr>
          <w:rFonts w:hint="eastAsia" w:ascii="宋体" w:hAnsi="宋体" w:eastAsia="宋体" w:cs="宋体"/>
          <w:color w:val="000000"/>
          <w:sz w:val="24"/>
          <w:szCs w:val="24"/>
          <w:highlight w:val="none"/>
        </w:rPr>
        <w:t xml:space="preserve">侧石侧翻与平石凸陷阻水的整修，保持侧平石稳固、直顺、完整及美观。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桥梁：</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3.3.3.1</w:t>
      </w:r>
      <w:r>
        <w:rPr>
          <w:rFonts w:hint="eastAsia" w:ascii="宋体" w:hAnsi="宋体" w:eastAsia="宋体" w:cs="宋体"/>
          <w:color w:val="000000"/>
          <w:sz w:val="24"/>
          <w:szCs w:val="24"/>
          <w:highlight w:val="none"/>
        </w:rPr>
        <w:t xml:space="preserve">桥面铺装层坑洼的小修小补及桥面伸缩缝的清理与填缝；</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3.3.3.2</w:t>
      </w:r>
      <w:r>
        <w:rPr>
          <w:rFonts w:hint="eastAsia" w:ascii="宋体" w:hAnsi="宋体" w:eastAsia="宋体" w:cs="宋体"/>
          <w:color w:val="000000"/>
          <w:sz w:val="24"/>
          <w:szCs w:val="24"/>
          <w:highlight w:val="none"/>
        </w:rPr>
        <w:t xml:space="preserve">桥面侧石的修复和桥面排水设施的清理；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3.3.3.3</w:t>
      </w:r>
      <w:r>
        <w:rPr>
          <w:rFonts w:hint="eastAsia" w:ascii="宋体" w:hAnsi="宋体" w:eastAsia="宋体" w:cs="宋体"/>
          <w:color w:val="000000"/>
          <w:sz w:val="24"/>
          <w:szCs w:val="24"/>
          <w:highlight w:val="none"/>
        </w:rPr>
        <w:t xml:space="preserve">桥栏杆缺损、裂缝、剥落的修补工作；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3.3.3.4</w:t>
      </w:r>
      <w:r>
        <w:rPr>
          <w:rFonts w:hint="eastAsia" w:ascii="宋体" w:hAnsi="宋体" w:eastAsia="宋体" w:cs="宋体"/>
          <w:color w:val="000000"/>
          <w:sz w:val="24"/>
          <w:szCs w:val="24"/>
          <w:highlight w:val="none"/>
        </w:rPr>
        <w:t xml:space="preserve">挡土墙一般损坏修复和杂草、树丛的清理工作。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3.3.3.5</w:t>
      </w:r>
      <w:r>
        <w:rPr>
          <w:rFonts w:hint="eastAsia" w:ascii="宋体" w:hAnsi="宋体" w:eastAsia="宋体" w:cs="宋体"/>
          <w:color w:val="000000"/>
          <w:sz w:val="24"/>
          <w:szCs w:val="24"/>
          <w:highlight w:val="none"/>
        </w:rPr>
        <w:t xml:space="preserve">泄水孔的清理工作。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w:t>
      </w:r>
      <w:r>
        <w:rPr>
          <w:rFonts w:hint="eastAsia" w:ascii="宋体" w:hAnsi="宋体" w:eastAsia="宋体" w:cs="宋体"/>
          <w:color w:val="000000"/>
          <w:sz w:val="24"/>
          <w:szCs w:val="24"/>
          <w:highlight w:val="none"/>
        </w:rPr>
        <w:t xml:space="preserve">涵洞：</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3.3.4.1</w:t>
      </w:r>
      <w:r>
        <w:rPr>
          <w:rFonts w:hint="eastAsia" w:ascii="宋体" w:hAnsi="宋体" w:eastAsia="宋体" w:cs="宋体"/>
          <w:color w:val="000000"/>
          <w:sz w:val="24"/>
          <w:szCs w:val="24"/>
          <w:highlight w:val="none"/>
        </w:rPr>
        <w:t xml:space="preserve">混凝土质量缺陷修复、排水孔的清理工作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3.3.4.2</w:t>
      </w:r>
      <w:r>
        <w:rPr>
          <w:rFonts w:hint="eastAsia" w:ascii="宋体" w:hAnsi="宋体" w:eastAsia="宋体" w:cs="宋体"/>
          <w:color w:val="000000"/>
          <w:sz w:val="24"/>
          <w:szCs w:val="24"/>
          <w:highlight w:val="none"/>
        </w:rPr>
        <w:t xml:space="preserve">路面坑洼、下沉的填补翻修</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3.3.5</w:t>
      </w:r>
      <w:r>
        <w:rPr>
          <w:rFonts w:hint="eastAsia" w:ascii="宋体" w:hAnsi="宋体" w:eastAsia="宋体" w:cs="宋体"/>
          <w:color w:val="000000"/>
          <w:sz w:val="24"/>
          <w:szCs w:val="24"/>
          <w:highlight w:val="none"/>
        </w:rPr>
        <w:t xml:space="preserve">特殊天气路面保障：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3.3.5.1</w:t>
      </w:r>
      <w:r>
        <w:rPr>
          <w:rFonts w:hint="eastAsia" w:ascii="宋体" w:hAnsi="宋体" w:eastAsia="宋体" w:cs="宋体"/>
          <w:color w:val="000000"/>
          <w:sz w:val="24"/>
          <w:szCs w:val="24"/>
          <w:highlight w:val="none"/>
        </w:rPr>
        <w:t xml:space="preserve">积雪结冰路面的处置工作。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3.3.6</w:t>
      </w:r>
      <w:r>
        <w:rPr>
          <w:rFonts w:hint="eastAsia" w:ascii="宋体" w:hAnsi="宋体" w:eastAsia="宋体" w:cs="宋体"/>
          <w:color w:val="000000"/>
          <w:sz w:val="24"/>
          <w:szCs w:val="24"/>
          <w:highlight w:val="none"/>
        </w:rPr>
        <w:t xml:space="preserve">临时交办的其他工作。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3.3.7</w:t>
      </w:r>
      <w:r>
        <w:rPr>
          <w:rFonts w:hint="eastAsia" w:ascii="宋体" w:hAnsi="宋体" w:eastAsia="宋体" w:cs="宋体"/>
          <w:color w:val="000000"/>
          <w:sz w:val="24"/>
          <w:szCs w:val="24"/>
          <w:highlight w:val="none"/>
        </w:rPr>
        <w:t xml:space="preserve">服务期内应按上述日常养护作业内容进行全天候巡查，发现问题第一时间上报监理或采购单位，并优先采取防护隔离措施，未及时上报或未及时处置等主观原因引起的一切责任和损失由养护单位承担。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响应时间及解决时间</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普通破损维修等情况的养护，维护单位应在20分钟内响应，在30分钟内赶到故障现场进行养护服务（包括维修配件到达服务现场），在2-5小时解决问题，遇到突发情况，应立即现场维护并组织施工；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3.4.2</w:t>
      </w:r>
      <w:r>
        <w:rPr>
          <w:rFonts w:hint="eastAsia" w:ascii="宋体" w:hAnsi="宋体" w:eastAsia="宋体" w:cs="宋体"/>
          <w:color w:val="000000"/>
          <w:sz w:val="24"/>
          <w:szCs w:val="24"/>
          <w:highlight w:val="none"/>
        </w:rPr>
        <w:t xml:space="preserve">特殊情况，以采购单位的意见为准。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养护工作安全要求：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5.1养护队伍必须加强管理，遵守作业现场的一切规章制度，文明施工，注意安全，一切伤亡事故由养护单位负全责；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5.2养护人员、施工机械或在运输装卸途中对其他设备及邻近管线等造成损坏，应由养护单位负责修复及承担一切费用（若因特殊情况，如突击抢险、抢修等应急处理，来不及对养护区域内进行逐一排查定位的，由此造成损坏的，由采购方负责协调解决，维护单位承担相应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5.3无论维修养护期间过程中，养护单位负责及时清理垃圾。</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5.4服务过程中注意保护现场已存在的公共设施，如有损坏必须由养护单位负责恢复或赔偿。</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5.5养护单位须为养护人员配备印有养护单位名称的现场作业安全服或反光背心，现场作业时应明示安全警示标志和作业围挡。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5.6养护工作实施过程中，养护单位不得将施工材料/设备与人员共用一辆车辆运输，不得违反相关道路交通法规。  </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注：如遇突发事件，须有配套养护维修工程机具设备及5个工作人员在20分钟内到场应急处理，并服从采购单位现场指挥。</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维护（或修理）工作要求：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养护服务流程：</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巡检发现（或接到采购方任务通知）→维护单位响应→维护单位尽快赶到现场察看并拍照、记录→维护单位提交养护方案→得到采购方确认养护（或修理）任务联系单进行相关作业→ 采购方进行复查及签证确认→整理资料建立、建全服务台账。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维护单位提供服务项目管理人员名单，人员应相对固定，做到在故障突发时随叫随到。</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具体维护要求内容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维护目标：</w:t>
      </w:r>
      <w:r>
        <w:rPr>
          <w:rFonts w:hint="eastAsia" w:ascii="宋体" w:hAnsi="宋体" w:eastAsia="宋体" w:cs="宋体"/>
          <w:color w:val="000000"/>
          <w:sz w:val="24"/>
          <w:szCs w:val="24"/>
          <w:highlight w:val="none"/>
          <w:lang w:eastAsia="zh-CN"/>
        </w:rPr>
        <w:t xml:space="preserve">乡村公路</w:t>
      </w:r>
      <w:r>
        <w:rPr>
          <w:rFonts w:hint="eastAsia" w:ascii="宋体" w:hAnsi="宋体" w:eastAsia="宋体" w:cs="宋体"/>
          <w:color w:val="000000"/>
          <w:sz w:val="24"/>
          <w:szCs w:val="24"/>
          <w:highlight w:val="none"/>
        </w:rPr>
        <w:t xml:space="preserve">、桥梁及其配套附属设施的巡查、养护、修复以及其它零星、应急事项。目的是为了基础设施的完好及使用安全。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维护单位必须落实维护各个环节，做好</w:t>
      </w:r>
      <w:r>
        <w:rPr>
          <w:rFonts w:hint="eastAsia" w:ascii="宋体" w:hAnsi="宋体" w:eastAsia="宋体" w:cs="宋体"/>
          <w:color w:val="000000"/>
          <w:sz w:val="24"/>
          <w:szCs w:val="24"/>
          <w:highlight w:val="none"/>
          <w:lang w:val="en-US" w:eastAsia="zh-CN"/>
        </w:rPr>
        <w:t xml:space="preserve">检查</w:t>
      </w:r>
      <w:r>
        <w:rPr>
          <w:rFonts w:hint="eastAsia" w:ascii="宋体" w:hAnsi="宋体" w:eastAsia="宋体" w:cs="宋体"/>
          <w:color w:val="000000"/>
          <w:sz w:val="24"/>
          <w:szCs w:val="24"/>
          <w:highlight w:val="none"/>
        </w:rPr>
        <w:t xml:space="preserve">维护、保养和运行管理工作，保证各设施良好、运行正常、稳定，技术资料、原始记录齐全（各种图纸、说明书和巡检记录、维护日志、现场影像等有关资料）。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2.1人员和车辆设备</w:t>
      </w:r>
      <w:r>
        <w:rPr>
          <w:rFonts w:hint="eastAsia" w:ascii="宋体" w:hAnsi="宋体" w:eastAsia="宋体" w:cs="宋体"/>
          <w:color w:val="000000"/>
          <w:sz w:val="24"/>
          <w:szCs w:val="24"/>
          <w:highlight w:val="none"/>
        </w:rPr>
      </w:r>
      <w:r/>
    </w:p>
    <w:tbl>
      <w:tblPr>
        <w:tblW w:w="4773" w:type="pct"/>
        <w:jc w:val="center"/>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928"/>
        <w:gridCol w:w="1777"/>
        <w:gridCol w:w="4369"/>
      </w:tblGrid>
      <w:tr>
        <w:trPr>
          <w:trHeight w:val="510"/>
        </w:trPr>
        <w:tc>
          <w:tcPr>
            <w:tcW w:w="79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tcW w:w="192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人员/车辆设备</w:t>
            </w:r>
            <w:r>
              <w:rPr>
                <w:rFonts w:hint="eastAsia" w:ascii="宋体" w:hAnsi="宋体" w:eastAsia="宋体" w:cs="宋体"/>
                <w:i w:val="0"/>
                <w:iCs w:val="0"/>
                <w:color w:val="000000"/>
                <w:sz w:val="24"/>
                <w:szCs w:val="24"/>
                <w:highlight w:val="none"/>
                <w:u w:val="none"/>
                <w:lang w:val="en-US" w:eastAsia="zh-CN" w:bidi="ar"/>
              </w:rPr>
            </w:r>
            <w:r/>
          </w:p>
        </w:tc>
        <w:tc>
          <w:tcPr>
            <w:tcW w:w="177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最低数量配备</w:t>
            </w:r>
            <w:r>
              <w:rPr>
                <w:rFonts w:hint="eastAsia" w:ascii="宋体" w:hAnsi="宋体" w:eastAsia="宋体" w:cs="宋体"/>
                <w:i w:val="0"/>
                <w:iCs w:val="0"/>
                <w:color w:val="000000"/>
                <w:sz w:val="24"/>
                <w:szCs w:val="24"/>
                <w:highlight w:val="none"/>
                <w:u w:val="none"/>
                <w:lang w:val="en-US" w:eastAsia="zh-CN" w:bidi="ar"/>
              </w:rPr>
            </w:r>
            <w:r/>
          </w:p>
        </w:tc>
        <w:tc>
          <w:tcPr>
            <w:tcW w:w="436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79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92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项目负责人</w:t>
            </w:r>
            <w:r>
              <w:rPr>
                <w:rFonts w:hint="eastAsia" w:ascii="宋体" w:hAnsi="宋体" w:eastAsia="宋体" w:cs="宋体"/>
                <w:i w:val="0"/>
                <w:iCs w:val="0"/>
                <w:color w:val="000000"/>
                <w:sz w:val="24"/>
                <w:szCs w:val="24"/>
                <w:highlight w:val="none"/>
                <w:u w:val="none"/>
                <w:lang w:val="en-US" w:eastAsia="zh-CN" w:bidi="ar"/>
              </w:rPr>
            </w:r>
            <w:r/>
          </w:p>
        </w:tc>
        <w:tc>
          <w:tcPr>
            <w:tcW w:w="177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rPr>
                <w:rFonts w:hint="eastAsia" w:ascii="宋体" w:hAnsi="宋体" w:eastAsia="宋体" w:cs="宋体"/>
                <w:i w:val="0"/>
                <w:iCs w:val="0"/>
                <w:color w:val="000000"/>
                <w:sz w:val="24"/>
                <w:szCs w:val="24"/>
                <w:highlight w:val="none"/>
                <w:u w:val="none"/>
                <w:lang w:val="en-US" w:eastAsia="zh-CN" w:bidi="ar"/>
              </w:rPr>
            </w:r>
            <w:r/>
          </w:p>
        </w:tc>
        <w:tc>
          <w:tcPr>
            <w:tcW w:w="436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有一定的项目管理及维护工作经验</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79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92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维护人员</w:t>
            </w:r>
            <w:r>
              <w:rPr>
                <w:rFonts w:hint="eastAsia" w:ascii="宋体" w:hAnsi="宋体" w:eastAsia="宋体" w:cs="宋体"/>
                <w:i w:val="0"/>
                <w:iCs w:val="0"/>
                <w:color w:val="000000"/>
                <w:sz w:val="24"/>
                <w:szCs w:val="24"/>
                <w:highlight w:val="none"/>
                <w:u w:val="none"/>
                <w:lang w:val="en-US" w:eastAsia="zh-CN" w:bidi="ar"/>
              </w:rPr>
            </w:r>
            <w:r/>
          </w:p>
        </w:tc>
        <w:tc>
          <w:tcPr>
            <w:tcW w:w="177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10人</w:t>
            </w:r>
            <w:r>
              <w:rPr>
                <w:rFonts w:hint="eastAsia" w:ascii="宋体" w:hAnsi="宋体" w:eastAsia="宋体" w:cs="宋体"/>
                <w:i w:val="0"/>
                <w:iCs w:val="0"/>
                <w:color w:val="000000"/>
                <w:sz w:val="24"/>
                <w:szCs w:val="24"/>
                <w:highlight w:val="none"/>
                <w:u w:val="none"/>
                <w:lang w:val="en-US" w:eastAsia="zh-CN" w:bidi="ar"/>
              </w:rPr>
            </w:r>
            <w:r/>
          </w:p>
        </w:tc>
        <w:tc>
          <w:tcPr>
            <w:tcW w:w="436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79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92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维护车辆</w:t>
            </w:r>
            <w:r>
              <w:rPr>
                <w:rFonts w:hint="eastAsia" w:ascii="宋体" w:hAnsi="宋体" w:eastAsia="宋体" w:cs="宋体"/>
                <w:i w:val="0"/>
                <w:iCs w:val="0"/>
                <w:color w:val="000000"/>
                <w:sz w:val="24"/>
                <w:szCs w:val="24"/>
                <w:highlight w:val="none"/>
                <w:u w:val="none"/>
                <w:lang w:val="en-US" w:eastAsia="zh-CN" w:bidi="ar"/>
              </w:rPr>
            </w:r>
            <w:r/>
          </w:p>
        </w:tc>
        <w:tc>
          <w:tcPr>
            <w:tcW w:w="177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3辆</w:t>
            </w:r>
            <w:r>
              <w:rPr>
                <w:rFonts w:hint="eastAsia" w:ascii="宋体" w:hAnsi="宋体" w:eastAsia="宋体" w:cs="宋体"/>
                <w:i w:val="0"/>
                <w:iCs w:val="0"/>
                <w:color w:val="000000"/>
                <w:sz w:val="24"/>
                <w:szCs w:val="24"/>
                <w:highlight w:val="none"/>
                <w:u w:val="none"/>
                <w:lang w:val="en-US" w:eastAsia="zh-CN" w:bidi="ar"/>
              </w:rPr>
            </w:r>
            <w:r/>
          </w:p>
        </w:tc>
        <w:tc>
          <w:tcPr>
            <w:tcW w:w="436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3.1巡视车1辆；3.2挖掘机1辆；3.3运输车1辆；汛期期间需根据采购单位要求增加配置相关车辆。</w:t>
            </w:r>
            <w:r>
              <w:rPr>
                <w:rFonts w:hint="eastAsia" w:ascii="宋体" w:hAnsi="宋体" w:eastAsia="宋体" w:cs="宋体"/>
                <w:i w:val="0"/>
                <w:iCs w:val="0"/>
                <w:color w:val="000000"/>
                <w:sz w:val="24"/>
                <w:szCs w:val="24"/>
                <w:highlight w:val="none"/>
                <w:u w:val="none"/>
                <w:lang w:val="en-US" w:eastAsia="zh-CN" w:bidi="ar"/>
              </w:rPr>
            </w:r>
            <w:r/>
          </w:p>
        </w:tc>
      </w:tr>
    </w:tbl>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磋商供应商</w:t>
      </w:r>
      <w:r>
        <w:rPr>
          <w:rFonts w:hint="eastAsia" w:ascii="宋体" w:hAnsi="宋体" w:eastAsia="宋体" w:cs="宋体"/>
          <w:b/>
          <w:bCs/>
          <w:color w:val="000000"/>
          <w:sz w:val="24"/>
          <w:szCs w:val="24"/>
          <w:highlight w:val="none"/>
        </w:rPr>
        <w:t xml:space="preserve">须在</w:t>
      </w:r>
      <w:r>
        <w:rPr>
          <w:rFonts w:hint="eastAsia" w:ascii="宋体" w:hAnsi="宋体" w:eastAsia="宋体" w:cs="宋体"/>
          <w:b/>
          <w:bCs/>
          <w:color w:val="000000"/>
          <w:sz w:val="24"/>
          <w:szCs w:val="24"/>
          <w:highlight w:val="none"/>
          <w:lang w:eastAsia="zh-CN"/>
        </w:rPr>
        <w:t xml:space="preserve">磋商响应文件</w:t>
      </w:r>
      <w:r>
        <w:rPr>
          <w:rFonts w:hint="eastAsia" w:ascii="宋体" w:hAnsi="宋体" w:eastAsia="宋体" w:cs="宋体"/>
          <w:b/>
          <w:bCs/>
          <w:color w:val="000000"/>
          <w:sz w:val="24"/>
          <w:szCs w:val="24"/>
          <w:highlight w:val="none"/>
        </w:rPr>
        <w:t xml:space="preserve">中承诺成交公示发布之日起7日内配置齐全，否则视为</w:t>
      </w:r>
      <w:r>
        <w:rPr>
          <w:rFonts w:hint="eastAsia" w:ascii="宋体" w:hAnsi="宋体" w:eastAsia="宋体" w:cs="宋体"/>
          <w:b/>
          <w:bCs/>
          <w:color w:val="000000"/>
          <w:sz w:val="24"/>
          <w:szCs w:val="24"/>
          <w:highlight w:val="none"/>
          <w:lang w:eastAsia="zh-CN"/>
        </w:rPr>
        <w:t xml:space="preserve">无效响应</w:t>
      </w:r>
      <w:r>
        <w:rPr>
          <w:rFonts w:hint="eastAsia" w:ascii="宋体" w:hAnsi="宋体" w:eastAsia="宋体" w:cs="宋体"/>
          <w:b/>
          <w:bCs/>
          <w:color w:val="000000"/>
          <w:sz w:val="24"/>
          <w:szCs w:val="24"/>
          <w:highlight w:val="none"/>
        </w:rPr>
        <w:t xml:space="preserve">。未在规定时间内配置齐全的，采购单位有权取消其</w:t>
      </w:r>
      <w:r>
        <w:rPr>
          <w:rFonts w:hint="eastAsia" w:ascii="宋体" w:hAnsi="宋体" w:eastAsia="宋体" w:cs="宋体"/>
          <w:b/>
          <w:bCs/>
          <w:color w:val="000000"/>
          <w:sz w:val="24"/>
          <w:szCs w:val="24"/>
          <w:highlight w:val="none"/>
          <w:lang w:eastAsia="zh-CN"/>
        </w:rPr>
        <w:t xml:space="preserve">成交资格</w:t>
      </w:r>
      <w:r>
        <w:rPr>
          <w:rFonts w:hint="eastAsia" w:ascii="宋体" w:hAnsi="宋体" w:eastAsia="宋体" w:cs="宋体"/>
          <w:b/>
          <w:bCs/>
          <w:color w:val="000000"/>
          <w:sz w:val="24"/>
          <w:szCs w:val="24"/>
          <w:highlight w:val="none"/>
        </w:rPr>
        <w:t xml:space="preserve">，并按虚假应标行为处理，且有权要求该单位承担给采购单位造成的所有损失。</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2.2维护单位按照维护内容、要求和考核细则，设专人负责系统运行维护工作，并接受采购方的检查和考核。</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乡村公路</w:t>
      </w:r>
      <w:r>
        <w:rPr>
          <w:rFonts w:hint="eastAsia" w:ascii="宋体" w:hAnsi="宋体" w:eastAsia="宋体" w:cs="宋体"/>
          <w:b/>
          <w:bCs/>
          <w:color w:val="000000"/>
          <w:sz w:val="24"/>
          <w:szCs w:val="24"/>
          <w:highlight w:val="none"/>
        </w:rPr>
        <w:t xml:space="preserve">养护实施要求：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交通运输部JTG/T 5190—2019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农村公路养护技术规范</w:t>
      </w:r>
      <w:r>
        <w:rPr>
          <w:rFonts w:hint="eastAsia" w:ascii="宋体" w:hAnsi="宋体" w:eastAsia="宋体" w:cs="宋体"/>
          <w:color w:val="000000"/>
          <w:sz w:val="24"/>
          <w:szCs w:val="24"/>
          <w:highlight w:val="none"/>
        </w:rPr>
        <w:t xml:space="preserve">》，养护单位必须制定养护质量保证体系，严格服务质量操作流程；</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按月制定</w:t>
      </w:r>
      <w:r>
        <w:rPr>
          <w:rFonts w:hint="eastAsia" w:ascii="宋体" w:hAnsi="宋体" w:eastAsia="宋体" w:cs="宋体"/>
          <w:color w:val="000000"/>
          <w:sz w:val="24"/>
          <w:szCs w:val="24"/>
          <w:highlight w:val="none"/>
          <w:lang w:eastAsia="zh-CN"/>
        </w:rPr>
        <w:t xml:space="preserve">乡村公路</w:t>
      </w:r>
      <w:r>
        <w:rPr>
          <w:rFonts w:hint="eastAsia" w:ascii="宋体" w:hAnsi="宋体" w:eastAsia="宋体" w:cs="宋体"/>
          <w:color w:val="000000"/>
          <w:sz w:val="24"/>
          <w:szCs w:val="24"/>
          <w:highlight w:val="none"/>
        </w:rPr>
        <w:t xml:space="preserve">养护计划，并依据道路日常巡视情况适时调整。养护单位针对道路实际情况、养护要求和施工作业特点，定期上报养护实施计划。所有养护工程一律采取先申请后实施，以采购单位《</w:t>
      </w:r>
      <w:r>
        <w:rPr>
          <w:rFonts w:hint="eastAsia" w:ascii="宋体" w:hAnsi="宋体" w:eastAsia="宋体" w:cs="宋体"/>
          <w:color w:val="000000"/>
          <w:sz w:val="24"/>
          <w:szCs w:val="24"/>
          <w:highlight w:val="none"/>
          <w:lang w:eastAsia="zh-CN"/>
        </w:rPr>
        <w:t xml:space="preserve">乡村公路</w:t>
      </w:r>
      <w:r>
        <w:rPr>
          <w:rFonts w:hint="eastAsia" w:ascii="宋体" w:hAnsi="宋体" w:eastAsia="宋体" w:cs="宋体"/>
          <w:color w:val="000000"/>
          <w:sz w:val="24"/>
          <w:szCs w:val="24"/>
          <w:highlight w:val="none"/>
        </w:rPr>
        <w:t xml:space="preserve">养护任务单》为准；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养护单位按《</w:t>
      </w:r>
      <w:r>
        <w:rPr>
          <w:rFonts w:hint="eastAsia" w:ascii="宋体" w:hAnsi="宋体" w:eastAsia="宋体" w:cs="宋体"/>
          <w:color w:val="000000"/>
          <w:sz w:val="24"/>
          <w:szCs w:val="24"/>
          <w:highlight w:val="none"/>
          <w:lang w:eastAsia="zh-CN"/>
        </w:rPr>
        <w:t xml:space="preserve">乡村公路</w:t>
      </w:r>
      <w:r>
        <w:rPr>
          <w:rFonts w:hint="eastAsia" w:ascii="宋体" w:hAnsi="宋体" w:eastAsia="宋体" w:cs="宋体"/>
          <w:color w:val="000000"/>
          <w:sz w:val="24"/>
          <w:szCs w:val="24"/>
          <w:highlight w:val="none"/>
        </w:rPr>
        <w:t xml:space="preserve">养护任务单》要求与内容实施养护，养护工作量必须经采购单位及工程监理现场验收后，按规定签证确认；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对有关养护服务，养护单位须上报施工组织方案，严格按照养护施工技术要求完成服务；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涉及工程开挖、修复路面等养护服务，按有关规定办理相关手续。采购单位履行施工管理职能，负责组织协调、服务质量、工作量实际签证和验收工作；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养护施工现场做好安全警示和作业围挡，遵守施工规范与相关管理要求，参照公路养护安全作业规程JTG H30-2004标准实施，做到文明施工；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若因养护单位工作不力而出现媒体曝光、上级通报、点名批评，造成重大影响的，视情节轻重，一次处以5000-20000元的罚款，影响恶劣的立即终止合同；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rPr>
        <w:t xml:space="preserve">养护单位应及时响应采购单位检查发现问题的整改，并落实回复。</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6.日常巡查</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同里镇</w:t>
      </w:r>
      <w:r>
        <w:rPr>
          <w:rFonts w:hint="eastAsia" w:ascii="宋体" w:hAnsi="宋体" w:eastAsia="宋体" w:cs="宋体"/>
          <w:color w:val="000000"/>
          <w:sz w:val="24"/>
          <w:szCs w:val="24"/>
          <w:highlight w:val="none"/>
          <w:lang w:eastAsia="zh-CN"/>
        </w:rPr>
        <w:t xml:space="preserve">乡村公路</w:t>
      </w:r>
      <w:r>
        <w:rPr>
          <w:rFonts w:hint="eastAsia" w:ascii="宋体" w:hAnsi="宋体" w:eastAsia="宋体" w:cs="宋体"/>
          <w:color w:val="000000"/>
          <w:sz w:val="24"/>
          <w:szCs w:val="24"/>
          <w:highlight w:val="none"/>
        </w:rPr>
        <w:t xml:space="preserve">、桥梁及其配套附属设施须加强日常养护巡查管理避免事故发生。具体措施如下：</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巡检内容：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1.1道路路面及附属设施外观完好情况。包括：快车道、慢车道、人行道、侧平石等。</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1.2有无擅自开挖，占用城市道路、人行道及管顶施工，乱开道口等行为。</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1.3桥梁及附属设施完好情况。包括：桥面、栏杆、泄水管、伸缩缝、上下结构、限载标志等。</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2巡查方式</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巡查方式分为机动车巡查和步行巡查。快车道的巡查工作以机动车巡查为主，慢车道、人行道及桥梁的巡查工作以步行巡查为主。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3巡查周期</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3.1根据城市道路的养护等级，确定巡查周期。Ⅰ等养护的城市道路原则上每天巡查一次，Ⅱ等养护的城市道路原则上每两天巡查一次，Ⅲ等养护的城市道路原则上每三天巡查一次。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3.2遇恶劣天气、汛期、雨季、冰冻或文明城市创建等特殊情况，应缩短巡查周期。</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巡查要求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4.1养护单位养护的每条道路、桥梁都要明确专职人员进行巡查，巡查人员要具备一定的道路、桥梁养护管理经验及处理突发事件的能力。</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4.2配备必要的设备和车辆，巡查车辆应有明显标识，装备黄色警示灯。</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4.3巡查过程中要端正工作态度，尽职尽责，自觉遵守交通规则，注意安全。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4.4巡查人员要对路面坑洼破损、道板缺失破损、擅自挖掘、占用道路等做好记录</w:t>
      </w:r>
      <w:r>
        <w:rPr>
          <w:rFonts w:hint="eastAsia" w:ascii="宋体" w:hAnsi="宋体" w:eastAsia="宋体" w:cs="宋体"/>
          <w:color w:val="000000"/>
          <w:sz w:val="24"/>
          <w:szCs w:val="24"/>
          <w:highlight w:val="none"/>
        </w:rPr>
        <w:t xml:space="preserve">，填写《</w:t>
      </w:r>
      <w:r>
        <w:rPr>
          <w:rFonts w:hint="eastAsia" w:ascii="宋体" w:hAnsi="宋体" w:eastAsia="宋体" w:cs="宋体"/>
          <w:color w:val="000000"/>
          <w:sz w:val="24"/>
          <w:szCs w:val="24"/>
          <w:highlight w:val="none"/>
          <w:lang w:eastAsia="zh-CN"/>
        </w:rPr>
        <w:t xml:space="preserve">2026年同里镇乡村公路日常养护及应急保障项目</w:t>
      </w:r>
      <w:r>
        <w:rPr>
          <w:rFonts w:hint="eastAsia" w:ascii="宋体" w:hAnsi="宋体" w:eastAsia="宋体" w:cs="宋体"/>
          <w:color w:val="000000"/>
          <w:sz w:val="24"/>
          <w:szCs w:val="24"/>
          <w:highlight w:val="none"/>
        </w:rPr>
        <w:t xml:space="preserve">巡查记录表》并归档保存。巡查结束后要尽快整理汇总巡查发现的问题，填写《</w:t>
      </w:r>
      <w:r>
        <w:rPr>
          <w:rFonts w:hint="eastAsia" w:ascii="宋体" w:hAnsi="宋体" w:eastAsia="宋体" w:cs="宋体"/>
          <w:color w:val="000000"/>
          <w:sz w:val="24"/>
          <w:szCs w:val="24"/>
          <w:highlight w:val="none"/>
          <w:lang w:eastAsia="zh-CN"/>
        </w:rPr>
        <w:t xml:space="preserve">2026年同里镇乡村公路日常养护及应急保障项目</w:t>
      </w:r>
      <w:r>
        <w:rPr>
          <w:rFonts w:hint="eastAsia" w:ascii="宋体" w:hAnsi="宋体" w:eastAsia="宋体" w:cs="宋体"/>
          <w:color w:val="000000"/>
          <w:sz w:val="24"/>
          <w:szCs w:val="24"/>
          <w:highlight w:val="none"/>
        </w:rPr>
        <w:t xml:space="preserve">巡查问题日报表》，经养护单位负责人审核后上报采购单位。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4.5巡查中发现道路严重下陷、空洞等紧急情况，应立即上报并在现场做好警示工作。</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养护台账管理：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建立台账制度：按照采购单位相关台账管理制度执行。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台账管理：以上台账，每月汇总一次，巡检单位抄送一份交由采购单位审核并存档。</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考核办法：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苏州市吴江区同里镇人民政府</w:t>
      </w:r>
      <w:r>
        <w:rPr>
          <w:rFonts w:hint="eastAsia" w:ascii="宋体" w:hAnsi="宋体" w:eastAsia="宋体" w:cs="宋体"/>
          <w:color w:val="000000"/>
          <w:sz w:val="24"/>
          <w:szCs w:val="24"/>
          <w:highlight w:val="none"/>
          <w:lang w:eastAsia="zh-CN"/>
        </w:rPr>
        <w:t xml:space="preserve">市政交通部门</w:t>
      </w:r>
      <w:r>
        <w:rPr>
          <w:rFonts w:hint="eastAsia" w:ascii="宋体" w:hAnsi="宋体" w:eastAsia="宋体" w:cs="宋体"/>
          <w:color w:val="000000"/>
          <w:sz w:val="24"/>
          <w:szCs w:val="24"/>
          <w:highlight w:val="none"/>
        </w:rPr>
        <w:t xml:space="preserve">为考核责能部门（以下简称采购方），成立考核小组，负责同里镇辖区范围内道路等设施养护监管及考核工作，考核内容为日常养护巡查、安全、质量、进度、项目量等。</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内部业务资料质量检查考核主要是指维护单位为保证设施养护目标的实现编制的养护、维修记录。资料抽查每季度进行一次，养护管理单位和代养护管理部门（委托监理）可联合检查也可单独检查。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安全考核严格按照《中华人民共和国安全生产法》的有关规定，并建立有总监负责制的安全管理体系，落实安全工作责任制，若因维护单位操作不当而引起的安全责任事故，则应严肃处理，并给予相应的经济处罚。</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养护维修质量应严格按照《</w:t>
      </w:r>
      <w:r>
        <w:rPr>
          <w:rFonts w:hint="eastAsia" w:ascii="宋体" w:hAnsi="宋体" w:eastAsia="宋体" w:cs="宋体"/>
          <w:color w:val="000000"/>
          <w:sz w:val="24"/>
          <w:szCs w:val="24"/>
          <w:highlight w:val="none"/>
          <w:lang w:eastAsia="zh-CN"/>
        </w:rPr>
        <w:t xml:space="preserve">农村公路养护技术规范</w:t>
      </w:r>
      <w:r>
        <w:rPr>
          <w:rFonts w:hint="eastAsia" w:ascii="宋体" w:hAnsi="宋体" w:eastAsia="宋体" w:cs="宋体"/>
          <w:color w:val="000000"/>
          <w:sz w:val="24"/>
          <w:szCs w:val="24"/>
          <w:highlight w:val="none"/>
        </w:rPr>
        <w:t xml:space="preserve">》等相关规定执行。若维护单位实施的项目质量不符国家、地方或采购方相关要求的，养护管理单位可要求维护单位无偿返工。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每次考核完成后，及时宣布考核结果及存在的问题，并限期维护单位进行整改，如不能及时处理需上报说明原因。</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8.6</w:t>
      </w:r>
      <w:r>
        <w:rPr>
          <w:rFonts w:hint="eastAsia" w:ascii="宋体" w:hAnsi="宋体" w:eastAsia="宋体" w:cs="宋体"/>
          <w:color w:val="000000"/>
          <w:sz w:val="24"/>
          <w:szCs w:val="24"/>
          <w:highlight w:val="none"/>
        </w:rPr>
        <w:t xml:space="preserve">如现场遇到特殊情况的由采购方决定处置方案，采购方中途有权对考核办法进行调整、细化。</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8.7</w:t>
      </w:r>
      <w:r>
        <w:rPr>
          <w:rFonts w:hint="eastAsia" w:ascii="宋体" w:hAnsi="宋体" w:eastAsia="宋体" w:cs="宋体"/>
          <w:b/>
          <w:bCs/>
          <w:color w:val="000000"/>
          <w:sz w:val="24"/>
          <w:szCs w:val="24"/>
          <w:highlight w:val="none"/>
        </w:rPr>
        <w:t xml:space="preserve">考核内容及评定标准：详见</w:t>
      </w:r>
      <w:r>
        <w:rPr>
          <w:rFonts w:hint="eastAsia" w:ascii="宋体" w:hAnsi="宋体" w:eastAsia="宋体" w:cs="宋体"/>
          <w:b/>
          <w:bCs/>
          <w:color w:val="000000"/>
          <w:sz w:val="24"/>
          <w:szCs w:val="24"/>
          <w:highlight w:val="none"/>
          <w:lang w:val="en-US" w:eastAsia="zh-CN"/>
        </w:rPr>
        <w:t xml:space="preserve">合同附件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2026年同里镇乡村公路日常养护及应急保障项目考核评分表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安全文明施工措施及环保责任：</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rPr>
        <w:t xml:space="preserve">维护单位须为维护人员配备印有维护单位名称的现场作业安全服或反光背心，现场作业时应明示安全警示标志和作业围挡。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rPr>
        <w:t xml:space="preserve">维护工作实施过程中，维护单位不得将施工材料/设备与人员共用一辆车辆运输，不得违反相关道路交通法规。</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需具有施工必须具备的安全警示和作业围挡设备设施。</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维护单位应及时响应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检查发现问题的整改，并落实回复。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rPr>
        <w:t xml:space="preserve">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维护单位人员必须遵守劳动纪律，在工作中按规定正确佩带和使用个人防护用品，严禁袒胸露背，穿拖鞋上岗。土方、泥浆等外运过程，严格按程序操作，不得在运输过程中遗洒，同时应有避免扬尘的措施。</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在施工过程中，发生交通、施工、机电、消防等安全事故，要立即抢救伤者，采取措施减少财产损失，保护现场，积极主动的配合采购方处理事故。同时现场应有专门负责安全、文明施工的管理人员，定期检查，发现问题及时整改；对建设单位提出的其他有关安全、文明施工等方面问题必须积极配合，认真履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采购方有权随时进行监督、检查，并有权责令维护单位清除不安全隐患的权利。</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9.7</w:t>
      </w:r>
      <w:r>
        <w:rPr>
          <w:rFonts w:hint="eastAsia" w:ascii="宋体" w:hAnsi="宋体" w:eastAsia="宋体" w:cs="宋体"/>
          <w:color w:val="000000"/>
          <w:sz w:val="24"/>
          <w:szCs w:val="24"/>
          <w:highlight w:val="none"/>
        </w:rPr>
        <w:t xml:space="preserve">对养护巡查不到位引起的安全事故等事故责任：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7.1自身巡查、施工过程中的人生安全等事故负全部责任；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7.2路面、桥梁等巡查不到位引起的安全事故负相关责任；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7.3附属设施等巡查不到位引发的事故负连带责任。</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采购方对维护单位提出的维修（更换）项目量进行复查及签字确认，并作为维护单位向采购方计算费用的有效凭证。</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服务金额以采购方确认项目量并经审计后的金额为准。</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提供的服务能够至少达到以上</w:t>
      </w:r>
      <w:r>
        <w:rPr>
          <w:rFonts w:hint="eastAsia" w:ascii="宋体" w:hAnsi="宋体" w:eastAsia="宋体" w:cs="宋体"/>
          <w:color w:val="000000"/>
          <w:sz w:val="24"/>
          <w:szCs w:val="24"/>
          <w:highlight w:val="none"/>
          <w:lang w:eastAsia="zh-CN"/>
        </w:rPr>
        <w:t xml:space="preserve">采购要求</w:t>
      </w:r>
      <w:r>
        <w:rPr>
          <w:rFonts w:hint="eastAsia" w:ascii="宋体" w:hAnsi="宋体" w:eastAsia="宋体" w:cs="宋体"/>
          <w:color w:val="000000"/>
          <w:sz w:val="24"/>
          <w:szCs w:val="24"/>
          <w:highlight w:val="none"/>
        </w:rPr>
        <w:t xml:space="preserve">，同时对每项要求做出明确应答并提供详细的服务方案，否则视为非实质响应采购文件。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应对所投项目的全部内容进行报价，只投其中部分内容者或出现选择性报价的，其标书将被拒绝。</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响应报价采用优惠率方式报价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eastAsia="宋体" w:cs="宋体"/>
          <w:color w:val="000000"/>
          <w:sz w:val="24"/>
          <w:szCs w:val="24"/>
          <w:highlight w:val="none"/>
        </w:rPr>
        <w:t xml:space="preserve">应包括完成该项目所有服务管理内容所需的人工、机械设备、工具器具、垃圾清运、耗材、通讯、服装、胸卡、办公设备、巡检器材、保险、劳保、高温费、防暑降温物品费用、维护、技术支持与培训及相关劳务支出等工作所发生的全部费用以及</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企业管理费用、利润、</w:t>
      </w:r>
      <w:r>
        <w:rPr>
          <w:rFonts w:hint="eastAsia" w:ascii="宋体" w:hAnsi="宋体" w:eastAsia="宋体" w:cs="宋体"/>
          <w:color w:val="000000"/>
          <w:sz w:val="24"/>
          <w:szCs w:val="24"/>
          <w:highlight w:val="none"/>
          <w:lang w:eastAsia="zh-CN"/>
        </w:rPr>
        <w:t xml:space="preserve">各种税金、代理服务费和政策文件规定</w:t>
      </w:r>
      <w:r>
        <w:rPr>
          <w:rFonts w:hint="eastAsia" w:ascii="宋体" w:hAnsi="宋体" w:eastAsia="宋体" w:cs="宋体"/>
          <w:color w:val="000000"/>
          <w:sz w:val="24"/>
          <w:szCs w:val="24"/>
          <w:highlight w:val="none"/>
        </w:rPr>
        <w:t xml:space="preserve">及合同包含的所有风险、责任等各项应有费用。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人员工资标准及加班费、高温费、社保、税金计算均须满足苏州市及吴江区相关政府文件规定的最低标准要求。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成交单位必须按月支付服务人员的工资，甲方有权要求乙方按月提供员工工资发放清单，若经甲方抽查，乙方未按期足额发放员工工资，甲方有权扣除相应费用以支付乙方未支付之费用。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间，服务人员应注意人身交通安全，成交单位需对员工进行相关安全培训，项目服务期间，成交单位的服务工作人员发生的一切安全问题包括由于成交单位的服务导致的安全事故的责任，均由成交单位自行负责。</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需在</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中做出相应承诺。</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因成交单位原因，造成采购单位或第三方发生财产损失或人身安全事故的，均由成交单位负责处理并承担经济和道义上的责任，</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本项目全年无休，</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要充分考虑所有工作人员的值休、轮休、法定假日休息以及岗位顶班、日常机动人员的配备，以上所有费用均计入</w:t>
      </w:r>
      <w:r>
        <w:rPr>
          <w:rFonts w:hint="eastAsia" w:ascii="宋体" w:hAnsi="宋体" w:eastAsia="宋体" w:cs="宋体"/>
          <w:color w:val="000000"/>
          <w:sz w:val="24"/>
          <w:szCs w:val="24"/>
          <w:highlight w:val="none"/>
          <w:lang w:eastAsia="zh-CN"/>
        </w:rPr>
        <w:t xml:space="preserve">磋商总价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成交单位应根据项目实际情况和需求调整、完善工作方案，确保并不断提高服务质量。</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10.1响应文件</w:t>
      </w:r>
      <w:r>
        <w:rPr>
          <w:rFonts w:hint="eastAsia" w:ascii="宋体" w:hAnsi="宋体" w:eastAsia="宋体" w:cs="宋体"/>
          <w:b/>
          <w:bCs/>
          <w:color w:val="000000"/>
          <w:sz w:val="24"/>
          <w:szCs w:val="24"/>
          <w:highlight w:val="none"/>
        </w:rPr>
        <w:t xml:space="preserve">需提供详细具体的服务管理工作流程和标准。</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10.2</w:t>
      </w:r>
      <w:r>
        <w:rPr>
          <w:rFonts w:hint="eastAsia" w:ascii="宋体" w:hAnsi="宋体" w:eastAsia="宋体" w:cs="宋体"/>
          <w:b/>
          <w:bCs/>
          <w:color w:val="000000"/>
          <w:sz w:val="24"/>
          <w:szCs w:val="24"/>
          <w:highlight w:val="none"/>
        </w:rPr>
        <w:t xml:space="preserve">制订并提供各类操作规程、服务员作业规范，建立合理有效的服务质量检查制度并切实执行。</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发生下列情形之一者甲方有权立即终止与之签订的服务合同，所有损失由成交单位承担：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严重违反国家法律法规和政策的；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rPr>
        <w:t xml:space="preserve">服务辖区范围内被上级部门或媒体三次以上（含三次）曝光或给服务辖区造成恶劣影响的；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rPr>
        <w:t xml:space="preserve">连续考核不及格的，逾期未整改且严重违约的；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rPr>
        <w:t xml:space="preserve">拖欠人员工资、发生重大安全作业事故的；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成交单位在合同履约期内未经采购单位批准自行终止履行合同义务的。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11.6</w:t>
      </w:r>
      <w:r>
        <w:rPr>
          <w:rFonts w:hint="eastAsia" w:ascii="宋体" w:hAnsi="宋体" w:eastAsia="宋体" w:cs="宋体"/>
          <w:color w:val="000000"/>
          <w:sz w:val="24"/>
          <w:szCs w:val="24"/>
          <w:highlight w:val="none"/>
        </w:rPr>
        <w:t xml:space="preserve">未经甲方同意，成交单位擅自将合同转让或者进行分包。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如遇范围内有大的调整或迁移等重大情况，采购人将提前告知成交单位，合同内容经双方协商调整。</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必须保证全部响应资料的真实性，如有虚假或对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所要求说明的情况故意隐瞒或虚报，取消其中标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的资格，并将按照《中华人民共和国政府采购法》相关条款给予处罚。</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w:t>
      </w:r>
      <w:r>
        <w:rPr>
          <w:rFonts w:hint="eastAsia" w:ascii="宋体" w:hAnsi="宋体" w:eastAsia="宋体" w:cs="宋体"/>
          <w:color w:val="000000"/>
          <w:sz w:val="24"/>
          <w:szCs w:val="24"/>
          <w:highlight w:val="none"/>
        </w:rPr>
        <w:t xml:space="preserve">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w:t>
      </w:r>
      <w:r>
        <w:rPr>
          <w:rFonts w:hint="eastAsia" w:ascii="宋体" w:hAnsi="宋体" w:eastAsia="宋体" w:cs="宋体"/>
          <w:color w:val="000000"/>
          <w:sz w:val="24"/>
          <w:szCs w:val="24"/>
          <w:highlight w:val="none"/>
        </w:rPr>
        <w:t xml:space="preserve">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7.本项目专门面向中小微企业，不再执行价格优惠政策。</w:t>
      </w:r>
      <w:r>
        <w:rPr>
          <w:rFonts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（一）价格</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第一步：磋商报价低于或等于财政预算价格（及最高限价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最低优惠率</w:t>
      </w:r>
      <w:r>
        <w:rPr>
          <w:rFonts w:hint="eastAsia" w:ascii="宋体" w:hAnsi="宋体" w:eastAsia="宋体" w:cs="宋体"/>
          <w:color w:val="000000"/>
          <w:sz w:val="24"/>
          <w:szCs w:val="24"/>
          <w:highlight w:val="none"/>
        </w:rPr>
        <w:t xml:space="preserve">）的，为有效磋商报价。超采购预算（或最高限价</w:t>
      </w:r>
      <w:r>
        <w:rPr>
          <w:rFonts w:hint="eastAsia" w:ascii="宋体" w:hAnsi="宋体" w:eastAsia="宋体" w:cs="宋体"/>
          <w:color w:val="000000"/>
          <w:sz w:val="24"/>
          <w:szCs w:val="24"/>
          <w:highlight w:val="none"/>
          <w:lang w:val="en-US" w:eastAsia="zh-CN"/>
        </w:rPr>
        <w:t xml:space="preserve">或最低优惠率</w:t>
      </w:r>
      <w:r>
        <w:rPr>
          <w:rFonts w:hint="eastAsia" w:ascii="宋体" w:hAnsi="宋体" w:eastAsia="宋体" w:cs="宋体"/>
          <w:color w:val="000000"/>
          <w:sz w:val="24"/>
          <w:szCs w:val="24"/>
          <w:highlight w:val="none"/>
        </w:rPr>
        <w:t xml:space="preserve">）的磋商报价为无效磋商报价。无效磋商报价的磋商响应文件不进行评审，也不得成交。</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第二步：在所有有效磋商报价中满足采购文件要求，且磋商价格最低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优惠率最高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的磋商报价为评标基准价，其价格分为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分，其他磋商供应商的价格分按照下列公式</w:t>
      </w:r>
      <w:r>
        <w:rPr>
          <w:rFonts w:hint="eastAsia" w:ascii="宋体" w:hAnsi="宋体" w:eastAsia="宋体" w:cs="宋体"/>
          <w:color w:val="000000"/>
          <w:sz w:val="24"/>
          <w:highlight w:val="none"/>
        </w:rPr>
        <w:t xml:space="preserve">计算（计算结果四舍五入保留两位小数）</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磋商报价得分＝（评标基准价/磋商报价）×</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（二）技术服务方案：4</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1.针对本项目服务内容的调查了解及分析情况：最高为8分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根据磋商供应商针对本项目的调查了解情况，对本项目乡村道路养护具体服务内容和服务需求的了解和分析情况评价：对项目调查了解熟悉、分析清晰完整得8分；较为了解、分析内容较为清晰详细的得5分；了解分析程度一般、内容详细程度一般的得2分；不够了解、分析较差的得1分；未提供相关说明的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2.针对本项目的日常养护服务方案：最高为8分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详细方案包括日常巡查与维护、养护、巡检、维修等工作方案，以及维护检查计划与内容，按照乡村公路日常养护作业内容包括路面部分、人行道与侧平石、临时交办的其他工作等整体实施方案情况进行综合评分。方案阐述详细，切实可行且高效率，方案考虑周全的得8分；方案阐述较为详细，较为切实可行，考虑较周全的得6分；方案简单、可行性一般，基本能满足项目实施需要的得4分；方案阐述欠缺，可行性较差的得2分；未提供对应方案的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3.针对本项目的养护作业区域划分安排方案：最高为</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详细方案包括针对养护作业区域划分安排、对应区域配备的养护工作人员和作业设备的配置安排等情况进行综合评分。片区安排及规划全面、先进、合理，工作实施方案详实具体、科学性、合理性高，可实施性强的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分；工作实施方案较为详细，较为合理，可实施性较强的得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分；工作实施方案不够详细，合理性和可实施性一般的得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分；工作实施方案简单，合理性和可实施性较差的得1分；未提供相关内容不得分。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4.针对本项目提供的服务工作流程和标准：最高为</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针对本项目提供的服务工作流程和标准进行综合评分。内容清晰、详细，工作流程和标准具体、明确、科学合理的得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分；内容较为清晰，较为详细，工作流程和标准较科学较合理的得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分；内容不够详细，工作流程和标准合理性一般的得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分；内容简单，工作流程和标准合理性较差的得1分；未提供相关说明不得分。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5.针对本项目提供的养护、修复技术方法：最高为5分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案详细、合理、明确、有针对性且技术方法先进的得5分；技术方法较为详细、较为先进合理的得3分；技术方法不够详细、可行性和合理性一般的得2分；技术方法阐述简单、可行性和合理性较差的得1分；未提供相关说明不得分。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6.针对本项目的各类应急抢险处理预案以及临时突发状况抢修方案情况：最高为5分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可能出现的各类应急抢险处理预案以及临时突发状况抢修方案进行综合评分。方案详实具体、针对性强、科学、可行性强的得5分；方案较为详细、针对性较强、较科学、可行性较强的得3分；方案简单、针对性一般、科学性一般、可行性一般的得2分；方案欠缺、针对性弱、科学合理性较差的得1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7.针对本项目服务期间与其他相关单位、部门的综合协调处理方案：最高为</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主要包括实施养护维修作业期间与服务范围内的各个街道、物业、居民及其它相关单位、部门综合协调处理方案：方案详实具体、针对性强、科学、可行性强的得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分；方案较为详细、针对性较强、较科学、可行性较强的得3分；方案简单、针对性一般、科学性一般、可行性一般的得2分；方案欠缺、针对性弱、科学合理性较差的得1分；未提供相关说明不得分。</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（三）服务组织措施方案：</w:t>
      </w:r>
      <w:r>
        <w:rPr>
          <w:rFonts w:hint="eastAsia" w:ascii="宋体" w:hAnsi="宋体" w:eastAsia="宋体" w:cs="宋体"/>
          <w:b/>
          <w:bCs/>
          <w:color w:val="000000"/>
          <w:sz w:val="24"/>
          <w:highlight w:val="none"/>
          <w:lang w:val="en-US" w:eastAsia="zh-CN"/>
        </w:rPr>
        <w:t xml:space="preserve">20</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1.针对本项目的安全文明作业计划安排措施方案：最高为5分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的养护服务特点，服务过程中的安全文明作业计划安排措施方案进行综合评分。方案详细、科学合理、可行的得5分；方案较为详细、较科学合理、可行性较好的得3分；方案简单、科学合理性一般的得2分；方案欠缺、科学合理性较差的得1分；未提供的不得分。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2.针对本项目的夜间施工措施方案：最高为5分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的养护服务特点，服务过程中的夜间施工措施方案（包括夜间和节假日管理人员的合理调配、换岗，组织管理体系科学，能够有效实施管理工作）进行综合评分。方案详细、科学合理、可行的得5分；方案较为详细、较科学合理、可行性较好的得3分；方案简单、科学合理性一般的得2分；方案欠缺、科学合理性较差的得1分；未提供的不得分。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3.针对本项目的交通组织措施方案：最高为5分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的养护服务特点，服务过程中的交通组织措施方案进行综合评分。方案详细、科学合理、可行的得5分；方案较为详细、较科学合理、可行性较好的得3分；方案简单、科学合理性一般的得2分；方案欠缺、科学合理性较差的得1分；未提供的不得分。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4.针对本项目的环境保护等其他现场管理措施方案：最高为</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针对本项目的养护服务特点，服务过程中的环境保护等其他现场管理措施方案进行综合评分。方案详细、科学合理、可行的得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分；方案较为详细、较科学合理、可行性较好的得3分；方案简单、科学合理性一般的得2分；方案欠缺、科学合理性较差的得1分；未提供的不得分。 </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（四）服务制度：</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1.针对本项目的维护管理岗位工作职责、考核及制度：最高为</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岗位责任、管理运作制度及标准、管理人员考核制度及标准、日常考核表单等。内容详实具体完善、阐述详细，考虑周全，科学合理性和可实施性高的得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分；内容较为详细、较为完善、合理性和可实施性较好的得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分；内容不够详细、可实施性一般的得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分；内容简单、可实施性较差的得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分；未提供的不得分。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2.针对本项目的内部各项制度：最高为</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安全生产管理制度、工具管理制度、员工管理制度、档案管理制度、财务管理制度、备件管理制度、考核奖惩管理制度等。内容详实具体完善、阐述详细，考虑周全，科学合理性和可实施性高的得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分；内容较为详细、较为完善、合理性和可实施性较好的得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分；内容不够详细、可实施性一般的得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分；内容简单、可实施性较差的得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分；未提供的不得分。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3.针对本项目的各项承诺：最高为2分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包括（1）整体服务质量承诺；（2）对发生主要包含维护管理作业时发生的安全事故善后处理承诺；（3）依法规范用工承诺；（4）应对履约期内各类风险承诺及应对环境保护突发的应对承诺。上述每具备一项得0.5分，最高为2分。</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（五）针对本项目的项目组配置情况：</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1.项目负责人配置情况：最高为4分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项目负责人具有</w:t>
      </w:r>
      <w:bookmarkStart w:id="138" w:name="OLE_LINK7"/>
      <w:r/>
      <w:bookmarkStart w:id="139" w:name="OLE_LINK8"/>
      <w:r>
        <w:rPr>
          <w:rFonts w:hint="eastAsia" w:ascii="宋体" w:hAnsi="宋体" w:eastAsia="宋体" w:cs="宋体"/>
          <w:color w:val="000000"/>
          <w:sz w:val="24"/>
          <w:highlight w:val="none"/>
          <w:lang w:eastAsia="zh-CN"/>
        </w:rPr>
        <w:t xml:space="preserve">公路一级建造师证的得2分，具有公路二级建造师证的得1分；最高为2分。</w:t>
      </w:r>
      <w:bookmarkEnd w:id="138"/>
      <w:r/>
      <w:bookmarkEnd w:id="139"/>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项目负责人</w:t>
      </w:r>
      <w:bookmarkStart w:id="140" w:name="OLE_LINK5"/>
      <w:r>
        <w:rPr>
          <w:rFonts w:hint="eastAsia" w:ascii="宋体" w:hAnsi="宋体" w:eastAsia="宋体" w:cs="宋体"/>
          <w:color w:val="000000"/>
          <w:sz w:val="24"/>
          <w:highlight w:val="none"/>
          <w:lang w:eastAsia="zh-CN"/>
        </w:rPr>
        <w:t xml:space="preserve">具有与本项目相关专业的高级及以上职称的得2分,具有与本项目相关专业的中级</w:t>
      </w:r>
      <w:r>
        <w:rPr>
          <w:rFonts w:hint="eastAsia" w:ascii="宋体" w:hAnsi="宋体" w:eastAsia="宋体" w:cs="宋体"/>
          <w:color w:val="000000"/>
          <w:sz w:val="24"/>
          <w:highlight w:val="none"/>
          <w:lang w:val="en-US" w:eastAsia="zh-CN"/>
        </w:rPr>
        <w:t xml:space="preserve">或初级</w:t>
      </w:r>
      <w:r>
        <w:rPr>
          <w:rFonts w:hint="eastAsia" w:ascii="宋体" w:hAnsi="宋体" w:eastAsia="宋体" w:cs="宋体"/>
          <w:color w:val="000000"/>
          <w:sz w:val="24"/>
          <w:highlight w:val="none"/>
          <w:lang w:eastAsia="zh-CN"/>
        </w:rPr>
        <w:t xml:space="preserve">职称得1；最高为2分。</w:t>
      </w:r>
      <w:bookmarkEnd w:id="140"/>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2.技术负责人配置情况：最高为2分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针对本项目配置的技术负责人具有与本项目相关专业的高级及以上职称的得2分,具有与本项目相关专业的中级</w:t>
      </w:r>
      <w:r>
        <w:rPr>
          <w:rFonts w:hint="eastAsia" w:ascii="宋体" w:hAnsi="宋体" w:eastAsia="宋体" w:cs="宋体"/>
          <w:color w:val="000000"/>
          <w:sz w:val="24"/>
          <w:highlight w:val="none"/>
          <w:lang w:val="en-US" w:eastAsia="zh-CN"/>
        </w:rPr>
        <w:t xml:space="preserve">或初级</w:t>
      </w:r>
      <w:r>
        <w:rPr>
          <w:rFonts w:hint="eastAsia" w:ascii="宋体" w:hAnsi="宋体" w:eastAsia="宋体" w:cs="宋体"/>
          <w:color w:val="000000"/>
          <w:sz w:val="24"/>
          <w:highlight w:val="none"/>
          <w:lang w:eastAsia="zh-CN"/>
        </w:rPr>
        <w:t xml:space="preserve">职称得1；最高为2分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3.安全员配置情况：最高为</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针对本项目配置的安全员具有C类安全生产考核合格证书的得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注：上述序号1-3项请在磋商响应文件中提供详细的人员清单（一人一岗）及对应的证书，及磋商供应商</w:t>
      </w:r>
      <w:r>
        <w:rPr>
          <w:rFonts w:hint="eastAsia" w:ascii="宋体" w:hAnsi="宋体" w:eastAsia="宋体" w:cs="宋体"/>
          <w:color w:val="000000"/>
          <w:sz w:val="24"/>
          <w:highlight w:val="none"/>
          <w:lang w:val="en-US" w:eastAsia="zh-CN"/>
        </w:rPr>
        <w:t xml:space="preserve">在磋商响应截止时间前三个月内任意一期</w:t>
      </w:r>
      <w:r>
        <w:rPr>
          <w:rFonts w:hint="eastAsia" w:ascii="宋体" w:hAnsi="宋体" w:eastAsia="宋体" w:cs="宋体"/>
          <w:color w:val="000000"/>
          <w:sz w:val="24"/>
          <w:highlight w:val="none"/>
          <w:lang w:eastAsia="zh-CN"/>
        </w:rPr>
        <w:t xml:space="preserve">社保缴纳证明材料，复印件加盖磋商供应商公章，资料提供无法证明的不得分。</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eastAsia="zh-CN"/>
        </w:rPr>
        <w:t xml:space="preserve">（六）磋商供应商履约能力</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zh-CN" w:eastAsia="zh-CN"/>
        </w:rPr>
        <w:t xml:space="preserve">磋商供应商类似项目业绩：最高为</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eastAsia="zh-CN"/>
        </w:rPr>
        <w:t xml:space="preserve">分</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响应供应商</w:t>
      </w:r>
      <w:r>
        <w:rPr>
          <w:rFonts w:hint="eastAsia" w:ascii="宋体" w:hAnsi="宋体" w:eastAsia="宋体" w:cs="宋体"/>
          <w:color w:val="000000"/>
          <w:sz w:val="24"/>
          <w:highlight w:val="none"/>
        </w:rPr>
        <w:t xml:space="preserve">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1日</w:t>
      </w:r>
      <w:r>
        <w:rPr>
          <w:rFonts w:hint="eastAsia" w:ascii="宋体" w:hAnsi="宋体" w:eastAsia="宋体" w:cs="宋体"/>
          <w:color w:val="000000"/>
          <w:sz w:val="24"/>
          <w:highlight w:val="none"/>
        </w:rPr>
        <w:t xml:space="preserve">以来（以</w:t>
      </w:r>
      <w:r>
        <w:rPr>
          <w:rFonts w:hint="eastAsia" w:ascii="宋体" w:hAnsi="宋体" w:eastAsia="宋体" w:cs="宋体"/>
          <w:color w:val="000000"/>
          <w:sz w:val="24"/>
          <w:highlight w:val="none"/>
          <w:lang w:val="en-US" w:eastAsia="zh-CN"/>
        </w:rPr>
        <w:t xml:space="preserve">验收时间为准</w:t>
      </w:r>
      <w:r>
        <w:rPr>
          <w:rFonts w:hint="eastAsia" w:ascii="宋体" w:hAnsi="宋体" w:eastAsia="宋体" w:cs="宋体"/>
          <w:color w:val="000000"/>
          <w:sz w:val="24"/>
          <w:highlight w:val="none"/>
        </w:rPr>
        <w:t xml:space="preserve">）承接过类似项目业绩，有1个得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磋商响应文件</w:t>
      </w:r>
      <w:r>
        <w:rPr>
          <w:rFonts w:hint="eastAsia" w:ascii="宋体" w:hAnsi="宋体" w:eastAsia="宋体" w:cs="宋体"/>
          <w:color w:val="000000"/>
          <w:sz w:val="24"/>
          <w:highlight w:val="none"/>
        </w:rPr>
        <w:t xml:space="preserve">中提供合同原件扫描件或复印件，未提供或提供不全、不清晰的该项不得分）。</w:t>
      </w:r>
      <w:r>
        <w:rPr>
          <w:rFonts w:hint="eastAsia" w:ascii="宋体" w:hAnsi="宋体" w:eastAsia="宋体" w:cs="宋体"/>
          <w:color w:val="000000"/>
          <w:sz w:val="24"/>
          <w:highlight w:val="none"/>
        </w:rPr>
      </w:r>
      <w:r/>
    </w:p>
    <w:p>
      <w:pPr>
        <w:pStyle w:val="95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5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0"/>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22"/>
        <w:jc w:val="right"/>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pStyle w:val="899"/>
        <w:ind w:firstLine="420"/>
        <w:jc w:val="righ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根据苏州市吴江区政府采购编号JSZC-320509-ZZHL-C2026-0022采购文件及乙方的响应文件和成交通知书，甲乙各方就此次乙方成交的项目事宜，签订本合同书。</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一、服务内容与要求</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 服务项目：</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服务内容：详见采购文件“第三章采购需求”。</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服务要求：详见采购文件“第三章采购需求”。</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二、合同金额</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1.本项目成交优惠率为：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本合同暂定金额为：人民币（￥：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上述养护费用为综合报价，应包括完成该项目所有服务管理内容所需的人工、机械设备、工具器具、垃圾清运、耗材、通讯、服装、胸卡、办公设备、巡检器材、保险、劳保、高温费、防暑降温物品费用、维护、技术支持与培训及相关劳务支出等工作所发生的全部费用以及乙方企业管理费用、利润、各种税金、代理服务费和政策文件规定及合同包含的所有风险、责任等各项应有费用。</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三、转包或分包</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 本合同范围的服务，应由乙方直接提供，禁止将本合同的服务内容转包或分包。</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乙方如将本合同服务内容转包或分包，甲方有权单方面解除合同。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lang w:val="en-US" w:eastAsia="zh-CN"/>
        </w:rPr>
        <w:t xml:space="preserve">合同履行期限</w:t>
      </w:r>
      <w:r>
        <w:rPr>
          <w:rFonts w:hint="eastAsia" w:ascii="宋体" w:hAnsi="宋体" w:eastAsia="宋体" w:cs="宋体"/>
          <w:color w:val="000000"/>
          <w:sz w:val="24"/>
          <w:highlight w:val="none"/>
          <w:lang w:eastAsia="zh-CN"/>
        </w:rPr>
        <w:t xml:space="preserve">：合同签订生效之日起一年；或实际结算合同金额达到成交总金额（二者中以先到者为准）。具体根据实际工作量进行结算。</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五、服务费支付 </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费用结算方式：</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甲方按季度向乙方支付费用，每季度根据考核结果支付实际发生金额的50%（季度支付金额=各单项工作量×结算单价后相加综合-考核扣减&lt;如有扣减&gt;），</w:t>
      </w:r>
      <w:r>
        <w:rPr>
          <w:rFonts w:hint="eastAsia" w:ascii="宋体" w:hAnsi="宋体" w:eastAsia="宋体" w:cs="宋体"/>
          <w:color w:val="000000"/>
          <w:sz w:val="24"/>
          <w:highlight w:val="none"/>
          <w:lang w:eastAsia="zh-CN"/>
        </w:rPr>
        <w:t xml:space="preserve">结算资料完整齐全送审后，服务费用付至送审金额的60%。审计期间不再支付服务费用，审计结束后付至项目审定金额的80%。审计结束满一年后（以出具审计报告日期为准）付至审定金额的90%。审计结束满二年后，如期间项目未发生质量问题，则付至审定金额的100%（具体支付按开发区财政相关规定），在保修期内乙方怠于维修，甲方通知一周内未有实质性响应，则甲方自行委托第三方修复，发生费用在质量保证（保修）金内扣除。</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乙方账户信息：</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开户名：</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开户行：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账  号：</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若变更上述账户信息的，应提前5个工作日通过书面的方式通知甲方。若乙方未书面通知甲方，甲方向乙方提供的上述账户信息支付本合同项下的服务费用的，即视为已经履行的相应的付款义务，甲方不再承担逾期付款的责任。</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六、税费负担</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本合同项下所有相关的一切税费均由乙方负担。</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七、服务质量与考核</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具体考核标准见合同附件。</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八、管理事项</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按照本合同约定、采购文件要求以及乙方的磋商响应文件、承诺事项等进行管理。</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九、双方权利义务</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甲方责任：</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zh-CN" w:eastAsia="zh-CN"/>
        </w:rPr>
        <w:t xml:space="preserve">指定专人作为甲方联系人予以协调工作。加强与乙方沟通，交流情况，互通信息。</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eastAsia="zh-CN"/>
        </w:rPr>
        <w:t xml:space="preserve">甲方应教育其所属人员尊重乙方工作人员的劳动成果，积极配合乙方工作人员履行好合同所规定的职责和义务。对甲方人员因使用设备、器材、器械不当而造成的损失与乙方无关。</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t xml:space="preserve">乙方责任：</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val="zh-CN" w:eastAsia="zh-CN"/>
        </w:rPr>
        <w:t xml:space="preserve">乙方在从事乡村公路养护服务工作中应当做到文明工作、安全生产，采取必要的安全防范措施，合同期内</w:t>
      </w:r>
      <w:r>
        <w:rPr>
          <w:rFonts w:hint="eastAsia" w:ascii="宋体" w:hAnsi="宋体" w:eastAsia="宋体" w:cs="宋体"/>
          <w:color w:val="000000"/>
          <w:sz w:val="24"/>
          <w:highlight w:val="none"/>
          <w:lang w:eastAsia="zh-CN"/>
        </w:rPr>
        <w:t xml:space="preserve">，乙方养护工作人员发生的一切安全问题包括由于乙方提供的养护服务导致的安全事故的责任，均由乙方自行负责</w:t>
      </w:r>
      <w:r>
        <w:rPr>
          <w:rFonts w:hint="eastAsia" w:ascii="宋体" w:hAnsi="宋体" w:eastAsia="宋体" w:cs="宋体"/>
          <w:color w:val="000000"/>
          <w:sz w:val="24"/>
          <w:highlight w:val="none"/>
          <w:lang w:val="zh-CN" w:eastAsia="zh-CN"/>
        </w:rPr>
        <w:t xml:space="preserve">，与甲方无关。</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val="zh-CN" w:eastAsia="zh-CN"/>
        </w:rPr>
        <w:t xml:space="preserve">乙方应及时调整不适应工作需求的乡村公路养护服务管理人员及其员工。如甲方认为该员工不能胜任本职工作的，必须调整。</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val="zh-CN" w:eastAsia="zh-CN"/>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int="eastAsia" w:ascii="宋体" w:hAnsi="宋体" w:eastAsia="宋体" w:cs="宋体"/>
          <w:color w:val="000000"/>
          <w:sz w:val="24"/>
          <w:highlight w:val="none"/>
          <w:lang w:val="zh-CN"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lang w:eastAsia="zh-CN"/>
        </w:rPr>
        <w:t xml:space="preserve">乙方负有对自己员工的安全责任，甲方不承担任何相关责任。</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十、违约责任</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 合同一方不履行合同义务或者履行合同义务不符合约定的，应当承担继续履行、采取补救措施或者赔偿损失等违约责任。</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有下列情形之一的，乙方不能按照本合同约定提供服务的，甲方有权单方面解除合同，并要求乙方支付合同总价款的5%作为违约金，违约金不足以补偿损失的，甲方有权要求乙方补足。同时甲方有权要求乙方承担因此造成的其他损失：</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乙方未按照合同约定支付人员工资，导致信访、投诉等情况的；</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乙方因管理失职造成恶劣社会影响、安全事故或导致管理部门被追责的；</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lang w:eastAsia="zh-CN"/>
        </w:rPr>
        <w:t xml:space="preserve">合同一方因不可抗力不能履行合同的，应及时通知对方，以减轻可能给对方造成的损失，并应当在合理期限内提供证明。</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十一、不可抗力事件处理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在合同有效期内，任何一方因不可抗力事件导致不能履行合同的，则合同履行期可延长，其延长期与不可抗力影响期相同。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不可抗力事件发生后，应立即通知对方，并寄送有关权威机构出具的证明。</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不可抗力事件延续30天以上，双方应通过友好协商，确定是否继续履行合同。</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十二、诉讼</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双方在履行合同中所发生的一切争议，应通过协商解决。如协商不成，任何一方可向苏州市吴江区人民法院提起起诉。</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十三、合同其他文件</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下列文件为本合同不可分割部份，与本合同具有同等效力。</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本项目的采购文件</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成交通知书；</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乙方磋商响应文件；</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乙方在</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eastAsia="zh-CN"/>
        </w:rPr>
        <w:t xml:space="preserve">过程中所作的其他承诺、声明、书面澄清等。</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十四、合同生效及其它</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合同经双方法定代表人（或负责人）或授权委托代表人签字（或盖章）并加盖单位公章（或合同章）后生效，合同签订后2个工作日内上传</w:t>
      </w:r>
      <w:r>
        <w:rPr>
          <w:rFonts w:hint="eastAsia" w:ascii="宋体" w:hAnsi="宋体" w:eastAsia="宋体" w:cs="宋体"/>
          <w:color w:val="000000"/>
          <w:sz w:val="24"/>
          <w:highlight w:val="none"/>
          <w:lang w:val="en-US" w:eastAsia="zh-CN"/>
        </w:rPr>
        <w:t xml:space="preserve">苏采云</w:t>
      </w:r>
      <w:r>
        <w:rPr>
          <w:rFonts w:hint="eastAsia" w:ascii="宋体" w:hAnsi="宋体" w:eastAsia="宋体" w:cs="宋体"/>
          <w:color w:val="000000"/>
          <w:sz w:val="24"/>
          <w:highlight w:val="none"/>
          <w:lang w:eastAsia="zh-CN"/>
        </w:rPr>
        <w:t xml:space="preserve">系统公示。</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本合同未尽事宜，遵照《中华人民共和国民法典》的规定，经甲乙双方协商一致，可签订补充协议。</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 本合同正本一式五份，具有同等法律效力，甲乙双方各执二份和采购代理机构各执一份，各份具有同等法律效力。</w:t>
      </w:r>
      <w:r>
        <w:rPr>
          <w:rFonts w:hint="eastAsia" w:ascii="宋体" w:hAnsi="宋体" w:eastAsia="宋体" w:cs="宋体"/>
          <w:color w:val="000000"/>
          <w:sz w:val="24"/>
          <w:highlight w:val="none"/>
          <w:lang w:eastAsia="zh-CN"/>
        </w:rPr>
      </w:r>
      <w:r/>
    </w:p>
    <w:p>
      <w:pPr>
        <w:pStyle w:val="925"/>
        <w:rPr>
          <w:color w:val="000000"/>
          <w:highlight w:val="none"/>
          <w:lang w:val="en-US" w:eastAsia="zh-CN"/>
        </w:rPr>
      </w:pPr>
      <w:r>
        <w:rPr>
          <w:color w:val="000000"/>
          <w:highlight w:val="none"/>
          <w:lang w:val="en-US" w:eastAsia="zh-CN"/>
        </w:rPr>
      </w:r>
      <w:r/>
    </w:p>
    <w:p>
      <w:pPr>
        <w:pStyle w:val="89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甲方（签章）：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eastAsia="zh-CN"/>
        </w:rPr>
        <w:t xml:space="preserve"> 乙方（签章）：</w:t>
      </w:r>
      <w:r>
        <w:rPr>
          <w:rFonts w:hint="eastAsia" w:ascii="宋体" w:hAnsi="宋体" w:eastAsia="宋体" w:cs="宋体"/>
          <w:color w:val="000000"/>
          <w:sz w:val="24"/>
          <w:highlight w:val="none"/>
          <w:lang w:val="zh-CN" w:eastAsia="zh-CN"/>
        </w:rPr>
      </w:r>
      <w:r/>
    </w:p>
    <w:p>
      <w:pPr>
        <w:pStyle w:val="925"/>
        <w:rPr>
          <w:rFonts w:hint="eastAsia"/>
          <w:color w:val="000000"/>
          <w:highlight w:val="none"/>
          <w:lang w:eastAsia="zh-CN"/>
        </w:rPr>
      </w:pPr>
      <w:r>
        <w:rPr>
          <w:rFonts w:hint="eastAsia"/>
          <w:color w:val="000000"/>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zh-CN" w:eastAsia="zh-CN"/>
        </w:rPr>
        <w:t xml:space="preserve">法定代表人或其委托代理人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eastAsia="zh-CN"/>
        </w:rPr>
        <w:t xml:space="preserve">法定代表人或其委托代理人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日期：                               日期：</w:t>
      </w:r>
      <w:r>
        <w:rPr>
          <w:rFonts w:hint="eastAsia" w:ascii="宋体" w:hAnsi="宋体" w:eastAsia="宋体" w:cs="宋体"/>
          <w:color w:val="000000"/>
          <w:sz w:val="24"/>
          <w:highlight w:val="none"/>
          <w:lang w:eastAsia="zh-CN"/>
        </w:rPr>
      </w:r>
      <w:r/>
    </w:p>
    <w:p>
      <w:pPr>
        <w:pStyle w:val="899"/>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合同附件1：</w:t>
      </w:r>
      <w:r>
        <w:rPr>
          <w:rFonts w:hint="eastAsia" w:ascii="宋体" w:hAnsi="宋体" w:cs="宋体"/>
          <w:b/>
          <w:bCs/>
          <w:color w:val="000000"/>
          <w:sz w:val="24"/>
          <w:szCs w:val="24"/>
          <w:highlight w:val="none"/>
        </w:rPr>
      </w:r>
      <w:r/>
    </w:p>
    <w:p>
      <w:pPr>
        <w:pStyle w:val="899"/>
        <w:jc w:val="center"/>
        <w:rPr>
          <w:b/>
          <w:bCs/>
          <w:color w:val="000000"/>
          <w:sz w:val="24"/>
          <w:szCs w:val="24"/>
          <w:highlight w:val="none"/>
        </w:rPr>
      </w:pPr>
      <w:r>
        <w:rPr>
          <w:rFonts w:hint="eastAsia"/>
          <w:b/>
          <w:bCs/>
          <w:color w:val="000000"/>
          <w:sz w:val="24"/>
          <w:szCs w:val="24"/>
          <w:highlight w:val="none"/>
        </w:rPr>
        <w:t xml:space="preserve">履约验收方案</w:t>
      </w:r>
      <w:r>
        <w:rPr>
          <w:b/>
          <w:bCs/>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年  月  日起，2026年同里镇乡村公路日常养护及应急保障项目乙方进场服务，为有序衔接乙方进场前验收及日常督查考核，特制定方案如下：</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验收步骤</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成家公告</w:t>
      </w:r>
      <w:r>
        <w:rPr>
          <w:rFonts w:hint="eastAsia" w:ascii="宋体" w:hAnsi="宋体" w:eastAsia="宋体" w:cs="宋体"/>
          <w:color w:val="000000"/>
          <w:sz w:val="24"/>
          <w:highlight w:val="none"/>
          <w:lang w:eastAsia="zh-CN"/>
        </w:rPr>
        <w:t xml:space="preserve">发布之日起7日内，甲方指定时间、地点进行人员和车辆设备清点，符合人员和车辆设备配置最低标准予以进场服务，乙方进场服务后甲方予以日常考核，日常考核不达标的甲方有权解除合同。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人员及车辆验收标准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人员验收：</w:t>
      </w:r>
      <w:r>
        <w:rPr>
          <w:rFonts w:hint="eastAsia" w:ascii="宋体" w:hAnsi="宋体" w:eastAsia="宋体" w:cs="宋体"/>
          <w:color w:val="000000"/>
          <w:sz w:val="24"/>
          <w:highlight w:val="none"/>
          <w:lang w:val="en-US" w:eastAsia="zh-CN"/>
        </w:rPr>
        <w:t xml:space="preserve">成交公告</w:t>
      </w:r>
      <w:r>
        <w:rPr>
          <w:rFonts w:hint="eastAsia" w:ascii="宋体" w:hAnsi="宋体" w:eastAsia="宋体" w:cs="宋体"/>
          <w:color w:val="000000"/>
          <w:sz w:val="24"/>
          <w:highlight w:val="none"/>
          <w:lang w:eastAsia="zh-CN"/>
        </w:rPr>
        <w:t xml:space="preserve">发布之日起7日内，乙方进场人数须达100%。</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车辆设备验收：</w:t>
      </w:r>
      <w:r>
        <w:rPr>
          <w:rFonts w:hint="eastAsia" w:ascii="宋体" w:hAnsi="宋体" w:eastAsia="宋体" w:cs="宋体"/>
          <w:color w:val="000000"/>
          <w:sz w:val="24"/>
          <w:highlight w:val="none"/>
          <w:lang w:val="en-US" w:eastAsia="zh-CN"/>
        </w:rPr>
        <w:t xml:space="preserve">成交公告</w:t>
      </w:r>
      <w:r>
        <w:rPr>
          <w:rFonts w:hint="eastAsia" w:ascii="宋体" w:hAnsi="宋体" w:eastAsia="宋体" w:cs="宋体"/>
          <w:color w:val="000000"/>
          <w:sz w:val="24"/>
          <w:highlight w:val="none"/>
          <w:lang w:eastAsia="zh-CN"/>
        </w:rPr>
        <w:t xml:space="preserve">发布之日起7日内，乙方进场车辆设备须达到甲方要求100%。</w:t>
      </w:r>
      <w:r>
        <w:rPr>
          <w:rFonts w:hint="eastAsia" w:ascii="宋体" w:hAnsi="宋体" w:eastAsia="宋体" w:cs="宋体"/>
          <w:color w:val="000000"/>
          <w:sz w:val="24"/>
          <w:highlight w:val="none"/>
          <w:lang w:eastAsia="zh-CN"/>
        </w:rPr>
      </w:r>
      <w:r/>
    </w:p>
    <w:p>
      <w:pPr>
        <w:pStyle w:val="899"/>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人员验收表</w:t>
      </w:r>
      <w:r>
        <w:rPr>
          <w:rFonts w:hint="eastAsia" w:ascii="宋体" w:hAnsi="宋体" w:eastAsia="宋体" w:cs="宋体"/>
          <w:b/>
          <w:bCs/>
          <w:color w:val="000000"/>
          <w:sz w:val="24"/>
          <w:highlight w:val="none"/>
          <w:lang w:eastAsia="zh-CN"/>
        </w:rPr>
      </w:r>
      <w:r/>
    </w:p>
    <w:tbl>
      <w:tblPr>
        <w:tblW w:w="0" w:type="auto"/>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715"/>
        <w:gridCol w:w="1524"/>
        <w:gridCol w:w="973"/>
        <w:gridCol w:w="832"/>
        <w:gridCol w:w="1712"/>
        <w:gridCol w:w="1676"/>
        <w:gridCol w:w="814"/>
      </w:tblGrid>
      <w:tr>
        <w:trPr>
          <w:trHeight w:val="533"/>
        </w:trPr>
        <w:tc>
          <w:tcPr>
            <w:tcW w:w="1249"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公司名称</w:t>
            </w: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工种</w:t>
            </w: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81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33"/>
        </w:trPr>
        <w:tc>
          <w:tcPr>
            <w:tcW w:w="1249" w:type="dxa"/>
            <w:vAlign w:val="center"/>
            <w:vMerge w:val="restart"/>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1249" w:type="dxa"/>
            <w:vAlign w:val="center"/>
            <w:vMerge w:val="continue"/>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5"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3"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3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2"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1.验收日期为：      年    月     日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2.进场日期为：      年    月     日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3.验收人：</w:t>
      </w:r>
      <w:r>
        <w:rPr>
          <w:rFonts w:hint="eastAsia" w:ascii="宋体" w:hAnsi="宋体" w:eastAsia="宋体" w:cs="宋体"/>
          <w:color w:val="000000"/>
          <w:sz w:val="24"/>
          <w:highlight w:val="none"/>
          <w:lang w:eastAsia="zh-CN"/>
        </w:rPr>
      </w:r>
      <w:r/>
    </w:p>
    <w:p>
      <w:pPr>
        <w:pStyle w:val="899"/>
        <w:ind w:left="109"/>
        <w:rPr>
          <w:rFonts w:ascii="宋体" w:hAnsi="宋体" w:cs="宋体"/>
          <w:b/>
          <w:bCs/>
          <w:color w:val="000000"/>
          <w:szCs w:val="21"/>
          <w:highlight w:val="none"/>
        </w:rPr>
      </w:pPr>
      <w:r>
        <w:rPr>
          <w:rFonts w:ascii="宋体" w:hAnsi="宋体" w:cs="宋体"/>
          <w:b/>
          <w:bCs/>
          <w:color w:val="000000"/>
          <w:szCs w:val="21"/>
          <w:highlight w:val="none"/>
        </w:rPr>
      </w:r>
      <w:r/>
    </w:p>
    <w:p>
      <w:pPr>
        <w:pStyle w:val="899"/>
        <w:ind w:left="108"/>
        <w:jc w:val="center"/>
        <w:pageBreakBefore/>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车辆设备验收表</w:t>
      </w:r>
      <w:r>
        <w:rPr>
          <w:rFonts w:ascii="宋体" w:hAnsi="宋体" w:cs="宋体"/>
          <w:b/>
          <w:bCs/>
          <w:color w:val="000000"/>
          <w:sz w:val="24"/>
          <w:szCs w:val="24"/>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2"/>
        <w:gridCol w:w="639"/>
        <w:gridCol w:w="1076"/>
        <w:gridCol w:w="947"/>
        <w:gridCol w:w="971"/>
        <w:gridCol w:w="775"/>
        <w:gridCol w:w="1505"/>
        <w:gridCol w:w="847"/>
        <w:gridCol w:w="888"/>
        <w:gridCol w:w="898"/>
      </w:tblGrid>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驾驶员姓名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照片</w:t>
            </w: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762" w:type="dxa"/>
            <w:vAlign w:val="center"/>
            <w:textDirection w:val="tbRlV"/>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1.验收日期为：      年    月     日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2.进场日期为：      年    月     日 </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3.验收人：</w:t>
      </w:r>
      <w:r>
        <w:rPr>
          <w:rFonts w:hint="eastAsia" w:ascii="宋体" w:hAnsi="宋体" w:eastAsia="宋体" w:cs="宋体"/>
          <w:color w:val="000000"/>
          <w:sz w:val="24"/>
          <w:highlight w:val="none"/>
          <w:lang w:eastAsia="zh-CN"/>
        </w:rPr>
      </w:r>
      <w:r/>
    </w:p>
    <w:p>
      <w:pPr>
        <w:pStyle w:val="899"/>
        <w:pageBreakBefore/>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合同附件2：</w:t>
      </w:r>
      <w:r>
        <w:rPr>
          <w:rFonts w:ascii="宋体" w:hAnsi="宋体" w:cs="宋体"/>
          <w:b/>
          <w:bCs/>
          <w:color w:val="000000"/>
          <w:sz w:val="24"/>
          <w:szCs w:val="24"/>
          <w:highlight w:val="none"/>
        </w:rPr>
      </w:r>
      <w:r/>
    </w:p>
    <w:p>
      <w:pPr>
        <w:pStyle w:val="899"/>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安全生产、文明施工协议书</w:t>
      </w:r>
      <w:r>
        <w:rPr>
          <w:rFonts w:ascii="宋体" w:hAnsi="宋体" w:cs="宋体"/>
          <w:b/>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甲方：苏州市吴江区同里镇人民政府</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lang w:eastAsia="zh-CN"/>
        </w:rPr>
      </w:r>
      <w:r/>
    </w:p>
    <w:p>
      <w:pPr>
        <w:pStyle w:val="925"/>
        <w:rPr>
          <w:rFonts w:hint="eastAsia"/>
          <w:color w:val="000000"/>
          <w:highlight w:val="none"/>
          <w:lang w:eastAsia="zh-CN"/>
        </w:rPr>
      </w:pPr>
      <w:r>
        <w:rPr>
          <w:rFonts w:hint="eastAsia"/>
          <w:color w:val="000000"/>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为明确甲乙双方的权利和义务，保障工程实施及相关作业人员的安全，依据《建筑工程安全生产管理条例》，国家、江苏省、苏州市和吴江当地相关法律法规的规定，结合工程项目建设的实际情况，经甲乙双方协商一致，达成如下协议：</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一、甲方的权利和义务</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1.甲方有权对乙方进行安全生产教育。</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2.甲方有权随时进行监督、检查，并有权责令乙方清除不安全隐患的权利。</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3.甲方有权统一管理乙方驻地建设，并要求乙方维护好现场环境。</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4.甲方有对乙方在施工过程中，违反国家安全生产、消防、交通、治安管理政策、法规，违反甲方安全管理规章，不服从甲方管理等行为进行处罚直至单方解除合同的权利。</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5.甲方安全责任人员应检查乙方自带或外租机械设备、小型电动工具、临时用电设施以及个人防护用品(如安全帽、安全带)等，并进行验收。</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二、乙方的权利和义务</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2.因甲方过错，造成乙方人员或财产的损害，乙方有权向甲方提出索赔。乙方负责人必须履行对其招收的全体务工人员进行入场前的安全生产教育的义务。</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3.乙方必须为其招收的外地务工人员办理所需的一切必要手续和证件。</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5.在为甲方工作期间，乙方自带或外租的设备、设施，必须符合规范要求，经甲方安全管理人员验收合格后方可进场。凡未经验收批准，擅自投入使用，由此造成的损失，由乙方承担。</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6.乙方特殊工种作业人员必须依法持证上岗。</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校内外遗洒，同时应有避免扬尘的措施。</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9.生活区管理要求：施工现场必须设置专用厕所，并有专人管理，严禁随意大小便；生活、生产废水及施工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11.夜间施工服从政府职能统一管理，或按照规定办理好相关手续，做到不扰民。</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12.在施工过程中，发现文物古迹时，要立即保护现场，并及时报告。严禁破坏、私自收藏、倒卖或隐瞒不报。</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14.施工前，承包方应依据吴江市《危险性较大工程安全专项施工方案编制、专家论证审查与备案办法（试行）》（吴建施[2005]12号）文要求，编制有关专项安全方案，做好方案报审、专家审查和政府备案工作。</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15.乙方要服从现场总体管理单位的现场管理。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16.严格遵守国家法律法规的要求。</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三、因乙方的过错，造成甲方或他人财产或人身损害或甲方被处罚，乙方应负全责。</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四、本协议为本合同的从合同，随施工合同生效而生效，合同解除之日起，本协议自然失效，但因乙方违背协议，造成主合同终止，不影响本协议责任条款的效力。</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采购单位（甲方）：（盖章）               服务单位（乙方）：（盖章）</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法定代表人或其授权的代理人：             法定代表人或其授权的代理人：</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年    月   日                            年    月   日</w:t>
      </w:r>
      <w:r>
        <w:rPr>
          <w:rFonts w:hint="eastAsia" w:ascii="宋体" w:hAnsi="宋体" w:eastAsia="宋体" w:cs="宋体"/>
          <w:color w:val="000000"/>
          <w:sz w:val="24"/>
          <w:highlight w:val="none"/>
          <w:lang w:eastAsia="zh-CN"/>
        </w:rPr>
      </w:r>
      <w:r/>
    </w:p>
    <w:p>
      <w:pPr>
        <w:pStyle w:val="899"/>
        <w:rPr>
          <w:rFonts w:ascii="宋体" w:hAnsi="宋体" w:cs="宋体"/>
          <w:b/>
          <w:bCs/>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b/>
          <w:color w:val="000000"/>
          <w:sz w:val="24"/>
          <w:szCs w:val="24"/>
          <w:highlight w:val="none"/>
        </w:rPr>
        <w:t xml:space="preserve">合同附件3：</w:t>
      </w:r>
      <w:r>
        <w:rPr>
          <w:rFonts w:ascii="宋体" w:hAnsi="宋体" w:cs="宋体"/>
          <w:b/>
          <w:bCs/>
          <w:color w:val="000000"/>
          <w:sz w:val="24"/>
          <w:szCs w:val="24"/>
          <w:highlight w:val="none"/>
        </w:rPr>
      </w:r>
      <w:r/>
    </w:p>
    <w:p>
      <w:pPr>
        <w:pStyle w:val="977"/>
        <w:ind w:firstLine="422"/>
        <w:jc w:val="center"/>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2026年同里镇乡村公路日常养护及应急保障项目考核评分表</w:t>
      </w:r>
      <w:r>
        <w:rPr>
          <w:rFonts w:hint="eastAsia" w:ascii="宋体" w:hAnsi="宋体" w:cs="宋体"/>
          <w:b/>
          <w:bCs/>
          <w:color w:val="000000"/>
          <w:sz w:val="24"/>
          <w:szCs w:val="24"/>
          <w:highlight w:val="none"/>
        </w:rPr>
        <w:t xml:space="preserve"> </w:t>
      </w:r>
      <w:r>
        <w:rPr>
          <w:rFonts w:ascii="宋体" w:hAnsi="宋体" w:cs="宋体"/>
          <w:b/>
          <w:bCs/>
          <w:color w:val="000000"/>
          <w:sz w:val="24"/>
          <w:szCs w:val="24"/>
          <w:highlight w:val="none"/>
        </w:rPr>
      </w:r>
      <w:r/>
    </w:p>
    <w:tbl>
      <w:tblPr>
        <w:tblW w:w="95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662"/>
        <w:gridCol w:w="772"/>
        <w:gridCol w:w="728"/>
        <w:gridCol w:w="713"/>
      </w:tblGrid>
      <w:tr>
        <w:trPr>
          <w:trHeight w:val="476"/>
          <w:tblHeader/>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666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主要考核项目</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得分</w:t>
            </w:r>
            <w:r>
              <w:rPr>
                <w:rFonts w:ascii="宋体" w:hAnsi="宋体" w:cs="宋体"/>
                <w:color w:val="000000"/>
                <w:sz w:val="24"/>
                <w:szCs w:val="24"/>
                <w:highlight w:val="none"/>
              </w:rPr>
            </w:r>
            <w:r/>
          </w:p>
        </w:tc>
        <w:tc>
          <w:tcPr>
            <w:tcW w:w="713"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476"/>
        </w:trPr>
        <w:tc>
          <w:tcPr>
            <w:gridSpan w:val="5"/>
            <w:tcW w:w="9594" w:type="dxa"/>
            <w:vAlign w:val="center"/>
            <w:textDirection w:val="lrTb"/>
            <w:noWrap w:val="false"/>
          </w:tcPr>
          <w:p>
            <w:pPr>
              <w:pStyle w:val="899"/>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一、人员及现场管</w:t>
            </w:r>
            <w:r>
              <w:rPr>
                <w:rFonts w:hint="eastAsia" w:ascii="宋体" w:hAnsi="宋体" w:eastAsia="宋体" w:cs="宋体"/>
                <w:b/>
                <w:bCs/>
                <w:color w:val="000000"/>
                <w:sz w:val="24"/>
                <w:szCs w:val="24"/>
                <w:highlight w:val="none"/>
              </w:rPr>
              <w:t xml:space="preserve">理（31分）</w:t>
            </w:r>
            <w:r>
              <w:rPr>
                <w:rFonts w:ascii="宋体" w:hAnsi="宋体" w:cs="宋体"/>
                <w:b/>
                <w:bCs/>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人员配置是否符合合同要求（提供每月签到表以便核对人员）当班工作人员的工作态度、精神面貌、仪容仪表是否良好，是否按规定统一着装</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6662" w:type="dxa"/>
            <w:vAlign w:val="center"/>
            <w:textDirection w:val="lrTb"/>
            <w:noWrap w:val="false"/>
          </w:tcPr>
          <w:p>
            <w:pPr>
              <w:pStyle w:val="89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施工现场管理：施工现场管理有序， 安全文明施工，设立警示标志，配备警示灯，尽可能减少交通影响。缺少警示装置每少一处扣1分，缺少警示灯每处扣1分，造成车辆抛锚，爆胎等投诉直接扣完该项得分。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应急事件处理（路面坑塘围挡，花坛破损）：建立各类应急预案，及时处理各类突发事件。未建立预案，扣1分；应急事件未处理，出现一次扣1分；应急事件未向相关部门报告，一次扣1分，直至扣完该项分。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w:t>
            </w:r>
            <w:r>
              <w:rPr>
                <w:rFonts w:ascii="宋体" w:hAnsi="宋体" w:cs="宋体"/>
                <w:b/>
                <w:color w:val="000000"/>
                <w:sz w:val="24"/>
                <w:szCs w:val="24"/>
                <w:highlight w:val="none"/>
              </w:rPr>
            </w:r>
            <w:r/>
          </w:p>
        </w:tc>
        <w:tc>
          <w:tcPr>
            <w:tcW w:w="6662" w:type="dxa"/>
            <w:vAlign w:val="center"/>
            <w:textDirection w:val="lrTb"/>
            <w:noWrap w:val="false"/>
          </w:tcPr>
          <w:p>
            <w:pPr>
              <w:pStyle w:val="899"/>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路面管理（26分）</w:t>
            </w:r>
            <w:r>
              <w:rPr>
                <w:rFonts w:ascii="宋体" w:hAnsi="宋体" w:cs="宋体"/>
                <w:b/>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车行道完好率：修补形状应规则，边线应平行或垂直于道路中线，接头平顺；铺筑平整、密实，路面平整、无明显沉陷、网裂、松散、错台、拥包、裂缝、烂边、唧泥、缝料散失、砼板块松动等现象；井框高差不明显，路面不积水。</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1.沥青路面</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（1）裂缝类。线裂、网裂、碎裂，根据严重程度每处扣0.3或0.6或1分；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（2）变形类。车辙、沉陷、拥抱，根据严重程度每处扣0.3或0.6或1分；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（3）松散类。剥落、坑槽、啃边，根据严重程度每处扣0.3或0.6或1分；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（4）其他类。路框差、修补损坏，根据严重程度每处扣0.3或0.6或1分；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2.水泥路面</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（1）裂缝类。线裂、板角断裂、D裂缝、交叉裂缝和破碎板，根据严重程度每处扣0.3或0.6或1分；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（2）接缝破坏类。接缝料损坏、边角剥落，根据严重程度每处扣0.3或0.6或1分；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（3）表面破坏类。坑洞、表面纹裂与层状剥落，根据严重程度每处扣0.3或0.6或1分；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（4）其他。错台、拱起、唧泥、修补、路框差，根据严重程度每处扣0.3或0.6或1分；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人行道完好率：道面平整、安砌牢固、纵横缝均匀、直顺、灌缝饱满、无残缺。</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1.破损缺失，根据严重程度每处扣0.5或1分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2.沉陷每处扣0.5分；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3.松动、跷跛，每处扣0.3分；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4.错台、拱胀，每处扣0.3分；</w:t>
            </w:r>
            <w:r>
              <w:rPr>
                <w:rFonts w:ascii="宋体" w:hAnsi="宋体" w:cs="宋体"/>
                <w:color w:val="000000"/>
                <w:sz w:val="24"/>
                <w:szCs w:val="24"/>
                <w:highlight w:val="none"/>
              </w:rPr>
            </w:r>
            <w:r/>
          </w:p>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5.行道树树围损坏每处扣0.5分。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侧平石完好率：表面接头平整、线型直顺、接缝均匀、勾缝饱满、安砌稳固。</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1.破损残缺，根据严重程度每处扣0.3或0.6或1分；</w:t>
            </w:r>
            <w:r>
              <w:rPr>
                <w:rFonts w:ascii="宋体" w:hAnsi="宋体" w:cs="宋体"/>
                <w:color w:val="000000"/>
                <w:sz w:val="24"/>
                <w:szCs w:val="24"/>
                <w:highlight w:val="none"/>
              </w:rPr>
            </w:r>
            <w:r/>
          </w:p>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2.侧石歪斜、移位，每处扣0.3分；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桥梁完好率：桥面泄水孔、防撞墩砼表面无破损，桥体无牛皮癣及污秽、桥梁清洁。桥铭牌、标志、标牌应完好、干净，安装牢固、正确。</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1.墩台表面有缺损，每处扣1分；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2.支座有尘土堆积，略有腐蚀，每处扣1分；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3.支座滑动面干涩每处扣1分；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4.砼上部结构表面有少量分化、麻面、短细裂缝，每处扣1分；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5.上下游表面有水迹污染，砌缝滋生草木，每处扣1分；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6.栏杆破损、缺失、锈蚀，每处扣1分；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7.桥面铺装层面有裂缝、浅坑槽、波浪每处扣1分；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8.泄水管堵塞、缺损，周围渗水，每处扣1分；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9.伸缩缝堵塞、破损、连接松动，每处扣1分；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10.桥头轻度跳车，台背路面下沉在2CM以内，每处扣2分；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11.翼墙个别裂缝，局部砌体灰缝脱落，每处扣1分；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12.护坡局部塌陷，铺砌缺损，垃圾堆积，草木丛生，每处扣2分；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rPr>
                <w:rFonts w:ascii="宋体" w:hAnsi="宋体" w:cs="宋体"/>
                <w:b/>
                <w:bCs/>
                <w:color w:val="000000"/>
                <w:sz w:val="24"/>
                <w:szCs w:val="24"/>
                <w:highlight w:val="none"/>
              </w:rPr>
            </w:r>
            <w:r/>
          </w:p>
        </w:tc>
        <w:tc>
          <w:tcPr>
            <w:tcW w:w="6662" w:type="dxa"/>
            <w:vAlign w:val="center"/>
            <w:textDirection w:val="lrTb"/>
            <w:noWrap w:val="false"/>
          </w:tcPr>
          <w:p>
            <w:pPr>
              <w:pStyle w:val="899"/>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交安设施养护管理（6分）</w:t>
            </w:r>
            <w:r>
              <w:rPr>
                <w:rFonts w:ascii="宋体" w:hAnsi="宋体" w:cs="宋体"/>
                <w:b/>
                <w:bCs/>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6662" w:type="dxa"/>
            <w:vAlign w:val="center"/>
            <w:textDirection w:val="lrTb"/>
            <w:noWrap w:val="false"/>
          </w:tcPr>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1.交通隔离墩（栏）完整无缺、无歪倒，完好率≥90%，如有违反的每处扣0.3分；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2.信号灯灯屏完好率≥95%，如有违反的每处扣0.3分；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3.各类标志标牌清晰完整，杆身倾斜不大于杆长1%，如有违反的每处扣0.3分；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4.配电箱（柜）室完整无缺、电器元件导线无缺损、信号机完好无损、电箱编号齐全，如有违反的每处扣0.3分；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5.信号灯杆身倾斜不大于杆长1%，杆身无损坏，预埋基础无松动破损，螺母无松动，如有违反的每处扣0.3分；</w:t>
            </w:r>
            <w:r>
              <w:rPr>
                <w:rFonts w:ascii="宋体" w:hAnsi="宋体" w:cs="宋体"/>
                <w:color w:val="000000"/>
                <w:sz w:val="24"/>
                <w:szCs w:val="24"/>
                <w:highlight w:val="none"/>
              </w:rPr>
            </w:r>
            <w:r/>
          </w:p>
          <w:p>
            <w:pPr>
              <w:pStyle w:val="899"/>
              <w:rPr>
                <w:rFonts w:ascii="宋体" w:hAnsi="宋体" w:cs="宋体"/>
                <w:color w:val="000000"/>
                <w:sz w:val="24"/>
                <w:szCs w:val="24"/>
                <w:highlight w:val="none"/>
              </w:rPr>
            </w:pPr>
            <w:r>
              <w:rPr>
                <w:rFonts w:hint="eastAsia" w:ascii="宋体" w:hAnsi="宋体" w:cs="宋体"/>
                <w:color w:val="000000"/>
                <w:sz w:val="24"/>
                <w:szCs w:val="24"/>
                <w:highlight w:val="none"/>
              </w:rPr>
              <w:t xml:space="preserve">6.日常管理具备养护工作计划、管理制度及职能，保修处理率100%、处理时效性（一般事故24小时内，交通信号灯2小时内），安全文明管理，如有违反的每处扣0.3分；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   </w:t>
            </w:r>
            <w:r>
              <w:rPr>
                <w:rFonts w:ascii="宋体" w:hAnsi="宋体" w:cs="宋体"/>
                <w:b/>
                <w:color w:val="000000"/>
                <w:sz w:val="24"/>
                <w:szCs w:val="24"/>
                <w:highlight w:val="none"/>
              </w:rPr>
            </w:r>
            <w:r/>
          </w:p>
        </w:tc>
        <w:tc>
          <w:tcPr>
            <w:tcW w:w="6662" w:type="dxa"/>
            <w:vAlign w:val="center"/>
            <w:textDirection w:val="lrTb"/>
            <w:noWrap w:val="false"/>
          </w:tcPr>
          <w:p>
            <w:pPr>
              <w:pStyle w:val="899"/>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b/>
                <w:bCs/>
                <w:color w:val="000000"/>
                <w:sz w:val="24"/>
                <w:szCs w:val="24"/>
                <w:highlight w:val="none"/>
              </w:rPr>
              <w:t xml:space="preserve">设施设备帐</w:t>
            </w:r>
            <w:r>
              <w:rPr>
                <w:rFonts w:hint="eastAsia" w:ascii="宋体" w:hAnsi="宋体" w:eastAsia="宋体" w:cs="宋体"/>
                <w:b/>
                <w:bCs/>
                <w:color w:val="000000"/>
                <w:sz w:val="24"/>
                <w:szCs w:val="24"/>
                <w:highlight w:val="none"/>
              </w:rPr>
              <w:t xml:space="preserve">务管理（6分）</w:t>
            </w:r>
            <w:r>
              <w:rPr>
                <w:rFonts w:ascii="宋体" w:hAnsi="宋体" w:cs="宋体"/>
                <w:b/>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养护车辆设备是否齐全并符合合同要求，作业和非作业期停放位置合理。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shd w:val="pct10" w:color="auto" w:fill="ffffff"/>
              </w:rPr>
              <w:t xml:space="preserve">3</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各项台帐是否完整。</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shd w:val="pct10" w:color="auto" w:fill="ffffff"/>
              </w:rPr>
              <w:t xml:space="preserve">3</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  </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服务质量</w:t>
            </w:r>
            <w:r>
              <w:rPr>
                <w:rFonts w:hint="eastAsia" w:ascii="宋体" w:hAnsi="宋体" w:eastAsia="宋体" w:cs="宋体"/>
                <w:b/>
                <w:bCs/>
                <w:color w:val="000000"/>
                <w:sz w:val="24"/>
                <w:szCs w:val="24"/>
                <w:highlight w:val="none"/>
              </w:rPr>
              <w:t xml:space="preserve">管理（31分）</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shd w:val="pct10" w:color="auto" w:fill="ffffff"/>
              </w:rPr>
            </w:pPr>
            <w:r>
              <w:rPr>
                <w:rFonts w:ascii="宋体" w:hAnsi="宋体" w:cs="宋体"/>
                <w:color w:val="000000"/>
                <w:sz w:val="24"/>
                <w:szCs w:val="24"/>
                <w:highlight w:val="none"/>
                <w:shd w:val="pct10" w:color="auto" w:fill="ffffff"/>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与业主的沟通及时有效，定时向业主方汇报养护现场情况，对于已经发生的问题提出针对性的方案和建设性意见。</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shd w:val="pct10" w:color="auto" w:fill="ffffff"/>
              </w:rPr>
              <w:t xml:space="preserve">3</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无投诉或负面影响,出现一次扣2分，</w:t>
            </w:r>
            <w:r>
              <w:rPr>
                <w:rFonts w:hint="eastAsia" w:ascii="宋体" w:hAnsi="宋体" w:cs="宋体"/>
                <w:b/>
                <w:color w:val="000000"/>
                <w:sz w:val="24"/>
                <w:szCs w:val="24"/>
                <w:highlight w:val="none"/>
              </w:rPr>
              <w:t xml:space="preserve">影响特别恶劣直接扣完该项分数</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w:t>
            </w:r>
            <w:r>
              <w:rPr>
                <w:rFonts w:ascii="宋体" w:hAnsi="宋体" w:cs="宋体"/>
                <w:b/>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13" w:type="dxa"/>
            <w:vAlign w:val="top"/>
            <w:textDirection w:val="lrTb"/>
            <w:noWrap w:val="false"/>
          </w:tcPr>
          <w:p>
            <w:pPr>
              <w:pStyle w:val="899"/>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能否及时完成业主布置的临时任务，有故意不接甲方电话或不回电话扣1分，不支持不配合甲方工作扣2分，直至扣完该项分数</w:t>
            </w:r>
            <w:r>
              <w:rPr>
                <w:rFonts w:ascii="宋体" w:hAnsi="宋体" w:cs="宋体"/>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shd w:val="pct10" w:color="auto" w:fill="ffffff"/>
              </w:rPr>
              <w:t xml:space="preserve">8</w:t>
            </w:r>
            <w:r>
              <w:rPr>
                <w:rFonts w:ascii="宋体" w:hAnsi="宋体" w:cs="宋体"/>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13" w:type="dxa"/>
            <w:vAlign w:val="top"/>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当月有投诉未按期完成，有一次扣一分，三次以上直接扣完相应分数</w:t>
            </w:r>
            <w:r>
              <w:rPr>
                <w:rFonts w:ascii="宋体" w:hAnsi="宋体" w:cs="宋体"/>
                <w:b/>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w:t>
            </w:r>
            <w:r>
              <w:rPr>
                <w:rFonts w:ascii="宋体" w:hAnsi="宋体" w:cs="宋体"/>
                <w:b/>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13" w:type="dxa"/>
            <w:vAlign w:val="top"/>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w:t>
            </w:r>
            <w:r>
              <w:rPr>
                <w:rFonts w:ascii="宋体" w:hAnsi="宋体" w:cs="宋体"/>
                <w:b/>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奖励</w:t>
            </w:r>
            <w:r>
              <w:rPr>
                <w:rFonts w:ascii="宋体" w:hAnsi="宋体" w:cs="宋体"/>
                <w:b/>
                <w:bCs/>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13" w:type="dxa"/>
            <w:vAlign w:val="top"/>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trHeight w:val="476"/>
        </w:trPr>
        <w:tc>
          <w:tcPr>
            <w:tcW w:w="719" w:type="dxa"/>
            <w:vAlign w:val="center"/>
            <w:textDirection w:val="lrTb"/>
            <w:noWrap w:val="false"/>
          </w:tcPr>
          <w:p>
            <w:pPr>
              <w:pStyle w:val="899"/>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W w:w="6662" w:type="dxa"/>
            <w:vAlign w:val="center"/>
            <w:textDirection w:val="lrTb"/>
            <w:noWrap w:val="false"/>
          </w:tcPr>
          <w:p>
            <w:pPr>
              <w:pStyle w:val="899"/>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服务期间,服务商每提出一项合理化建议并被采购方采纳的，应每项加2分。</w:t>
            </w:r>
            <w:r>
              <w:rPr>
                <w:rFonts w:ascii="宋体" w:hAnsi="宋体" w:cs="宋体"/>
                <w:b/>
                <w:bCs/>
                <w:color w:val="000000"/>
                <w:sz w:val="24"/>
                <w:szCs w:val="24"/>
                <w:highlight w:val="none"/>
              </w:rPr>
            </w:r>
            <w:r/>
          </w:p>
        </w:tc>
        <w:tc>
          <w:tcPr>
            <w:tcW w:w="772" w:type="dxa"/>
            <w:vAlign w:val="center"/>
            <w:textDirection w:val="lrTb"/>
            <w:noWrap w:val="false"/>
          </w:tcPr>
          <w:p>
            <w:pPr>
              <w:pStyle w:val="899"/>
              <w:jc w:val="center"/>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728" w:type="dxa"/>
            <w:vAlign w:val="center"/>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713" w:type="dxa"/>
            <w:vAlign w:val="top"/>
            <w:textDirection w:val="lrTb"/>
            <w:noWrap w:val="false"/>
          </w:tcPr>
          <w:p>
            <w:pPr>
              <w:pStyle w:val="899"/>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trHeight w:val="476"/>
        </w:trPr>
        <w:tc>
          <w:tcPr>
            <w:gridSpan w:val="2"/>
            <w:tcW w:w="7381" w:type="dxa"/>
            <w:vAlign w:val="center"/>
            <w:textDirection w:val="lrTb"/>
            <w:noWrap w:val="false"/>
          </w:tcPr>
          <w:p>
            <w:pPr>
              <w:pStyle w:val="899"/>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合计</w:t>
            </w:r>
            <w:r>
              <w:rPr>
                <w:rFonts w:hint="eastAsia" w:ascii="宋体" w:hAnsi="宋体" w:cs="宋体"/>
                <w:color w:val="000000"/>
                <w:sz w:val="24"/>
                <w:szCs w:val="24"/>
                <w:highlight w:val="none"/>
              </w:rPr>
              <w:t xml:space="preserve">　</w:t>
            </w:r>
            <w:r>
              <w:rPr>
                <w:rFonts w:ascii="宋体" w:hAnsi="宋体" w:cs="宋体"/>
                <w:b/>
                <w:bCs/>
                <w:color w:val="000000"/>
                <w:sz w:val="24"/>
                <w:szCs w:val="24"/>
                <w:highlight w:val="none"/>
              </w:rPr>
            </w:r>
            <w:r/>
          </w:p>
        </w:tc>
        <w:tc>
          <w:tcPr>
            <w:gridSpan w:val="3"/>
            <w:tcW w:w="2213" w:type="dxa"/>
            <w:vAlign w:val="center"/>
            <w:textDirection w:val="lrTb"/>
            <w:noWrap w:val="false"/>
          </w:tcPr>
          <w:p>
            <w:pPr>
              <w:pStyle w:val="899"/>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76"/>
        </w:trPr>
        <w:tc>
          <w:tcPr>
            <w:gridSpan w:val="5"/>
            <w:tcW w:w="9594" w:type="dxa"/>
            <w:vAlign w:val="center"/>
            <w:textDirection w:val="lrTb"/>
            <w:noWrap w:val="false"/>
          </w:tcPr>
          <w:p>
            <w:pPr>
              <w:pStyle w:val="899"/>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采购单位确认签名：</w:t>
            </w:r>
            <w:r>
              <w:rPr>
                <w:rFonts w:ascii="宋体" w:hAnsi="宋体" w:cs="宋体"/>
                <w:b/>
                <w:bCs/>
                <w:color w:val="000000"/>
                <w:sz w:val="24"/>
                <w:szCs w:val="24"/>
                <w:highlight w:val="none"/>
              </w:rPr>
            </w:r>
            <w:r/>
          </w:p>
        </w:tc>
      </w:tr>
    </w:tbl>
    <w:p>
      <w:pPr>
        <w:pStyle w:val="977"/>
        <w:ind w:firstLine="42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备注：</w:t>
      </w:r>
      <w:r>
        <w:rPr>
          <w:rFonts w:hint="eastAsia" w:ascii="宋体" w:hAnsi="宋体" w:eastAsia="宋体" w:cs="宋体"/>
          <w:color w:val="000000"/>
          <w:sz w:val="24"/>
          <w:highlight w:val="none"/>
          <w:lang w:val="en-US" w:eastAsia="zh-CN"/>
        </w:rPr>
      </w:r>
      <w:r/>
    </w:p>
    <w:p>
      <w:pPr>
        <w:pStyle w:val="8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1.本考核表作为甲方支付季度服务费的重要依据，满分为100分，90分以上（含 90分）不扣款，90分以下每扣减1分扣款1000元整。</w:t>
      </w:r>
      <w:r>
        <w:rPr>
          <w:rFonts w:hint="eastAsia" w:ascii="宋体" w:hAnsi="宋体" w:eastAsia="宋体" w:cs="宋体"/>
          <w:color w:val="000000"/>
          <w:sz w:val="24"/>
          <w:highlight w:val="none"/>
          <w:lang w:val="en-US" w:eastAsia="zh-CN"/>
        </w:rPr>
      </w:r>
      <w:r/>
    </w:p>
    <w:p>
      <w:pPr>
        <w:pStyle w:val="8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2.连续三次考核低于80分或一次考核低于60分，甲方有权终止合同。</w:t>
      </w:r>
      <w:r>
        <w:rPr>
          <w:rFonts w:hint="eastAsia" w:ascii="宋体" w:hAnsi="宋体" w:eastAsia="宋体" w:cs="宋体"/>
          <w:color w:val="000000"/>
          <w:sz w:val="24"/>
          <w:highlight w:val="none"/>
          <w:lang w:val="en-US" w:eastAsia="zh-CN"/>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5"/>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JSZC-320509-ZZHL-C2026-0022</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8"/>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8"/>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8"/>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8"/>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2"/>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1"/>
        <w:rPr>
          <w:rFonts w:hint="eastAsia"/>
          <w:color w:val="000000"/>
          <w:highlight w:val="none"/>
        </w:rPr>
      </w:pPr>
      <w:r>
        <w:rPr>
          <w:rFonts w:hint="eastAsia"/>
          <w:color w:val="000000"/>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磋商编号：JSZC-320509-ZZHL-C2026-0022号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32"/>
        <w:gridCol w:w="2355"/>
        <w:gridCol w:w="2524"/>
        <w:gridCol w:w="2769"/>
      </w:tblGrid>
      <w:tr>
        <w:trPr>
          <w:trHeight w:val="602"/>
        </w:trPr>
        <w:tc>
          <w:tcPr>
            <w:tcW w:w="1232" w:type="dxa"/>
            <w:vAlign w:val="center"/>
            <w:textDirection w:val="lrTb"/>
            <w:noWrap w:val="false"/>
          </w:tcPr>
          <w:p>
            <w:pPr>
              <w:pStyle w:val="899"/>
              <w:jc w:val="center"/>
              <w:spacing w:line="360" w:lineRule="auto"/>
              <w:rPr>
                <w:rFonts w:hint="eastAsia" w:ascii="宋体" w:hAnsi="宋体" w:eastAsia="宋体" w:cs="宋体"/>
                <w:color w:val="000000"/>
                <w:spacing w:val="20"/>
                <w:sz w:val="24"/>
                <w:highlight w:val="none"/>
                <w:lang w:eastAsia="zh-CN"/>
              </w:rPr>
            </w:pPr>
            <w:r>
              <w:rPr>
                <w:rFonts w:hint="eastAsia" w:ascii="宋体" w:hAnsi="宋体" w:cs="宋体"/>
                <w:color w:val="000000"/>
                <w:spacing w:val="20"/>
                <w:sz w:val="24"/>
                <w:highlight w:val="none"/>
                <w:lang w:val="en-US" w:eastAsia="zh-CN"/>
              </w:rPr>
              <w:t xml:space="preserve">序号</w:t>
            </w:r>
            <w:r>
              <w:rPr>
                <w:rFonts w:hint="eastAsia" w:ascii="宋体" w:hAnsi="宋体" w:eastAsia="宋体" w:cs="宋体"/>
                <w:color w:val="000000"/>
                <w:spacing w:val="20"/>
                <w:sz w:val="24"/>
                <w:highlight w:val="none"/>
                <w:lang w:eastAsia="zh-CN"/>
              </w:rPr>
            </w:r>
            <w:r/>
          </w:p>
        </w:tc>
        <w:tc>
          <w:tcPr>
            <w:tcW w:w="2355"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2524" w:type="dxa"/>
            <w:vAlign w:val="center"/>
            <w:textDirection w:val="lrTb"/>
            <w:noWrap w:val="false"/>
          </w:tcPr>
          <w:p>
            <w:pPr>
              <w:pStyle w:val="899"/>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响应优惠率</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1232"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c>
          <w:tcPr>
            <w:tcW w:w="2355"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524"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本次响应报价须根据“采购内容清单”中的“单价最高限价”基础上报统一优惠率【如优惠率为10％，则表示结算单价在“单价最高限价”的基础上×(1-10%)（即9折）】，供应商应自行考虑项目实施期间的风险，具体费用根据成交单价及实际工作量结算。响应优惠率取整数，不得出现小数。</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2.所报优惠率越高，则表示对应的响应报价越低，价格得分则越高。</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3.供应商须对所要采购的全部内容进行报价，未按本表规定格式提供则视为无效。</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如本格式与“苏采云”格式冲突的，以苏采云格式为准。</w:t>
      </w:r>
      <w:r>
        <w:rPr>
          <w:rFonts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 </w:t>
      </w:r>
      <w:r>
        <w:rPr>
          <w:rFonts w:hint="eastAsia" w:ascii="宋体" w:hAnsi="宋体" w:eastAsia="宋体" w:cs="宋体"/>
          <w:color w:val="00000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附件4：技术偏离表</w:t>
      </w:r>
      <w:r>
        <w:rPr>
          <w:rFonts w:hint="eastAsia" w:ascii="宋体" w:hAnsi="宋体" w:eastAsia="宋体" w:cs="宋体"/>
          <w:b/>
          <w:bCs/>
          <w:color w:val="000000"/>
          <w:sz w:val="24"/>
          <w:szCs w:val="24"/>
          <w:highlight w:val="none"/>
          <w:lang w:val="en-US" w:eastAsia="zh-CN" w:bidi="ar-SA"/>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注：1.磋商响应单位应对照采购文件服务要求等要求，所响应标的物（服务）与采购文件的规定有偏离的，应在此表中申明与服务要求条文的偏差和例外。</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eastAsia="宋体" w:cs="宋体"/>
          <w:color w:val="000000"/>
          <w:sz w:val="24"/>
          <w:highlight w:val="none"/>
          <w:lang w:val="en-US" w:eastAsia="zh-CN"/>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8"/>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w:t>
      </w:r>
      <w:r>
        <w:rPr>
          <w:rFonts w:hint="eastAsia" w:hAnsi="宋体" w:eastAsia="宋体" w:cs="宋体"/>
          <w:b/>
          <w:bCs/>
          <w:color w:val="000000"/>
          <w:sz w:val="24"/>
          <w:highlight w:val="none"/>
          <w:lang w:val="en-US" w:eastAsia="zh-CN"/>
        </w:rPr>
        <w:t xml:space="preserve">6</w:t>
      </w:r>
      <w:r>
        <w:rPr>
          <w:rFonts w:hint="eastAsia" w:hAnsi="宋体" w:eastAsia="宋体" w:cs="宋体"/>
          <w:b/>
          <w:bCs/>
          <w:color w:val="000000"/>
          <w:sz w:val="24"/>
          <w:highlight w:val="none"/>
        </w:rPr>
        <w:t xml:space="preserve">.针对本项目的人员配置表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JSZC-320509-ZZHL-C2026-0022</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912"/>
        <w:gridCol w:w="818"/>
        <w:gridCol w:w="840"/>
        <w:gridCol w:w="967"/>
        <w:gridCol w:w="705"/>
        <w:gridCol w:w="900"/>
        <w:gridCol w:w="1613"/>
        <w:gridCol w:w="1067"/>
      </w:tblGrid>
      <w:tr>
        <w:trPr>
          <w:trHeight w:val="405"/>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12"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18"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40"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705"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900"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13"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12"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05"/>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注：此表所有人员须与响应文件中所承诺本项目配备人员（人数、证书等）情况一致。</w:t>
      </w:r>
      <w:r>
        <w:rPr>
          <w:rFonts w:ascii="宋体" w:hAnsi="宋体" w:eastAsia="宋体" w:cs="宋体"/>
          <w:b/>
          <w:bCs/>
          <w:color w:val="000000"/>
          <w:sz w:val="24"/>
          <w:highlight w:val="none"/>
          <w:lang w:val="en-US" w:eastAsia="zh-CN"/>
        </w:rPr>
      </w:r>
      <w:r/>
    </w:p>
    <w:p>
      <w:pPr>
        <w:pStyle w:val="89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JSZC-320509-ZZHL-C2026-0022</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法定代表人或委托代理人：（签字或盖章）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rPr>
          <w:rFonts w:hint="eastAsia" w:ascii="宋体" w:hAnsi="宋体" w:cs="宋体"/>
          <w:b/>
          <w:bCs/>
          <w:color w:val="000000"/>
          <w:sz w:val="24"/>
          <w:highlight w:val="none"/>
          <w:lang w:val="zh-CN"/>
        </w:rPr>
      </w:r>
    </w:p>
    <w:p>
      <w:pPr>
        <w:pStyle w:val="921"/>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rPr>
          <w:rFonts w:hint="eastAsia" w:ascii="宋体" w:hAnsi="宋体" w:cs="宋体"/>
          <w:b/>
          <w:bCs/>
          <w:color w:val="000000"/>
          <w:sz w:val="24"/>
          <w:szCs w:val="24"/>
          <w:highlight w:val="none"/>
          <w:lang w:val="zh-CN"/>
        </w:rPr>
      </w:r>
    </w:p>
    <w:p>
      <w:pPr>
        <w:pStyle w:val="921"/>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w:t>
      </w:r>
      <w:r>
        <w:rPr>
          <w:rFonts w:hint="eastAsia" w:ascii="宋体" w:hAnsi="宋体" w:eastAsia="宋体" w:cs="宋体"/>
          <w:color w:val="000000"/>
          <w:sz w:val="24"/>
          <w:highlight w:val="none"/>
          <w:lang w:val="en-US" w:eastAsia="zh-CN"/>
        </w:rPr>
        <w:t xml:space="preserve">、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908"/>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320"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29"/>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bookmarkStart w:id="141" w:name="OLE_LINK13"/>
      <w:r/>
      <w:bookmarkStart w:id="142"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1"/>
      <w:r/>
      <w:bookmarkEnd w:id="142"/>
      <w:r>
        <w:rPr>
          <w:rFonts w:hint="eastAsia" w:ascii="宋体" w:hAnsi="宋体" w:cs="宋体"/>
          <w:b/>
          <w:color w:val="000000"/>
          <w:spacing w:val="6"/>
          <w:sz w:val="24"/>
          <w:highlight w:val="none"/>
        </w:rPr>
      </w:r>
      <w:r/>
    </w:p>
    <w:p>
      <w:pPr>
        <w:pStyle w:val="89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1"/>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05"/>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JSZC-320509-ZZHL-C2026-0022</w:t>
    </w:r>
    <w:r>
      <w:rPr>
        <w:rFonts w:hint="eastAsia" w:eastAsia="宋体"/>
        <w:lang w:eastAsia="zh-CN"/>
      </w:rPr>
    </w:r>
    <w:r/>
  </w:p>
  <w:p>
    <w:pPr>
      <w:pStyle w:val="917"/>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正文文本"/>
    <w:basedOn w:val="899"/>
    <w:next w:val="906"/>
    <w:link w:val="899"/>
    <w:qFormat/>
    <w:pPr>
      <w:tabs>
        <w:tab w:val="left" w:pos="5250" w:leader="none"/>
      </w:tabs>
    </w:pPr>
    <w:rPr>
      <w:sz w:val="28"/>
    </w:rPr>
  </w:style>
  <w:style w:type="paragraph" w:styleId="906">
    <w:name w:val="正文首行缩进"/>
    <w:basedOn w:val="905"/>
    <w:next w:val="899"/>
    <w:link w:val="899"/>
    <w:qFormat/>
    <w:pPr>
      <w:ind w:firstLine="420"/>
      <w:tabs>
        <w:tab w:val="left" w:pos="5250" w:leader="none"/>
      </w:tabs>
    </w:pPr>
  </w:style>
  <w:style w:type="paragraph" w:styleId="907">
    <w:name w:val="目录 7"/>
    <w:basedOn w:val="899"/>
    <w:next w:val="899"/>
    <w:link w:val="899"/>
    <w:uiPriority w:val="39"/>
    <w:unhideWhenUsed/>
    <w:qFormat/>
    <w:pPr>
      <w:ind w:left="1260"/>
      <w:jc w:val="left"/>
    </w:pPr>
    <w:rPr>
      <w:sz w:val="18"/>
      <w:szCs w:val="18"/>
    </w:rPr>
  </w:style>
  <w:style w:type="paragraph" w:styleId="908">
    <w:name w:val="正文缩进"/>
    <w:basedOn w:val="899"/>
    <w:next w:val="899"/>
    <w:link w:val="899"/>
    <w:qFormat/>
    <w:pPr>
      <w:ind w:firstLine="420"/>
    </w:pPr>
    <w:rPr>
      <w:szCs w:val="20"/>
    </w:rPr>
  </w:style>
  <w:style w:type="paragraph" w:styleId="909">
    <w:name w:val="批注文字"/>
    <w:basedOn w:val="899"/>
    <w:next w:val="909"/>
    <w:link w:val="910"/>
    <w:qFormat/>
    <w:pPr>
      <w:jc w:val="left"/>
    </w:pPr>
  </w:style>
  <w:style w:type="character" w:styleId="910">
    <w:name w:val="批注文字 字符"/>
    <w:next w:val="910"/>
    <w:link w:val="909"/>
    <w:rPr>
      <w:rFonts w:ascii="Calibri" w:hAnsi="Calibri" w:cs="Calibri"/>
      <w:sz w:val="21"/>
      <w:szCs w:val="24"/>
    </w:rPr>
  </w:style>
  <w:style w:type="paragraph" w:styleId="911">
    <w:name w:val="正文文本缩进"/>
    <w:basedOn w:val="899"/>
    <w:next w:val="911"/>
    <w:link w:val="899"/>
    <w:qFormat/>
    <w:pPr>
      <w:ind w:left="420"/>
      <w:spacing w:after="120"/>
    </w:pPr>
  </w:style>
  <w:style w:type="paragraph" w:styleId="912">
    <w:name w:val="文本块"/>
    <w:basedOn w:val="900"/>
    <w:next w:val="899"/>
    <w:link w:val="899"/>
    <w:qFormat/>
    <w:pPr>
      <w:ind w:left="420" w:right="-294"/>
      <w:spacing w:line="320" w:lineRule="exact"/>
      <w:tabs>
        <w:tab w:val="left" w:pos="405" w:leader="none"/>
      </w:tabs>
    </w:pPr>
    <w:rPr>
      <w:rFonts w:ascii="宋体"/>
      <w:sz w:val="24"/>
    </w:rPr>
  </w:style>
  <w:style w:type="paragraph" w:styleId="913">
    <w:name w:val="纯文本"/>
    <w:basedOn w:val="899"/>
    <w:next w:val="913"/>
    <w:link w:val="899"/>
    <w:qFormat/>
    <w:rPr>
      <w:rFonts w:ascii="宋体" w:hAnsi="Courier New" w:eastAsia="楷体_GB2312"/>
      <w:sz w:val="28"/>
    </w:rPr>
  </w:style>
  <w:style w:type="paragraph" w:styleId="914">
    <w:name w:val="批注框文本"/>
    <w:basedOn w:val="899"/>
    <w:next w:val="914"/>
    <w:link w:val="899"/>
    <w:qFormat/>
    <w:rPr>
      <w:sz w:val="18"/>
      <w:szCs w:val="18"/>
    </w:rPr>
  </w:style>
  <w:style w:type="paragraph" w:styleId="915">
    <w:name w:val="页脚"/>
    <w:basedOn w:val="899"/>
    <w:next w:val="915"/>
    <w:link w:val="899"/>
    <w:uiPriority w:val="99"/>
    <w:qFormat/>
    <w:pPr>
      <w:jc w:val="left"/>
      <w:tabs>
        <w:tab w:val="center" w:pos="4153" w:leader="none"/>
        <w:tab w:val="right" w:pos="8306" w:leader="none"/>
      </w:tabs>
    </w:pPr>
    <w:rPr>
      <w:sz w:val="18"/>
      <w:szCs w:val="18"/>
    </w:rPr>
  </w:style>
  <w:style w:type="paragraph" w:styleId="916">
    <w:name w:val="寄信人地址"/>
    <w:basedOn w:val="899"/>
    <w:next w:val="916"/>
    <w:link w:val="899"/>
    <w:qFormat/>
    <w:rPr>
      <w:rFonts w:ascii="Arial" w:hAnsi="Arial" w:eastAsia="楷体_GB2312"/>
      <w:sz w:val="26"/>
      <w:szCs w:val="20"/>
    </w:rPr>
  </w:style>
  <w:style w:type="paragraph" w:styleId="917">
    <w:name w:val="页眉"/>
    <w:basedOn w:val="899"/>
    <w:next w:val="917"/>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18">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19">
    <w:name w:val="脚注文本"/>
    <w:basedOn w:val="900"/>
    <w:next w:val="912"/>
    <w:link w:val="899"/>
    <w:qFormat/>
    <w:pPr>
      <w:ind w:firstLine="3584"/>
      <w:spacing w:line="360" w:lineRule="auto"/>
      <w:tabs>
        <w:tab w:val="left" w:pos="405" w:leader="none"/>
      </w:tabs>
    </w:pPr>
  </w:style>
  <w:style w:type="paragraph" w:styleId="920">
    <w:name w:val="目录 2"/>
    <w:basedOn w:val="899"/>
    <w:next w:val="899"/>
    <w:link w:val="899"/>
    <w:uiPriority w:val="39"/>
    <w:unhideWhenUsed/>
    <w:qFormat/>
    <w:pPr>
      <w:ind w:left="420"/>
    </w:pPr>
  </w:style>
  <w:style w:type="paragraph" w:styleId="921">
    <w:name w:val="正文文本 2"/>
    <w:basedOn w:val="899"/>
    <w:next w:val="921"/>
    <w:link w:val="899"/>
    <w:qFormat/>
    <w:pPr>
      <w:spacing w:line="360" w:lineRule="auto"/>
    </w:pPr>
    <w:rPr>
      <w:color w:val="ff0000"/>
    </w:rPr>
  </w:style>
  <w:style w:type="paragraph" w:styleId="922">
    <w:name w:val="普通(网站)"/>
    <w:basedOn w:val="899"/>
    <w:next w:val="922"/>
    <w:link w:val="899"/>
    <w:uiPriority w:val="99"/>
    <w:qFormat/>
    <w:pPr>
      <w:jc w:val="left"/>
      <w:spacing w:beforeAutospacing="1" w:afterAutospacing="1"/>
    </w:pPr>
    <w:rPr>
      <w:rFonts w:cs="Times New Roman"/>
      <w:sz w:val="24"/>
    </w:rPr>
  </w:style>
  <w:style w:type="paragraph" w:styleId="923">
    <w:name w:val="批注主题"/>
    <w:basedOn w:val="909"/>
    <w:next w:val="909"/>
    <w:link w:val="924"/>
    <w:rPr>
      <w:b/>
      <w:bCs/>
    </w:rPr>
  </w:style>
  <w:style w:type="character" w:styleId="924">
    <w:name w:val="批注主题 字符"/>
    <w:next w:val="924"/>
    <w:link w:val="923"/>
    <w:rPr>
      <w:rFonts w:ascii="Calibri" w:hAnsi="Calibri" w:cs="Calibri"/>
      <w:b/>
      <w:bCs/>
      <w:sz w:val="21"/>
      <w:szCs w:val="24"/>
    </w:rPr>
  </w:style>
  <w:style w:type="paragraph" w:styleId="925">
    <w:name w:val="正文首行缩进 2"/>
    <w:basedOn w:val="911"/>
    <w:next w:val="925"/>
    <w:link w:val="899"/>
    <w:uiPriority w:val="99"/>
    <w:unhideWhenUsed/>
    <w:qFormat/>
    <w:pPr>
      <w:ind w:firstLine="420"/>
    </w:pPr>
  </w:style>
  <w:style w:type="table" w:styleId="926">
    <w:name w:val="网格型"/>
    <w:basedOn w:val="904"/>
    <w:next w:val="926"/>
    <w:link w:val="899"/>
    <w:qFormat/>
    <w:tblPr/>
  </w:style>
  <w:style w:type="character" w:styleId="927">
    <w:name w:val="页码"/>
    <w:next w:val="927"/>
    <w:link w:val="899"/>
    <w:qFormat/>
  </w:style>
  <w:style w:type="character" w:styleId="928">
    <w:name w:val="批注引用"/>
    <w:next w:val="928"/>
    <w:link w:val="899"/>
    <w:rPr>
      <w:sz w:val="21"/>
      <w:szCs w:val="21"/>
    </w:rPr>
  </w:style>
  <w:style w:type="paragraph" w:styleId="929">
    <w:name w:val="首行缩进"/>
    <w:basedOn w:val="899"/>
    <w:next w:val="929"/>
    <w:link w:val="899"/>
    <w:qFormat/>
    <w:pPr>
      <w:ind w:firstLine="480"/>
      <w:jc w:val="left"/>
      <w:spacing w:line="360" w:lineRule="auto"/>
    </w:pPr>
    <w:rPr>
      <w:rFonts w:ascii="宋体" w:hAnsi="宋体"/>
      <w:sz w:val="24"/>
    </w:rPr>
  </w:style>
  <w:style w:type="paragraph" w:styleId="930">
    <w:name w:val="正文首行缩进 211"/>
    <w:basedOn w:val="931"/>
    <w:next w:val="932"/>
    <w:link w:val="899"/>
    <w:qFormat/>
    <w:pPr>
      <w:ind w:left="420" w:firstLine="420"/>
      <w:spacing w:after="120" w:line="240" w:lineRule="auto"/>
    </w:pPr>
    <w:rPr>
      <w:b w:val="0"/>
      <w:szCs w:val="24"/>
    </w:rPr>
  </w:style>
  <w:style w:type="paragraph" w:styleId="931">
    <w:name w:val="正文文本缩进11"/>
    <w:basedOn w:val="899"/>
    <w:next w:val="899"/>
    <w:link w:val="899"/>
    <w:qFormat/>
    <w:pPr>
      <w:ind w:left="315" w:firstLine="632"/>
      <w:spacing w:line="360" w:lineRule="auto"/>
    </w:pPr>
    <w:rPr>
      <w:b/>
    </w:rPr>
  </w:style>
  <w:style w:type="paragraph" w:styleId="932">
    <w:name w:val="正文首行缩进11"/>
    <w:basedOn w:val="933"/>
    <w:next w:val="899"/>
    <w:link w:val="899"/>
    <w:qFormat/>
    <w:pPr>
      <w:ind w:firstLine="420"/>
      <w:spacing w:after="120" w:line="240" w:lineRule="auto"/>
    </w:pPr>
    <w:rPr>
      <w:rFonts w:ascii="Times New Roman"/>
      <w:sz w:val="26"/>
    </w:rPr>
  </w:style>
  <w:style w:type="paragraph" w:styleId="933">
    <w:name w:val="正文文本11"/>
    <w:basedOn w:val="899"/>
    <w:next w:val="934"/>
    <w:link w:val="899"/>
    <w:uiPriority w:val="99"/>
    <w:qFormat/>
    <w:pPr>
      <w:spacing w:after="120"/>
    </w:pPr>
    <w:rPr>
      <w:rFonts w:ascii="Times New Roman" w:hAnsi="Times New Roman"/>
      <w:sz w:val="20"/>
      <w:szCs w:val="20"/>
    </w:rPr>
  </w:style>
  <w:style w:type="paragraph" w:styleId="934">
    <w:name w:val="正文缩进1"/>
    <w:basedOn w:val="899"/>
    <w:next w:val="899"/>
    <w:link w:val="899"/>
    <w:qFormat/>
    <w:pPr>
      <w:ind w:firstLine="420"/>
      <w:jc w:val="left"/>
    </w:pPr>
    <w:rPr>
      <w:rFonts w:eastAsia="楷体_GB2312"/>
      <w:sz w:val="24"/>
      <w:szCs w:val="20"/>
    </w:rPr>
  </w:style>
  <w:style w:type="paragraph" w:styleId="935">
    <w:name w:val="寄信人地址111"/>
    <w:basedOn w:val="899"/>
    <w:next w:val="935"/>
    <w:link w:val="899"/>
    <w:qFormat/>
    <w:rPr>
      <w:rFonts w:ascii="Arial" w:hAnsi="Arial" w:eastAsia="楷体_GB2312"/>
      <w:sz w:val="26"/>
    </w:rPr>
  </w:style>
  <w:style w:type="paragraph" w:styleId="936">
    <w:name w:val="正文文本缩进 21"/>
    <w:basedOn w:val="899"/>
    <w:next w:val="937"/>
    <w:link w:val="899"/>
    <w:qFormat/>
    <w:pPr>
      <w:ind w:firstLine="420"/>
      <w:spacing w:line="360" w:lineRule="auto"/>
    </w:pPr>
    <w:rPr>
      <w:rFonts w:ascii="宋体" w:hAnsi="宋体"/>
    </w:rPr>
  </w:style>
  <w:style w:type="paragraph" w:styleId="937">
    <w:name w:val="索引 91"/>
    <w:basedOn w:val="899"/>
    <w:next w:val="899"/>
    <w:link w:val="899"/>
    <w:qFormat/>
    <w:pPr>
      <w:ind w:left="1600"/>
    </w:pPr>
    <w:rPr>
      <w:szCs w:val="24"/>
    </w:rPr>
  </w:style>
  <w:style w:type="paragraph" w:styleId="938">
    <w:name w:val="段"/>
    <w:basedOn w:val="939"/>
    <w:next w:val="899"/>
    <w:link w:val="899"/>
    <w:qFormat/>
    <w:pPr>
      <w:ind w:firstLine="200"/>
      <w:jc w:val="both"/>
    </w:pPr>
    <w:rPr>
      <w:rFonts w:ascii="宋体" w:hAnsi="Calibri"/>
      <w:sz w:val="21"/>
      <w:lang w:val="en-US" w:eastAsia="zh-CN" w:bidi="ar-SA"/>
    </w:rPr>
  </w:style>
  <w:style w:type="paragraph" w:styleId="939">
    <w:name w:val="正文1"/>
    <w:basedOn w:val="940"/>
    <w:next w:val="942"/>
    <w:link w:val="899"/>
    <w:qFormat/>
    <w:pPr>
      <w:ind w:left="420" w:firstLine="527"/>
      <w:spacing w:before="120" w:line="360" w:lineRule="auto"/>
    </w:pPr>
    <w:rPr>
      <w:rFonts w:ascii="宋体" w:hAnsi="宋体"/>
    </w:rPr>
  </w:style>
  <w:style w:type="paragraph" w:styleId="940">
    <w:name w:val="正文12"/>
    <w:next w:val="941"/>
    <w:link w:val="899"/>
    <w:qFormat/>
    <w:pPr>
      <w:jc w:val="both"/>
      <w:widowControl w:val="off"/>
    </w:pPr>
    <w:rPr>
      <w:rFonts w:ascii="Times New Roman" w:hAnsi="Times New Roman" w:eastAsia="宋体" w:cs="Times New Roman"/>
      <w:sz w:val="21"/>
      <w:szCs w:val="24"/>
      <w:lang w:val="en-US" w:eastAsia="zh-CN" w:bidi="ar-SA"/>
    </w:rPr>
  </w:style>
  <w:style w:type="paragraph" w:styleId="941">
    <w:name w:val="Default"/>
    <w:next w:val="920"/>
    <w:link w:val="899"/>
    <w:qFormat/>
    <w:pPr>
      <w:widowControl w:val="off"/>
    </w:pPr>
    <w:rPr>
      <w:rFonts w:ascii="宋体" w:hAnsi="Times New Roman" w:eastAsia="宋体" w:cs="宋体"/>
      <w:color w:val="000000"/>
      <w:sz w:val="24"/>
      <w:szCs w:val="24"/>
      <w:lang w:val="en-US" w:eastAsia="zh-CN" w:bidi="ar-SA"/>
    </w:rPr>
  </w:style>
  <w:style w:type="paragraph" w:styleId="942">
    <w:name w:val="正文首行缩进1"/>
    <w:basedOn w:val="943"/>
    <w:next w:val="945"/>
    <w:link w:val="899"/>
    <w:qFormat/>
    <w:pPr>
      <w:ind w:firstLine="420"/>
    </w:pPr>
    <w:rPr>
      <w:szCs w:val="22"/>
    </w:rPr>
  </w:style>
  <w:style w:type="paragraph" w:styleId="943">
    <w:name w:val="正文文本1"/>
    <w:basedOn w:val="944"/>
    <w:next w:val="899"/>
    <w:link w:val="899"/>
    <w:qFormat/>
    <w:pPr>
      <w:spacing w:after="120"/>
    </w:pPr>
  </w:style>
  <w:style w:type="paragraph" w:styleId="944">
    <w:name w:val="正文11"/>
    <w:next w:val="899"/>
    <w:link w:val="899"/>
    <w:qFormat/>
    <w:pPr>
      <w:jc w:val="both"/>
      <w:widowControl w:val="off"/>
    </w:pPr>
    <w:rPr>
      <w:rFonts w:ascii="Times New Roman" w:hAnsi="Times New Roman" w:eastAsia="宋体" w:cs="Times New Roman"/>
      <w:sz w:val="21"/>
      <w:szCs w:val="24"/>
      <w:lang w:val="en-US" w:eastAsia="zh-CN" w:bidi="ar-SA"/>
    </w:rPr>
  </w:style>
  <w:style w:type="paragraph" w:styleId="945">
    <w:name w:val="正文首行缩进 21"/>
    <w:basedOn w:val="946"/>
    <w:next w:val="939"/>
    <w:link w:val="899"/>
    <w:qFormat/>
    <w:pPr>
      <w:ind w:firstLine="420"/>
      <w:widowControl/>
    </w:pPr>
    <w:rPr>
      <w:rFonts w:ascii="仿宋_GB2312"/>
      <w:color w:val="ff6600"/>
      <w:sz w:val="21"/>
    </w:rPr>
  </w:style>
  <w:style w:type="paragraph" w:styleId="946">
    <w:name w:val="正文文本缩进1"/>
    <w:basedOn w:val="899"/>
    <w:next w:val="947"/>
    <w:link w:val="899"/>
    <w:qFormat/>
    <w:pPr>
      <w:ind w:firstLine="560"/>
      <w:spacing w:line="300" w:lineRule="auto"/>
    </w:pPr>
    <w:rPr>
      <w:sz w:val="28"/>
    </w:rPr>
  </w:style>
  <w:style w:type="paragraph" w:styleId="947">
    <w:name w:val="寄信人地址1"/>
    <w:basedOn w:val="899"/>
    <w:next w:val="947"/>
    <w:link w:val="899"/>
    <w:qFormat/>
    <w:rPr>
      <w:rFonts w:ascii="Arial" w:hAnsi="Arial"/>
    </w:rPr>
  </w:style>
  <w:style w:type="paragraph" w:styleId="948">
    <w:name w:val="一级条标题"/>
    <w:basedOn w:val="949"/>
    <w:next w:val="938"/>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name w:val="章标题"/>
    <w:next w:val="899"/>
    <w:link w:val="8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0">
    <w:name w:val="PlainText1"/>
    <w:basedOn w:val="899"/>
    <w:next w:val="950"/>
    <w:link w:val="899"/>
    <w:uiPriority w:val="99"/>
    <w:qFormat/>
    <w:rPr>
      <w:rFonts w:ascii="宋体" w:hAnsi="Courier New" w:eastAsia="楷体_GB2312"/>
      <w:sz w:val="28"/>
      <w:szCs w:val="20"/>
    </w:rPr>
  </w:style>
  <w:style w:type="paragraph" w:styleId="951">
    <w:name w:val="目录 51"/>
    <w:next w:val="899"/>
    <w:link w:val="899"/>
    <w:qFormat/>
    <w:pPr>
      <w:ind w:left="1275"/>
      <w:jc w:val="both"/>
    </w:pPr>
    <w:rPr>
      <w:rFonts w:ascii="Calibri" w:hAnsi="Calibri" w:eastAsia="宋体" w:cs="Times New Roman"/>
      <w:sz w:val="21"/>
      <w:lang w:val="en-US" w:eastAsia="zh-CN" w:bidi="ar-SA"/>
    </w:rPr>
  </w:style>
  <w:style w:type="paragraph" w:styleId="952">
    <w:name w:val="列表段落"/>
    <w:basedOn w:val="899"/>
    <w:next w:val="952"/>
    <w:link w:val="899"/>
    <w:uiPriority w:val="34"/>
    <w:qFormat/>
    <w:pPr>
      <w:ind w:firstLine="420"/>
    </w:pPr>
  </w:style>
  <w:style w:type="character" w:styleId="953">
    <w:name w:val="NormalCharacter1"/>
    <w:next w:val="953"/>
    <w:link w:val="899"/>
    <w:qFormat/>
  </w:style>
  <w:style w:type="paragraph" w:styleId="954">
    <w:name w:val="+标题1"/>
    <w:basedOn w:val="900"/>
    <w:next w:val="954"/>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5">
    <w:name w:val="纯文本13"/>
    <w:basedOn w:val="899"/>
    <w:next w:val="955"/>
    <w:link w:val="899"/>
    <w:qFormat/>
    <w:pPr>
      <w:jc w:val="left"/>
      <w:widowControl/>
    </w:pPr>
    <w:rPr>
      <w:rFonts w:ascii="宋体" w:hAnsi="Courier New" w:eastAsia="楷体_GB2312"/>
      <w:sz w:val="26"/>
      <w:lang w:eastAsia="en-US"/>
    </w:rPr>
  </w:style>
  <w:style w:type="paragraph" w:styleId="956">
    <w:name w:val="纯文本1"/>
    <w:basedOn w:val="899"/>
    <w:next w:val="956"/>
    <w:link w:val="899"/>
    <w:qFormat/>
    <w:rPr>
      <w:rFonts w:ascii="宋体" w:hAnsi="Courier New" w:eastAsia="楷体_GB2312"/>
      <w:sz w:val="26"/>
    </w:rPr>
  </w:style>
  <w:style w:type="character" w:styleId="957">
    <w:name w:val="font11"/>
    <w:basedOn w:val="903"/>
    <w:next w:val="957"/>
    <w:link w:val="899"/>
    <w:rPr>
      <w:rFonts w:hint="eastAsia" w:ascii="宋体" w:hAnsi="宋体" w:eastAsia="宋体" w:cs="宋体"/>
      <w:i w:val="0"/>
      <w:iCs w:val="0"/>
      <w:color w:val="000000"/>
      <w:sz w:val="22"/>
      <w:szCs w:val="22"/>
      <w:u w:val="none"/>
    </w:rPr>
  </w:style>
  <w:style w:type="character" w:styleId="958">
    <w:name w:val="font61"/>
    <w:basedOn w:val="903"/>
    <w:next w:val="958"/>
    <w:link w:val="899"/>
    <w:rPr>
      <w:rFonts w:ascii="Arial" w:hAnsi="Arial" w:cs="Arial"/>
      <w:i w:val="0"/>
      <w:iCs w:val="0"/>
      <w:color w:val="000000"/>
      <w:sz w:val="22"/>
      <w:szCs w:val="22"/>
      <w:u w:val="none"/>
    </w:rPr>
  </w:style>
  <w:style w:type="character" w:styleId="959">
    <w:name w:val="font71"/>
    <w:basedOn w:val="903"/>
    <w:next w:val="959"/>
    <w:link w:val="899"/>
    <w:rPr>
      <w:rFonts w:hint="eastAsia" w:ascii="宋体" w:hAnsi="宋体" w:eastAsia="宋体" w:cs="宋体"/>
      <w:i w:val="0"/>
      <w:iCs w:val="0"/>
      <w:color w:val="ff0000"/>
      <w:sz w:val="22"/>
      <w:szCs w:val="22"/>
      <w:u w:val="none"/>
    </w:rPr>
  </w:style>
  <w:style w:type="character" w:styleId="960">
    <w:name w:val="font81"/>
    <w:basedOn w:val="903"/>
    <w:next w:val="960"/>
    <w:link w:val="899"/>
    <w:rPr>
      <w:rFonts w:ascii="Calibri" w:hAnsi="Calibri" w:cs="Calibri"/>
      <w:i w:val="0"/>
      <w:iCs w:val="0"/>
      <w:color w:val="000000"/>
      <w:sz w:val="22"/>
      <w:szCs w:val="22"/>
      <w:u w:val="none"/>
    </w:rPr>
  </w:style>
  <w:style w:type="paragraph" w:styleId="961">
    <w:name w:val="p0"/>
    <w:basedOn w:val="899"/>
    <w:next w:val="961"/>
    <w:link w:val="899"/>
    <w:qFormat/>
    <w:rPr>
      <w:rFonts w:ascii="Times New Roman" w:hAnsi="Times New Roman"/>
      <w:szCs w:val="24"/>
    </w:rPr>
  </w:style>
  <w:style w:type="paragraph" w:styleId="962">
    <w:name w:val="纯文本3"/>
    <w:basedOn w:val="899"/>
    <w:next w:val="962"/>
    <w:link w:val="899"/>
    <w:qFormat/>
    <w:rPr>
      <w:rFonts w:ascii="宋体" w:hAnsi="Courier New" w:eastAsia="KaiTi_GB2312"/>
      <w:sz w:val="28"/>
      <w:szCs w:val="20"/>
    </w:rPr>
  </w:style>
  <w:style w:type="paragraph" w:styleId="963">
    <w:name w:val="纯文本11"/>
    <w:basedOn w:val="899"/>
    <w:next w:val="963"/>
    <w:link w:val="899"/>
    <w:qFormat/>
    <w:rPr>
      <w:rFonts w:ascii="宋体" w:hAnsi="Courier New" w:eastAsia="楷体_GB2312"/>
      <w:sz w:val="28"/>
      <w:szCs w:val="20"/>
    </w:rPr>
  </w:style>
  <w:style w:type="paragraph" w:styleId="964">
    <w:name w:val="正文文本缩进 311"/>
    <w:basedOn w:val="899"/>
    <w:next w:val="964"/>
    <w:link w:val="899"/>
    <w:uiPriority w:val="99"/>
    <w:qFormat/>
    <w:pPr>
      <w:ind w:firstLine="480"/>
      <w:spacing w:line="360" w:lineRule="auto"/>
      <w:widowControl/>
    </w:pPr>
    <w:rPr>
      <w:sz w:val="24"/>
    </w:rPr>
  </w:style>
  <w:style w:type="paragraph" w:styleId="965">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66">
    <w:name w:val="网格型2"/>
    <w:basedOn w:val="904"/>
    <w:next w:val="966"/>
    <w:link w:val="899"/>
    <w:uiPriority w:val="99"/>
    <w:qFormat/>
    <w:pPr>
      <w:jc w:val="both"/>
      <w:widowControl w:val="off"/>
    </w:pPr>
    <w:tblPr/>
  </w:style>
  <w:style w:type="paragraph" w:styleId="967">
    <w:name w:val="正文-标"/>
    <w:basedOn w:val="899"/>
    <w:next w:val="967"/>
    <w:link w:val="899"/>
    <w:qFormat/>
    <w:pPr>
      <w:ind w:firstLine="200"/>
      <w:spacing w:line="360" w:lineRule="auto"/>
    </w:pPr>
  </w:style>
  <w:style w:type="paragraph" w:styleId="968">
    <w:name w:val="Table Text"/>
    <w:basedOn w:val="899"/>
    <w:next w:val="968"/>
    <w:link w:val="899"/>
    <w:semiHidden/>
    <w:qFormat/>
    <w:rPr>
      <w:rFonts w:ascii="宋体" w:hAnsi="宋体" w:eastAsia="宋体" w:cs="宋体"/>
      <w:sz w:val="15"/>
      <w:szCs w:val="15"/>
      <w:lang w:val="en-US" w:eastAsia="en-US" w:bidi="ar-SA"/>
    </w:rPr>
  </w:style>
  <w:style w:type="table" w:styleId="969">
    <w:name w:val="Table Normal"/>
    <w:next w:val="969"/>
    <w:link w:val="899"/>
    <w:unhideWhenUsed/>
    <w:qFormat/>
    <w:tblPr/>
  </w:style>
  <w:style w:type="paragraph" w:styleId="970">
    <w:name w:val="正文文本 21"/>
    <w:basedOn w:val="899"/>
    <w:next w:val="970"/>
    <w:link w:val="899"/>
    <w:qFormat/>
    <w:pPr>
      <w:spacing w:after="120" w:line="480" w:lineRule="auto"/>
    </w:pPr>
  </w:style>
  <w:style w:type="paragraph" w:styleId="971">
    <w:name w:val="页脚1"/>
    <w:basedOn w:val="899"/>
    <w:next w:val="971"/>
    <w:link w:val="899"/>
    <w:qFormat/>
    <w:pPr>
      <w:jc w:val="left"/>
      <w:tabs>
        <w:tab w:val="center" w:pos="4153" w:leader="none"/>
        <w:tab w:val="right" w:pos="8306" w:leader="none"/>
      </w:tabs>
    </w:pPr>
    <w:rPr>
      <w:sz w:val="18"/>
      <w:szCs w:val="18"/>
    </w:rPr>
  </w:style>
  <w:style w:type="character" w:styleId="972">
    <w:name w:val="font31"/>
    <w:basedOn w:val="903"/>
    <w:next w:val="972"/>
    <w:link w:val="899"/>
    <w:qFormat/>
    <w:rPr>
      <w:rFonts w:ascii="等线" w:hAnsi="等线" w:eastAsia="等线" w:cs="等线"/>
      <w:color w:val="000000"/>
      <w:sz w:val="21"/>
      <w:szCs w:val="21"/>
      <w:u w:val="none"/>
    </w:rPr>
  </w:style>
  <w:style w:type="paragraph" w:styleId="973">
    <w:name w:val="正文缩进111"/>
    <w:basedOn w:val="899"/>
    <w:next w:val="899"/>
    <w:link w:val="899"/>
    <w:qFormat/>
    <w:pPr>
      <w:ind w:firstLine="420"/>
      <w:jc w:val="left"/>
    </w:pPr>
    <w:rPr>
      <w:rFonts w:ascii="Times New Roman" w:hAnsi="Times New Roman" w:eastAsia="楷体_GB2312"/>
      <w:sz w:val="24"/>
      <w:szCs w:val="20"/>
    </w:rPr>
  </w:style>
  <w:style w:type="character" w:styleId="974">
    <w:name w:val="font41"/>
    <w:basedOn w:val="903"/>
    <w:next w:val="974"/>
    <w:link w:val="899"/>
    <w:rPr>
      <w:rFonts w:hint="eastAsia" w:ascii="宋体" w:hAnsi="宋体" w:eastAsia="宋体" w:cs="宋体"/>
      <w:b/>
      <w:bCs/>
      <w:i w:val="0"/>
      <w:iCs w:val="0"/>
      <w:color w:val="ff0000"/>
      <w:sz w:val="32"/>
      <w:szCs w:val="32"/>
      <w:u w:val="none"/>
    </w:rPr>
  </w:style>
  <w:style w:type="character" w:styleId="975">
    <w:name w:val="font51"/>
    <w:basedOn w:val="903"/>
    <w:next w:val="975"/>
    <w:link w:val="899"/>
    <w:qFormat/>
    <w:rPr>
      <w:rFonts w:ascii="Times New Roman" w:hAnsi="Times New Roman" w:cs="Times New Roman"/>
      <w:color w:val="000000"/>
      <w:sz w:val="21"/>
      <w:szCs w:val="21"/>
      <w:u w:val="none"/>
    </w:rPr>
  </w:style>
  <w:style w:type="paragraph" w:styleId="976">
    <w:name w:val="纯文本5"/>
    <w:basedOn w:val="899"/>
    <w:next w:val="976"/>
    <w:link w:val="899"/>
    <w:qFormat/>
    <w:rPr>
      <w:rFonts w:ascii="宋体" w:hAnsi="Courier New" w:eastAsia="楷体_GB2312"/>
      <w:sz w:val="26"/>
    </w:rPr>
  </w:style>
  <w:style w:type="paragraph" w:styleId="977">
    <w:name w:val="正文_7"/>
    <w:next w:val="977"/>
    <w:link w:val="899"/>
    <w:qFormat/>
    <w:pPr>
      <w:jc w:val="both"/>
      <w:widowControl w:val="off"/>
    </w:pPr>
    <w:rPr>
      <w:rFonts w:ascii="Times New Roman" w:hAnsi="Times New Roman" w:eastAsia="宋体" w:cs="Times New Roman"/>
      <w:sz w:val="21"/>
      <w:szCs w:val="22"/>
      <w:lang w:val="en-US" w:eastAsia="zh-CN" w:bidi="ar-SA"/>
    </w:rPr>
  </w:style>
  <w:style w:type="paragraph" w:styleId="978">
    <w:name w:val="Char Char Char Char Char Char Char"/>
    <w:basedOn w:val="899"/>
    <w:next w:val="978"/>
    <w:link w:val="899"/>
    <w:qFormat/>
    <w:pPr>
      <w:ind w:left="405" w:hanging="405"/>
      <w:tabs>
        <w:tab w:val="left" w:pos="405" w:leader="none"/>
      </w:tabs>
    </w:pPr>
    <w:rPr>
      <w:szCs w:val="24"/>
    </w:rPr>
  </w:style>
  <w:style w:type="paragraph" w:styleId="979">
    <w:name w:val="纯文本8"/>
    <w:basedOn w:val="899"/>
    <w:next w:val="979"/>
    <w:link w:val="899"/>
    <w:qFormat/>
    <w:rPr>
      <w:rFonts w:hAnsi="Courier New" w:eastAsia="楷体_GB2312"/>
      <w:sz w:val="28"/>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2025-05-18T16:19:00Z</dcterms:created>
  <dcterms:modified xsi:type="dcterms:W3CDTF">2026-07-03T08:29:35Z</dcterms:modified>
</cp:coreProperties>
</file>